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 01/08/2022</w:t>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9">
      <w:pPr>
        <w:pStyle w:val="Heading5"/>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LCBB4003: Introducing the Modern Workplace</w:t>
      </w:r>
    </w:p>
    <w:p w:rsidR="00000000" w:rsidDel="00000000" w:rsidP="00000000" w:rsidRDefault="00000000" w:rsidRPr="00000000" w14:paraId="0000000A">
      <w:pPr>
        <w:pStyle w:val="Heading5"/>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Analyse the impact of the rise of flexible working arrangements or hybrid working. Critically discuss its pros and cons and suggest recommendations to improve current organisational practices</w:t>
      </w:r>
    </w:p>
    <w:p w:rsidR="00000000" w:rsidDel="00000000" w:rsidP="00000000" w:rsidRDefault="00000000" w:rsidRPr="00000000" w14:paraId="0000000B">
      <w:pPr>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C">
      <w:pPr>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D">
      <w:pPr>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0E">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Petar Artyuhov  2123090</w:t>
      </w:r>
    </w:p>
    <w:p w:rsidR="00000000" w:rsidDel="00000000" w:rsidP="00000000" w:rsidRDefault="00000000" w:rsidRPr="00000000" w14:paraId="0000000F">
      <w:pPr>
        <w:jc w:val="both"/>
        <w:rPr>
          <w:rFonts w:ascii="Arial" w:cs="Arial" w:eastAsia="Arial" w:hAnsi="Arial"/>
          <w:b w:val="1"/>
        </w:rPr>
      </w:pPr>
      <w:r w:rsidDel="00000000" w:rsidR="00000000" w:rsidRPr="00000000">
        <w:rPr>
          <w:rFonts w:ascii="Arial" w:cs="Arial" w:eastAsia="Arial" w:hAnsi="Arial"/>
          <w:b w:val="1"/>
          <w:rtl w:val="0"/>
        </w:rPr>
        <w:t xml:space="preserve">          </w:t>
      </w:r>
    </w:p>
    <w:p w:rsidR="00000000" w:rsidDel="00000000" w:rsidP="00000000" w:rsidRDefault="00000000" w:rsidRPr="00000000" w14:paraId="00000010">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11">
      <w:pPr>
        <w:jc w:val="both"/>
        <w:rPr>
          <w:rFonts w:ascii="Arial" w:cs="Arial" w:eastAsia="Arial" w:hAnsi="Arial"/>
          <w:b w:val="1"/>
        </w:rPr>
      </w:pPr>
      <w:r w:rsidDel="00000000" w:rsidR="00000000" w:rsidRPr="00000000">
        <w:rPr>
          <w:rFonts w:ascii="Arial" w:cs="Arial" w:eastAsia="Arial" w:hAnsi="Arial"/>
          <w:b w:val="1"/>
          <w:rtl w:val="0"/>
        </w:rPr>
        <w:t xml:space="preserve">Students:   Group report (Group 3)</w:t>
      </w:r>
    </w:p>
    <w:p w:rsidR="00000000" w:rsidDel="00000000" w:rsidP="00000000" w:rsidRDefault="00000000" w:rsidRPr="00000000" w14:paraId="00000012">
      <w:pPr>
        <w:jc w:val="both"/>
        <w:rPr>
          <w:rFonts w:ascii="Arial" w:cs="Arial" w:eastAsia="Arial" w:hAnsi="Arial"/>
          <w:color w:val="201f1e"/>
          <w:highlight w:val="white"/>
        </w:rPr>
      </w:pPr>
      <w:r w:rsidDel="00000000" w:rsidR="00000000" w:rsidRPr="00000000">
        <w:rPr>
          <w:rFonts w:ascii="Arial" w:cs="Arial" w:eastAsia="Arial" w:hAnsi="Arial"/>
          <w:color w:val="201f1e"/>
          <w:highlight w:val="white"/>
          <w:rtl w:val="0"/>
        </w:rPr>
        <w:t xml:space="preserve">Radu-Daniel Catrina 2123271</w:t>
      </w:r>
    </w:p>
    <w:p w:rsidR="00000000" w:rsidDel="00000000" w:rsidP="00000000" w:rsidRDefault="00000000" w:rsidRPr="00000000" w14:paraId="00000013">
      <w:pPr>
        <w:jc w:val="both"/>
        <w:rPr>
          <w:rFonts w:ascii="Arial" w:cs="Arial" w:eastAsia="Arial" w:hAnsi="Arial"/>
          <w:color w:val="201f1e"/>
          <w:highlight w:val="white"/>
        </w:rPr>
      </w:pPr>
      <w:r w:rsidDel="00000000" w:rsidR="00000000" w:rsidRPr="00000000">
        <w:rPr>
          <w:rFonts w:ascii="Arial" w:cs="Arial" w:eastAsia="Arial" w:hAnsi="Arial"/>
          <w:color w:val="201f1e"/>
          <w:highlight w:val="white"/>
          <w:rtl w:val="0"/>
        </w:rPr>
        <w:t xml:space="preserve">Petar Artyuhov 2123090</w:t>
      </w:r>
    </w:p>
    <w:p w:rsidR="00000000" w:rsidDel="00000000" w:rsidP="00000000" w:rsidRDefault="00000000" w:rsidRPr="00000000" w14:paraId="00000014">
      <w:pPr>
        <w:jc w:val="both"/>
        <w:rPr>
          <w:rFonts w:ascii="Arial" w:cs="Arial" w:eastAsia="Arial" w:hAnsi="Arial"/>
          <w:color w:val="201f1e"/>
          <w:highlight w:val="white"/>
        </w:rPr>
      </w:pPr>
      <w:r w:rsidDel="00000000" w:rsidR="00000000" w:rsidRPr="00000000">
        <w:rPr>
          <w:rFonts w:ascii="Arial" w:cs="Arial" w:eastAsia="Arial" w:hAnsi="Arial"/>
          <w:color w:val="201f1e"/>
          <w:highlight w:val="white"/>
          <w:rtl w:val="0"/>
        </w:rPr>
        <w:t xml:space="preserve">Ana-Maria Nastac 2119513</w:t>
      </w:r>
    </w:p>
    <w:p w:rsidR="00000000" w:rsidDel="00000000" w:rsidP="00000000" w:rsidRDefault="00000000" w:rsidRPr="00000000" w14:paraId="00000015">
      <w:pPr>
        <w:jc w:val="both"/>
        <w:rPr>
          <w:rFonts w:ascii="Arial" w:cs="Arial" w:eastAsia="Arial" w:hAnsi="Arial"/>
          <w:color w:val="201f1e"/>
          <w:highlight w:val="white"/>
        </w:rPr>
      </w:pPr>
      <w:r w:rsidDel="00000000" w:rsidR="00000000" w:rsidRPr="00000000">
        <w:rPr>
          <w:rFonts w:ascii="Arial" w:cs="Arial" w:eastAsia="Arial" w:hAnsi="Arial"/>
          <w:color w:val="201f1e"/>
          <w:highlight w:val="white"/>
          <w:rtl w:val="0"/>
        </w:rPr>
        <w:t xml:space="preserve">Elena Muscinschi 2114907</w:t>
      </w:r>
    </w:p>
    <w:p w:rsidR="00000000" w:rsidDel="00000000" w:rsidP="00000000" w:rsidRDefault="00000000" w:rsidRPr="00000000" w14:paraId="00000016">
      <w:pPr>
        <w:jc w:val="both"/>
        <w:rPr>
          <w:rFonts w:ascii="Arial" w:cs="Arial" w:eastAsia="Arial" w:hAnsi="Arial"/>
          <w:b w:val="1"/>
          <w:color w:val="201f1e"/>
          <w:highlight w:val="white"/>
        </w:rPr>
      </w:pPr>
      <w:r w:rsidDel="00000000" w:rsidR="00000000" w:rsidRPr="00000000">
        <w:rPr>
          <w:rFonts w:ascii="Arial" w:cs="Arial" w:eastAsia="Arial" w:hAnsi="Arial"/>
          <w:b w:val="1"/>
          <w:color w:val="201f1e"/>
          <w:highlight w:val="white"/>
          <w:rtl w:val="0"/>
        </w:rPr>
        <w:t xml:space="preserve">Lecturer: </w:t>
      </w:r>
    </w:p>
    <w:p w:rsidR="00000000" w:rsidDel="00000000" w:rsidP="00000000" w:rsidRDefault="00000000" w:rsidRPr="00000000" w14:paraId="00000017">
      <w:pPr>
        <w:jc w:val="both"/>
        <w:rPr>
          <w:rFonts w:ascii="Arial" w:cs="Arial" w:eastAsia="Arial" w:hAnsi="Arial"/>
          <w:b w:val="1"/>
          <w:sz w:val="24"/>
          <w:szCs w:val="24"/>
        </w:rPr>
      </w:pPr>
      <w:r w:rsidDel="00000000" w:rsidR="00000000" w:rsidRPr="00000000">
        <w:rPr>
          <w:rFonts w:ascii="Arial" w:cs="Arial" w:eastAsia="Arial" w:hAnsi="Arial"/>
          <w:color w:val="201f1e"/>
          <w:highlight w:val="white"/>
          <w:rtl w:val="0"/>
        </w:rPr>
        <w:t xml:space="preserve">Dr. Budhi Pathak</w:t>
      </w:r>
      <w:r w:rsidDel="00000000" w:rsidR="00000000" w:rsidRPr="00000000">
        <w:br w:type="page"/>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color="4f81bd" w:space="0" w:sz="24" w:val="single"/>
          <w:left w:color="4f81bd" w:space="0" w:sz="24" w:val="single"/>
          <w:bottom w:color="4f81bd" w:space="0" w:sz="24" w:val="single"/>
          <w:right w:color="4f81bd" w:space="0" w:sz="24" w:val="single"/>
          <w:between w:space="0" w:sz="0" w:val="nil"/>
        </w:pBdr>
        <w:shd w:fill="4f81bd" w:val="clear"/>
        <w:spacing w:after="0" w:before="100" w:line="276" w:lineRule="auto"/>
        <w:ind w:left="0" w:right="0" w:firstLine="0"/>
        <w:jc w:val="both"/>
        <w:rPr>
          <w:rFonts w:ascii="Arial" w:cs="Arial" w:eastAsia="Arial" w:hAnsi="Arial"/>
          <w:b w:val="0"/>
          <w:i w:val="0"/>
          <w:smallCaps w:val="1"/>
          <w:strike w:val="0"/>
          <w:color w:val="ffffff"/>
          <w:sz w:val="24"/>
          <w:szCs w:val="24"/>
          <w:u w:val="none"/>
          <w:shd w:fill="auto" w:val="clear"/>
          <w:vertAlign w:val="baseline"/>
        </w:rPr>
      </w:pPr>
      <w:r w:rsidDel="00000000" w:rsidR="00000000" w:rsidRPr="00000000">
        <w:rPr>
          <w:rFonts w:ascii="Arial" w:cs="Arial" w:eastAsia="Arial" w:hAnsi="Arial"/>
          <w:b w:val="0"/>
          <w:i w:val="0"/>
          <w:smallCaps w:val="1"/>
          <w:strike w:val="0"/>
          <w:color w:val="ffffff"/>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1.0 Introduction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 Defining the Concepts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3.0 Pros and Cons</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3.1 Pros of Hybrid Working Model or Flexible Working Arrangements and Their Impact on the Business Performance</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 Cons of Hybrid Working Model or Flexible Working Arrangements and Their Impact on the Business Performance</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4.0 Recommendations on How to Improve and Implement Hybrid Working</w:t>
              <w:tab/>
              <w:t xml:space="preserve">12</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 Providing Training and Development Sessions to Educate Employees about Virtual Working Environment</w:t>
              <w:tab/>
              <w:t xml:space="preserve">12</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4.2 Using Google Meet and Zoom Conferencing for Online Audio-Visual Communication at Work</w:t>
              <w:tab/>
              <w:t xml:space="preserve">14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4.3 Conducting Meetings Three times a Week to Address Challenges Faced by Employees</w:t>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5.0 Conclusions</w:t>
              <w:tab/>
              <w:t xml:space="preserve">15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6.0 Reference list</w:t>
              <w:tab/>
              <w:t xml:space="preserve">17</w:t>
            </w:r>
          </w:hyperlink>
          <w:r w:rsidDel="00000000" w:rsidR="00000000" w:rsidRPr="00000000">
            <w:rPr>
              <w:rtl w:val="0"/>
            </w:rPr>
          </w:r>
        </w:p>
        <w:p w:rsidR="00000000" w:rsidDel="00000000" w:rsidP="00000000" w:rsidRDefault="00000000" w:rsidRPr="00000000" w14:paraId="00000024">
          <w:pPr>
            <w:jc w:val="both"/>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jc w:val="both"/>
        <w:rPr>
          <w:rFonts w:ascii="Arial" w:cs="Arial" w:eastAsia="Arial" w:hAnsi="Arial"/>
          <w:color w:val="ff0000"/>
          <w:sz w:val="24"/>
          <w:szCs w:val="24"/>
        </w:rPr>
      </w:pPr>
      <w:bookmarkStart w:colFirst="0" w:colLast="0" w:name="_gjdgxs" w:id="0"/>
      <w:bookmarkEnd w:id="0"/>
      <w:r w:rsidDel="00000000" w:rsidR="00000000" w:rsidRPr="00000000">
        <w:rPr>
          <w:rFonts w:ascii="Arial" w:cs="Arial" w:eastAsia="Arial" w:hAnsi="Arial"/>
          <w:sz w:val="24"/>
          <w:szCs w:val="24"/>
          <w:rtl w:val="0"/>
        </w:rPr>
        <w:t xml:space="preserve">1.0 Introduction </w:t>
      </w:r>
      <w:r w:rsidDel="00000000" w:rsidR="00000000" w:rsidRPr="00000000">
        <w:rPr>
          <w:rFonts w:ascii="Arial" w:cs="Arial" w:eastAsia="Arial" w:hAnsi="Arial"/>
          <w:i w:val="1"/>
          <w:sz w:val="24"/>
          <w:szCs w:val="24"/>
          <w:rtl w:val="0"/>
        </w:rPr>
        <w:t xml:space="preserve">(petar artyuhov 2123090)</w:t>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Hybrid working is a flexible work concept that enables employees to conduct their activities in and out of the office area including from home or on the go. It came about as a necessity to adapt to new requirements given by recent events in our society. </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After the hit of the COVID-19 pandemic in the world, most businesses were impacted by it. Starting from micro businesses and SMEs to big market giant, every organisation feels the threat of the pandemic. The business went down and cash flow was reduced by a huge margin. At that situation, organisations started to take different initiatives to run their businesses during the pandemic. Some of the organisations thought about sacking as many employees as possible and retaining only the needful ones to just operate the departments. Other organisations have had different mindsets as well as decision-making ability to provide complete work from home facility to their employees and did not sack anyone from the organisation as they considered them as assets of the organisation. Hybrid model is a key helpful and useful tool to ensure employee enhanced performance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Castillo Ossa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2021). Thus, the context of this report is worthwhile to be evaluated through the exemplified data. </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Hence, organisations who offered work from home facilities to their employees, are the most successful ones in the pandemic situation as well. If there is an example, then it can be seen that Marks &amp; Spencer did absolutely wrong as per the industry standard is concerned. In the time of the pandemic, they literally sack some of their employees to reduce their expenses to the organisation. For example, Hardcastle (2020) discovered that around 7000 job roles were reduced from the workforce of Marks and Spencer. In this sense, a good organisational culture and management principles are required to ensure ethical workplace functionality as well. </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be more effective, organisations started implementing the work-from-home facility for their employees, and they noticed that there are significant amounts of savings in the expense of a day-to-day work schedule. And then after the situation got somewhat better, they took the oath to invent a new working culture called a hybrid model. In this model, organisations allow their employees to do their work from their homes as well as from their offices as well. Hence, employees need to work for 4 days from home, and 2 days or 1 day from the office. So, all the other companies have started adopting this work culture called a hybrid model of culture. The implementation was not at all easy, as the system was fairly new in those days, the hybrid model was first introduced to try out the productivity and the responses from the employees of the different organisations.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After getting so much of positive responses, some organisations make this work culture forever for their organisation. Implementing such systems needs courage from the leaders. </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Without the progressive leadership phenomenon, it is not at all possible to acquire this new work model not only for the employee but also for the leaders as well. So, this needs to be fun to adopt and the employees also need to be more secular about their performance and maintain their work principles intact to follow, whether employees are working from home or in the office. </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an attempt to further elaborate, we will be looking at defining flexible work arrangements, discussing the pros and cons and the impact on businesses, and furthermore provide some recommendations on how to improve and implement the concept in the workplace. </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A">
      <w:pPr>
        <w:pStyle w:val="Heading1"/>
        <w:jc w:val="both"/>
        <w:rPr>
          <w:rFonts w:ascii="Arial" w:cs="Arial" w:eastAsia="Arial" w:hAnsi="Arial"/>
          <w:color w:val="ff0000"/>
          <w:sz w:val="24"/>
          <w:szCs w:val="24"/>
        </w:rPr>
      </w:pPr>
      <w:bookmarkStart w:colFirst="0" w:colLast="0" w:name="_30j0zll" w:id="1"/>
      <w:bookmarkEnd w:id="1"/>
      <w:r w:rsidDel="00000000" w:rsidR="00000000" w:rsidRPr="00000000">
        <w:rPr>
          <w:rFonts w:ascii="Arial" w:cs="Arial" w:eastAsia="Arial" w:hAnsi="Arial"/>
          <w:sz w:val="24"/>
          <w:szCs w:val="24"/>
          <w:rtl w:val="0"/>
        </w:rPr>
        <w:t xml:space="preserve">2.0 Defining the Concepts </w:t>
      </w:r>
      <w:r w:rsidDel="00000000" w:rsidR="00000000" w:rsidRPr="00000000">
        <w:rPr>
          <w:rFonts w:ascii="Arial" w:cs="Arial" w:eastAsia="Arial" w:hAnsi="Arial"/>
          <w:i w:val="1"/>
          <w:sz w:val="24"/>
          <w:szCs w:val="24"/>
          <w:rtl w:val="0"/>
        </w:rPr>
        <w:t xml:space="preserve">(ana-maria nastac 2119513)</w:t>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Flexible working arrangements are the embodiment of suitable employee engagement activities, ethical leadership principles and discernible managerial responsible behaviour for supporting employee performance in the workplace. In accordance with the academic viewpoint of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Austin-Egole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(2020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multiple businesses offer flexible working arrangements (FWA) to employees on account of benefits associated with flexibility both for the employees and employers. </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academic-oriented doctrine clearly manifests that flexible working arrangements are not only meant to benefit or facilitate employee working ability but also, they assist employers decision-making ability in the case of making viable business decisions to any situational contexts. In this respect, flexible working arrangements are proven as beneficial organisational concepts for both employees and employers in different situational contexts. For example, Google, the tech giant consists of 100,000 workers across 11 offices in Canada and the United States and this is the reason why the management team of Google took the initiative of work from home for these sincere workers in the ceaseless pandemic crisis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BBC, 2020a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This organisational example clearly enunciates that Google’s leadership and management capability are positively influenced by the hit of the pandemic attract as the tech giant started valuing employee health by opting the flexible working arrangement system in the name of ‘work from home’. </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On the contrary,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Pradoto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(2022</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criticised the work from home initiative as these academic practitioners discovered that Remote Work (RW) or Work from Home (WFH)</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has adversely impacted employee performance since business outcomes and commercial activities are significantly reduced in the modern business environment. </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critical discussion about the work from home initiative concludes that some modern businesses have failed in ensuring the key ethical business practices in the pandemic crisis and this managerial inability has negatively impacted business outcomes.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Marks and Spencer was not able to ensure business resilience in the pursuit of greater business outcomes as the revenue collection started decreasing in two pandemic years consecutively. For example, Marks and Spencer generated $10 million in 2020 and $9.1 million in 2021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Smith, 2022). This evidence-based information clearly puts a questionable remark on leadership and managerial ability of M&amp;S in the case of retaining employees or harnessing manpower to cultivate positive outcomes for preventing organisations from any untenable business hazards. This business failure of M&amp;S can be supported or exemplified with the inclusion of evidence-driven secondary data that enunciates Marks and Spencer started shortening the workforce by cutting 7,000 jobs across its stores and management during the pandemic environment (BBC, 2020b). As per this justification of the secondary qualitative data, it is worth blemishing the leadership and managerial thinking process of the UK retailer in the context of cutting jobs instead of providing flexible working arrangements such as hybrid working systems. </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In contemporary academic literature, Surma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(2021) articulated that the COVID-19 pandemic scenario has made employers shift toward hybrid work patterns. Based on this academic preference, it is worth delineating that the resurgence of the hybrid working patterns has started influencing the decision-making and organisational psychology of businesses in the pandemic era with the alacrity of increasing employee resilience and adaptive nature to pursue any common organisational goals. In this respect, it is found that hybrid working model that is the combination of traditional workplace environments and remote working environment has the potential to influence the working nature and team dynamics of modern business practices. </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As per the theoretical perspective of Behavioural Management Theory, managers possess better understanding or comprehension about employee psychology for treating employees as the key organisational assets in order to help them achieve essential management goals. Considering this theoretical perspective, it can be remarked that the resurgence of the hybrid working system is the outcome or the culmination of rational managerial decision-making ability that puts managers in the first priority to develop suitable activities or initiatives for making employees feel valued in the global business environment. As mentioned by Lima (2020), the hybrid working model has the potential to redesign organisational elements and functionalities. In this regard, it is worth delineating that the hybrid working method is the subset of a flexible working arrangement which generates a plethora of ways to support employee autonomy with the urge of sufficing their values and basic requirements. </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In this sense, the hybrid working environment truly deserves to be paid acute attention from the leadership and management team of every productive modern employer to create remote working environments for supporting employee growth in any situational contexts to pursue organisational sustainability. In this way, it is depicted that employees are required to be equipped with every accessible growth opportunity while investing efforts and potential for the sustainability of their workplaces in the competitive market. Thus, the proposition of this management concept such as hybrid working is essentially a requisite initiative to promote ample employee engagement in this current pandemic environment. </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The findings of this section simply conclude that hybrid working system, work from home, flexible working arrangements, employee engagement, employee performance, positive business outcome and negative business outcome are the key organisational concepts that are intercorrelated to each other on the grounds of ensuring organisational sustainability by promoting employee autonomy in the modern business environments through the inclusion of conventional and online working environments. As per the Situational Leadership Theory, leaders play a key significant role to discern intense likelihood of employees through the uniqueness of every situation. Similarly, Woods (2019) agreed that situational leadership theory creates profound and notable implications on the business performance. The context of this section metaphorically symbolises that the pandemic is the current global situation that impels employers to promote flexible working arrangements with the aim of retaining agile talents for assessing potential business outcomes in the competitive job market. </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46">
      <w:pPr>
        <w:pStyle w:val="Heading1"/>
        <w:jc w:val="both"/>
        <w:rPr>
          <w:rFonts w:ascii="Arial" w:cs="Arial" w:eastAsia="Arial" w:hAnsi="Arial"/>
          <w:sz w:val="24"/>
          <w:szCs w:val="24"/>
        </w:rPr>
      </w:pPr>
      <w:bookmarkStart w:colFirst="0" w:colLast="0" w:name="_3rdcrjn" w:id="2"/>
      <w:bookmarkEnd w:id="2"/>
      <w:r w:rsidDel="00000000" w:rsidR="00000000" w:rsidRPr="00000000">
        <w:rPr>
          <w:rFonts w:ascii="Arial" w:cs="Arial" w:eastAsia="Arial" w:hAnsi="Arial"/>
          <w:sz w:val="24"/>
          <w:szCs w:val="24"/>
          <w:rtl w:val="0"/>
        </w:rPr>
        <w:t xml:space="preserve">3.0 Pros and Cons </w:t>
      </w:r>
      <w:r w:rsidDel="00000000" w:rsidR="00000000" w:rsidRPr="00000000">
        <w:rPr>
          <w:rFonts w:ascii="Arial" w:cs="Arial" w:eastAsia="Arial" w:hAnsi="Arial"/>
          <w:i w:val="1"/>
          <w:sz w:val="24"/>
          <w:szCs w:val="24"/>
          <w:rtl w:val="0"/>
        </w:rPr>
        <w:t xml:space="preserve">(elena muscinschi 2114907)</w:t>
      </w: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terms of taking a glance at the above findings of the previous section, it was evidently shown that Google and Marks and Spencer has faced positive and negative implications in this ceaseless pandemic environment respectively. In the viewpoint of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Adhitama and Riyanto (2020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employee performance associates to how labourers act in the work environment. This academic perception clearly puts an emphasis on the importance of creating and maintaining a suitable ethical workplace culture for assisting employees gain potential growth opportunities. </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is the reason why the rise of flexible working arrangements or hybrid working systems has the plausible determination and resilience to positively and negatively impact business performance. Therefore, the key pros and cons are evidently justified in nature with the support of real-world organisational data, secondary information and the academic perspectives. </w:t>
      </w:r>
    </w:p>
    <w:p w:rsidR="00000000" w:rsidDel="00000000" w:rsidP="00000000" w:rsidRDefault="00000000" w:rsidRPr="00000000" w14:paraId="00000049">
      <w:pPr>
        <w:pStyle w:val="Heading2"/>
        <w:jc w:val="both"/>
        <w:rPr>
          <w:rFonts w:ascii="Arial" w:cs="Arial" w:eastAsia="Arial" w:hAnsi="Arial"/>
          <w:sz w:val="24"/>
          <w:szCs w:val="24"/>
        </w:rPr>
      </w:pPr>
      <w:bookmarkStart w:colFirst="0" w:colLast="0" w:name="_26in1rg" w:id="3"/>
      <w:bookmarkEnd w:id="3"/>
      <w:r w:rsidDel="00000000" w:rsidR="00000000" w:rsidRPr="00000000">
        <w:rPr>
          <w:rFonts w:ascii="Arial" w:cs="Arial" w:eastAsia="Arial" w:hAnsi="Arial"/>
          <w:sz w:val="24"/>
          <w:szCs w:val="24"/>
          <w:rtl w:val="0"/>
        </w:rPr>
        <w:t xml:space="preserve">3.1 Pros of Hybrid Working Model or Flexible Working Arrangements and Their Impact on the Business Performance </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Employees are expected to be motivated with intrinsic approaches as well as extrinsic approaches. Therefore, leadership behaviour and management competencies are required to be well-practiced and exercised by the corporate team with the aim of implementing various employee engagement and motivational techniques. Similarly,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Otaye-Ebede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(2020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elucidated the concept of Social Cognitive Theory by highlighting that self-reflection, self-regulation and self-organisation are interconnected to each other to make employees proactive and motivated in the workplace environments. This theoretical underpinning positively supports that the flexible working arrangements or the establishment of a hybrid working model is also a key cognitive business instrument that promotes self-reflection and self-organisation for employees by promoting employee autonomy concept. </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Tesco, the UK biggest retailer has positively used this flexible working arrangement system by harnessing manpower adequately while employees are liberal and autonomous in their job roles. This is the reason why Tesco witnessed insatiable growth of online orders from customers and 26.8% of the market share was obtained by this retailer in the pandemic crisis (BBC, 2020c). According to this context, it is conspicuous that Tesco’s employees have shown self-organisation and self-regulation in a positive context at the time of remotely working in the pandemic crisis. In this sense, increased employee skills, improved adaptive behaviour and self-regulation practices are the advantages of flexible working arrangement that have benefitted Tesco financially in the pursuit of brand development. </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Social Learning Theory is also well-conceptualised by real business organisations and this active conceptualisation makes companies as well as employees to learn from others by observing and imitating different behavioural approaches. In the case of considering this theoretical perception of the business management relationship, it can also be depicted that the inclusion of a hybrid working model has the plausible benefits by compelling employees to imitate behaviours from others with the urge of developing knowledge management and learning various skills. </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Ambrose (2021) in the news article has elucidated that the chief executive of ASOS, Nick Beighton creates new gender-neutral policies to support employees personally and financially by allowing flexible working arrangements for pregnant employees. This qualitative evidence of ASOS organisational data precisely indicates that this online UK fashion retailer has taken the flexible working arrangements for pregnant employees with the demonstration of ethical workplace cultural insight. </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1"/>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Such, female employees’ identity and self-actualisation are valued by the new management policies of ASOS that inculcates flexible working arrangement systems to ensure employee potential growth and engagement. As a result, the company witnessed an incredible operating profit in the last pandemic year.</w:t>
      </w: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Therefore, the flexible working arrangements that are undertaken by Tesco for the pandemic crisis and ASOS for pregnant employees are proven advantageous concepts to facilitate organisational performance in the pursuit of sustainable business development. </w:t>
      </w:r>
    </w:p>
    <w:p w:rsidR="00000000" w:rsidDel="00000000" w:rsidP="00000000" w:rsidRDefault="00000000" w:rsidRPr="00000000" w14:paraId="00000050">
      <w:pPr>
        <w:pStyle w:val="Heading2"/>
        <w:jc w:val="both"/>
        <w:rPr>
          <w:rFonts w:ascii="Arial" w:cs="Arial" w:eastAsia="Arial" w:hAnsi="Arial"/>
          <w:sz w:val="24"/>
          <w:szCs w:val="24"/>
        </w:rPr>
      </w:pPr>
      <w:bookmarkStart w:colFirst="0" w:colLast="0" w:name="_lnxbz9" w:id="4"/>
      <w:bookmarkEnd w:id="4"/>
      <w:r w:rsidDel="00000000" w:rsidR="00000000" w:rsidRPr="00000000">
        <w:rPr>
          <w:rFonts w:ascii="Arial" w:cs="Arial" w:eastAsia="Arial" w:hAnsi="Arial"/>
          <w:sz w:val="24"/>
          <w:szCs w:val="24"/>
          <w:rtl w:val="0"/>
        </w:rPr>
        <w:t xml:space="preserve">3.2 Cons of Hybrid Working Model or Flexible Working Arrangements and Their Impact on the Business Performance</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shift towards a hybrid working model is not wholly well-grasped and operated by corporate enterprises that have culminated in the adverse implications on the business performance. In this respect, it is worth conceptualising that employees can face technological issues, stress management, lack of self-confidence and management facilitates as the form of challenges in the context of following a hybrid working model. It has been determined by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Sahni (2020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that the</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Conservation of Resource Theory (COR)</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indicates key triggers of stress for employees during work from home in the name of ineffective communication, lack of clarity and proper direction and loss of resources such as time and energy. This academic interpretation clearly puts an emphasis on the stress management aspects that alleviate employee potential and resilience while working from home as well as working from office at a similar parallel context. </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concluding remarks vividly interpret that business enterprises are not wholly able to make employees resilient and adaptive enough to adjust with a hybrid working model. This inefficient performance management system of employees has resulted in creating adverse implications on the corporate image and brand loyalty of different corporations. </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For example</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EasyJet took the decision to cut the jobs of 4,500 redundant staff across Europe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Topham, 2020). This unethical decision-making is the result of the company’s poor managerial ability in making employees adaptive to the hybrid working model that has made subordinates redundant in this pandemic and competitive job market. </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In this sense, the key disadvantages of using a hybrid working model are conceptualised in the name of poor managerial support, ineffective communication, loss of time and energy and lack of technological knowledge and competencies. These key disadvantages possess relevant implications to decline the brand value and corporate image of productive brands. In this sense, the inclusion of a hybrid working model is not proven entirely optimistic operational technique since employees are not discernible regarding its actual functionality. </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This section concludes that pros and cons of adopting a hybrid working model create unavoidable positive and negative implications on the firm performance in the competitive business environment. </w:t>
      </w: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pStyle w:val="Heading1"/>
        <w:jc w:val="both"/>
        <w:rPr>
          <w:rFonts w:ascii="Arial" w:cs="Arial" w:eastAsia="Arial" w:hAnsi="Arial"/>
          <w:color w:val="ff0000"/>
          <w:sz w:val="24"/>
          <w:szCs w:val="24"/>
        </w:rPr>
      </w:pPr>
      <w:bookmarkStart w:colFirst="0" w:colLast="0" w:name="_35nkun2" w:id="5"/>
      <w:bookmarkEnd w:id="5"/>
      <w:r w:rsidDel="00000000" w:rsidR="00000000" w:rsidRPr="00000000">
        <w:rPr>
          <w:rFonts w:ascii="Arial" w:cs="Arial" w:eastAsia="Arial" w:hAnsi="Arial"/>
          <w:sz w:val="24"/>
          <w:szCs w:val="24"/>
          <w:rtl w:val="0"/>
        </w:rPr>
        <w:t xml:space="preserve">4.0 Recommendations on How to Improve and Implement Hybrid Working </w:t>
      </w:r>
      <w:r w:rsidDel="00000000" w:rsidR="00000000" w:rsidRPr="00000000">
        <w:rPr>
          <w:rFonts w:ascii="Arial" w:cs="Arial" w:eastAsia="Arial" w:hAnsi="Arial"/>
          <w:i w:val="1"/>
          <w:sz w:val="24"/>
          <w:szCs w:val="24"/>
          <w:rtl w:val="0"/>
        </w:rPr>
        <w:t xml:space="preserve">(radu-daniel catrina 2123271)</w:t>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terms of considering the above-discussed findings about the impact of the rise of a hybrid working model on the modern business practices, some key challenges or issues are inherited by the firms in the same business environment. Due to these challenges, several competitive firms fail to ensure ethical business practices and that is why this section has taken the initiative of providing the key recommendations for improving and implementing hybrid working models within the workplace culture by minimising existing cons and their unwanted repercussions. As such, the key recommendations are extensively discussed with academic and social phenomena as well. </w:t>
      </w:r>
    </w:p>
    <w:p w:rsidR="00000000" w:rsidDel="00000000" w:rsidP="00000000" w:rsidRDefault="00000000" w:rsidRPr="00000000" w14:paraId="0000005A">
      <w:pPr>
        <w:pStyle w:val="Heading2"/>
        <w:jc w:val="both"/>
        <w:rPr>
          <w:rFonts w:ascii="Arial" w:cs="Arial" w:eastAsia="Arial" w:hAnsi="Arial"/>
          <w:sz w:val="24"/>
          <w:szCs w:val="24"/>
        </w:rPr>
      </w:pPr>
      <w:bookmarkStart w:colFirst="0" w:colLast="0" w:name="_1ksv4uv" w:id="6"/>
      <w:bookmarkEnd w:id="6"/>
      <w:r w:rsidDel="00000000" w:rsidR="00000000" w:rsidRPr="00000000">
        <w:rPr>
          <w:rFonts w:ascii="Arial" w:cs="Arial" w:eastAsia="Arial" w:hAnsi="Arial"/>
          <w:sz w:val="24"/>
          <w:szCs w:val="24"/>
          <w:rtl w:val="0"/>
        </w:rPr>
        <w:t xml:space="preserve">4.1 Providing Training and Development Sessions to Educate Employees about Virtual Working Environment</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With the adherence of working at an office, employees are not adaptive to a remote working environment and lack of potential technological skills also intensifies the depth of this incapability. Therefore, the first recommendation is provided for the companies to bestow employees with a range of training and development sessions. The provision of these employee motivational techniques can be proven effective and viable for employees to help subordinates learn the operations of various technologies that can be useful in a remote working environment as well as workplace environment. </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For example, Sainsbury’s</w:t>
      </w: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has apprenticeships for every age range from Level 2 to Level 7 in order to demonstrate talent management initiatives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Sainsbury's, 2021). This evidence-driven organisational data implies that Sainsbury’s has already committed to ensure employee growth for every age range without any discrimination. This conduct of ethical workplace culture is also considered as the main intrinsic motivational technique for continuously valuing employee hard work and dedication at the time of following a hybrid working model. </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The research paper of Pak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(2019) reflects that the Ability-Motivation-Opportunity (AMO) Model</w:t>
      </w:r>
      <w:r w:rsidDel="00000000" w:rsidR="00000000" w:rsidRPr="00000000">
        <w:rPr>
          <w:rFonts w:ascii="Arial" w:cs="Arial" w:eastAsia="Arial" w:hAnsi="Arial"/>
          <w:b w:val="1"/>
          <w:i w:val="1"/>
          <w:smallCaps w:val="0"/>
          <w:strike w:val="0"/>
          <w:color w:val="000000"/>
          <w:sz w:val="24"/>
          <w:szCs w:val="24"/>
          <w:highlight w:val="white"/>
          <w:u w:val="none"/>
          <w:vertAlign w:val="baseline"/>
          <w:rtl w:val="0"/>
        </w:rPr>
        <w:t xml:space="preserve">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is the key HR management strategy to support employee continuous working in a workplace environment. </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Considering this theoretical perception, it is worth delineating that employers can be benefitted by using this employee motivation framework that would propel them to build necessary training and development sessions for increasing employee technical and cognitive skills. This provision will start motivating them exceedingly and this recommendation will support the active engagement of a hybrid working model in this changing global business environment. </w:t>
      </w:r>
    </w:p>
    <w:p w:rsidR="00000000" w:rsidDel="00000000" w:rsidP="00000000" w:rsidRDefault="00000000" w:rsidRPr="00000000" w14:paraId="0000005F">
      <w:pPr>
        <w:pStyle w:val="Heading2"/>
        <w:jc w:val="both"/>
        <w:rPr>
          <w:rFonts w:ascii="Arial" w:cs="Arial" w:eastAsia="Arial" w:hAnsi="Arial"/>
          <w:sz w:val="24"/>
          <w:szCs w:val="24"/>
        </w:rPr>
      </w:pPr>
      <w:bookmarkStart w:colFirst="0" w:colLast="0" w:name="_44sinio" w:id="7"/>
      <w:bookmarkEnd w:id="7"/>
      <w:r w:rsidDel="00000000" w:rsidR="00000000" w:rsidRPr="00000000">
        <w:rPr>
          <w:rFonts w:ascii="Arial" w:cs="Arial" w:eastAsia="Arial" w:hAnsi="Arial"/>
          <w:sz w:val="24"/>
          <w:szCs w:val="24"/>
          <w:rtl w:val="0"/>
        </w:rPr>
        <w:t xml:space="preserve">4.2 Using Google Meet and Zoom Conferencing for Online Audio-Visual Communication at Work</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success of using a hybrid working model can only be determined in the context of ensuring employee potential in actively using online communication technologies. Google Meet and Zoom Conferencing are the effective online audio-visual communication technologies that are magnificent at work and practice of daily business affairs. Employees and business officials are liberal in nature to effectively use these online communication technologies while working at the office as well as working from home. </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context of the discussion can also be accentuated by the academic underpinning when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Purwanto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(2020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persuaded that a transformational leadership empowers employees to learn new technologies such as Google Meet for improving the flow of communication. Based on this notable academic consideration, business enterprises are independent in nature in the case of permitting employees to indulge themselves in Google Meet and Zoom Conferencing for improving employee potential and performance in changing environmental contexts. The active implementation of this recommendation will surely assist corporate services in familiarising employees with various audio-video communication technologies that would simultaneously succour them in easily adjusting a hybrid working mode as per the necessity. As an example in the academic environment, Universities have implemented Microsoft Teams meetings as a method of teaching online, in an effort to continue academic activities despite external factors such as Covid-19 or weather disruptions. </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accumulated academic doctrine profusely supports the functionality of a transformational leadership style that can be processed in relation to continuously support employee learning and development growth to minimise issues created in the realm of a hybrid working environment. However, the unlikeliness of employees in learning these technologies can hinder the successful incorporation of this recommendation that can threaten business with ambiguity and uncertainty. </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7">
      <w:pPr>
        <w:pStyle w:val="Heading2"/>
        <w:jc w:val="both"/>
        <w:rPr>
          <w:rFonts w:ascii="Arial" w:cs="Arial" w:eastAsia="Arial" w:hAnsi="Arial"/>
          <w:sz w:val="24"/>
          <w:szCs w:val="24"/>
        </w:rPr>
      </w:pPr>
      <w:bookmarkStart w:colFirst="0" w:colLast="0" w:name="_2jxsxqh" w:id="8"/>
      <w:bookmarkEnd w:id="8"/>
      <w:r w:rsidDel="00000000" w:rsidR="00000000" w:rsidRPr="00000000">
        <w:rPr>
          <w:rFonts w:ascii="Arial" w:cs="Arial" w:eastAsia="Arial" w:hAnsi="Arial"/>
          <w:sz w:val="24"/>
          <w:szCs w:val="24"/>
          <w:rtl w:val="0"/>
        </w:rPr>
        <w:t xml:space="preserve">4.3 Conducting Meetings Three times a Week to Address Challenges Faced by Employees</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first two recommendations are also connected with this third recommendation. This is because this recommended suggestion has the possible solution to address any gaps or challenges found in terms of following those first two recommendations. For example, the conduction of meetings thrice a week can easily make managers and leaders discernible regarding any task-oriented issues or employee-oriented issues while following a hybrid working model. In accordance with the scholarly perception of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Islami </w:t>
      </w:r>
      <w:r w:rsidDel="00000000" w:rsidR="00000000" w:rsidRPr="00000000">
        <w:rPr>
          <w:rFonts w:ascii="Arial" w:cs="Arial" w:eastAsia="Arial" w:hAnsi="Arial"/>
          <w:b w:val="0"/>
          <w:i w:val="1"/>
          <w:smallCaps w:val="0"/>
          <w:strike w:val="0"/>
          <w:color w:val="000000"/>
          <w:sz w:val="24"/>
          <w:szCs w:val="24"/>
          <w:highlight w:val="white"/>
          <w:u w:val="none"/>
          <w:vertAlign w:val="baseline"/>
          <w:rtl w:val="0"/>
        </w:rPr>
        <w:t xml:space="preserve">et al.</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 (2018</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Management by Objectives (MBO) is used as a key performance appraisal technique for employee satisfaction. In relation to this academic concept, business managers intentionally use this performance appraisal technique for gaining insights about employee performance. This is the reason why this recommendation is truly effective and viable in the context of making employers aware about employee weekly performance while employees are offered to work at the office as well as work from home. In this sense, every meeting that will be conducted in a week will not only develop workplace communication between hierarchical management team and subordinates but also the latter group will represent their opinions and discuss any challenges faced by them while adopting a hybrid working model. </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Every strategic recommendation discussed in the above section is individually imperative to improve and implement a hybrid working model across the modern workplace culture. Employees will be skilled and savvy in every business practice and employers will be responsible for bridging any gaps with potential in the pursuit of sustainable business development. However, some macro-environmental factors can negatively affect the seamless incorporation of these recommendation and can create uncertainty for employer and employees. For example, a demographic factor like increasing age variable within the workforce can hinder the implementation of virtual workplace training since statistically older people have increased difficulties in assimilating technology-based information. As such, a flexible and adaptive approach needs to be implemented taking the age gap into account. </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is inevitably required for business enterprises to constantly support employee learning and development in every changing business environment to retain agile talents for avoiding any uncertain business calamities. Therefore, these recommendations are important in order to ensure the improvement and implementation of a hybrid working model across the workplace culture. All the cons of using a hybrid working model will feasibly be diminished through the incorporation of every recommendation. </w:t>
      </w:r>
    </w:p>
    <w:p w:rsidR="00000000" w:rsidDel="00000000" w:rsidP="00000000" w:rsidRDefault="00000000" w:rsidRPr="00000000" w14:paraId="0000006B">
      <w:pPr>
        <w:pStyle w:val="Heading1"/>
        <w:jc w:val="both"/>
        <w:rPr>
          <w:rFonts w:ascii="Arial" w:cs="Arial" w:eastAsia="Arial" w:hAnsi="Arial"/>
          <w:color w:val="ff0000"/>
          <w:sz w:val="24"/>
          <w:szCs w:val="24"/>
        </w:rPr>
      </w:pPr>
      <w:bookmarkStart w:colFirst="0" w:colLast="0" w:name="_z337ya" w:id="9"/>
      <w:bookmarkEnd w:id="9"/>
      <w:r w:rsidDel="00000000" w:rsidR="00000000" w:rsidRPr="00000000">
        <w:rPr>
          <w:rFonts w:ascii="Arial" w:cs="Arial" w:eastAsia="Arial" w:hAnsi="Arial"/>
          <w:sz w:val="24"/>
          <w:szCs w:val="24"/>
          <w:rtl w:val="0"/>
        </w:rPr>
        <w:t xml:space="preserve">5.0 Conclusions </w:t>
      </w:r>
      <w:r w:rsidDel="00000000" w:rsidR="00000000" w:rsidRPr="00000000">
        <w:rPr>
          <w:rFonts w:ascii="Arial" w:cs="Arial" w:eastAsia="Arial" w:hAnsi="Arial"/>
          <w:i w:val="1"/>
          <w:sz w:val="24"/>
          <w:szCs w:val="24"/>
          <w:rtl w:val="0"/>
        </w:rPr>
        <w:t xml:space="preserve">(petar artyuhov 2123090)</w:t>
      </w: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sum up the whole report, it is being stated that the hybrid model is by far the most popular and most useful working model for every organisation out there. The market giants are already taking and adopting this working model to make sure it will be easier for the employees to adopt it as well. So, for that, they can also conduct several training and development programs to indulge the performance of employees through the proposed model. Hybrid business model is actively used by corporations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Davies and Doherty, 2019</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Amongst the most crucial choices one will need to undertake when business transition to a hybrid work style is selecting the appropriate communication platform. Whenever the pandemic struck, many firms were forced to make hasty choices on the technologies they would use to accommodate a virtual labour. However, hasty judgments are not always the wisest ones. In a society that is both more remote and more interconnected, a hybrid employment epitomises what something takes to succeed or interact. This change forces us to reconsider the interactions workers require in order to work effectively and cooperate with ease no matter where they are. Working remotely and hybrid work is distinct. Remote workers frequently work from home and would never possess access to that workplace. </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Although hybrid employees will occasionally work remotely, they now have the freedom to pick their workplace and hours. Workers have alternatives when it comes to choosing the dates, they would like to come into the workplace thanks to hybrid work. One has the choice to enter the workplace if they are experiencing depression, would like to get away from a noisy atmosphere or would like to engage other co-workers. With a mixed working paradigm, both function of the workplace and the ability to excel in each location should change. One will need warm and office navigational technologies to make certain everybody can remain busy and to get began right away in any place if a business intends to shrink the workplace size. Maintaining the environment now that work will take place outside of the organisation gets a paradigm shift in how to approach people to see the common mission. </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Designing a hybrid working model can enhance business decision-making (</w:t>
      </w:r>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Dellermann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2019). The findings of the report state that Social Cognitive Theory and Social Learning Theory are highly influential to ensure effective employee engagement by improving employee’s cognitive skills and competencies. The provided three recommendations are also proven effective and viable ones to ensure organisational resilience in accepting the use of a hybrid working model to facilitate employee working behaviour. Sainsbury’s is identified the key business enterprise to support employee learning and development for talent management growth in the changing business environment. In this sense, the seamless incorporation of the mentioned recommendations will also contribute to the successful implementation and improvement of a hybrid working model.</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10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bookmarkStart w:colFirst="0" w:colLast="0" w:name="_3j2qqm3" w:id="10"/>
      <w:bookmarkEnd w:id="10"/>
      <w:r w:rsidDel="00000000" w:rsidR="00000000" w:rsidRPr="00000000">
        <w:rPr>
          <w:rtl w:val="0"/>
        </w:rPr>
      </w:r>
    </w:p>
    <w:p w:rsidR="00000000" w:rsidDel="00000000" w:rsidP="00000000" w:rsidRDefault="00000000" w:rsidRPr="00000000" w14:paraId="00000070">
      <w:pPr>
        <w:pStyle w:val="Heading1"/>
        <w:jc w:val="both"/>
        <w:rPr>
          <w:rFonts w:ascii="Arial" w:cs="Arial" w:eastAsia="Arial" w:hAnsi="Arial"/>
          <w:sz w:val="24"/>
          <w:szCs w:val="24"/>
        </w:rPr>
      </w:pPr>
      <w:bookmarkStart w:colFirst="0" w:colLast="0" w:name="_1y810tw" w:id="11"/>
      <w:bookmarkEnd w:id="11"/>
      <w:r w:rsidDel="00000000" w:rsidR="00000000" w:rsidRPr="00000000">
        <w:rPr>
          <w:rFonts w:ascii="Arial" w:cs="Arial" w:eastAsia="Arial" w:hAnsi="Arial"/>
          <w:sz w:val="24"/>
          <w:szCs w:val="24"/>
          <w:rtl w:val="0"/>
        </w:rPr>
        <w:t xml:space="preserve">6.0 Reference list</w:t>
      </w:r>
    </w:p>
    <w:p w:rsidR="00000000" w:rsidDel="00000000" w:rsidP="00000000" w:rsidRDefault="00000000" w:rsidRPr="00000000" w14:paraId="0000007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Adhitama, J. and Riyanto, S., 2020. Maintaining employee engagement and employee performance during Covid-19 pandemic at PT Koexim Mandiri Finance.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Journal of Research in Business and Management</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8</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(3), pp.6-10.</w:t>
      </w:r>
      <w:r w:rsidDel="00000000" w:rsidR="00000000" w:rsidRPr="00000000">
        <w:rPr>
          <w:rtl w:val="0"/>
        </w:rPr>
      </w:r>
    </w:p>
    <w:p w:rsidR="00000000" w:rsidDel="00000000" w:rsidP="00000000" w:rsidRDefault="00000000" w:rsidRPr="00000000" w14:paraId="0000007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Ambrose, T., 2021.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Asos offers staff flexible work and paid leave during menopause</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[online] the Guardian. Available at: &lt;https://www.theguardian.com/business/2021/oct/07/asos-offers-staff-flexible-work-and-paid-leave-during-menopause&gt;.</w:t>
      </w:r>
      <w:r w:rsidDel="00000000" w:rsidR="00000000" w:rsidRPr="00000000">
        <w:rPr>
          <w:rtl w:val="0"/>
        </w:rPr>
      </w:r>
    </w:p>
    <w:p w:rsidR="00000000" w:rsidDel="00000000" w:rsidP="00000000" w:rsidRDefault="00000000" w:rsidRPr="00000000" w14:paraId="0000007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00" w:line="276"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Austin-Egole, I.S., Iheriohanma, E.B.J. and Nwokorie, C., 2020. Flexible working arrangements and organizational performance: An overview.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IOSR Journal of Humanities and Social Science (IOSR-JHSS)</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25</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(5), pp.50-59.</w:t>
      </w: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100" w:line="276" w:lineRule="auto"/>
        <w:ind w:left="72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BBC, 2020a.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Google tells staff to work at home due to coronavirus</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[online] BBC News. Available at: </w:t>
      </w:r>
      <w:hyperlink r:id="rId6">
        <w:r w:rsidDel="00000000" w:rsidR="00000000" w:rsidRPr="00000000">
          <w:rPr>
            <w:rFonts w:ascii="Arial" w:cs="Arial" w:eastAsia="Arial" w:hAnsi="Arial"/>
            <w:b w:val="0"/>
            <w:i w:val="0"/>
            <w:smallCaps w:val="0"/>
            <w:strike w:val="0"/>
            <w:color w:val="0000ff"/>
            <w:sz w:val="22"/>
            <w:szCs w:val="22"/>
            <w:highlight w:val="white"/>
            <w:u w:val="single"/>
            <w:vertAlign w:val="baseline"/>
            <w:rtl w:val="0"/>
          </w:rPr>
          <w:t xml:space="preserve">https://www.bbc.com/news/technology-51828782</w:t>
        </w:r>
      </w:hyperlink>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w:t>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7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BBC, 2020b.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M&amp;S to cut 7,000 jobs over next three months</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[online] BBC News. Available at: &lt;https://www.bbc.com/news/business-53817598&gt;.</w:t>
      </w: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both"/>
        <w:rPr>
          <w:rFonts w:ascii="Arial" w:cs="Arial" w:eastAsia="Arial" w:hAnsi="Arial"/>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BBC, 2020c.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Tesco profits surge as online orders double</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[online] BBC News. Available at: &lt;https://www.bbc.com/news/business-54445399&gt;.</w:t>
      </w:r>
      <w:r w:rsidDel="00000000" w:rsidR="00000000" w:rsidRPr="00000000">
        <w:rPr>
          <w:rtl w:val="0"/>
        </w:rPr>
      </w:r>
    </w:p>
    <w:p w:rsidR="00000000" w:rsidDel="00000000" w:rsidP="00000000" w:rsidRDefault="00000000" w:rsidRPr="00000000" w14:paraId="0000007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Castillo Ossa, L.F., Chamoso, P., Arango-López, J., Pinto-Santos, F., Isaza, G.A., Santa-Cruz-González, C., Ceballos-Marquez, A., Hernández, G. and Corchado, J.M., 2021. A hybrid model for COVID-19 monitoring and prediction.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Electronics, 10</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(7), p.799..</w:t>
      </w:r>
      <w:r w:rsidDel="00000000" w:rsidR="00000000" w:rsidRPr="00000000">
        <w:rPr>
          <w:rtl w:val="0"/>
        </w:rPr>
      </w:r>
    </w:p>
    <w:p w:rsidR="00000000" w:rsidDel="00000000" w:rsidP="00000000" w:rsidRDefault="00000000" w:rsidRPr="00000000" w14:paraId="0000007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Davies, I.A. and Doherty, B., 2019. Balancing a hybrid business model: The search for equilibrium at Cafédirect.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Journal of Business Ethics, 157</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(4), pp.1043-1066.</w:t>
      </w: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Dellermann, D., Lipusch, N., Ebel, P. and Leimeister, J.M., 2019. Design principles for a hybrid intelligence decision support system for business model validation.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Electronic markets, 29</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(3), pp.423-441.</w:t>
      </w:r>
      <w:r w:rsidDel="00000000" w:rsidR="00000000" w:rsidRPr="00000000">
        <w:rPr>
          <w:rtl w:val="0"/>
        </w:rPr>
      </w:r>
    </w:p>
    <w:p w:rsidR="00000000" w:rsidDel="00000000" w:rsidP="00000000" w:rsidRDefault="00000000" w:rsidRPr="00000000" w14:paraId="0000007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Hardcastle, K., 2020.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Marks And Spencer Announces 7000 Job Cuts, Vows To ‘Never Be the Same Again’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[online] Forbes. Available at: </w:t>
      </w:r>
      <w:hyperlink r:id="rId7">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https://www.forbes.com/sites/katehardcastle/2020/08/18/7000-job-cuts-announced-at-marks-and-spencervows-to-never-be-the-same-again/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7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Islami, X., Mulolli, E. and Mustafa, N., 2018. Using Management by Objectives as a performance appraisal tool for employee satisfaction.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Future Business Journal</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4</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(1), pp.94-108.</w:t>
      </w:r>
      <w:r w:rsidDel="00000000" w:rsidR="00000000" w:rsidRPr="00000000">
        <w:rPr>
          <w:rtl w:val="0"/>
        </w:rPr>
      </w:r>
    </w:p>
    <w:p w:rsidR="00000000" w:rsidDel="00000000" w:rsidP="00000000" w:rsidRDefault="00000000" w:rsidRPr="00000000" w14:paraId="0000007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Lima, M., 2020. Smarter organizations: insights from a smart city hybrid framework</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 International Entrepreneurship and Management Journal, 16</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(4), pp.1281-1300.</w:t>
      </w:r>
      <w:r w:rsidDel="00000000" w:rsidR="00000000" w:rsidRPr="00000000">
        <w:rPr>
          <w:rtl w:val="0"/>
        </w:rPr>
      </w:r>
    </w:p>
    <w:p w:rsidR="00000000" w:rsidDel="00000000" w:rsidP="00000000" w:rsidRDefault="00000000" w:rsidRPr="00000000" w14:paraId="0000008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Otaye-Ebede, L., Shaffakat, S. and Foster, S., 2020. A multilevel model examining the relationships between workplace spirituality, ethical climate and outcomes: A social cognitive theory perspective.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Journal of Business Ethics</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166</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(3), pp.611-626.</w:t>
      </w:r>
      <w:r w:rsidDel="00000000" w:rsidR="00000000" w:rsidRPr="00000000">
        <w:rPr>
          <w:rtl w:val="0"/>
        </w:rPr>
      </w:r>
    </w:p>
    <w:p w:rsidR="00000000" w:rsidDel="00000000" w:rsidP="00000000" w:rsidRDefault="00000000" w:rsidRPr="00000000" w14:paraId="0000008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Pak, K., Kooij, D.T., De Lange, A.H. and Van Veldhoven, M.J., 2019. Human Resource Management and the ability, motivation and opportunity to continue working: A review of quantitative studies.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Human Resource Management Review</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29</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(3), pp.336-352.</w:t>
      </w:r>
      <w:r w:rsidDel="00000000" w:rsidR="00000000" w:rsidRPr="00000000">
        <w:rPr>
          <w:rtl w:val="0"/>
        </w:rPr>
      </w:r>
    </w:p>
    <w:p w:rsidR="00000000" w:rsidDel="00000000" w:rsidP="00000000" w:rsidRDefault="00000000" w:rsidRPr="00000000" w14:paraId="0000008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Pradoto, H., Haryono, S. and Wahyuningsih, S.H., 2022. The role of work stress, organizational climate, and improving employee performance in implementation of work from home.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Work</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(Preprint), pp.1-11.</w:t>
      </w:r>
      <w:r w:rsidDel="00000000" w:rsidR="00000000" w:rsidRPr="00000000">
        <w:rPr>
          <w:rtl w:val="0"/>
        </w:rPr>
      </w:r>
    </w:p>
    <w:p w:rsidR="00000000" w:rsidDel="00000000" w:rsidP="00000000" w:rsidRDefault="00000000" w:rsidRPr="00000000" w14:paraId="0000008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Purwanto, A., Kusumaningsih, S.W. and Prasetya, A.B., 2020. Did Transformational Leadership Elitist and Antidemocratic? A Literature Review.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International Journal of Social, Policy and Law</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1</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(1), pp.1-11.</w:t>
      </w:r>
      <w:r w:rsidDel="00000000" w:rsidR="00000000" w:rsidRPr="00000000">
        <w:rPr>
          <w:rtl w:val="0"/>
        </w:rPr>
      </w:r>
    </w:p>
    <w:p w:rsidR="00000000" w:rsidDel="00000000" w:rsidP="00000000" w:rsidRDefault="00000000" w:rsidRPr="00000000" w14:paraId="0000008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Sahni, J., 2020. Impact of COVID-19 on employee behaviour: Stress and coping mechanism during WFH (Work from Home) among service industry employees.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International Journal of Operations Management, 1</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(1), pp.35-48.</w:t>
      </w:r>
      <w:r w:rsidDel="00000000" w:rsidR="00000000" w:rsidRPr="00000000">
        <w:rPr>
          <w:rtl w:val="0"/>
        </w:rPr>
      </w:r>
    </w:p>
    <w:p w:rsidR="00000000" w:rsidDel="00000000" w:rsidP="00000000" w:rsidRDefault="00000000" w:rsidRPr="00000000" w14:paraId="0000008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Sainsbury's, 2021.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Talent and people development</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[online] About.sainsburys.co.uk. Available at: </w:t>
      </w:r>
      <w:hyperlink r:id="rId8">
        <w:r w:rsidDel="00000000" w:rsidR="00000000" w:rsidRPr="00000000">
          <w:rPr>
            <w:rFonts w:ascii="Arial" w:cs="Arial" w:eastAsia="Arial" w:hAnsi="Arial"/>
            <w:b w:val="0"/>
            <w:i w:val="0"/>
            <w:smallCaps w:val="0"/>
            <w:strike w:val="0"/>
            <w:color w:val="0000ff"/>
            <w:sz w:val="22"/>
            <w:szCs w:val="22"/>
            <w:highlight w:val="white"/>
            <w:u w:val="single"/>
            <w:vertAlign w:val="baseline"/>
            <w:rtl w:val="0"/>
          </w:rPr>
          <w:t xml:space="preserve">https://www.about.sainsburys.co.uk/sustainability/plan-for-better/our-stories/2021/apprenticeships-stories</w:t>
        </w:r>
      </w:hyperlink>
      <w:r w:rsidDel="00000000" w:rsidR="00000000" w:rsidRPr="00000000">
        <w:rPr>
          <w:rtl w:val="0"/>
        </w:rPr>
      </w:r>
    </w:p>
    <w:p w:rsidR="00000000" w:rsidDel="00000000" w:rsidP="00000000" w:rsidRDefault="00000000" w:rsidRPr="00000000" w14:paraId="0000008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Smith, P., 2022.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M&amp;S: revenue 2019 | Statista</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[online] Statista. Available at: &lt;https://www.statista.com/statistics/413349/group-revenue-marks-and-spencer-mands/&gt;.</w:t>
      </w:r>
      <w:r w:rsidDel="00000000" w:rsidR="00000000" w:rsidRPr="00000000">
        <w:rPr>
          <w:rtl w:val="0"/>
        </w:rPr>
      </w:r>
    </w:p>
    <w:p w:rsidR="00000000" w:rsidDel="00000000" w:rsidP="00000000" w:rsidRDefault="00000000" w:rsidRPr="00000000" w14:paraId="0000008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Surma, M.J., Nunes, R.J., Rook, C. and Loder, A., 2021. Assessing employee engagement in a post-COVID-19 workplace ecosystem.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Sustainability</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13</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(20), p.11443.</w:t>
      </w:r>
      <w:r w:rsidDel="00000000" w:rsidR="00000000" w:rsidRPr="00000000">
        <w:rPr>
          <w:rtl w:val="0"/>
        </w:rPr>
      </w:r>
    </w:p>
    <w:p w:rsidR="00000000" w:rsidDel="00000000" w:rsidP="00000000" w:rsidRDefault="00000000" w:rsidRPr="00000000" w14:paraId="0000008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Topham, G., 2020.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EasyJet plans to cut 727 pilot jobs and close three UK bases</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[online] the Guardian. Available at: &lt;https://www.theguardian.com/business/2020/jun/30/easyjet-cut-pilot-jobs-close-uk-bases-stansted-southend-and-newcastle&gt;.</w:t>
      </w:r>
      <w:r w:rsidDel="00000000" w:rsidR="00000000" w:rsidRPr="00000000">
        <w:rPr>
          <w:rtl w:val="0"/>
        </w:rPr>
      </w:r>
    </w:p>
    <w:p w:rsidR="00000000" w:rsidDel="00000000" w:rsidP="00000000" w:rsidRDefault="00000000" w:rsidRPr="00000000" w14:paraId="0000008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100" w:line="276" w:lineRule="auto"/>
        <w:ind w:left="720" w:right="0" w:hanging="360"/>
        <w:jc w:val="both"/>
        <w:rPr>
          <w:b w:val="0"/>
          <w:i w:val="0"/>
          <w:smallCaps w:val="0"/>
          <w:strike w:val="0"/>
          <w:color w:val="000000"/>
          <w:sz w:val="24"/>
          <w:szCs w:val="24"/>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Woods, T.B., 2019. An examination of the suitability of transactional, transformational and situational leadership theories in evaluating the role of gender in determining the leadership style: A comparison and contrast of three leadership theories.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American Journal of Management Studies</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4</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(1), pp.1-11.</w:t>
      </w:r>
      <w:r w:rsidDel="00000000" w:rsidR="00000000" w:rsidRPr="00000000">
        <w:rPr>
          <w:rtl w:val="0"/>
        </w:rPr>
      </w:r>
    </w:p>
    <w:sectPr>
      <w:footerReference r:id="rId9" w:type="default"/>
      <w:pgSz w:h="15840" w:w="12240" w:orient="portrait"/>
      <w:pgMar w:bottom="1440" w:top="1440" w:left="1440" w:right="1440" w:header="397"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Calibri"/>
  <w:font w:name="Arial"/>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mbria" w:cs="Cambria" w:eastAsia="Cambria" w:hAnsi="Cambria"/>
        <w:b w:val="0"/>
        <w:i w:val="0"/>
        <w:smallCaps w:val="0"/>
        <w:strike w:val="0"/>
        <w:color w:val="000000"/>
        <w:sz w:val="20"/>
        <w:szCs w:val="20"/>
        <w:u w:val="none"/>
        <w:shd w:fill="auto" w:val="clear"/>
        <w:vertAlign w:val="baseline"/>
      </w:rPr>
    </w:pPr>
    <w:r w:rsidDel="00000000" w:rsidR="00000000" w:rsidRPr="00000000">
      <w:rPr>
        <w:rFonts w:ascii="Cambria" w:cs="Cambria" w:eastAsia="Cambria" w:hAnsi="Cambria"/>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mbria" w:cs="Cambria" w:eastAsia="Cambria" w:hAnsi="Cambria"/>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mbria" w:cs="Cambria" w:eastAsia="Cambria" w:hAnsi="Cambria"/>
        <w:lang w:val="en-GB"/>
      </w:rPr>
    </w:rPrDefault>
    <w:pPrDefault>
      <w:pPr>
        <w:spacing w:after="200" w:before="1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Bdr>
        <w:top w:color="4f81bd" w:space="0" w:sz="24" w:val="single"/>
        <w:left w:color="4f81bd" w:space="0" w:sz="24" w:val="single"/>
        <w:bottom w:color="4f81bd" w:space="0" w:sz="24" w:val="single"/>
        <w:right w:color="4f81bd" w:space="0" w:sz="24" w:val="single"/>
      </w:pBdr>
      <w:shd w:fill="4f81bd" w:val="clear"/>
      <w:spacing w:after="0" w:lineRule="auto"/>
    </w:pPr>
    <w:rPr>
      <w:smallCaps w:val="1"/>
      <w:color w:val="ffffff"/>
      <w:sz w:val="22"/>
      <w:szCs w:val="22"/>
    </w:rPr>
  </w:style>
  <w:style w:type="paragraph" w:styleId="Heading2">
    <w:name w:val="heading 2"/>
    <w:basedOn w:val="Normal"/>
    <w:next w:val="Normal"/>
    <w:pPr>
      <w:pBdr>
        <w:top w:color="dbe5f1" w:space="0" w:sz="24" w:val="single"/>
        <w:left w:color="dbe5f1" w:space="0" w:sz="24" w:val="single"/>
        <w:bottom w:color="dbe5f1" w:space="0" w:sz="24" w:val="single"/>
        <w:right w:color="dbe5f1" w:space="0" w:sz="24" w:val="single"/>
      </w:pBdr>
      <w:shd w:fill="dbe5f1" w:val="clear"/>
      <w:spacing w:after="0" w:lineRule="auto"/>
    </w:pPr>
    <w:rPr>
      <w:smallCaps w:val="1"/>
    </w:rPr>
  </w:style>
  <w:style w:type="paragraph" w:styleId="Heading3">
    <w:name w:val="heading 3"/>
    <w:basedOn w:val="Normal"/>
    <w:next w:val="Normal"/>
    <w:pPr>
      <w:pBdr>
        <w:top w:color="4f81bd" w:space="2" w:sz="6" w:val="single"/>
      </w:pBdr>
      <w:spacing w:after="0" w:before="300" w:lineRule="auto"/>
    </w:pPr>
    <w:rPr>
      <w:smallCaps w:val="1"/>
      <w:color w:val="243f61"/>
    </w:rPr>
  </w:style>
  <w:style w:type="paragraph" w:styleId="Heading4">
    <w:name w:val="heading 4"/>
    <w:basedOn w:val="Normal"/>
    <w:next w:val="Normal"/>
    <w:pPr>
      <w:pBdr>
        <w:top w:color="4f81bd" w:space="2" w:sz="6" w:val="dotted"/>
      </w:pBdr>
      <w:spacing w:after="0" w:before="200" w:lineRule="auto"/>
    </w:pPr>
    <w:rPr>
      <w:smallCaps w:val="1"/>
      <w:color w:val="366091"/>
    </w:rPr>
  </w:style>
  <w:style w:type="paragraph" w:styleId="Heading5">
    <w:name w:val="heading 5"/>
    <w:basedOn w:val="Normal"/>
    <w:next w:val="Normal"/>
    <w:pPr>
      <w:pBdr>
        <w:bottom w:color="4f81bd" w:space="1" w:sz="6" w:val="single"/>
      </w:pBdr>
      <w:spacing w:after="0" w:before="200" w:lineRule="auto"/>
    </w:pPr>
    <w:rPr>
      <w:smallCaps w:val="1"/>
      <w:color w:val="366091"/>
    </w:rPr>
  </w:style>
  <w:style w:type="paragraph" w:styleId="Heading6">
    <w:name w:val="heading 6"/>
    <w:basedOn w:val="Normal"/>
    <w:next w:val="Normal"/>
    <w:pPr>
      <w:pBdr>
        <w:bottom w:color="4f81bd" w:space="1" w:sz="6" w:val="dotted"/>
      </w:pBdr>
      <w:spacing w:after="0" w:before="200" w:lineRule="auto"/>
    </w:pPr>
    <w:rPr>
      <w:smallCaps w:val="1"/>
      <w:color w:val="366091"/>
    </w:rPr>
  </w:style>
  <w:style w:type="paragraph" w:styleId="Title">
    <w:name w:val="Title"/>
    <w:basedOn w:val="Normal"/>
    <w:next w:val="Normal"/>
    <w:pPr>
      <w:spacing w:after="0" w:before="0" w:lineRule="auto"/>
    </w:pPr>
    <w:rPr>
      <w:rFonts w:ascii="Calibri" w:cs="Calibri" w:eastAsia="Calibri" w:hAnsi="Calibri"/>
      <w:smallCaps w:val="1"/>
      <w:color w:val="4f81bd"/>
      <w:sz w:val="52"/>
      <w:szCs w:val="52"/>
    </w:rPr>
  </w:style>
  <w:style w:type="paragraph" w:styleId="Subtitle">
    <w:name w:val="Subtitle"/>
    <w:basedOn w:val="Normal"/>
    <w:next w:val="Normal"/>
    <w:pPr>
      <w:spacing w:after="500" w:before="0" w:line="240" w:lineRule="auto"/>
    </w:pPr>
    <w:rPr>
      <w:smallCaps w:val="1"/>
      <w:color w:val="595959"/>
      <w:sz w:val="21"/>
      <w:szCs w:val="21"/>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bbc.com/news/technology-51828782" TargetMode="External"/><Relationship Id="rId7" Type="http://schemas.openxmlformats.org/officeDocument/2006/relationships/hyperlink" Target="https://www.forbes.com/sites/katehardcastle/2020/08/18/7000-job-cuts-announced-at-marks-and-spencervows-to-never-be-the-same-again/" TargetMode="External"/><Relationship Id="rId8" Type="http://schemas.openxmlformats.org/officeDocument/2006/relationships/hyperlink" Target="https://www.about.sainsburys.co.uk/sustainability/plan-for-better/our-stories/2021/apprenticeships-st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