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BE5E3" w14:textId="511FF22F" w:rsidR="00FC3B48" w:rsidRPr="002738F4" w:rsidRDefault="00FC3B48" w:rsidP="00FC3B48">
      <w:pPr>
        <w:pStyle w:val="Title"/>
        <w:jc w:val="center"/>
        <w:rPr>
          <w:rFonts w:ascii="Calibri" w:hAnsi="Calibri" w:cs="Calibri"/>
        </w:rPr>
      </w:pPr>
      <w:r>
        <w:t>Literature Review</w:t>
      </w:r>
      <w:r w:rsidR="00AB1D06">
        <w:br/>
        <w:t>2320025</w:t>
      </w:r>
      <w:r>
        <w:br/>
      </w:r>
    </w:p>
    <w:p w14:paraId="6334A7BF" w14:textId="1C04E812" w:rsidR="00FC3B48" w:rsidRPr="002738F4" w:rsidRDefault="004C06B5" w:rsidP="00FC3B48">
      <w:pPr>
        <w:rPr>
          <w:rFonts w:ascii="Calibri" w:hAnsi="Calibri" w:cs="Calibri"/>
          <w:b/>
          <w:bCs/>
          <w:i/>
          <w:iCs/>
          <w:u w:val="single"/>
        </w:rPr>
      </w:pPr>
      <w:r w:rsidRPr="002738F4">
        <w:rPr>
          <w:rFonts w:ascii="Calibri" w:hAnsi="Calibri" w:cs="Calibri"/>
          <w:b/>
          <w:bCs/>
          <w:i/>
          <w:iCs/>
          <w:u w:val="single"/>
        </w:rPr>
        <w:t xml:space="preserve">Psychological literature </w:t>
      </w:r>
      <w:r w:rsidRPr="002738F4">
        <w:rPr>
          <w:rFonts w:ascii="Calibri" w:hAnsi="Calibri" w:cs="Calibri"/>
          <w:b/>
          <w:bCs/>
          <w:i/>
          <w:iCs/>
          <w:u w:val="single"/>
        </w:rPr>
        <w:br/>
      </w:r>
    </w:p>
    <w:p w14:paraId="02398325" w14:textId="5A35150F" w:rsidR="00FC3B48" w:rsidRPr="002738F4" w:rsidRDefault="00FC3B48" w:rsidP="00FC3B48">
      <w:pPr>
        <w:rPr>
          <w:rFonts w:ascii="Calibri" w:hAnsi="Calibri" w:cs="Calibri"/>
          <w:i/>
          <w:iCs/>
          <w:u w:val="single"/>
        </w:rPr>
      </w:pPr>
      <w:r w:rsidRPr="002738F4">
        <w:rPr>
          <w:rFonts w:ascii="Calibri" w:hAnsi="Calibri" w:cs="Calibri"/>
        </w:rPr>
        <w:t xml:space="preserve">Understanding trauma informed policing, defined </w:t>
      </w:r>
      <w:r w:rsidR="00D9695F" w:rsidRPr="002738F4">
        <w:rPr>
          <w:rFonts w:ascii="Calibri" w:hAnsi="Calibri" w:cs="Calibri"/>
        </w:rPr>
        <w:t>in this work as</w:t>
      </w:r>
      <w:r w:rsidRPr="002738F4">
        <w:rPr>
          <w:rFonts w:ascii="Calibri" w:hAnsi="Calibri" w:cs="Calibri"/>
        </w:rPr>
        <w:t xml:space="preserve"> the application of trauma informed principles within the context of frontline policing, first calls for </w:t>
      </w:r>
      <w:r w:rsidR="00991601" w:rsidRPr="002738F4">
        <w:rPr>
          <w:rFonts w:ascii="Calibri" w:hAnsi="Calibri" w:cs="Calibri"/>
        </w:rPr>
        <w:t>understanding of</w:t>
      </w:r>
      <w:r w:rsidRPr="002738F4">
        <w:rPr>
          <w:rFonts w:ascii="Calibri" w:hAnsi="Calibri" w:cs="Calibri"/>
        </w:rPr>
        <w:t xml:space="preserve"> literature </w:t>
      </w:r>
      <w:r w:rsidR="007B134E">
        <w:rPr>
          <w:rFonts w:ascii="Calibri" w:hAnsi="Calibri" w:cs="Calibri"/>
        </w:rPr>
        <w:t>centered</w:t>
      </w:r>
      <w:r w:rsidRPr="002738F4">
        <w:rPr>
          <w:rFonts w:ascii="Calibri" w:hAnsi="Calibri" w:cs="Calibri"/>
        </w:rPr>
        <w:t xml:space="preserve"> to current understanding that explores how trauma, understood to be experiences that can overwhelm a </w:t>
      </w:r>
      <w:r w:rsidR="000608FE" w:rsidRPr="002738F4">
        <w:rPr>
          <w:rFonts w:ascii="Calibri" w:hAnsi="Calibri" w:cs="Calibri"/>
        </w:rPr>
        <w:t>person’s</w:t>
      </w:r>
      <w:r w:rsidRPr="002738F4">
        <w:rPr>
          <w:rFonts w:ascii="Calibri" w:hAnsi="Calibri" w:cs="Calibri"/>
        </w:rPr>
        <w:t xml:space="preserve"> capacity to cope and produce l</w:t>
      </w:r>
      <w:r w:rsidR="00D16E7E" w:rsidRPr="002738F4">
        <w:rPr>
          <w:rFonts w:ascii="Calibri" w:hAnsi="Calibri" w:cs="Calibri"/>
        </w:rPr>
        <w:t xml:space="preserve">ong term </w:t>
      </w:r>
      <w:r w:rsidRPr="002738F4">
        <w:rPr>
          <w:rFonts w:ascii="Calibri" w:hAnsi="Calibri" w:cs="Calibri"/>
        </w:rPr>
        <w:t>psychological and physiological effects, affects cognition, behaviour and communication (Herman, 2015; Wilkinson, 2017).</w:t>
      </w:r>
      <w:r w:rsidR="00FF5846" w:rsidRPr="002738F4">
        <w:rPr>
          <w:rFonts w:ascii="Calibri" w:hAnsi="Calibri" w:cs="Calibri"/>
        </w:rPr>
        <w:t xml:space="preserve"> Such changes are relevant to policing</w:t>
      </w:r>
      <w:r w:rsidR="002E4DF4">
        <w:rPr>
          <w:rFonts w:ascii="Calibri" w:hAnsi="Calibri" w:cs="Calibri"/>
        </w:rPr>
        <w:t xml:space="preserve"> because</w:t>
      </w:r>
      <w:r w:rsidR="009349A0">
        <w:rPr>
          <w:rFonts w:ascii="Calibri" w:hAnsi="Calibri" w:cs="Calibri"/>
        </w:rPr>
        <w:t xml:space="preserve"> assessing a victims </w:t>
      </w:r>
      <w:r w:rsidR="00FF5846" w:rsidRPr="002738F4">
        <w:rPr>
          <w:rFonts w:ascii="Calibri" w:hAnsi="Calibri" w:cs="Calibri"/>
        </w:rPr>
        <w:t>credibility</w:t>
      </w:r>
      <w:r w:rsidR="00AC10E1" w:rsidRPr="002738F4">
        <w:rPr>
          <w:rFonts w:ascii="Calibri" w:hAnsi="Calibri" w:cs="Calibri"/>
        </w:rPr>
        <w:t>/truth</w:t>
      </w:r>
      <w:r w:rsidR="00FF5846" w:rsidRPr="002738F4">
        <w:rPr>
          <w:rFonts w:ascii="Calibri" w:hAnsi="Calibri" w:cs="Calibri"/>
        </w:rPr>
        <w:t xml:space="preserve"> and behavioural interpretation are a focus when looking </w:t>
      </w:r>
      <w:r w:rsidR="00502DE6" w:rsidRPr="002738F4">
        <w:rPr>
          <w:rFonts w:ascii="Calibri" w:hAnsi="Calibri" w:cs="Calibri"/>
        </w:rPr>
        <w:t>from the view of</w:t>
      </w:r>
      <w:r w:rsidR="00FF5846" w:rsidRPr="002738F4">
        <w:rPr>
          <w:rFonts w:ascii="Calibri" w:hAnsi="Calibri" w:cs="Calibri"/>
        </w:rPr>
        <w:t xml:space="preserve"> operational decision making, particularly in the context of vulnerable victims.</w:t>
      </w:r>
      <w:r w:rsidR="001D1966" w:rsidRPr="002738F4">
        <w:rPr>
          <w:rFonts w:ascii="Calibri" w:hAnsi="Calibri" w:cs="Calibri"/>
        </w:rPr>
        <w:t xml:space="preserve"> </w:t>
      </w:r>
      <w:r w:rsidR="00FF5846" w:rsidRPr="002738F4">
        <w:rPr>
          <w:rFonts w:ascii="Calibri" w:hAnsi="Calibri" w:cs="Calibri"/>
        </w:rPr>
        <w:br/>
      </w:r>
      <w:r w:rsidR="00FF5846" w:rsidRPr="002738F4">
        <w:rPr>
          <w:rFonts w:ascii="Calibri" w:hAnsi="Calibri" w:cs="Calibri"/>
        </w:rPr>
        <w:br/>
        <w:t xml:space="preserve">Wilkinson (2017) describes trauma to disrupt the </w:t>
      </w:r>
      <w:r w:rsidR="00517866" w:rsidRPr="002738F4">
        <w:rPr>
          <w:rFonts w:ascii="Calibri" w:hAnsi="Calibri" w:cs="Calibri"/>
        </w:rPr>
        <w:t xml:space="preserve">connection between </w:t>
      </w:r>
      <w:r w:rsidR="002D6710" w:rsidRPr="002738F4">
        <w:rPr>
          <w:rFonts w:ascii="Calibri" w:hAnsi="Calibri" w:cs="Calibri"/>
        </w:rPr>
        <w:t xml:space="preserve">a person’s </w:t>
      </w:r>
      <w:r w:rsidR="00517866" w:rsidRPr="002738F4">
        <w:rPr>
          <w:rFonts w:ascii="Calibri" w:hAnsi="Calibri" w:cs="Calibri"/>
        </w:rPr>
        <w:t xml:space="preserve">mind, brain and body, </w:t>
      </w:r>
      <w:r w:rsidR="002D6710" w:rsidRPr="002738F4">
        <w:rPr>
          <w:rFonts w:ascii="Calibri" w:hAnsi="Calibri" w:cs="Calibri"/>
        </w:rPr>
        <w:t>commonly</w:t>
      </w:r>
      <w:r w:rsidR="00517866" w:rsidRPr="002738F4">
        <w:rPr>
          <w:rFonts w:ascii="Calibri" w:hAnsi="Calibri" w:cs="Calibri"/>
        </w:rPr>
        <w:t xml:space="preserve"> leading to </w:t>
      </w:r>
      <w:r w:rsidR="002D6710" w:rsidRPr="002738F4">
        <w:rPr>
          <w:rFonts w:ascii="Calibri" w:hAnsi="Calibri" w:cs="Calibri"/>
        </w:rPr>
        <w:t xml:space="preserve">symptoms such as </w:t>
      </w:r>
      <w:r w:rsidR="00517866" w:rsidRPr="002738F4">
        <w:rPr>
          <w:rFonts w:ascii="Calibri" w:hAnsi="Calibri" w:cs="Calibri"/>
        </w:rPr>
        <w:t xml:space="preserve">dissociation, emotional numbing, hypervigilance and impaired communication. Perry’s (2009) perspective similarly </w:t>
      </w:r>
      <w:r w:rsidR="00502DE6" w:rsidRPr="002738F4">
        <w:rPr>
          <w:rFonts w:ascii="Calibri" w:hAnsi="Calibri" w:cs="Calibri"/>
        </w:rPr>
        <w:t>describes</w:t>
      </w:r>
      <w:r w:rsidR="00517866" w:rsidRPr="002738F4">
        <w:rPr>
          <w:rFonts w:ascii="Calibri" w:hAnsi="Calibri" w:cs="Calibri"/>
        </w:rPr>
        <w:t xml:space="preserve"> how exposure to trauma can alter a persons stress response, resulting in behaviour that at times may appear irrational during a perceived threat. </w:t>
      </w:r>
      <w:r w:rsidR="00F03772" w:rsidRPr="002738F4">
        <w:rPr>
          <w:rFonts w:ascii="Calibri" w:hAnsi="Calibri" w:cs="Calibri"/>
        </w:rPr>
        <w:t xml:space="preserve">Both authors provide the view </w:t>
      </w:r>
      <w:r w:rsidR="00517866" w:rsidRPr="002738F4">
        <w:rPr>
          <w:rFonts w:ascii="Calibri" w:hAnsi="Calibri" w:cs="Calibri"/>
        </w:rPr>
        <w:t xml:space="preserve">that </w:t>
      </w:r>
      <w:r w:rsidR="000636BD" w:rsidRPr="002738F4">
        <w:rPr>
          <w:rFonts w:ascii="Calibri" w:hAnsi="Calibri" w:cs="Calibri"/>
        </w:rPr>
        <w:t>those</w:t>
      </w:r>
      <w:r w:rsidR="00517866" w:rsidRPr="002738F4">
        <w:rPr>
          <w:rFonts w:ascii="Calibri" w:hAnsi="Calibri" w:cs="Calibri"/>
        </w:rPr>
        <w:t xml:space="preserve"> responses are involuntary protection mechanisms</w:t>
      </w:r>
      <w:r w:rsidR="000636BD" w:rsidRPr="002738F4">
        <w:rPr>
          <w:rFonts w:ascii="Calibri" w:hAnsi="Calibri" w:cs="Calibri"/>
        </w:rPr>
        <w:t>, or fight or flight,</w:t>
      </w:r>
      <w:r w:rsidR="00517866" w:rsidRPr="002738F4">
        <w:rPr>
          <w:rFonts w:ascii="Calibri" w:hAnsi="Calibri" w:cs="Calibri"/>
        </w:rPr>
        <w:t xml:space="preserve"> as opposed to deliberate actions</w:t>
      </w:r>
      <w:r w:rsidR="00F03772" w:rsidRPr="002738F4">
        <w:rPr>
          <w:rFonts w:ascii="Calibri" w:hAnsi="Calibri" w:cs="Calibri"/>
        </w:rPr>
        <w:t xml:space="preserve"> however neither explicitly consider how these behaviours can be interpreted in settings where assessing credibility and quick time judgements are necessities, especially when considering available evidence for victims of traumatic incidents. </w:t>
      </w:r>
      <w:r w:rsidR="0002076F" w:rsidRPr="002738F4">
        <w:rPr>
          <w:rFonts w:ascii="Calibri" w:hAnsi="Calibri" w:cs="Calibri"/>
        </w:rPr>
        <w:t xml:space="preserve">This absence, in consideration of the question at hand, is significant as frontline officers routinely </w:t>
      </w:r>
      <w:r w:rsidR="00E40257" w:rsidRPr="002738F4">
        <w:rPr>
          <w:rFonts w:ascii="Calibri" w:hAnsi="Calibri" w:cs="Calibri"/>
        </w:rPr>
        <w:t>must</w:t>
      </w:r>
      <w:r w:rsidR="0002076F" w:rsidRPr="002738F4">
        <w:rPr>
          <w:rFonts w:ascii="Calibri" w:hAnsi="Calibri" w:cs="Calibri"/>
        </w:rPr>
        <w:t xml:space="preserve"> evaluate behaviour of a person under conditions with limited prior context or later opportunity to follow up</w:t>
      </w:r>
      <w:r w:rsidR="00AC10E1" w:rsidRPr="002738F4">
        <w:rPr>
          <w:rFonts w:ascii="Calibri" w:hAnsi="Calibri" w:cs="Calibri"/>
        </w:rPr>
        <w:t xml:space="preserve"> which is of course</w:t>
      </w:r>
      <w:r w:rsidR="00E40257" w:rsidRPr="002738F4">
        <w:rPr>
          <w:rFonts w:ascii="Calibri" w:hAnsi="Calibri" w:cs="Calibri"/>
        </w:rPr>
        <w:t xml:space="preserve"> dependent on the circumstance.</w:t>
      </w:r>
      <w:r w:rsidR="00517866" w:rsidRPr="002738F4">
        <w:rPr>
          <w:rFonts w:ascii="Calibri" w:hAnsi="Calibri" w:cs="Calibri"/>
        </w:rPr>
        <w:br/>
      </w:r>
      <w:r w:rsidR="00517866" w:rsidRPr="002738F4">
        <w:rPr>
          <w:rFonts w:ascii="Calibri" w:hAnsi="Calibri" w:cs="Calibri"/>
        </w:rPr>
        <w:br/>
        <w:t xml:space="preserve">Herman’s (2015) work with trauma and recovery </w:t>
      </w:r>
      <w:r w:rsidR="005304ED" w:rsidRPr="002738F4">
        <w:rPr>
          <w:rFonts w:ascii="Calibri" w:hAnsi="Calibri" w:cs="Calibri"/>
        </w:rPr>
        <w:t xml:space="preserve">assists </w:t>
      </w:r>
      <w:r w:rsidR="00517866" w:rsidRPr="002738F4">
        <w:rPr>
          <w:rFonts w:ascii="Calibri" w:hAnsi="Calibri" w:cs="Calibri"/>
        </w:rPr>
        <w:t xml:space="preserve">this understanding by explaining how trauma </w:t>
      </w:r>
      <w:r w:rsidR="006356C1" w:rsidRPr="002738F4">
        <w:rPr>
          <w:rFonts w:ascii="Calibri" w:hAnsi="Calibri" w:cs="Calibri"/>
        </w:rPr>
        <w:t xml:space="preserve">can </w:t>
      </w:r>
      <w:r w:rsidR="00517866" w:rsidRPr="002738F4">
        <w:rPr>
          <w:rFonts w:ascii="Calibri" w:hAnsi="Calibri" w:cs="Calibri"/>
        </w:rPr>
        <w:t xml:space="preserve">disrupt memory </w:t>
      </w:r>
      <w:r w:rsidR="004D3392" w:rsidRPr="002738F4">
        <w:rPr>
          <w:rFonts w:ascii="Calibri" w:hAnsi="Calibri" w:cs="Calibri"/>
        </w:rPr>
        <w:t xml:space="preserve">and narrative coherence. Survivors may therefore struggle to provide consistent accounts of events, especially during the first disclosure period. Within contexts of </w:t>
      </w:r>
      <w:r w:rsidR="005304ED" w:rsidRPr="002738F4">
        <w:rPr>
          <w:rFonts w:ascii="Calibri" w:hAnsi="Calibri" w:cs="Calibri"/>
        </w:rPr>
        <w:t xml:space="preserve">policing, particularly </w:t>
      </w:r>
      <w:r w:rsidR="004D3392" w:rsidRPr="002738F4">
        <w:rPr>
          <w:rFonts w:ascii="Calibri" w:hAnsi="Calibri" w:cs="Calibri"/>
        </w:rPr>
        <w:t>in the close aftermath of a traumatic event, such presentation can be misinterpreted as deception or lack of credibility which</w:t>
      </w:r>
      <w:r w:rsidR="005304ED" w:rsidRPr="002738F4">
        <w:rPr>
          <w:rFonts w:ascii="Calibri" w:hAnsi="Calibri" w:cs="Calibri"/>
        </w:rPr>
        <w:t xml:space="preserve"> in consideration</w:t>
      </w:r>
      <w:r w:rsidR="004D3392" w:rsidRPr="002738F4">
        <w:rPr>
          <w:rFonts w:ascii="Calibri" w:hAnsi="Calibri" w:cs="Calibri"/>
        </w:rPr>
        <w:t xml:space="preserve"> reinforces how important trauma informed understanding for frontline police officers really is.</w:t>
      </w:r>
      <w:r w:rsidR="0002076F" w:rsidRPr="002738F4">
        <w:rPr>
          <w:rFonts w:ascii="Calibri" w:hAnsi="Calibri" w:cs="Calibri"/>
        </w:rPr>
        <w:t xml:space="preserve"> Herman’s insight is widely accepted in the broader field of trauma </w:t>
      </w:r>
      <w:r w:rsidR="007D1207" w:rsidRPr="002738F4">
        <w:rPr>
          <w:rFonts w:ascii="Calibri" w:hAnsi="Calibri" w:cs="Calibri"/>
        </w:rPr>
        <w:t>research but</w:t>
      </w:r>
      <w:r w:rsidR="0002076F" w:rsidRPr="002738F4">
        <w:rPr>
          <w:rFonts w:ascii="Calibri" w:hAnsi="Calibri" w:cs="Calibri"/>
        </w:rPr>
        <w:t xml:space="preserve"> its implications for policing are not far explored. Criminal investigations focus on the victim and place </w:t>
      </w:r>
      <w:r w:rsidR="00373467" w:rsidRPr="002738F4">
        <w:rPr>
          <w:rFonts w:ascii="Calibri" w:hAnsi="Calibri" w:cs="Calibri"/>
        </w:rPr>
        <w:t>weight on the consistency of accounts provided</w:t>
      </w:r>
      <w:r w:rsidR="00D41955" w:rsidRPr="002738F4">
        <w:rPr>
          <w:rFonts w:ascii="Calibri" w:hAnsi="Calibri" w:cs="Calibri"/>
        </w:rPr>
        <w:t xml:space="preserve"> and e</w:t>
      </w:r>
      <w:r w:rsidR="00373467" w:rsidRPr="002738F4">
        <w:rPr>
          <w:rFonts w:ascii="Calibri" w:hAnsi="Calibri" w:cs="Calibri"/>
        </w:rPr>
        <w:t xml:space="preserve">xisting literature such as Herman offers limited guiding context on how offices would </w:t>
      </w:r>
      <w:r w:rsidR="007D1207" w:rsidRPr="002738F4">
        <w:rPr>
          <w:rFonts w:ascii="Calibri" w:hAnsi="Calibri" w:cs="Calibri"/>
        </w:rPr>
        <w:t>gather</w:t>
      </w:r>
      <w:r w:rsidR="00373467" w:rsidRPr="002738F4">
        <w:rPr>
          <w:rFonts w:ascii="Calibri" w:hAnsi="Calibri" w:cs="Calibri"/>
        </w:rPr>
        <w:t xml:space="preserve"> accounts from victims of trauma </w:t>
      </w:r>
      <w:r w:rsidR="00373467" w:rsidRPr="002738F4">
        <w:rPr>
          <w:rFonts w:ascii="Calibri" w:hAnsi="Calibri" w:cs="Calibri"/>
        </w:rPr>
        <w:lastRenderedPageBreak/>
        <w:t xml:space="preserve">with evidential expectations. This </w:t>
      </w:r>
      <w:r w:rsidR="007B021B" w:rsidRPr="002738F4">
        <w:rPr>
          <w:rFonts w:ascii="Calibri" w:hAnsi="Calibri" w:cs="Calibri"/>
        </w:rPr>
        <w:t>shows</w:t>
      </w:r>
      <w:r w:rsidR="00373467" w:rsidRPr="002738F4">
        <w:rPr>
          <w:rFonts w:ascii="Calibri" w:hAnsi="Calibri" w:cs="Calibri"/>
        </w:rPr>
        <w:t xml:space="preserve"> a clear gap between understanding of trauma informed practice and its application in the practical realities of </w:t>
      </w:r>
      <w:r w:rsidR="00E40257" w:rsidRPr="002738F4">
        <w:rPr>
          <w:rFonts w:ascii="Calibri" w:hAnsi="Calibri" w:cs="Calibri"/>
        </w:rPr>
        <w:t>a policing</w:t>
      </w:r>
      <w:r w:rsidR="00373467" w:rsidRPr="002738F4">
        <w:rPr>
          <w:rFonts w:ascii="Calibri" w:hAnsi="Calibri" w:cs="Calibri"/>
        </w:rPr>
        <w:t xml:space="preserve"> setting.</w:t>
      </w:r>
      <w:r w:rsidR="004D3392" w:rsidRPr="002738F4">
        <w:rPr>
          <w:rFonts w:ascii="Calibri" w:hAnsi="Calibri" w:cs="Calibri"/>
        </w:rPr>
        <w:br/>
      </w:r>
      <w:r w:rsidR="004D3392" w:rsidRPr="002738F4">
        <w:rPr>
          <w:rFonts w:ascii="Calibri" w:hAnsi="Calibri" w:cs="Calibri"/>
        </w:rPr>
        <w:br/>
        <w:t xml:space="preserve">Porges’ (2022) polyvagal </w:t>
      </w:r>
      <w:r w:rsidR="004C3FE0" w:rsidRPr="002738F4">
        <w:rPr>
          <w:rFonts w:ascii="Calibri" w:hAnsi="Calibri" w:cs="Calibri"/>
        </w:rPr>
        <w:t>theory adds further depth</w:t>
      </w:r>
      <w:r w:rsidR="00EF1CF5" w:rsidRPr="002738F4">
        <w:rPr>
          <w:rFonts w:ascii="Calibri" w:hAnsi="Calibri" w:cs="Calibri"/>
        </w:rPr>
        <w:t xml:space="preserve"> by identifying how trauma influences the nervous system. </w:t>
      </w:r>
      <w:r w:rsidR="00947582" w:rsidRPr="002738F4">
        <w:rPr>
          <w:rFonts w:ascii="Calibri" w:hAnsi="Calibri" w:cs="Calibri"/>
        </w:rPr>
        <w:t>The theory provides an explanation that a</w:t>
      </w:r>
      <w:r w:rsidR="00EF1CF5" w:rsidRPr="002738F4">
        <w:rPr>
          <w:rFonts w:ascii="Calibri" w:hAnsi="Calibri" w:cs="Calibri"/>
        </w:rPr>
        <w:t xml:space="preserve"> person</w:t>
      </w:r>
      <w:r w:rsidR="00947582" w:rsidRPr="002738F4">
        <w:rPr>
          <w:rFonts w:ascii="Calibri" w:hAnsi="Calibri" w:cs="Calibri"/>
        </w:rPr>
        <w:t xml:space="preserve"> responds to their environment through three states. A ventral vagal state which is associated with a feeling of safety, a sympathetic state</w:t>
      </w:r>
      <w:r w:rsidR="00AC3152" w:rsidRPr="002738F4">
        <w:rPr>
          <w:rFonts w:ascii="Calibri" w:hAnsi="Calibri" w:cs="Calibri"/>
        </w:rPr>
        <w:t xml:space="preserve"> which is associated with fight or flight responses and a dorsal vagal state associated with total shutdown, dissociation or immobilisation. </w:t>
      </w:r>
      <w:r w:rsidR="00EF1CF5" w:rsidRPr="002738F4">
        <w:rPr>
          <w:rFonts w:ascii="Calibri" w:hAnsi="Calibri" w:cs="Calibri"/>
        </w:rPr>
        <w:t xml:space="preserve">For response police officers, such presentations may conflict with expectations of distress or cooperation which can again, skew perceptions of the victim. </w:t>
      </w:r>
      <w:r w:rsidR="00373467" w:rsidRPr="002738F4">
        <w:rPr>
          <w:rFonts w:ascii="Calibri" w:hAnsi="Calibri" w:cs="Calibri"/>
        </w:rPr>
        <w:t xml:space="preserve">Whilst the polyvagal theory provides </w:t>
      </w:r>
      <w:r w:rsidR="00A1261B" w:rsidRPr="002738F4">
        <w:rPr>
          <w:rFonts w:ascii="Calibri" w:hAnsi="Calibri" w:cs="Calibri"/>
        </w:rPr>
        <w:t>explanations of potential physical reactions from a victim of trauma, its complexity limits its practicality for frontline police officers who receive limited training on the subject. Without proper translation, the framework and those of similarity remain theoretical rather than tools for use in</w:t>
      </w:r>
      <w:r w:rsidR="005304ED" w:rsidRPr="002738F4">
        <w:rPr>
          <w:rFonts w:ascii="Calibri" w:hAnsi="Calibri" w:cs="Calibri"/>
        </w:rPr>
        <w:t xml:space="preserve"> operational</w:t>
      </w:r>
      <w:r w:rsidR="00A1261B" w:rsidRPr="002738F4">
        <w:rPr>
          <w:rFonts w:ascii="Calibri" w:hAnsi="Calibri" w:cs="Calibri"/>
        </w:rPr>
        <w:t xml:space="preserve"> policing. </w:t>
      </w:r>
      <w:r w:rsidR="00EF1CF5" w:rsidRPr="002738F4">
        <w:rPr>
          <w:rFonts w:ascii="Calibri" w:hAnsi="Calibri" w:cs="Calibri"/>
        </w:rPr>
        <w:br/>
      </w:r>
      <w:r w:rsidR="00EF1CF5" w:rsidRPr="002738F4">
        <w:rPr>
          <w:rFonts w:ascii="Calibri" w:hAnsi="Calibri" w:cs="Calibri"/>
        </w:rPr>
        <w:br/>
      </w:r>
      <w:r w:rsidR="007B021B" w:rsidRPr="002738F4">
        <w:rPr>
          <w:rFonts w:ascii="Calibri" w:hAnsi="Calibri" w:cs="Calibri"/>
        </w:rPr>
        <w:t>T</w:t>
      </w:r>
      <w:r w:rsidR="00EF1CF5" w:rsidRPr="002738F4">
        <w:rPr>
          <w:rFonts w:ascii="Calibri" w:hAnsi="Calibri" w:cs="Calibri"/>
        </w:rPr>
        <w:t xml:space="preserve">he covered psychological literature establishes trauma response to commonly contradict assumptions about victim behaviour. In a policing context, this often applies, particularly when thinking about the fact that in frontline policing, officers must make rapid judgements in pressuring environments. </w:t>
      </w:r>
      <w:r w:rsidR="00AC3152" w:rsidRPr="002738F4">
        <w:rPr>
          <w:rFonts w:ascii="Calibri" w:hAnsi="Calibri" w:cs="Calibri"/>
        </w:rPr>
        <w:t xml:space="preserve">Whilst the insight provided by this literature is valuable to understand trauma response and how they contradict common misconceptions about victim behaviour, it acts under the assumption that awareness alone improves professional responses. </w:t>
      </w:r>
      <w:r w:rsidR="00F977F8">
        <w:rPr>
          <w:rFonts w:ascii="Calibri" w:hAnsi="Calibri" w:cs="Calibri"/>
        </w:rPr>
        <w:br/>
      </w:r>
      <w:r w:rsidR="00F977F8">
        <w:rPr>
          <w:rFonts w:ascii="Calibri" w:hAnsi="Calibri" w:cs="Calibri"/>
        </w:rPr>
        <w:br/>
        <w:t>(61</w:t>
      </w:r>
      <w:r w:rsidR="00AE60EC">
        <w:rPr>
          <w:rFonts w:ascii="Calibri" w:hAnsi="Calibri" w:cs="Calibri"/>
        </w:rPr>
        <w:t>1</w:t>
      </w:r>
      <w:r w:rsidR="00F977F8">
        <w:rPr>
          <w:rFonts w:ascii="Calibri" w:hAnsi="Calibri" w:cs="Calibri"/>
        </w:rPr>
        <w:t xml:space="preserve"> Words)</w:t>
      </w:r>
      <w:r w:rsidR="00A755E8" w:rsidRPr="002738F4">
        <w:rPr>
          <w:rFonts w:ascii="Calibri" w:hAnsi="Calibri" w:cs="Calibri"/>
        </w:rPr>
        <w:br/>
      </w:r>
      <w:r w:rsidR="004C06B5" w:rsidRPr="002738F4">
        <w:rPr>
          <w:rFonts w:ascii="Calibri" w:hAnsi="Calibri" w:cs="Calibri"/>
        </w:rPr>
        <w:br/>
      </w:r>
      <w:r w:rsidR="004C06B5" w:rsidRPr="002738F4">
        <w:rPr>
          <w:rFonts w:ascii="Calibri" w:hAnsi="Calibri" w:cs="Calibri"/>
        </w:rPr>
        <w:br/>
      </w:r>
      <w:r w:rsidR="004C06B5" w:rsidRPr="002738F4">
        <w:rPr>
          <w:rFonts w:ascii="Calibri" w:hAnsi="Calibri" w:cs="Calibri"/>
        </w:rPr>
        <w:br/>
      </w:r>
      <w:r w:rsidR="004C06B5" w:rsidRPr="002738F4">
        <w:rPr>
          <w:rFonts w:ascii="Calibri" w:hAnsi="Calibri" w:cs="Calibri"/>
        </w:rPr>
        <w:br/>
      </w:r>
      <w:r w:rsidR="004C06B5" w:rsidRPr="002738F4">
        <w:rPr>
          <w:rFonts w:ascii="Calibri" w:hAnsi="Calibri" w:cs="Calibri"/>
        </w:rPr>
        <w:br/>
      </w:r>
      <w:r w:rsidR="00A755E8" w:rsidRPr="002738F4">
        <w:rPr>
          <w:rFonts w:ascii="Calibri" w:hAnsi="Calibri" w:cs="Calibri"/>
        </w:rPr>
        <w:br/>
      </w:r>
      <w:r w:rsidR="002738F4">
        <w:rPr>
          <w:rFonts w:ascii="Calibri" w:hAnsi="Calibri" w:cs="Calibri"/>
          <w:b/>
          <w:bCs/>
          <w:i/>
          <w:iCs/>
          <w:u w:val="single"/>
        </w:rPr>
        <w:t>Public service   literature</w:t>
      </w:r>
      <w:r w:rsidR="00A755E8" w:rsidRPr="002738F4">
        <w:rPr>
          <w:rFonts w:ascii="Calibri" w:hAnsi="Calibri" w:cs="Calibri"/>
        </w:rPr>
        <w:br/>
      </w:r>
      <w:r w:rsidR="00A755E8" w:rsidRPr="002738F4">
        <w:rPr>
          <w:rFonts w:ascii="Calibri" w:hAnsi="Calibri" w:cs="Calibri"/>
        </w:rPr>
        <w:br/>
        <w:t xml:space="preserve">Trauma informed practice, an approach that acknowledges the impact of trauma and minimises trauma risk through principles of safety, trust, empowerment, choice and collaboration, originated through health, mental and social care sectors (NHS Education for Scotland, 2024; NHS England, 2025). Frameworks such as the NHS Education for Scotland National Trauma Training Framework (2024) and NHS England’s trauma-informed guidance (2025) present the </w:t>
      </w:r>
      <w:r w:rsidR="006F4937" w:rsidRPr="002738F4">
        <w:rPr>
          <w:rFonts w:ascii="Calibri" w:hAnsi="Calibri" w:cs="Calibri"/>
        </w:rPr>
        <w:t xml:space="preserve">principles regularly referred to when using trauma informed practice in order to allow the practitioner to </w:t>
      </w:r>
      <w:r w:rsidR="001D1966" w:rsidRPr="002738F4">
        <w:rPr>
          <w:rFonts w:ascii="Calibri" w:hAnsi="Calibri" w:cs="Calibri"/>
        </w:rPr>
        <w:t>be aware of a victims potential psychological reactions to their service.</w:t>
      </w:r>
      <w:r w:rsidR="00436EBB" w:rsidRPr="002738F4">
        <w:rPr>
          <w:rFonts w:ascii="Calibri" w:hAnsi="Calibri" w:cs="Calibri"/>
        </w:rPr>
        <w:t xml:space="preserve"> The focus of these frameworks are to act under the assumption that trauma may be present and that the service the practitioner provides should minimise the risk of re-</w:t>
      </w:r>
      <w:r w:rsidR="00436EBB" w:rsidRPr="002738F4">
        <w:rPr>
          <w:rFonts w:ascii="Calibri" w:hAnsi="Calibri" w:cs="Calibri"/>
        </w:rPr>
        <w:lastRenderedPageBreak/>
        <w:t>traumatisation.</w:t>
      </w:r>
      <w:r w:rsidR="00436EBB" w:rsidRPr="002738F4">
        <w:rPr>
          <w:rFonts w:ascii="Calibri" w:hAnsi="Calibri" w:cs="Calibri"/>
        </w:rPr>
        <w:br/>
      </w:r>
      <w:r w:rsidR="00436EBB" w:rsidRPr="002738F4">
        <w:rPr>
          <w:rFonts w:ascii="Calibri" w:hAnsi="Calibri" w:cs="Calibri"/>
        </w:rPr>
        <w:br/>
        <w:t xml:space="preserve">These frameworks select trauma informed practice to be </w:t>
      </w:r>
      <w:r w:rsidR="00C44850">
        <w:rPr>
          <w:rFonts w:ascii="Calibri" w:hAnsi="Calibri" w:cs="Calibri"/>
        </w:rPr>
        <w:t xml:space="preserve">an </w:t>
      </w:r>
      <w:r w:rsidR="00436EBB" w:rsidRPr="002738F4">
        <w:rPr>
          <w:rFonts w:ascii="Calibri" w:hAnsi="Calibri" w:cs="Calibri"/>
        </w:rPr>
        <w:t xml:space="preserve">approach to victims as opposed to intervention. That emphasis is </w:t>
      </w:r>
      <w:r w:rsidR="00261322" w:rsidRPr="002738F4">
        <w:rPr>
          <w:rFonts w:ascii="Calibri" w:hAnsi="Calibri" w:cs="Calibri"/>
        </w:rPr>
        <w:t>important</w:t>
      </w:r>
      <w:r w:rsidR="00436EBB" w:rsidRPr="002738F4">
        <w:rPr>
          <w:rFonts w:ascii="Calibri" w:hAnsi="Calibri" w:cs="Calibri"/>
        </w:rPr>
        <w:t xml:space="preserve"> to</w:t>
      </w:r>
      <w:r w:rsidR="00261322" w:rsidRPr="002738F4">
        <w:rPr>
          <w:rFonts w:ascii="Calibri" w:hAnsi="Calibri" w:cs="Calibri"/>
        </w:rPr>
        <w:t xml:space="preserve"> the world of</w:t>
      </w:r>
      <w:r w:rsidR="00436EBB" w:rsidRPr="002738F4">
        <w:rPr>
          <w:rFonts w:ascii="Calibri" w:hAnsi="Calibri" w:cs="Calibri"/>
        </w:rPr>
        <w:t xml:space="preserve"> response policing where officers routinely deal with people at </w:t>
      </w:r>
      <w:r w:rsidR="00261322" w:rsidRPr="002738F4">
        <w:rPr>
          <w:rFonts w:ascii="Calibri" w:hAnsi="Calibri" w:cs="Calibri"/>
        </w:rPr>
        <w:t>some of their worst moments</w:t>
      </w:r>
      <w:r w:rsidR="00635E5B" w:rsidRPr="002738F4">
        <w:rPr>
          <w:rFonts w:ascii="Calibri" w:hAnsi="Calibri" w:cs="Calibri"/>
        </w:rPr>
        <w:t xml:space="preserve">. Furthermore, these frameworks highlight the importance of reflective practice and continuous training improvements. </w:t>
      </w:r>
      <w:r w:rsidR="00635E5B" w:rsidRPr="002738F4">
        <w:rPr>
          <w:rFonts w:ascii="Calibri" w:hAnsi="Calibri" w:cs="Calibri"/>
        </w:rPr>
        <w:br/>
      </w:r>
      <w:r w:rsidR="00635E5B" w:rsidRPr="002738F4">
        <w:rPr>
          <w:rFonts w:ascii="Calibri" w:hAnsi="Calibri" w:cs="Calibri"/>
        </w:rPr>
        <w:br/>
        <w:t xml:space="preserve">Comparatively, policing has been slower to embed trauma informed practice into operational policing. Whilst healthcare sectors emphasise engagement and emotional awareness, policing has prioritised procedure, efficiency and control. The contrast between the sectors is clear showing structural limitation in policing and whilst there are clear differences in their </w:t>
      </w:r>
      <w:r w:rsidR="00EE63EE" w:rsidRPr="002738F4">
        <w:rPr>
          <w:rFonts w:ascii="Calibri" w:hAnsi="Calibri" w:cs="Calibri"/>
        </w:rPr>
        <w:t>obligatory care, the needs of the public change. This raises questions about whether frontline officers are adequately trained and resourced to apply trauma informed principles in the field.</w:t>
      </w:r>
      <w:r w:rsidR="004C06B5" w:rsidRPr="002738F4">
        <w:rPr>
          <w:rFonts w:ascii="Calibri" w:hAnsi="Calibri" w:cs="Calibri"/>
        </w:rPr>
        <w:br/>
      </w:r>
      <w:r w:rsidR="004C06B5" w:rsidRPr="002738F4">
        <w:rPr>
          <w:rFonts w:ascii="Calibri" w:hAnsi="Calibri" w:cs="Calibri"/>
        </w:rPr>
        <w:br/>
      </w:r>
      <w:r w:rsidR="00F977F8">
        <w:rPr>
          <w:rFonts w:ascii="Calibri" w:hAnsi="Calibri" w:cs="Calibri"/>
        </w:rPr>
        <w:t>(24</w:t>
      </w:r>
      <w:r w:rsidR="00C979B1">
        <w:rPr>
          <w:rFonts w:ascii="Calibri" w:hAnsi="Calibri" w:cs="Calibri"/>
        </w:rPr>
        <w:t xml:space="preserve">4 </w:t>
      </w:r>
      <w:r w:rsidR="00F977F8">
        <w:rPr>
          <w:rFonts w:ascii="Calibri" w:hAnsi="Calibri" w:cs="Calibri"/>
        </w:rPr>
        <w:t>Words)</w:t>
      </w:r>
      <w:r w:rsidR="004C06B5" w:rsidRPr="002738F4">
        <w:rPr>
          <w:rFonts w:ascii="Calibri" w:hAnsi="Calibri" w:cs="Calibri"/>
        </w:rPr>
        <w:br/>
      </w:r>
      <w:r w:rsidR="004C06B5" w:rsidRPr="002738F4">
        <w:rPr>
          <w:rFonts w:ascii="Calibri" w:hAnsi="Calibri" w:cs="Calibri"/>
          <w:i/>
          <w:iCs/>
          <w:u w:val="single"/>
        </w:rPr>
        <w:br/>
      </w:r>
      <w:r w:rsidR="004C06B5" w:rsidRPr="002738F4">
        <w:rPr>
          <w:rFonts w:ascii="Calibri" w:hAnsi="Calibri" w:cs="Calibri"/>
          <w:i/>
          <w:iCs/>
          <w:u w:val="single"/>
        </w:rPr>
        <w:br/>
      </w:r>
      <w:r w:rsidR="002738F4">
        <w:rPr>
          <w:rFonts w:ascii="Calibri" w:hAnsi="Calibri" w:cs="Calibri"/>
          <w:b/>
          <w:bCs/>
          <w:i/>
          <w:iCs/>
          <w:u w:val="single"/>
        </w:rPr>
        <w:t>Policing literature</w:t>
      </w:r>
    </w:p>
    <w:p w14:paraId="783AAE0C" w14:textId="77777777" w:rsidR="004C06B5" w:rsidRPr="002738F4" w:rsidRDefault="004C06B5" w:rsidP="00FC3B48">
      <w:pPr>
        <w:rPr>
          <w:rFonts w:ascii="Calibri" w:hAnsi="Calibri" w:cs="Calibri"/>
          <w:i/>
          <w:iCs/>
          <w:u w:val="single"/>
        </w:rPr>
      </w:pPr>
    </w:p>
    <w:p w14:paraId="2BDEEF5A" w14:textId="17D97AD2" w:rsidR="007E362F" w:rsidRPr="002738F4" w:rsidRDefault="004C06B5" w:rsidP="00FC3B48">
      <w:pPr>
        <w:rPr>
          <w:rFonts w:ascii="Calibri" w:hAnsi="Calibri" w:cs="Calibri"/>
        </w:rPr>
      </w:pPr>
      <w:r w:rsidRPr="002738F4">
        <w:rPr>
          <w:rFonts w:ascii="Calibri" w:hAnsi="Calibri" w:cs="Calibri"/>
        </w:rPr>
        <w:t>Policing focused literature has increasingly recognised the benefits to trauma informed approaches, specifically on the topic of sexual offences, domestic abuse and vulnerable victims. Campbells (2006) research on victims of rape shows that when such victims have negative interactions with police and the legal system in total, it can lead to re-traumatisation and contribute to victim withdrawals. Whilst victim focused, this research outlines the potential impact of early professional responses</w:t>
      </w:r>
      <w:r w:rsidR="00E303D4" w:rsidRPr="002738F4">
        <w:rPr>
          <w:rFonts w:ascii="Calibri" w:hAnsi="Calibri" w:cs="Calibri"/>
        </w:rPr>
        <w:t>, however, Campbells findings do not consider how such insights are utilised by response police officers, nor do they account for constraints under which officers operate in initial response to an incident.</w:t>
      </w:r>
      <w:r w:rsidRPr="002738F4">
        <w:rPr>
          <w:rFonts w:ascii="Calibri" w:hAnsi="Calibri" w:cs="Calibri"/>
        </w:rPr>
        <w:br/>
      </w:r>
      <w:r w:rsidRPr="002738F4">
        <w:rPr>
          <w:rFonts w:ascii="Calibri" w:hAnsi="Calibri" w:cs="Calibri"/>
        </w:rPr>
        <w:br/>
        <w:t xml:space="preserve">Elliot et al (2013) identifies that procedural justice, usually referred to as the fairness and transparency within the legal process, </w:t>
      </w:r>
      <w:r w:rsidR="009477BF" w:rsidRPr="002738F4">
        <w:rPr>
          <w:rFonts w:ascii="Calibri" w:hAnsi="Calibri" w:cs="Calibri"/>
        </w:rPr>
        <w:t xml:space="preserve">in the role of victim contact plays a large role in a victims long term recovery and </w:t>
      </w:r>
      <w:r w:rsidR="00A24679" w:rsidRPr="002738F4">
        <w:rPr>
          <w:rFonts w:ascii="Calibri" w:hAnsi="Calibri" w:cs="Calibri"/>
        </w:rPr>
        <w:t>ability to engage in the justice system. Such findings align with Tylers (2006) procedural justice theory which argues that perceptions of fairness and voice largely impact public trust and legitimacy. By looking at this with the thought of trauma informed policing, it shows potential for increased support for the victims wellbeing and supporting of current police goals for legitimacy. This literature assists in evidencing the above in respect of better outcomes for victims however, like similar work, it almost assumes that officers possess the time and training to apply procedural justice principles with consistency</w:t>
      </w:r>
      <w:r w:rsidR="00E303D4" w:rsidRPr="002738F4">
        <w:rPr>
          <w:rFonts w:ascii="Calibri" w:hAnsi="Calibri" w:cs="Calibri"/>
        </w:rPr>
        <w:t xml:space="preserve">. When looking at the world of response policing, officers must prioritise risk management, evidence preservation and sound, ethical decision making, therefore the </w:t>
      </w:r>
      <w:r w:rsidR="00E303D4" w:rsidRPr="002738F4">
        <w:rPr>
          <w:rFonts w:ascii="Calibri" w:hAnsi="Calibri" w:cs="Calibri"/>
        </w:rPr>
        <w:lastRenderedPageBreak/>
        <w:t xml:space="preserve">extent to which such principles can be applied remains uncertain. This raises questions to the feasibility of trauma informed and procedural just approaches in frontline policing. </w:t>
      </w:r>
      <w:r w:rsidR="00E303D4" w:rsidRPr="002738F4">
        <w:rPr>
          <w:rFonts w:ascii="Calibri" w:hAnsi="Calibri" w:cs="Calibri"/>
        </w:rPr>
        <w:br/>
      </w:r>
      <w:r w:rsidR="00E303D4" w:rsidRPr="002738F4">
        <w:rPr>
          <w:rFonts w:ascii="Calibri" w:hAnsi="Calibri" w:cs="Calibri"/>
        </w:rPr>
        <w:br/>
        <w:t>Current empirical evidence from Bennet et al (2025) suggests that trauma informed training can positively influence sexual offences investigations outcomes with the inclusion of victim engagement and investigative</w:t>
      </w:r>
      <w:r w:rsidR="00A06382" w:rsidRPr="002738F4">
        <w:rPr>
          <w:rFonts w:ascii="Calibri" w:hAnsi="Calibri" w:cs="Calibri"/>
        </w:rPr>
        <w:t xml:space="preserve"> quality. This study provides valuable modern evidence in support of trauma informed investigative strategies however it focuses specifically on specialist investigators as apposed to response officers which in the context of the question at hand limits its applicability to response policing. Specialist investigators typically operate in more controlled settings and have long term engagement with victims whereas response officers typically assist victims during the immediate aftermath of an incident. As a result, these findings may overestimate the extent that trauma informed principles can be transferred to frontline contexts without adaptation. </w:t>
      </w:r>
      <w:r w:rsidR="00A06382" w:rsidRPr="002738F4">
        <w:rPr>
          <w:rFonts w:ascii="Calibri" w:hAnsi="Calibri" w:cs="Calibri"/>
        </w:rPr>
        <w:br/>
      </w:r>
      <w:r w:rsidR="00A06382" w:rsidRPr="002738F4">
        <w:rPr>
          <w:rFonts w:ascii="Calibri" w:hAnsi="Calibri" w:cs="Calibri"/>
        </w:rPr>
        <w:br/>
      </w:r>
      <w:r w:rsidR="007B021B" w:rsidRPr="002738F4">
        <w:rPr>
          <w:rFonts w:ascii="Calibri" w:hAnsi="Calibri" w:cs="Calibri"/>
        </w:rPr>
        <w:t xml:space="preserve">The </w:t>
      </w:r>
      <w:r w:rsidR="00A06382" w:rsidRPr="002738F4">
        <w:rPr>
          <w:rFonts w:ascii="Calibri" w:hAnsi="Calibri" w:cs="Calibri"/>
        </w:rPr>
        <w:t xml:space="preserve">existing policing focused literature generally supports the value of trauma informed practice but it tends to focus on specialist units, victim outcomes or policy aspiration instead of the realities of response policing. The perspectives </w:t>
      </w:r>
      <w:r w:rsidR="003918AE" w:rsidRPr="002738F4">
        <w:rPr>
          <w:rFonts w:ascii="Calibri" w:hAnsi="Calibri" w:cs="Calibri"/>
        </w:rPr>
        <w:t>from</w:t>
      </w:r>
      <w:r w:rsidR="00A06382" w:rsidRPr="002738F4">
        <w:rPr>
          <w:rFonts w:ascii="Calibri" w:hAnsi="Calibri" w:cs="Calibri"/>
        </w:rPr>
        <w:t xml:space="preserve"> response officers</w:t>
      </w:r>
      <w:r w:rsidR="00E438D2" w:rsidRPr="002738F4">
        <w:rPr>
          <w:rFonts w:ascii="Calibri" w:hAnsi="Calibri" w:cs="Calibri"/>
        </w:rPr>
        <w:t xml:space="preserve"> remain comparatively underexplored. This gap is significant</w:t>
      </w:r>
      <w:r w:rsidR="003918AE" w:rsidRPr="002738F4">
        <w:rPr>
          <w:rFonts w:ascii="Calibri" w:hAnsi="Calibri" w:cs="Calibri"/>
        </w:rPr>
        <w:t xml:space="preserve"> to the question</w:t>
      </w:r>
      <w:r w:rsidR="00E438D2" w:rsidRPr="002738F4">
        <w:rPr>
          <w:rFonts w:ascii="Calibri" w:hAnsi="Calibri" w:cs="Calibri"/>
        </w:rPr>
        <w:t>, as it is during first contact with police that trauma responses are most prevalent and the foundations for trust are created. By addressing this gap, it can assist in understanding how trauma informed policing operates in practice rather than theory from policy.</w:t>
      </w:r>
      <w:r w:rsidR="00F977F8">
        <w:rPr>
          <w:rFonts w:ascii="Calibri" w:hAnsi="Calibri" w:cs="Calibri"/>
        </w:rPr>
        <w:br/>
      </w:r>
      <w:r w:rsidR="00F977F8">
        <w:rPr>
          <w:rFonts w:ascii="Calibri" w:hAnsi="Calibri" w:cs="Calibri"/>
        </w:rPr>
        <w:br/>
        <w:t>(488 Words)</w:t>
      </w:r>
      <w:r w:rsidR="00E438D2" w:rsidRPr="002738F4">
        <w:rPr>
          <w:rFonts w:ascii="Calibri" w:hAnsi="Calibri" w:cs="Calibri"/>
        </w:rPr>
        <w:br/>
      </w:r>
      <w:r w:rsidR="00E438D2" w:rsidRPr="002738F4">
        <w:rPr>
          <w:rFonts w:ascii="Calibri" w:hAnsi="Calibri" w:cs="Calibri"/>
        </w:rPr>
        <w:br/>
      </w:r>
      <w:r w:rsidR="007E362F" w:rsidRPr="002738F4">
        <w:rPr>
          <w:rFonts w:ascii="Calibri" w:hAnsi="Calibri" w:cs="Calibri"/>
        </w:rPr>
        <w:br/>
      </w:r>
      <w:r w:rsidR="007E362F" w:rsidRPr="002738F4">
        <w:rPr>
          <w:rFonts w:ascii="Calibri" w:hAnsi="Calibri" w:cs="Calibri"/>
          <w:i/>
          <w:iCs/>
          <w:u w:val="single"/>
        </w:rPr>
        <w:br/>
      </w:r>
      <w:r w:rsidR="007E362F" w:rsidRPr="002738F4">
        <w:rPr>
          <w:rFonts w:ascii="Calibri" w:hAnsi="Calibri" w:cs="Calibri"/>
          <w:b/>
          <w:bCs/>
          <w:i/>
          <w:iCs/>
          <w:u w:val="single"/>
        </w:rPr>
        <w:t>Policy, Policing and training</w:t>
      </w:r>
      <w:r w:rsidR="00BA568F" w:rsidRPr="002738F4">
        <w:rPr>
          <w:rFonts w:ascii="Calibri" w:hAnsi="Calibri" w:cs="Calibri"/>
          <w:b/>
          <w:bCs/>
          <w:i/>
          <w:iCs/>
          <w:u w:val="single"/>
        </w:rPr>
        <w:t xml:space="preserve"> frameworks</w:t>
      </w:r>
    </w:p>
    <w:p w14:paraId="3682F7FA" w14:textId="77777777" w:rsidR="007E362F" w:rsidRPr="002738F4" w:rsidRDefault="007E362F" w:rsidP="00FC3B48">
      <w:pPr>
        <w:rPr>
          <w:rFonts w:ascii="Calibri" w:hAnsi="Calibri" w:cs="Calibri"/>
        </w:rPr>
      </w:pPr>
    </w:p>
    <w:p w14:paraId="2CAF1BEC" w14:textId="7059A1E8" w:rsidR="004C06B5" w:rsidRPr="002738F4" w:rsidRDefault="007E362F" w:rsidP="00FC3B48">
      <w:pPr>
        <w:rPr>
          <w:rFonts w:ascii="Calibri" w:hAnsi="Calibri" w:cs="Calibri"/>
        </w:rPr>
      </w:pPr>
      <w:r w:rsidRPr="002738F4">
        <w:rPr>
          <w:rFonts w:ascii="Calibri" w:hAnsi="Calibri" w:cs="Calibri"/>
        </w:rPr>
        <w:t>Policing policies within the United Kingdom over the years have increasingly emphasised vulnerability and victim centred practice. The college of policing (2021) pushes vulnerability risks as core operational concern, whilst inspection reports from His Majesty's Inspectorate of Constabulary and Fire &amp; Rescue Services (HMICFRS) have consistently stressed the importance of effective early police responses, especially in relation to violence against woman and girls (HMICFRS, 2022). Such policy documents and reports imply that trauma informed practice is an expectation of a modern police service and being ethically required.</w:t>
      </w:r>
      <w:r w:rsidRPr="002738F4">
        <w:rPr>
          <w:rFonts w:ascii="Calibri" w:hAnsi="Calibri" w:cs="Calibri"/>
        </w:rPr>
        <w:br/>
      </w:r>
      <w:r w:rsidRPr="002738F4">
        <w:rPr>
          <w:rFonts w:ascii="Calibri" w:hAnsi="Calibri" w:cs="Calibri"/>
        </w:rPr>
        <w:br/>
        <w:t>Initiatives such as the 2025 Policing Vision (NPCC and APCC 2016) further reinforce these points by pushing for an evidence based, professionalised police service</w:t>
      </w:r>
      <w:r w:rsidR="002A589C" w:rsidRPr="002738F4">
        <w:rPr>
          <w:rFonts w:ascii="Calibri" w:hAnsi="Calibri" w:cs="Calibri"/>
        </w:rPr>
        <w:t xml:space="preserve">. Trauma informed policing aligns with such aspirations, particularly in regard to legitimacy and victim engagement. However, these documents mainly articulate what policing should aspire to </w:t>
      </w:r>
      <w:r w:rsidR="002A589C" w:rsidRPr="002738F4">
        <w:rPr>
          <w:rFonts w:ascii="Calibri" w:hAnsi="Calibri" w:cs="Calibri"/>
        </w:rPr>
        <w:lastRenderedPageBreak/>
        <w:t>and whilst it offers some guidance as to how such principles should be embedded, it remains limited within the realities of response policing. This reflects critique of policing policy, which often focuses on ideals over practical implementation (Reiner, 2010).</w:t>
      </w:r>
      <w:r w:rsidR="002A589C" w:rsidRPr="002738F4">
        <w:rPr>
          <w:rFonts w:ascii="Calibri" w:hAnsi="Calibri" w:cs="Calibri"/>
        </w:rPr>
        <w:br/>
      </w:r>
      <w:r w:rsidR="002A589C" w:rsidRPr="002738F4">
        <w:rPr>
          <w:rFonts w:ascii="Calibri" w:hAnsi="Calibri" w:cs="Calibri"/>
        </w:rPr>
        <w:br/>
        <w:t>Despite the clear commitments set out by reports, HMICFRS inspections continue to identify persistent inconsistencies in victim care, officer experience and confidence and the general quality of frontline responses across national forces (HMICFRS, 2021; 2023). This leads to the suggestion</w:t>
      </w:r>
      <w:r w:rsidR="00221226" w:rsidRPr="002738F4">
        <w:rPr>
          <w:rFonts w:ascii="Calibri" w:hAnsi="Calibri" w:cs="Calibri"/>
        </w:rPr>
        <w:t xml:space="preserve"> of a large gap between the intent of policy versus its operational practicality and delivery. Organisational research into such policies suggest that their reforms commonly struggle to translate into consistent practice due to factors such as resourcing, clashing priorities and occupational culture (Loftus, 2009). In this context, trauma informed policing risks becoming a rhetorical framework instead of embedded practice.</w:t>
      </w:r>
      <w:r w:rsidR="00221226" w:rsidRPr="002738F4">
        <w:rPr>
          <w:rFonts w:ascii="Calibri" w:hAnsi="Calibri" w:cs="Calibri"/>
        </w:rPr>
        <w:br/>
      </w:r>
      <w:r w:rsidR="00221226" w:rsidRPr="002738F4">
        <w:rPr>
          <w:rFonts w:ascii="Calibri" w:hAnsi="Calibri" w:cs="Calibri"/>
        </w:rPr>
        <w:br/>
        <w:t>Training centred literature reinforces the divide between policies intent and practice. Whilst trauma informed approaches have become increasingly referenced in policing guidance, empirical research points to trauma related training remains unevenly delivered in policing. Gillespie-Smith et al. (202</w:t>
      </w:r>
      <w:r w:rsidR="00A86B5E">
        <w:rPr>
          <w:rFonts w:ascii="Calibri" w:hAnsi="Calibri" w:cs="Calibri"/>
        </w:rPr>
        <w:t>0</w:t>
      </w:r>
      <w:r w:rsidR="00221226" w:rsidRPr="002738F4">
        <w:rPr>
          <w:rFonts w:ascii="Calibri" w:hAnsi="Calibri" w:cs="Calibri"/>
        </w:rPr>
        <w:t xml:space="preserve">) discovered that response officers </w:t>
      </w:r>
      <w:r w:rsidR="00084D80" w:rsidRPr="002738F4">
        <w:rPr>
          <w:rFonts w:ascii="Calibri" w:hAnsi="Calibri" w:cs="Calibri"/>
        </w:rPr>
        <w:t>report limited formal training in trauma awareness with officers relying on experience with victims. That finding aligns with broader research on training in the police, which demonstrates varying interpretations and application of existing policies between officers (Bradford and Myhill, 2015).</w:t>
      </w:r>
      <w:r w:rsidR="00084D80" w:rsidRPr="002738F4">
        <w:rPr>
          <w:rFonts w:ascii="Calibri" w:hAnsi="Calibri" w:cs="Calibri"/>
        </w:rPr>
        <w:br/>
      </w:r>
      <w:r w:rsidR="00084D80" w:rsidRPr="002738F4">
        <w:rPr>
          <w:rFonts w:ascii="Calibri" w:hAnsi="Calibri" w:cs="Calibri"/>
        </w:rPr>
        <w:br/>
        <w:t>Together, this literature implies that although there is principles of trauma informed practice embedded within policing policy and visions, there is limited understanding of how these expectations are interpreted and practiced in operational settings. Existing research has mainly examined policing frameworks, inspection outcomes or specialist practice</w:t>
      </w:r>
      <w:r w:rsidR="00A86B5E">
        <w:rPr>
          <w:rFonts w:ascii="Calibri" w:hAnsi="Calibri" w:cs="Calibri"/>
        </w:rPr>
        <w:t xml:space="preserve">. </w:t>
      </w:r>
      <w:r w:rsidR="00A86B5E" w:rsidRPr="002738F4">
        <w:rPr>
          <w:rFonts w:ascii="Calibri" w:hAnsi="Calibri" w:cs="Calibri"/>
        </w:rPr>
        <w:t>Gillespie-Smith et al. (202</w:t>
      </w:r>
      <w:r w:rsidR="00A86B5E">
        <w:rPr>
          <w:rFonts w:ascii="Calibri" w:hAnsi="Calibri" w:cs="Calibri"/>
        </w:rPr>
        <w:t>0</w:t>
      </w:r>
      <w:r w:rsidR="00A86B5E" w:rsidRPr="002738F4">
        <w:rPr>
          <w:rFonts w:ascii="Calibri" w:hAnsi="Calibri" w:cs="Calibri"/>
        </w:rPr>
        <w:t>)</w:t>
      </w:r>
      <w:r w:rsidR="00A86B5E">
        <w:rPr>
          <w:rFonts w:ascii="Calibri" w:hAnsi="Calibri" w:cs="Calibri"/>
        </w:rPr>
        <w:t xml:space="preserve"> is one of the closest pieces of work to the question at hand however it focuses on adverse child hood experiences</w:t>
      </w:r>
      <w:r w:rsidR="00A86B5E" w:rsidRPr="002738F4">
        <w:rPr>
          <w:rFonts w:ascii="Calibri" w:hAnsi="Calibri" w:cs="Calibri"/>
        </w:rPr>
        <w:t xml:space="preserve"> </w:t>
      </w:r>
      <w:r w:rsidR="00084D80" w:rsidRPr="002738F4">
        <w:rPr>
          <w:rFonts w:ascii="Calibri" w:hAnsi="Calibri" w:cs="Calibri"/>
        </w:rPr>
        <w:t xml:space="preserve">leaving the understanding and practices of response officers </w:t>
      </w:r>
      <w:r w:rsidR="00A86B5E">
        <w:rPr>
          <w:rFonts w:ascii="Calibri" w:hAnsi="Calibri" w:cs="Calibri"/>
        </w:rPr>
        <w:t xml:space="preserve">in general trauma response </w:t>
      </w:r>
      <w:r w:rsidR="00084D80" w:rsidRPr="002738F4">
        <w:rPr>
          <w:rFonts w:ascii="Calibri" w:hAnsi="Calibri" w:cs="Calibri"/>
        </w:rPr>
        <w:t xml:space="preserve">underexplored. Being that response policing is usually the first section to attend traumatic incidents, such research is important to provide insight into their understanding and ability to provide the required service. </w:t>
      </w:r>
      <w:r w:rsidR="00F977F8">
        <w:rPr>
          <w:rFonts w:ascii="Calibri" w:hAnsi="Calibri" w:cs="Calibri"/>
        </w:rPr>
        <w:br/>
      </w:r>
      <w:r w:rsidR="00F977F8">
        <w:rPr>
          <w:rFonts w:ascii="Calibri" w:hAnsi="Calibri" w:cs="Calibri"/>
        </w:rPr>
        <w:br/>
        <w:t>(470 Words)</w:t>
      </w:r>
      <w:r w:rsidR="00070D59" w:rsidRPr="002738F4">
        <w:rPr>
          <w:rFonts w:ascii="Calibri" w:hAnsi="Calibri" w:cs="Calibri"/>
        </w:rPr>
        <w:br/>
      </w:r>
      <w:r w:rsidR="00070D59" w:rsidRPr="002738F4">
        <w:rPr>
          <w:rFonts w:ascii="Calibri" w:hAnsi="Calibri" w:cs="Calibri"/>
        </w:rPr>
        <w:br/>
      </w:r>
      <w:r w:rsidR="00070D59" w:rsidRPr="002738F4">
        <w:rPr>
          <w:rFonts w:ascii="Calibri" w:hAnsi="Calibri" w:cs="Calibri"/>
          <w:i/>
          <w:iCs/>
          <w:u w:val="single"/>
        </w:rPr>
        <w:br/>
      </w:r>
      <w:r w:rsidR="00070D59" w:rsidRPr="002738F4">
        <w:rPr>
          <w:rFonts w:ascii="Calibri" w:hAnsi="Calibri" w:cs="Calibri"/>
          <w:i/>
          <w:iCs/>
          <w:u w:val="single"/>
        </w:rPr>
        <w:br/>
        <w:t>Policing culture and officer wellbeing</w:t>
      </w:r>
      <w:r w:rsidR="00BA568F" w:rsidRPr="002738F4">
        <w:rPr>
          <w:rFonts w:ascii="Calibri" w:hAnsi="Calibri" w:cs="Calibri"/>
          <w:i/>
          <w:iCs/>
          <w:u w:val="single"/>
        </w:rPr>
        <w:t xml:space="preserve"> literature</w:t>
      </w:r>
      <w:r w:rsidR="00E303D4" w:rsidRPr="002738F4">
        <w:rPr>
          <w:rFonts w:ascii="Calibri" w:hAnsi="Calibri" w:cs="Calibri"/>
        </w:rPr>
        <w:br/>
      </w:r>
      <w:r w:rsidR="00070D59" w:rsidRPr="002738F4">
        <w:rPr>
          <w:rFonts w:ascii="Calibri" w:hAnsi="Calibri" w:cs="Calibri"/>
        </w:rPr>
        <w:br/>
        <w:t xml:space="preserve">Literature that examines policing culture provides important context to understand how trauma informed principles may be interpreted and utilised in practice. Reiner (2010) explains policing culture to be shaped by values of control, efficiency, suspicion and emotional regulation which is stated to be developed in response to occupational </w:t>
      </w:r>
      <w:r w:rsidR="00070D59" w:rsidRPr="002738F4">
        <w:rPr>
          <w:rFonts w:ascii="Calibri" w:hAnsi="Calibri" w:cs="Calibri"/>
        </w:rPr>
        <w:lastRenderedPageBreak/>
        <w:t>uncertainty. Whilst these factors</w:t>
      </w:r>
      <w:r w:rsidR="00A340BA" w:rsidRPr="002738F4">
        <w:rPr>
          <w:rFonts w:ascii="Calibri" w:hAnsi="Calibri" w:cs="Calibri"/>
        </w:rPr>
        <w:t xml:space="preserve"> do serve a purpose for the job, researchers note tension between those norms and trauma informed principles that emphasise patience and emotional sensitivity. Existing analyses however do not directly answer how officers understand and deal with the competing expectations during encounters with victims of trauma.</w:t>
      </w:r>
      <w:r w:rsidR="00A340BA" w:rsidRPr="002738F4">
        <w:rPr>
          <w:rFonts w:ascii="Calibri" w:hAnsi="Calibri" w:cs="Calibri"/>
        </w:rPr>
        <w:br/>
      </w:r>
      <w:r w:rsidR="00A340BA" w:rsidRPr="002738F4">
        <w:rPr>
          <w:rFonts w:ascii="Calibri" w:hAnsi="Calibri" w:cs="Calibri"/>
        </w:rPr>
        <w:br/>
        <w:t>Loftus (2009) highlights significance of cultural norms and experience in shaping response policing. The reliance on common sense decision making may limit consistent application of policing frameworks, including trauma informed approaches.</w:t>
      </w:r>
      <w:r w:rsidR="00960C83" w:rsidRPr="002738F4">
        <w:rPr>
          <w:rFonts w:ascii="Calibri" w:hAnsi="Calibri" w:cs="Calibri"/>
        </w:rPr>
        <w:t xml:space="preserve"> Whilst Loftus acknowledges the general adaptability of response officers, the literature offers limited insight to whether growing experience and learning on the job enhances or undermines trauma informed practice. </w:t>
      </w:r>
      <w:r w:rsidR="00A06837" w:rsidRPr="002738F4">
        <w:rPr>
          <w:rFonts w:ascii="Calibri" w:hAnsi="Calibri" w:cs="Calibri"/>
        </w:rPr>
        <w:t>As such, assumptions that response officers integrate trauma informed practice into their daily decision making remains largely untested.</w:t>
      </w:r>
      <w:r w:rsidR="00A06837" w:rsidRPr="002738F4">
        <w:rPr>
          <w:rFonts w:ascii="Calibri" w:hAnsi="Calibri" w:cs="Calibri"/>
        </w:rPr>
        <w:br/>
      </w:r>
      <w:r w:rsidR="00A06837" w:rsidRPr="002738F4">
        <w:rPr>
          <w:rFonts w:ascii="Calibri" w:hAnsi="Calibri" w:cs="Calibri"/>
        </w:rPr>
        <w:br/>
      </w:r>
      <w:r w:rsidR="009F7260" w:rsidRPr="002738F4">
        <w:rPr>
          <w:rFonts w:ascii="Calibri" w:hAnsi="Calibri" w:cs="Calibri"/>
        </w:rPr>
        <w:t xml:space="preserve">Literature also recognises that repeated exposure to trauma has the ability to affect police officers themselves. Many pieces of psychological literature such as Violanti et al. (2017) identify that chronic exposure to traumatic incidents can lead to emotional numbing, stress disorders and reduces empathy. It is therefore suggested that officers experiencing such symptoms may be less effective in their role with victims of trauma. Whilst this research and understanding </w:t>
      </w:r>
      <w:r w:rsidR="007B021B" w:rsidRPr="002738F4">
        <w:rPr>
          <w:rFonts w:ascii="Calibri" w:hAnsi="Calibri" w:cs="Calibri"/>
        </w:rPr>
        <w:t>shows t</w:t>
      </w:r>
      <w:r w:rsidR="009F7260" w:rsidRPr="002738F4">
        <w:rPr>
          <w:rFonts w:ascii="Calibri" w:hAnsi="Calibri" w:cs="Calibri"/>
        </w:rPr>
        <w:t xml:space="preserve">he importance of acknowledging officer wellbeing, much of the </w:t>
      </w:r>
      <w:r w:rsidR="007B021B" w:rsidRPr="002738F4">
        <w:rPr>
          <w:rFonts w:ascii="Calibri" w:hAnsi="Calibri" w:cs="Calibri"/>
        </w:rPr>
        <w:t>work</w:t>
      </w:r>
      <w:r w:rsidR="009F7260" w:rsidRPr="002738F4">
        <w:rPr>
          <w:rFonts w:ascii="Calibri" w:hAnsi="Calibri" w:cs="Calibri"/>
        </w:rPr>
        <w:t xml:space="preserve"> treats officer and victim trauma as separate entities. There is limited exploration of how officers own trauma directly effects their ability to implement trauma informed practice and shape their perceptions of a victims potential behaviour. </w:t>
      </w:r>
      <w:r w:rsidR="009F7260" w:rsidRPr="002738F4">
        <w:rPr>
          <w:rFonts w:ascii="Calibri" w:hAnsi="Calibri" w:cs="Calibri"/>
        </w:rPr>
        <w:br/>
      </w:r>
      <w:r w:rsidR="009F7260" w:rsidRPr="002738F4">
        <w:rPr>
          <w:rFonts w:ascii="Calibri" w:hAnsi="Calibri" w:cs="Calibri"/>
        </w:rPr>
        <w:br/>
        <w:t>This body of literature suggests that policing culture, experience in the role and officers own wellbeing are likely to play a large role in shaping understanding of trauma informed policing. Existing literature offers some clarity on these issues but as stated, there is limited integration of those factors in total consideration, especially in response policing</w:t>
      </w:r>
      <w:r w:rsidR="006876CB" w:rsidRPr="002738F4">
        <w:rPr>
          <w:rFonts w:ascii="Calibri" w:hAnsi="Calibri" w:cs="Calibri"/>
        </w:rPr>
        <w:t xml:space="preserve">. </w:t>
      </w:r>
      <w:r w:rsidR="00F977F8">
        <w:rPr>
          <w:rFonts w:ascii="Calibri" w:hAnsi="Calibri" w:cs="Calibri"/>
        </w:rPr>
        <w:br/>
      </w:r>
      <w:r w:rsidR="00F977F8">
        <w:rPr>
          <w:rFonts w:ascii="Calibri" w:hAnsi="Calibri" w:cs="Calibri"/>
        </w:rPr>
        <w:br/>
        <w:t>(345 Words)</w:t>
      </w:r>
      <w:r w:rsidR="006876CB" w:rsidRPr="002738F4">
        <w:rPr>
          <w:rFonts w:ascii="Calibri" w:hAnsi="Calibri" w:cs="Calibri"/>
        </w:rPr>
        <w:br/>
      </w:r>
      <w:r w:rsidR="006876CB" w:rsidRPr="002738F4">
        <w:rPr>
          <w:rFonts w:ascii="Calibri" w:hAnsi="Calibri" w:cs="Calibri"/>
        </w:rPr>
        <w:br/>
      </w:r>
      <w:r w:rsidR="006876CB" w:rsidRPr="002738F4">
        <w:rPr>
          <w:rFonts w:ascii="Calibri" w:hAnsi="Calibri" w:cs="Calibri"/>
        </w:rPr>
        <w:br/>
      </w:r>
      <w:r w:rsidR="006876CB" w:rsidRPr="002738F4">
        <w:rPr>
          <w:rFonts w:ascii="Calibri" w:hAnsi="Calibri" w:cs="Calibri"/>
          <w:i/>
          <w:iCs/>
          <w:u w:val="single"/>
        </w:rPr>
        <w:br/>
        <w:t>The research gap</w:t>
      </w:r>
      <w:r w:rsidR="00E303D4" w:rsidRPr="002738F4">
        <w:rPr>
          <w:rFonts w:ascii="Calibri" w:hAnsi="Calibri" w:cs="Calibri"/>
        </w:rPr>
        <w:br/>
      </w:r>
    </w:p>
    <w:p w14:paraId="3A1DBFF6" w14:textId="02261CDA" w:rsidR="006876CB" w:rsidRDefault="006876CB" w:rsidP="00FC3B48">
      <w:pPr>
        <w:rPr>
          <w:rFonts w:ascii="Calibri" w:hAnsi="Calibri" w:cs="Calibri"/>
          <w:b/>
          <w:bCs/>
          <w:i/>
          <w:iCs/>
          <w:u w:val="single"/>
        </w:rPr>
      </w:pPr>
      <w:r w:rsidRPr="002738F4">
        <w:rPr>
          <w:rFonts w:ascii="Calibri" w:hAnsi="Calibri" w:cs="Calibri"/>
        </w:rPr>
        <w:t xml:space="preserve">The reviewed literature within this work clearly establishes several items. Trauma informed practice is theoretically robust and operationally beneficial but existing foundational psychological research explains why trauma responses may be misunderstood. Policing based reports and research demonstrates that there is potential consequences of such misunderstandings regarding victim engagement, trust and outcomes of crimes. Trauma </w:t>
      </w:r>
      <w:r w:rsidRPr="002738F4">
        <w:rPr>
          <w:rFonts w:ascii="Calibri" w:hAnsi="Calibri" w:cs="Calibri"/>
        </w:rPr>
        <w:lastRenderedPageBreak/>
        <w:t>informed approaches have also been embedded within several services areas for some time and within the justice system has been used in areas such as correctional and rehabilitative services (Miller and Najavits, 2012).</w:t>
      </w:r>
      <w:r w:rsidRPr="002738F4">
        <w:rPr>
          <w:rFonts w:ascii="Calibri" w:hAnsi="Calibri" w:cs="Calibri"/>
        </w:rPr>
        <w:br/>
      </w:r>
      <w:r w:rsidRPr="002738F4">
        <w:rPr>
          <w:rFonts w:ascii="Calibri" w:hAnsi="Calibri" w:cs="Calibri"/>
        </w:rPr>
        <w:br/>
        <w:t xml:space="preserve">However, there is a gap in understanding with how frontline response police officers perceive and apply trauma informed practice in their regular duties, including and primarily with </w:t>
      </w:r>
      <w:r w:rsidR="00C07706" w:rsidRPr="002738F4">
        <w:rPr>
          <w:rFonts w:ascii="Calibri" w:hAnsi="Calibri" w:cs="Calibri"/>
        </w:rPr>
        <w:t>first contact. Existing research focuses on the expectations of policy, specialist unit and training outcomes or victim experiences, whilst such aspects are important in total, it leaves the primary practitioners</w:t>
      </w:r>
      <w:r w:rsidR="00B56AB2">
        <w:rPr>
          <w:rFonts w:ascii="Calibri" w:hAnsi="Calibri" w:cs="Calibri"/>
        </w:rPr>
        <w:t xml:space="preserve"> (which in this case is response police officers) </w:t>
      </w:r>
      <w:r w:rsidR="00C07706" w:rsidRPr="002738F4">
        <w:rPr>
          <w:rFonts w:ascii="Calibri" w:hAnsi="Calibri" w:cs="Calibri"/>
        </w:rPr>
        <w:t>perspective underexplored</w:t>
      </w:r>
      <w:r w:rsidR="00B56AB2">
        <w:rPr>
          <w:rFonts w:ascii="Calibri" w:hAnsi="Calibri" w:cs="Calibri"/>
        </w:rPr>
        <w:t xml:space="preserve"> as a whole.</w:t>
      </w:r>
      <w:r w:rsidR="00C07706" w:rsidRPr="002738F4">
        <w:rPr>
          <w:rFonts w:ascii="Calibri" w:hAnsi="Calibri" w:cs="Calibri"/>
        </w:rPr>
        <w:br/>
      </w:r>
      <w:r w:rsidR="00C07706" w:rsidRPr="002738F4">
        <w:rPr>
          <w:rFonts w:ascii="Calibri" w:hAnsi="Calibri" w:cs="Calibri"/>
        </w:rPr>
        <w:br/>
        <w:t>Given that response officers are regularly the first point of contact for trauma victims, their perspective and understanding of trauma informed principles and their practice of such is critical. This study seeks to explore how frontline response police officers understand trauma informed policing and how they apply that understanding to live incidents in practice. By addressing this gap, the research will contribute a practitioner focused perspective which meets the expectations of modern day policing. This research will also aim to support evidence-based improvements in training, policy consideration and victim care.</w:t>
      </w:r>
      <w:r w:rsidR="00F977F8">
        <w:rPr>
          <w:rFonts w:ascii="Calibri" w:hAnsi="Calibri" w:cs="Calibri"/>
        </w:rPr>
        <w:br/>
      </w:r>
      <w:r w:rsidR="00F977F8">
        <w:rPr>
          <w:rFonts w:ascii="Calibri" w:hAnsi="Calibri" w:cs="Calibri"/>
        </w:rPr>
        <w:br/>
        <w:t>(2</w:t>
      </w:r>
      <w:r w:rsidR="00545FBE">
        <w:rPr>
          <w:rFonts w:ascii="Calibri" w:hAnsi="Calibri" w:cs="Calibri"/>
        </w:rPr>
        <w:t>47</w:t>
      </w:r>
      <w:r w:rsidR="00F977F8">
        <w:rPr>
          <w:rFonts w:ascii="Calibri" w:hAnsi="Calibri" w:cs="Calibri"/>
        </w:rPr>
        <w:t xml:space="preserve"> Words)</w:t>
      </w:r>
      <w:r w:rsidR="00F977F8">
        <w:rPr>
          <w:rFonts w:ascii="Calibri" w:hAnsi="Calibri" w:cs="Calibri"/>
        </w:rPr>
        <w:br/>
      </w:r>
      <w:r w:rsidR="00F977F8">
        <w:rPr>
          <w:rFonts w:ascii="Calibri" w:hAnsi="Calibri" w:cs="Calibri"/>
        </w:rPr>
        <w:br/>
      </w:r>
      <w:r w:rsidR="00F977F8">
        <w:rPr>
          <w:rFonts w:ascii="Calibri" w:hAnsi="Calibri" w:cs="Calibri"/>
        </w:rPr>
        <w:br/>
      </w:r>
      <w:r w:rsidR="00F977F8">
        <w:rPr>
          <w:rFonts w:ascii="Calibri" w:hAnsi="Calibri" w:cs="Calibri"/>
        </w:rPr>
        <w:br/>
        <w:t>Total word count: 2</w:t>
      </w:r>
      <w:r w:rsidR="00545FBE">
        <w:rPr>
          <w:rFonts w:ascii="Calibri" w:hAnsi="Calibri" w:cs="Calibri"/>
        </w:rPr>
        <w:t>405</w:t>
      </w:r>
      <w:r w:rsidR="00F977F8">
        <w:rPr>
          <w:rFonts w:ascii="Calibri" w:hAnsi="Calibri" w:cs="Calibri"/>
        </w:rPr>
        <w:t xml:space="preserve"> Words</w:t>
      </w:r>
      <w:r w:rsidR="00A33673">
        <w:rPr>
          <w:rFonts w:ascii="Calibri" w:hAnsi="Calibri" w:cs="Calibri"/>
        </w:rPr>
        <w:t xml:space="preserve"> (Not including titles and reference list)</w:t>
      </w:r>
      <w:r w:rsidR="00F977F8">
        <w:rPr>
          <w:rFonts w:ascii="Calibri" w:hAnsi="Calibri" w:cs="Calibri"/>
        </w:rPr>
        <w:br/>
      </w:r>
      <w:r w:rsidR="004B0036">
        <w:rPr>
          <w:rFonts w:ascii="Calibri" w:hAnsi="Calibri" w:cs="Calibri"/>
        </w:rPr>
        <w:br/>
      </w:r>
      <w:r w:rsidR="004B0036">
        <w:rPr>
          <w:rFonts w:ascii="Calibri" w:hAnsi="Calibri" w:cs="Calibri"/>
        </w:rPr>
        <w:br/>
      </w:r>
      <w:r w:rsidR="004B0036">
        <w:rPr>
          <w:rFonts w:ascii="Calibri" w:hAnsi="Calibri" w:cs="Calibri"/>
        </w:rPr>
        <w:br/>
      </w:r>
      <w:r w:rsidR="004B0036">
        <w:rPr>
          <w:rFonts w:ascii="Calibri" w:hAnsi="Calibri" w:cs="Calibri"/>
        </w:rPr>
        <w:br/>
      </w:r>
      <w:r w:rsidR="004B0036">
        <w:rPr>
          <w:rFonts w:ascii="Calibri" w:hAnsi="Calibri" w:cs="Calibri"/>
        </w:rPr>
        <w:br/>
      </w:r>
      <w:r w:rsidR="004B0036">
        <w:rPr>
          <w:rFonts w:ascii="Calibri" w:hAnsi="Calibri" w:cs="Calibri"/>
        </w:rPr>
        <w:br/>
      </w:r>
      <w:r w:rsidR="004B0036">
        <w:rPr>
          <w:rFonts w:ascii="Calibri" w:hAnsi="Calibri" w:cs="Calibri"/>
        </w:rPr>
        <w:br/>
      </w:r>
      <w:r w:rsidR="004B0036">
        <w:rPr>
          <w:rFonts w:ascii="Calibri" w:hAnsi="Calibri" w:cs="Calibri"/>
        </w:rPr>
        <w:br/>
      </w:r>
      <w:r w:rsidR="004B0036">
        <w:rPr>
          <w:rFonts w:ascii="Calibri" w:hAnsi="Calibri" w:cs="Calibri"/>
        </w:rPr>
        <w:br/>
      </w:r>
      <w:r w:rsidR="004B0036">
        <w:rPr>
          <w:rFonts w:ascii="Calibri" w:hAnsi="Calibri" w:cs="Calibri"/>
        </w:rPr>
        <w:br/>
      </w:r>
      <w:r w:rsidR="004B0036">
        <w:rPr>
          <w:rFonts w:ascii="Calibri" w:hAnsi="Calibri" w:cs="Calibri"/>
        </w:rPr>
        <w:br/>
      </w:r>
      <w:r w:rsidR="004B0036">
        <w:rPr>
          <w:rFonts w:ascii="Calibri" w:hAnsi="Calibri" w:cs="Calibri"/>
        </w:rPr>
        <w:br/>
      </w:r>
      <w:r w:rsidR="004B0036">
        <w:rPr>
          <w:rFonts w:ascii="Calibri" w:hAnsi="Calibri" w:cs="Calibri"/>
        </w:rPr>
        <w:br/>
      </w:r>
      <w:r w:rsidR="004B0036">
        <w:rPr>
          <w:rFonts w:ascii="Calibri" w:hAnsi="Calibri" w:cs="Calibri"/>
        </w:rPr>
        <w:br/>
      </w:r>
      <w:r w:rsidR="004B0036">
        <w:rPr>
          <w:rFonts w:ascii="Calibri" w:hAnsi="Calibri" w:cs="Calibri"/>
        </w:rPr>
        <w:br/>
      </w:r>
      <w:r w:rsidR="00F977F8">
        <w:rPr>
          <w:rFonts w:ascii="Calibri" w:hAnsi="Calibri" w:cs="Calibri"/>
        </w:rPr>
        <w:br/>
      </w:r>
      <w:r w:rsidR="00F977F8" w:rsidRPr="00F977F8">
        <w:rPr>
          <w:rFonts w:ascii="Calibri" w:hAnsi="Calibri" w:cs="Calibri"/>
          <w:b/>
          <w:bCs/>
          <w:i/>
          <w:iCs/>
          <w:u w:val="single"/>
        </w:rPr>
        <w:t>Reference list</w:t>
      </w:r>
    </w:p>
    <w:p w14:paraId="2853A974" w14:textId="77777777" w:rsidR="00F977F8" w:rsidRDefault="00F977F8" w:rsidP="00FC3B48">
      <w:pPr>
        <w:rPr>
          <w:rFonts w:ascii="Calibri" w:hAnsi="Calibri" w:cs="Calibri"/>
          <w:b/>
          <w:bCs/>
          <w:i/>
          <w:iCs/>
          <w:u w:val="single"/>
        </w:rPr>
      </w:pPr>
    </w:p>
    <w:p w14:paraId="0EDBC58D" w14:textId="047DB5DE" w:rsidR="00F977F8" w:rsidRPr="00F977F8" w:rsidRDefault="00F977F8" w:rsidP="00F977F8">
      <w:pPr>
        <w:rPr>
          <w:rFonts w:ascii="Calibri" w:hAnsi="Calibri" w:cs="Calibri"/>
        </w:rPr>
      </w:pPr>
      <w:r w:rsidRPr="00F977F8">
        <w:rPr>
          <w:rFonts w:ascii="Calibri" w:hAnsi="Calibri" w:cs="Calibri"/>
        </w:rPr>
        <w:t xml:space="preserve">Bennett, S., Gilmour, J., Carr, K., Helton, K. and Anderson, K. (2025) ‘Evaluating the impact of victim-centric, trauma-informed training on sexual violence case outcomes: A quasi-experimental study of a program for police investigators’, </w:t>
      </w:r>
      <w:r w:rsidRPr="00F977F8">
        <w:rPr>
          <w:rFonts w:ascii="Calibri" w:hAnsi="Calibri" w:cs="Calibri"/>
          <w:i/>
          <w:iCs/>
        </w:rPr>
        <w:t>Cambridge Journal of Evidence-Based Policing</w:t>
      </w:r>
      <w:r w:rsidRPr="00F977F8">
        <w:rPr>
          <w:rFonts w:ascii="Calibri" w:hAnsi="Calibri" w:cs="Calibri"/>
        </w:rPr>
        <w:t xml:space="preserve">, 9(1), p. 3. DOI:10.1007/s41887-025-00098-z  </w:t>
      </w:r>
    </w:p>
    <w:p w14:paraId="20367762" w14:textId="419A7AB7" w:rsidR="00F977F8" w:rsidRPr="00F977F8" w:rsidRDefault="00F977F8" w:rsidP="00F977F8">
      <w:pPr>
        <w:rPr>
          <w:rFonts w:ascii="Calibri" w:hAnsi="Calibri" w:cs="Calibri"/>
        </w:rPr>
      </w:pPr>
      <w:r w:rsidRPr="00F977F8">
        <w:rPr>
          <w:rFonts w:ascii="Calibri" w:hAnsi="Calibri" w:cs="Calibri"/>
        </w:rPr>
        <w:t xml:space="preserve">Bradford, B. and Myhill, A. (2015) ‘Triggers of change to public confidence in the police and criminal justice system: Findings from the Crime Survey for England and Wales panel experiment’, </w:t>
      </w:r>
      <w:r w:rsidRPr="00F977F8">
        <w:rPr>
          <w:rFonts w:ascii="Calibri" w:hAnsi="Calibri" w:cs="Calibri"/>
          <w:i/>
          <w:iCs/>
        </w:rPr>
        <w:t>Criminology and Criminal Justice</w:t>
      </w:r>
      <w:r w:rsidRPr="00F977F8">
        <w:rPr>
          <w:rFonts w:ascii="Calibri" w:hAnsi="Calibri" w:cs="Calibri"/>
        </w:rPr>
        <w:t xml:space="preserve">, 15(1), pp. 23–43. DOI:10.1177/1748895814521825 </w:t>
      </w:r>
    </w:p>
    <w:p w14:paraId="648EB72D" w14:textId="1D9393D1" w:rsidR="00F977F8" w:rsidRPr="00F977F8" w:rsidRDefault="00F977F8" w:rsidP="00F977F8">
      <w:pPr>
        <w:rPr>
          <w:rFonts w:ascii="Calibri" w:hAnsi="Calibri" w:cs="Calibri"/>
        </w:rPr>
      </w:pPr>
      <w:r w:rsidRPr="00F977F8">
        <w:rPr>
          <w:rFonts w:ascii="Calibri" w:hAnsi="Calibri" w:cs="Calibri"/>
        </w:rPr>
        <w:t xml:space="preserve">Campbell, R. (2006) ‘Rape survivors’ experiences with the legal and medical systems’, </w:t>
      </w:r>
      <w:r w:rsidRPr="00F977F8">
        <w:rPr>
          <w:rFonts w:ascii="Calibri" w:hAnsi="Calibri" w:cs="Calibri"/>
          <w:i/>
          <w:iCs/>
        </w:rPr>
        <w:t>Violence Against Women</w:t>
      </w:r>
      <w:r w:rsidRPr="00F977F8">
        <w:rPr>
          <w:rFonts w:ascii="Calibri" w:hAnsi="Calibri" w:cs="Calibri"/>
        </w:rPr>
        <w:t xml:space="preserve">, 12(1), pp. 30–45. DOI:10.1177/1077801205277539 </w:t>
      </w:r>
    </w:p>
    <w:p w14:paraId="52162B9D" w14:textId="1D7B485B" w:rsidR="00F977F8" w:rsidRPr="00F977F8" w:rsidRDefault="00F977F8" w:rsidP="00F977F8">
      <w:pPr>
        <w:rPr>
          <w:rFonts w:ascii="Calibri" w:hAnsi="Calibri" w:cs="Calibri"/>
        </w:rPr>
      </w:pPr>
      <w:r w:rsidRPr="00F977F8">
        <w:rPr>
          <w:rFonts w:ascii="Calibri" w:hAnsi="Calibri" w:cs="Calibri"/>
        </w:rPr>
        <w:t xml:space="preserve">College of Policing (2021) </w:t>
      </w:r>
      <w:r w:rsidRPr="00F977F8">
        <w:rPr>
          <w:rFonts w:ascii="Calibri" w:hAnsi="Calibri" w:cs="Calibri"/>
          <w:i/>
          <w:iCs/>
        </w:rPr>
        <w:t>Vulnerability-related risks</w:t>
      </w:r>
      <w:r w:rsidRPr="00F977F8">
        <w:rPr>
          <w:rFonts w:ascii="Calibri" w:hAnsi="Calibri" w:cs="Calibri"/>
        </w:rPr>
        <w:t xml:space="preserve">. College of Policing. Available at: </w:t>
      </w:r>
      <w:hyperlink r:id="rId5" w:tgtFrame="_new" w:history="1">
        <w:r w:rsidRPr="00F977F8">
          <w:rPr>
            <w:rStyle w:val="Hyperlink"/>
            <w:rFonts w:ascii="Calibri" w:hAnsi="Calibri" w:cs="Calibri"/>
          </w:rPr>
          <w:t>https://www.college.police.uk/guidance/vulnerability-related-risks</w:t>
        </w:r>
      </w:hyperlink>
      <w:r w:rsidRPr="00F977F8">
        <w:rPr>
          <w:rFonts w:ascii="Calibri" w:hAnsi="Calibri" w:cs="Calibri"/>
        </w:rPr>
        <w:t xml:space="preserve"> </w:t>
      </w:r>
    </w:p>
    <w:p w14:paraId="3793FFF3" w14:textId="45BEAA6C" w:rsidR="00F977F8" w:rsidRPr="00F977F8" w:rsidRDefault="00F977F8" w:rsidP="00F977F8">
      <w:pPr>
        <w:rPr>
          <w:rFonts w:ascii="Calibri" w:hAnsi="Calibri" w:cs="Calibri"/>
        </w:rPr>
      </w:pPr>
      <w:r w:rsidRPr="00F977F8">
        <w:rPr>
          <w:rFonts w:ascii="Calibri" w:hAnsi="Calibri" w:cs="Calibri"/>
        </w:rPr>
        <w:t xml:space="preserve">Elliott, I., Thomas, S. and Ogloff, J. (2013) ‘Procedural justice in victim–police interactions and victims’ recovery from victimisation experiences’, </w:t>
      </w:r>
      <w:r w:rsidRPr="00F977F8">
        <w:rPr>
          <w:rFonts w:ascii="Calibri" w:hAnsi="Calibri" w:cs="Calibri"/>
          <w:i/>
          <w:iCs/>
        </w:rPr>
        <w:t>Policing and Society</w:t>
      </w:r>
      <w:r w:rsidRPr="00F977F8">
        <w:rPr>
          <w:rFonts w:ascii="Calibri" w:hAnsi="Calibri" w:cs="Calibri"/>
        </w:rPr>
        <w:t xml:space="preserve">, 24(5), pp. 588–601. DOI:10.1080/10439463.2013.784309 </w:t>
      </w:r>
    </w:p>
    <w:p w14:paraId="43CEE5EB" w14:textId="470FD72D" w:rsidR="00F977F8" w:rsidRPr="00F977F8" w:rsidRDefault="00F977F8" w:rsidP="00F977F8">
      <w:pPr>
        <w:rPr>
          <w:rFonts w:ascii="Calibri" w:hAnsi="Calibri" w:cs="Calibri"/>
        </w:rPr>
      </w:pPr>
      <w:r w:rsidRPr="00F977F8">
        <w:rPr>
          <w:rFonts w:ascii="Calibri" w:hAnsi="Calibri" w:cs="Calibri"/>
        </w:rPr>
        <w:t xml:space="preserve">Gillespie-Smith, K., Brodie, Z., Collins, K., Deacon, K. and Goodall, K. (2020) </w:t>
      </w:r>
      <w:r w:rsidRPr="00F977F8">
        <w:rPr>
          <w:rFonts w:ascii="Calibri" w:hAnsi="Calibri" w:cs="Calibri"/>
          <w:i/>
          <w:iCs/>
        </w:rPr>
        <w:t>Moving Towards Trauma-Informed Policing: An Exploration of Police Officers’ Attitudes and Perceptions Towards Adverse Childhood Experiences (ACEs)</w:t>
      </w:r>
      <w:r w:rsidRPr="00F977F8">
        <w:rPr>
          <w:rFonts w:ascii="Calibri" w:hAnsi="Calibri" w:cs="Calibri"/>
        </w:rPr>
        <w:t xml:space="preserve">. Scottish Institute for Policing Research. Available at: https://www.sipr.ac.uk/wp-content/uploads/2021/10/Moving-towards-Trauma-Informed-policing-An-exploration-of-police-officers…pdf </w:t>
      </w:r>
    </w:p>
    <w:p w14:paraId="73573DA3" w14:textId="24D629D7" w:rsidR="00F977F8" w:rsidRPr="00F977F8" w:rsidRDefault="00F977F8" w:rsidP="00F977F8">
      <w:pPr>
        <w:rPr>
          <w:rFonts w:ascii="Calibri" w:hAnsi="Calibri" w:cs="Calibri"/>
        </w:rPr>
      </w:pPr>
      <w:r w:rsidRPr="00F977F8">
        <w:rPr>
          <w:rFonts w:ascii="Calibri" w:hAnsi="Calibri" w:cs="Calibri"/>
        </w:rPr>
        <w:t xml:space="preserve">Goodall, K., Brodie, Z., Deacon, K., Collins, K. and Gillespie-Smith, K. (2023) ‘How the police conceptualise and view the relevance of Adverse Childhood Experiences (ACEs) for policing: A qualitative investigation’, </w:t>
      </w:r>
      <w:r w:rsidRPr="00F977F8">
        <w:rPr>
          <w:rFonts w:ascii="Calibri" w:hAnsi="Calibri" w:cs="Calibri"/>
          <w:i/>
          <w:iCs/>
        </w:rPr>
        <w:t>Policing: An International Journal</w:t>
      </w:r>
      <w:r w:rsidRPr="00F977F8">
        <w:rPr>
          <w:rFonts w:ascii="Calibri" w:hAnsi="Calibri" w:cs="Calibri"/>
        </w:rPr>
        <w:t xml:space="preserve">, 46(5-6), pp. 878–892. DOI:10.1108/PIJPSM-02-2023-0023 </w:t>
      </w:r>
    </w:p>
    <w:p w14:paraId="74E48B2D" w14:textId="77777777" w:rsidR="00F977F8" w:rsidRPr="00F977F8" w:rsidRDefault="00F977F8" w:rsidP="00F977F8">
      <w:pPr>
        <w:rPr>
          <w:rFonts w:ascii="Calibri" w:hAnsi="Calibri" w:cs="Calibri"/>
        </w:rPr>
      </w:pPr>
      <w:r w:rsidRPr="00F977F8">
        <w:rPr>
          <w:rFonts w:ascii="Calibri" w:hAnsi="Calibri" w:cs="Calibri"/>
        </w:rPr>
        <w:t xml:space="preserve">Herman, J.L. (2015) </w:t>
      </w:r>
      <w:r w:rsidRPr="00F977F8">
        <w:rPr>
          <w:rFonts w:ascii="Calibri" w:hAnsi="Calibri" w:cs="Calibri"/>
          <w:i/>
          <w:iCs/>
        </w:rPr>
        <w:t>Trauma and Recovery: The Aftermath of Violence – From Domestic Abuse to Political Terror</w:t>
      </w:r>
      <w:r w:rsidRPr="00F977F8">
        <w:rPr>
          <w:rFonts w:ascii="Calibri" w:hAnsi="Calibri" w:cs="Calibri"/>
        </w:rPr>
        <w:t>. 2nd edn. New York: Basic Books.</w:t>
      </w:r>
    </w:p>
    <w:p w14:paraId="7EBC2C03" w14:textId="331E19F2" w:rsidR="00F977F8" w:rsidRPr="00F977F8" w:rsidRDefault="00F977F8" w:rsidP="00F977F8">
      <w:pPr>
        <w:rPr>
          <w:rFonts w:ascii="Calibri" w:hAnsi="Calibri" w:cs="Calibri"/>
        </w:rPr>
      </w:pPr>
      <w:r w:rsidRPr="00F977F8">
        <w:rPr>
          <w:rFonts w:ascii="Calibri" w:hAnsi="Calibri" w:cs="Calibri"/>
        </w:rPr>
        <w:t xml:space="preserve">HM Inspectorate of Constabulary and Fire &amp; Rescue Services (HMICFRS) (2021) </w:t>
      </w:r>
      <w:r w:rsidRPr="00F977F8">
        <w:rPr>
          <w:rFonts w:ascii="Calibri" w:hAnsi="Calibri" w:cs="Calibri"/>
          <w:i/>
          <w:iCs/>
        </w:rPr>
        <w:t>State of policing in England and Wales 2021</w:t>
      </w:r>
      <w:r w:rsidRPr="00F977F8">
        <w:rPr>
          <w:rFonts w:ascii="Calibri" w:hAnsi="Calibri" w:cs="Calibri"/>
        </w:rPr>
        <w:t xml:space="preserve">. London: HMICFRS. Available at: https://www.justiceinspectorates.gov.uk/hmicfrs/publications </w:t>
      </w:r>
    </w:p>
    <w:p w14:paraId="13F17A3C" w14:textId="25F13F82" w:rsidR="00F977F8" w:rsidRPr="00F977F8" w:rsidRDefault="00F977F8" w:rsidP="00F977F8">
      <w:pPr>
        <w:rPr>
          <w:rFonts w:ascii="Calibri" w:hAnsi="Calibri" w:cs="Calibri"/>
        </w:rPr>
      </w:pPr>
      <w:r w:rsidRPr="00F977F8">
        <w:rPr>
          <w:rFonts w:ascii="Calibri" w:hAnsi="Calibri" w:cs="Calibri"/>
        </w:rPr>
        <w:t xml:space="preserve">HM Inspectorate of Constabulary and Fire &amp; Rescue Services (HMICFRS) (2022) </w:t>
      </w:r>
      <w:r w:rsidRPr="00F977F8">
        <w:rPr>
          <w:rFonts w:ascii="Calibri" w:hAnsi="Calibri" w:cs="Calibri"/>
          <w:i/>
          <w:iCs/>
        </w:rPr>
        <w:t>Police response to violence against women and girls: Final inspection report</w:t>
      </w:r>
      <w:r w:rsidRPr="00F977F8">
        <w:rPr>
          <w:rFonts w:ascii="Calibri" w:hAnsi="Calibri" w:cs="Calibri"/>
        </w:rPr>
        <w:t xml:space="preserve">. London: HMICFRS. Available at: </w:t>
      </w:r>
      <w:hyperlink r:id="rId6" w:tgtFrame="_new" w:history="1">
        <w:r w:rsidRPr="00F977F8">
          <w:rPr>
            <w:rStyle w:val="Hyperlink"/>
            <w:rFonts w:ascii="Calibri" w:hAnsi="Calibri" w:cs="Calibri"/>
          </w:rPr>
          <w:t>https://assets-hmicfrs.justiceinspector</w:t>
        </w:r>
        <w:r w:rsidRPr="00F977F8">
          <w:rPr>
            <w:rStyle w:val="Hyperlink"/>
            <w:rFonts w:ascii="Calibri" w:hAnsi="Calibri" w:cs="Calibri"/>
          </w:rPr>
          <w:t>a</w:t>
        </w:r>
        <w:r w:rsidRPr="00F977F8">
          <w:rPr>
            <w:rStyle w:val="Hyperlink"/>
            <w:rFonts w:ascii="Calibri" w:hAnsi="Calibri" w:cs="Calibri"/>
          </w:rPr>
          <w:t>tes.gov.uk/uploads/police-response-to-violence-against-women-and-girls-final-inspection-report.pdf</w:t>
        </w:r>
      </w:hyperlink>
      <w:r w:rsidRPr="00F977F8">
        <w:rPr>
          <w:rFonts w:ascii="Calibri" w:hAnsi="Calibri" w:cs="Calibri"/>
        </w:rPr>
        <w:t xml:space="preserve"> </w:t>
      </w:r>
    </w:p>
    <w:p w14:paraId="31EB0F1D" w14:textId="1640DF2C" w:rsidR="00F977F8" w:rsidRPr="00F977F8" w:rsidRDefault="00F977F8" w:rsidP="00F977F8">
      <w:pPr>
        <w:rPr>
          <w:rFonts w:ascii="Calibri" w:hAnsi="Calibri" w:cs="Calibri"/>
        </w:rPr>
      </w:pPr>
      <w:r w:rsidRPr="00F977F8">
        <w:rPr>
          <w:rFonts w:ascii="Calibri" w:hAnsi="Calibri" w:cs="Calibri"/>
        </w:rPr>
        <w:lastRenderedPageBreak/>
        <w:t xml:space="preserve">HM Inspectorate of Constabulary and Fire &amp; Rescue Services (HMICFRS) (2023) </w:t>
      </w:r>
      <w:r w:rsidRPr="00F977F8">
        <w:rPr>
          <w:rFonts w:ascii="Calibri" w:hAnsi="Calibri" w:cs="Calibri"/>
          <w:i/>
          <w:iCs/>
        </w:rPr>
        <w:t>State of policing: Annual assessment 2023</w:t>
      </w:r>
      <w:r w:rsidRPr="00F977F8">
        <w:rPr>
          <w:rFonts w:ascii="Calibri" w:hAnsi="Calibri" w:cs="Calibri"/>
        </w:rPr>
        <w:t xml:space="preserve">. London: HMICFRS. Available at: https://assets-hmicfrs.justiceinspectorates.gov.uk </w:t>
      </w:r>
    </w:p>
    <w:p w14:paraId="21AF91AC" w14:textId="77777777" w:rsidR="00F977F8" w:rsidRPr="00F977F8" w:rsidRDefault="00F977F8" w:rsidP="00F977F8">
      <w:pPr>
        <w:rPr>
          <w:rFonts w:ascii="Calibri" w:hAnsi="Calibri" w:cs="Calibri"/>
        </w:rPr>
      </w:pPr>
      <w:r w:rsidRPr="00F977F8">
        <w:rPr>
          <w:rFonts w:ascii="Calibri" w:hAnsi="Calibri" w:cs="Calibri"/>
        </w:rPr>
        <w:t xml:space="preserve">Loftus, B. (2009) </w:t>
      </w:r>
      <w:r w:rsidRPr="00F977F8">
        <w:rPr>
          <w:rFonts w:ascii="Calibri" w:hAnsi="Calibri" w:cs="Calibri"/>
          <w:i/>
          <w:iCs/>
        </w:rPr>
        <w:t>Police Culture in a Changing World</w:t>
      </w:r>
      <w:r w:rsidRPr="00F977F8">
        <w:rPr>
          <w:rFonts w:ascii="Calibri" w:hAnsi="Calibri" w:cs="Calibri"/>
        </w:rPr>
        <w:t>. Oxford: Oxford University Press.</w:t>
      </w:r>
    </w:p>
    <w:p w14:paraId="6774278F" w14:textId="51BE4C96" w:rsidR="00F977F8" w:rsidRPr="00F977F8" w:rsidRDefault="00F977F8" w:rsidP="00F977F8">
      <w:pPr>
        <w:rPr>
          <w:rFonts w:ascii="Calibri" w:hAnsi="Calibri" w:cs="Calibri"/>
        </w:rPr>
      </w:pPr>
      <w:r w:rsidRPr="00F977F8">
        <w:rPr>
          <w:rFonts w:ascii="Calibri" w:hAnsi="Calibri" w:cs="Calibri"/>
        </w:rPr>
        <w:t xml:space="preserve">Miller, N.A. and Najavits, L.M. (2012) ‘Creating trauma-informed correctional care: A balance of goals and environment’, </w:t>
      </w:r>
      <w:r w:rsidRPr="00F977F8">
        <w:rPr>
          <w:rFonts w:ascii="Calibri" w:hAnsi="Calibri" w:cs="Calibri"/>
          <w:i/>
          <w:iCs/>
        </w:rPr>
        <w:t>European Journal of Psychotraumatology</w:t>
      </w:r>
      <w:r w:rsidRPr="00F977F8">
        <w:rPr>
          <w:rFonts w:ascii="Calibri" w:hAnsi="Calibri" w:cs="Calibri"/>
        </w:rPr>
        <w:t xml:space="preserve">, 3(1), Article 17246. DOI:10.3402/ejpt.v3i0.17246 </w:t>
      </w:r>
    </w:p>
    <w:p w14:paraId="6E1E7C00" w14:textId="0C8CF9C7" w:rsidR="00F977F8" w:rsidRPr="00F977F8" w:rsidRDefault="00F977F8" w:rsidP="00F977F8">
      <w:pPr>
        <w:rPr>
          <w:rFonts w:ascii="Calibri" w:hAnsi="Calibri" w:cs="Calibri"/>
        </w:rPr>
      </w:pPr>
      <w:r w:rsidRPr="00F977F8">
        <w:rPr>
          <w:rFonts w:ascii="Calibri" w:hAnsi="Calibri" w:cs="Calibri"/>
        </w:rPr>
        <w:t xml:space="preserve">NHS Education for Scotland (2024) </w:t>
      </w:r>
      <w:r w:rsidRPr="00F977F8">
        <w:rPr>
          <w:rFonts w:ascii="Calibri" w:hAnsi="Calibri" w:cs="Calibri"/>
          <w:i/>
          <w:iCs/>
        </w:rPr>
        <w:t>National Trauma Training Framework</w:t>
      </w:r>
      <w:r w:rsidRPr="00F977F8">
        <w:rPr>
          <w:rFonts w:ascii="Calibri" w:hAnsi="Calibri" w:cs="Calibri"/>
        </w:rPr>
        <w:t xml:space="preserve">. Edinburgh: NHS Education for Scotland. Available at: https://www.nes.scot.nhs.uk/our-work/trauma-informed-practice/ </w:t>
      </w:r>
    </w:p>
    <w:p w14:paraId="22881126" w14:textId="7CFF1ED5" w:rsidR="00F977F8" w:rsidRPr="00F977F8" w:rsidRDefault="00F977F8" w:rsidP="00F977F8">
      <w:pPr>
        <w:rPr>
          <w:rFonts w:ascii="Calibri" w:hAnsi="Calibri" w:cs="Calibri"/>
        </w:rPr>
      </w:pPr>
      <w:r w:rsidRPr="00F977F8">
        <w:rPr>
          <w:rFonts w:ascii="Calibri" w:hAnsi="Calibri" w:cs="Calibri"/>
        </w:rPr>
        <w:t xml:space="preserve">NHS England (2025) </w:t>
      </w:r>
      <w:r w:rsidRPr="00F977F8">
        <w:rPr>
          <w:rFonts w:ascii="Calibri" w:hAnsi="Calibri" w:cs="Calibri"/>
          <w:i/>
          <w:iCs/>
        </w:rPr>
        <w:t>Working in a Trauma-Informed Way</w:t>
      </w:r>
      <w:r w:rsidRPr="00F977F8">
        <w:rPr>
          <w:rFonts w:ascii="Calibri" w:hAnsi="Calibri" w:cs="Calibri"/>
        </w:rPr>
        <w:t xml:space="preserve">. London: NHS England. Available at: https://www.england.nhs.uk/mental-health/adults/trauma-informed-care/ </w:t>
      </w:r>
    </w:p>
    <w:p w14:paraId="5906B01A" w14:textId="77777777" w:rsidR="00F977F8" w:rsidRPr="00F977F8" w:rsidRDefault="00F977F8" w:rsidP="00F977F8">
      <w:pPr>
        <w:rPr>
          <w:rFonts w:ascii="Calibri" w:hAnsi="Calibri" w:cs="Calibri"/>
        </w:rPr>
      </w:pPr>
      <w:r w:rsidRPr="00F977F8">
        <w:rPr>
          <w:rFonts w:ascii="Calibri" w:hAnsi="Calibri" w:cs="Calibri"/>
        </w:rPr>
        <w:t xml:space="preserve">National Police Chiefs’ Council and Association of Police and Crime Commissioners (NPCC &amp; APCC) (2016) </w:t>
      </w:r>
      <w:r w:rsidRPr="00F977F8">
        <w:rPr>
          <w:rFonts w:ascii="Calibri" w:hAnsi="Calibri" w:cs="Calibri"/>
          <w:i/>
          <w:iCs/>
        </w:rPr>
        <w:t>Policing Vision 2025</w:t>
      </w:r>
      <w:r w:rsidRPr="00F977F8">
        <w:rPr>
          <w:rFonts w:ascii="Calibri" w:hAnsi="Calibri" w:cs="Calibri"/>
        </w:rPr>
        <w:t>. London: NPCC &amp; APCC.</w:t>
      </w:r>
    </w:p>
    <w:p w14:paraId="709EB25B" w14:textId="624ECECF" w:rsidR="00F977F8" w:rsidRPr="00F977F8" w:rsidRDefault="00F977F8" w:rsidP="00F977F8">
      <w:pPr>
        <w:rPr>
          <w:rFonts w:ascii="Calibri" w:hAnsi="Calibri" w:cs="Calibri"/>
        </w:rPr>
      </w:pPr>
      <w:r w:rsidRPr="00F977F8">
        <w:rPr>
          <w:rFonts w:ascii="Calibri" w:hAnsi="Calibri" w:cs="Calibri"/>
        </w:rPr>
        <w:t xml:space="preserve">Perry, B.D. (2009) ‘Examining child maltreatment through a neurodevelopmental lens: Clinical applications of the neurosequential model of therapeutics’, </w:t>
      </w:r>
      <w:r w:rsidRPr="00F977F8">
        <w:rPr>
          <w:rFonts w:ascii="Calibri" w:hAnsi="Calibri" w:cs="Calibri"/>
          <w:i/>
          <w:iCs/>
        </w:rPr>
        <w:t>Journal of Loss and Trauma</w:t>
      </w:r>
      <w:r w:rsidRPr="00F977F8">
        <w:rPr>
          <w:rFonts w:ascii="Calibri" w:hAnsi="Calibri" w:cs="Calibri"/>
        </w:rPr>
        <w:t xml:space="preserve">, 14(4), pp. 240–255. DOI:10.1080/15325020903004350 </w:t>
      </w:r>
    </w:p>
    <w:p w14:paraId="132D2FE4" w14:textId="0460B7BD" w:rsidR="00F977F8" w:rsidRPr="00F977F8" w:rsidRDefault="00F977F8" w:rsidP="00F977F8">
      <w:pPr>
        <w:rPr>
          <w:rFonts w:ascii="Calibri" w:hAnsi="Calibri" w:cs="Calibri"/>
        </w:rPr>
      </w:pPr>
      <w:r w:rsidRPr="00F977F8">
        <w:rPr>
          <w:rFonts w:ascii="Calibri" w:hAnsi="Calibri" w:cs="Calibri"/>
        </w:rPr>
        <w:t xml:space="preserve">Porges, S.W. (2022) ‘Polyvagal theory: A science of safety’, </w:t>
      </w:r>
      <w:r w:rsidRPr="00F977F8">
        <w:rPr>
          <w:rFonts w:ascii="Calibri" w:hAnsi="Calibri" w:cs="Calibri"/>
          <w:i/>
          <w:iCs/>
        </w:rPr>
        <w:t>Frontiers in Integrative Neuroscience</w:t>
      </w:r>
      <w:r w:rsidRPr="00F977F8">
        <w:rPr>
          <w:rFonts w:ascii="Calibri" w:hAnsi="Calibri" w:cs="Calibri"/>
        </w:rPr>
        <w:t xml:space="preserve">, 16, Article 871227. DOI:10.3389/fnint.2022.871227 </w:t>
      </w:r>
    </w:p>
    <w:p w14:paraId="479307C8" w14:textId="77777777" w:rsidR="00F977F8" w:rsidRPr="00F977F8" w:rsidRDefault="00F977F8" w:rsidP="00F977F8">
      <w:pPr>
        <w:rPr>
          <w:rFonts w:ascii="Calibri" w:hAnsi="Calibri" w:cs="Calibri"/>
        </w:rPr>
      </w:pPr>
      <w:r w:rsidRPr="00F977F8">
        <w:rPr>
          <w:rFonts w:ascii="Calibri" w:hAnsi="Calibri" w:cs="Calibri"/>
        </w:rPr>
        <w:t xml:space="preserve">Reiner, R. (2010) </w:t>
      </w:r>
      <w:r w:rsidRPr="00F977F8">
        <w:rPr>
          <w:rFonts w:ascii="Calibri" w:hAnsi="Calibri" w:cs="Calibri"/>
          <w:i/>
          <w:iCs/>
        </w:rPr>
        <w:t>The Politics of the Police</w:t>
      </w:r>
      <w:r w:rsidRPr="00F977F8">
        <w:rPr>
          <w:rFonts w:ascii="Calibri" w:hAnsi="Calibri" w:cs="Calibri"/>
        </w:rPr>
        <w:t>. 4th edn. Oxford: Oxford University Press.</w:t>
      </w:r>
    </w:p>
    <w:p w14:paraId="6E9E6835" w14:textId="77777777" w:rsidR="00F977F8" w:rsidRPr="00F977F8" w:rsidRDefault="00F977F8" w:rsidP="00F977F8">
      <w:pPr>
        <w:rPr>
          <w:rFonts w:ascii="Calibri" w:hAnsi="Calibri" w:cs="Calibri"/>
        </w:rPr>
      </w:pPr>
      <w:r w:rsidRPr="00F977F8">
        <w:rPr>
          <w:rFonts w:ascii="Calibri" w:hAnsi="Calibri" w:cs="Calibri"/>
        </w:rPr>
        <w:t xml:space="preserve">Tyler, T.R. (2006) </w:t>
      </w:r>
      <w:r w:rsidRPr="00F977F8">
        <w:rPr>
          <w:rFonts w:ascii="Calibri" w:hAnsi="Calibri" w:cs="Calibri"/>
          <w:i/>
          <w:iCs/>
        </w:rPr>
        <w:t>Why People Obey the Law</w:t>
      </w:r>
      <w:r w:rsidRPr="00F977F8">
        <w:rPr>
          <w:rFonts w:ascii="Calibri" w:hAnsi="Calibri" w:cs="Calibri"/>
        </w:rPr>
        <w:t>. Princeton: Princeton University Press.</w:t>
      </w:r>
    </w:p>
    <w:p w14:paraId="4E10B050" w14:textId="0D758DA7" w:rsidR="00F977F8" w:rsidRPr="00F977F8" w:rsidRDefault="00F977F8" w:rsidP="00F977F8">
      <w:pPr>
        <w:rPr>
          <w:rFonts w:ascii="Calibri" w:hAnsi="Calibri" w:cs="Calibri"/>
        </w:rPr>
      </w:pPr>
      <w:r w:rsidRPr="00F977F8">
        <w:rPr>
          <w:rFonts w:ascii="Calibri" w:hAnsi="Calibri" w:cs="Calibri"/>
        </w:rPr>
        <w:t xml:space="preserve">Violanti, J.M., Owens, S.L., McCanlies, E., Fekedulegn, D. and Andrew, M.E. (2017) ‘Law enforcement suicide: A review’, </w:t>
      </w:r>
      <w:r w:rsidRPr="00F977F8">
        <w:rPr>
          <w:rFonts w:ascii="Calibri" w:hAnsi="Calibri" w:cs="Calibri"/>
          <w:i/>
          <w:iCs/>
        </w:rPr>
        <w:t>Policing: An International Journal</w:t>
      </w:r>
      <w:r w:rsidRPr="00F977F8">
        <w:rPr>
          <w:rFonts w:ascii="Calibri" w:hAnsi="Calibri" w:cs="Calibri"/>
        </w:rPr>
        <w:t xml:space="preserve">, 40(2), pp. 315–333. DOI:10.1108/PIJPSM-11-2016-0175 </w:t>
      </w:r>
    </w:p>
    <w:p w14:paraId="7148DF07" w14:textId="71C7F7C9" w:rsidR="00F977F8" w:rsidRPr="00F977F8" w:rsidRDefault="00F977F8" w:rsidP="00F977F8">
      <w:pPr>
        <w:rPr>
          <w:rFonts w:ascii="Calibri" w:hAnsi="Calibri" w:cs="Calibri"/>
        </w:rPr>
      </w:pPr>
      <w:r w:rsidRPr="00F977F8">
        <w:rPr>
          <w:rFonts w:ascii="Calibri" w:hAnsi="Calibri" w:cs="Calibri"/>
        </w:rPr>
        <w:t xml:space="preserve">Wilkinson, M. (2017) ‘Mind, brain and body: Healing trauma — The way forward’, </w:t>
      </w:r>
      <w:r w:rsidRPr="00F977F8">
        <w:rPr>
          <w:rFonts w:ascii="Calibri" w:hAnsi="Calibri" w:cs="Calibri"/>
          <w:i/>
          <w:iCs/>
        </w:rPr>
        <w:t>Journal of Analytical Psychology</w:t>
      </w:r>
      <w:r w:rsidRPr="00F977F8">
        <w:rPr>
          <w:rFonts w:ascii="Calibri" w:hAnsi="Calibri" w:cs="Calibri"/>
        </w:rPr>
        <w:t xml:space="preserve">, 62(4), pp. 526–543. DOI:10.1111/1468-5922.12335 </w:t>
      </w:r>
    </w:p>
    <w:p w14:paraId="738A6FB4" w14:textId="77777777" w:rsidR="00F977F8" w:rsidRPr="002738F4" w:rsidRDefault="00F977F8" w:rsidP="00FC3B48">
      <w:pPr>
        <w:rPr>
          <w:rFonts w:ascii="Calibri" w:hAnsi="Calibri" w:cs="Calibri"/>
        </w:rPr>
      </w:pPr>
    </w:p>
    <w:sectPr w:rsidR="00F977F8" w:rsidRPr="002738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B48"/>
    <w:rsid w:val="0002076F"/>
    <w:rsid w:val="000608FE"/>
    <w:rsid w:val="000636BD"/>
    <w:rsid w:val="00070D59"/>
    <w:rsid w:val="00084D80"/>
    <w:rsid w:val="001D1966"/>
    <w:rsid w:val="00221226"/>
    <w:rsid w:val="00261322"/>
    <w:rsid w:val="002738F4"/>
    <w:rsid w:val="002A589C"/>
    <w:rsid w:val="002D6710"/>
    <w:rsid w:val="002E4DF4"/>
    <w:rsid w:val="00316B37"/>
    <w:rsid w:val="003477F9"/>
    <w:rsid w:val="00373467"/>
    <w:rsid w:val="003918AE"/>
    <w:rsid w:val="00436EBB"/>
    <w:rsid w:val="004B0036"/>
    <w:rsid w:val="004C06B5"/>
    <w:rsid w:val="004C3FE0"/>
    <w:rsid w:val="004D3392"/>
    <w:rsid w:val="004E171C"/>
    <w:rsid w:val="00502DE6"/>
    <w:rsid w:val="00517866"/>
    <w:rsid w:val="005304ED"/>
    <w:rsid w:val="00545FBE"/>
    <w:rsid w:val="006356C1"/>
    <w:rsid w:val="00635E5B"/>
    <w:rsid w:val="00641219"/>
    <w:rsid w:val="006876CB"/>
    <w:rsid w:val="006F4937"/>
    <w:rsid w:val="007B021B"/>
    <w:rsid w:val="007B134E"/>
    <w:rsid w:val="007D1207"/>
    <w:rsid w:val="007E362F"/>
    <w:rsid w:val="009349A0"/>
    <w:rsid w:val="00947582"/>
    <w:rsid w:val="009477BF"/>
    <w:rsid w:val="009554BC"/>
    <w:rsid w:val="00956D27"/>
    <w:rsid w:val="00960C83"/>
    <w:rsid w:val="00991601"/>
    <w:rsid w:val="009F7260"/>
    <w:rsid w:val="00A06382"/>
    <w:rsid w:val="00A06837"/>
    <w:rsid w:val="00A1261B"/>
    <w:rsid w:val="00A24679"/>
    <w:rsid w:val="00A33673"/>
    <w:rsid w:val="00A340BA"/>
    <w:rsid w:val="00A57303"/>
    <w:rsid w:val="00A755E8"/>
    <w:rsid w:val="00A76130"/>
    <w:rsid w:val="00A86B5E"/>
    <w:rsid w:val="00AB1D06"/>
    <w:rsid w:val="00AC10E1"/>
    <w:rsid w:val="00AC3152"/>
    <w:rsid w:val="00AE60EC"/>
    <w:rsid w:val="00B56AB2"/>
    <w:rsid w:val="00BA568F"/>
    <w:rsid w:val="00BC33A5"/>
    <w:rsid w:val="00C07706"/>
    <w:rsid w:val="00C44850"/>
    <w:rsid w:val="00C949F6"/>
    <w:rsid w:val="00C979B1"/>
    <w:rsid w:val="00D16E7E"/>
    <w:rsid w:val="00D41955"/>
    <w:rsid w:val="00D9695F"/>
    <w:rsid w:val="00DC63F6"/>
    <w:rsid w:val="00DF3741"/>
    <w:rsid w:val="00E303D4"/>
    <w:rsid w:val="00E40257"/>
    <w:rsid w:val="00E438D2"/>
    <w:rsid w:val="00E46ED7"/>
    <w:rsid w:val="00E50FAE"/>
    <w:rsid w:val="00EE63EE"/>
    <w:rsid w:val="00EF1CF5"/>
    <w:rsid w:val="00F03772"/>
    <w:rsid w:val="00F977F8"/>
    <w:rsid w:val="00FC3B48"/>
    <w:rsid w:val="00FF5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FD9FB"/>
  <w15:chartTrackingRefBased/>
  <w15:docId w15:val="{895BBC91-2B4E-4110-80C8-AA93477B8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B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3B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3B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3B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3B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3B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B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B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B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B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3B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3B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3B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B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B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B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B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B48"/>
    <w:rPr>
      <w:rFonts w:eastAsiaTheme="majorEastAsia" w:cstheme="majorBidi"/>
      <w:color w:val="272727" w:themeColor="text1" w:themeTint="D8"/>
    </w:rPr>
  </w:style>
  <w:style w:type="paragraph" w:styleId="Title">
    <w:name w:val="Title"/>
    <w:basedOn w:val="Normal"/>
    <w:next w:val="Normal"/>
    <w:link w:val="TitleChar"/>
    <w:uiPriority w:val="10"/>
    <w:qFormat/>
    <w:rsid w:val="00FC3B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B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B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B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B48"/>
    <w:pPr>
      <w:spacing w:before="160"/>
      <w:jc w:val="center"/>
    </w:pPr>
    <w:rPr>
      <w:i/>
      <w:iCs/>
      <w:color w:val="404040" w:themeColor="text1" w:themeTint="BF"/>
    </w:rPr>
  </w:style>
  <w:style w:type="character" w:customStyle="1" w:styleId="QuoteChar">
    <w:name w:val="Quote Char"/>
    <w:basedOn w:val="DefaultParagraphFont"/>
    <w:link w:val="Quote"/>
    <w:uiPriority w:val="29"/>
    <w:rsid w:val="00FC3B48"/>
    <w:rPr>
      <w:i/>
      <w:iCs/>
      <w:color w:val="404040" w:themeColor="text1" w:themeTint="BF"/>
    </w:rPr>
  </w:style>
  <w:style w:type="paragraph" w:styleId="ListParagraph">
    <w:name w:val="List Paragraph"/>
    <w:basedOn w:val="Normal"/>
    <w:uiPriority w:val="34"/>
    <w:qFormat/>
    <w:rsid w:val="00FC3B48"/>
    <w:pPr>
      <w:ind w:left="720"/>
      <w:contextualSpacing/>
    </w:pPr>
  </w:style>
  <w:style w:type="character" w:styleId="IntenseEmphasis">
    <w:name w:val="Intense Emphasis"/>
    <w:basedOn w:val="DefaultParagraphFont"/>
    <w:uiPriority w:val="21"/>
    <w:qFormat/>
    <w:rsid w:val="00FC3B48"/>
    <w:rPr>
      <w:i/>
      <w:iCs/>
      <w:color w:val="0F4761" w:themeColor="accent1" w:themeShade="BF"/>
    </w:rPr>
  </w:style>
  <w:style w:type="paragraph" w:styleId="IntenseQuote">
    <w:name w:val="Intense Quote"/>
    <w:basedOn w:val="Normal"/>
    <w:next w:val="Normal"/>
    <w:link w:val="IntenseQuoteChar"/>
    <w:uiPriority w:val="30"/>
    <w:qFormat/>
    <w:rsid w:val="00FC3B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B48"/>
    <w:rPr>
      <w:i/>
      <w:iCs/>
      <w:color w:val="0F4761" w:themeColor="accent1" w:themeShade="BF"/>
    </w:rPr>
  </w:style>
  <w:style w:type="character" w:styleId="IntenseReference">
    <w:name w:val="Intense Reference"/>
    <w:basedOn w:val="DefaultParagraphFont"/>
    <w:uiPriority w:val="32"/>
    <w:qFormat/>
    <w:rsid w:val="00FC3B48"/>
    <w:rPr>
      <w:b/>
      <w:bCs/>
      <w:smallCaps/>
      <w:color w:val="0F4761" w:themeColor="accent1" w:themeShade="BF"/>
      <w:spacing w:val="5"/>
    </w:rPr>
  </w:style>
  <w:style w:type="character" w:styleId="Hyperlink">
    <w:name w:val="Hyperlink"/>
    <w:basedOn w:val="DefaultParagraphFont"/>
    <w:uiPriority w:val="99"/>
    <w:unhideWhenUsed/>
    <w:rsid w:val="00F977F8"/>
    <w:rPr>
      <w:color w:val="467886" w:themeColor="hyperlink"/>
      <w:u w:val="single"/>
    </w:rPr>
  </w:style>
  <w:style w:type="character" w:styleId="UnresolvedMention">
    <w:name w:val="Unresolved Mention"/>
    <w:basedOn w:val="DefaultParagraphFont"/>
    <w:uiPriority w:val="99"/>
    <w:semiHidden/>
    <w:unhideWhenUsed/>
    <w:rsid w:val="00F977F8"/>
    <w:rPr>
      <w:color w:val="605E5C"/>
      <w:shd w:val="clear" w:color="auto" w:fill="E1DFDD"/>
    </w:rPr>
  </w:style>
  <w:style w:type="character" w:styleId="FollowedHyperlink">
    <w:name w:val="FollowedHyperlink"/>
    <w:basedOn w:val="DefaultParagraphFont"/>
    <w:uiPriority w:val="99"/>
    <w:semiHidden/>
    <w:unhideWhenUsed/>
    <w:rsid w:val="00F977F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assets-hmicfrs.justiceinspectorates.gov.uk/uploads/police-response-to-violence-against-women-and-girls-final-inspection-report.pdf?utm_source=chatgpt.com" TargetMode="External"/><Relationship Id="rId5" Type="http://schemas.openxmlformats.org/officeDocument/2006/relationships/hyperlink" Target="https://www.college.police.uk/guidance/vulnerability-related-risks?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AB64F-0FCB-4305-9089-F4C6C0AA7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3023</Words>
  <Characters>19227</Characters>
  <Application>Microsoft Office Word</Application>
  <DocSecurity>0</DocSecurity>
  <Lines>337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Weaver</dc:creator>
  <cp:keywords/>
  <dc:description/>
  <cp:lastModifiedBy>Ethan Weaver</cp:lastModifiedBy>
  <cp:revision>14</cp:revision>
  <dcterms:created xsi:type="dcterms:W3CDTF">2026-01-26T21:30:00Z</dcterms:created>
  <dcterms:modified xsi:type="dcterms:W3CDTF">2026-01-26T21:50:00Z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7dd8d2d8-5149-4632-9244-7ac5e5345ae2</vt:lpwstr>
  </property>
</Properties>
</file>