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C23ED68" w:rsidR="00986B43" w:rsidRPr="009E258C" w:rsidRDefault="00986B43" w:rsidP="005D3F07">
            <w:pPr>
              <w:overflowPunct/>
              <w:autoSpaceDE/>
              <w:autoSpaceDN/>
              <w:adjustRightInd/>
              <w:ind w:right="-957"/>
              <w:textAlignment w:val="auto"/>
              <w:rPr>
                <w:rFonts w:ascii="Times New Roman" w:hAnsi="Times New Roman" w:cs="Times New Roman"/>
                <w:b/>
                <w:color w:val="auto"/>
                <w:sz w:val="44"/>
                <w:szCs w:val="18"/>
              </w:rPr>
            </w:pPr>
            <w:r w:rsidRPr="009E258C">
              <w:rPr>
                <w:rFonts w:ascii="Times New Roman" w:hAnsi="Times New Roman" w:cs="Times New Roman"/>
                <w:b/>
                <w:color w:val="auto"/>
                <w:sz w:val="44"/>
                <w:szCs w:val="18"/>
              </w:rPr>
              <w:t>Learner’s name:</w:t>
            </w:r>
            <w:r w:rsidR="00247265" w:rsidRPr="009E258C">
              <w:rPr>
                <w:rFonts w:ascii="Times New Roman" w:hAnsi="Times New Roman" w:cs="Times New Roman"/>
                <w:b/>
                <w:color w:val="auto"/>
                <w:sz w:val="44"/>
                <w:szCs w:val="18"/>
              </w:rPr>
              <w:t xml:space="preserve"> </w:t>
            </w:r>
            <w:r w:rsidR="009E258C" w:rsidRPr="009E258C">
              <w:rPr>
                <w:rFonts w:ascii="Times New Roman" w:hAnsi="Times New Roman" w:cs="Times New Roman"/>
                <w:b/>
                <w:color w:val="auto"/>
                <w:sz w:val="44"/>
                <w:szCs w:val="18"/>
              </w:rPr>
              <w:t>Roxanne Owen-Williams</w:t>
            </w:r>
          </w:p>
          <w:p w14:paraId="0B6CD0DB" w14:textId="689515B5" w:rsidR="009C337F" w:rsidRPr="009E258C" w:rsidRDefault="009C337F" w:rsidP="005D3F07">
            <w:pPr>
              <w:overflowPunct/>
              <w:autoSpaceDE/>
              <w:autoSpaceDN/>
              <w:adjustRightInd/>
              <w:ind w:right="-957"/>
              <w:textAlignment w:val="auto"/>
              <w:rPr>
                <w:rFonts w:ascii="Times New Roman" w:hAnsi="Times New Roman" w:cs="Times New Roman"/>
                <w:b/>
                <w:color w:val="auto"/>
                <w:sz w:val="44"/>
                <w:szCs w:val="18"/>
              </w:rPr>
            </w:pPr>
          </w:p>
          <w:p w14:paraId="3A6EAAC7" w14:textId="739DBB0A" w:rsidR="009C337F" w:rsidRPr="009E258C" w:rsidRDefault="009C337F" w:rsidP="005D3F07">
            <w:pPr>
              <w:overflowPunct/>
              <w:autoSpaceDE/>
              <w:autoSpaceDN/>
              <w:adjustRightInd/>
              <w:ind w:right="-957"/>
              <w:textAlignment w:val="auto"/>
              <w:rPr>
                <w:rFonts w:ascii="Times New Roman" w:hAnsi="Times New Roman" w:cs="Times New Roman"/>
                <w:b/>
                <w:color w:val="auto"/>
                <w:sz w:val="44"/>
                <w:szCs w:val="18"/>
              </w:rPr>
            </w:pPr>
            <w:r w:rsidRPr="009E258C">
              <w:rPr>
                <w:rFonts w:ascii="Times New Roman" w:hAnsi="Times New Roman" w:cs="Times New Roman"/>
                <w:b/>
                <w:color w:val="auto"/>
                <w:sz w:val="44"/>
                <w:szCs w:val="18"/>
              </w:rPr>
              <w:t>Email address:</w:t>
            </w:r>
            <w:r w:rsidR="009E258C" w:rsidRPr="009E258C">
              <w:rPr>
                <w:rFonts w:ascii="Times New Roman" w:hAnsi="Times New Roman" w:cs="Times New Roman"/>
                <w:b/>
                <w:color w:val="auto"/>
                <w:sz w:val="44"/>
                <w:szCs w:val="18"/>
              </w:rPr>
              <w:t xml:space="preserve"> </w:t>
            </w:r>
            <w:hyperlink r:id="rId11" w:history="1">
              <w:r w:rsidR="009E258C" w:rsidRPr="009C78A3">
                <w:rPr>
                  <w:rStyle w:val="Hyperlink"/>
                  <w:rFonts w:ascii="Times New Roman" w:hAnsi="Times New Roman" w:cs="Times New Roman"/>
                  <w:b/>
                  <w:sz w:val="44"/>
                  <w:szCs w:val="18"/>
                </w:rPr>
                <w:t>roxy_581@msn.com</w:t>
              </w:r>
            </w:hyperlink>
            <w:r w:rsidR="009E258C">
              <w:rPr>
                <w:rFonts w:ascii="Times New Roman" w:hAnsi="Times New Roman" w:cs="Times New Roman"/>
                <w:b/>
                <w:color w:val="auto"/>
                <w:sz w:val="44"/>
                <w:szCs w:val="18"/>
              </w:rPr>
              <w:t xml:space="preserve"> </w:t>
            </w:r>
          </w:p>
          <w:p w14:paraId="22E38809" w14:textId="77777777" w:rsidR="00986B43" w:rsidRPr="009E258C" w:rsidRDefault="00986B43" w:rsidP="005D3F07">
            <w:pPr>
              <w:overflowPunct/>
              <w:autoSpaceDE/>
              <w:autoSpaceDN/>
              <w:adjustRightInd/>
              <w:ind w:right="-957"/>
              <w:textAlignment w:val="auto"/>
              <w:rPr>
                <w:rFonts w:ascii="Times New Roman" w:hAnsi="Times New Roman" w:cs="Times New Roman"/>
                <w:b/>
                <w:color w:val="auto"/>
                <w:sz w:val="44"/>
                <w:szCs w:val="18"/>
              </w:rPr>
            </w:pPr>
          </w:p>
          <w:p w14:paraId="0DE696B2" w14:textId="19BF8C7D" w:rsidR="00F927A1" w:rsidRPr="009E258C" w:rsidRDefault="0085230E" w:rsidP="005D3F07">
            <w:pPr>
              <w:overflowPunct/>
              <w:autoSpaceDE/>
              <w:autoSpaceDN/>
              <w:adjustRightInd/>
              <w:ind w:right="-957"/>
              <w:textAlignment w:val="auto"/>
              <w:rPr>
                <w:rFonts w:ascii="Times New Roman" w:hAnsi="Times New Roman" w:cs="Times New Roman"/>
                <w:b/>
                <w:color w:val="auto"/>
                <w:sz w:val="44"/>
                <w:szCs w:val="18"/>
              </w:rPr>
            </w:pPr>
            <w:r w:rsidRPr="009E258C">
              <w:rPr>
                <w:rFonts w:ascii="Times New Roman" w:hAnsi="Times New Roman" w:cs="Times New Roman"/>
                <w:b/>
                <w:color w:val="auto"/>
                <w:sz w:val="44"/>
                <w:szCs w:val="18"/>
              </w:rPr>
              <w:t>Learner’s University Registration</w:t>
            </w:r>
            <w:r w:rsidR="00F927A1" w:rsidRPr="009E258C">
              <w:rPr>
                <w:rFonts w:ascii="Times New Roman" w:hAnsi="Times New Roman" w:cs="Times New Roman"/>
                <w:b/>
                <w:color w:val="auto"/>
                <w:sz w:val="44"/>
                <w:szCs w:val="18"/>
              </w:rPr>
              <w:t xml:space="preserve"> Number:</w:t>
            </w:r>
            <w:r w:rsidR="009E258C" w:rsidRPr="009E258C">
              <w:rPr>
                <w:sz w:val="18"/>
                <w:szCs w:val="18"/>
              </w:rPr>
              <w:t xml:space="preserve"> </w:t>
            </w:r>
            <w:r w:rsidR="009E258C" w:rsidRPr="009E258C">
              <w:rPr>
                <w:rFonts w:ascii="Times New Roman" w:hAnsi="Times New Roman" w:cs="Times New Roman"/>
                <w:b/>
                <w:color w:val="auto"/>
                <w:sz w:val="44"/>
                <w:szCs w:val="18"/>
              </w:rPr>
              <w:t>2522656</w:t>
            </w:r>
          </w:p>
          <w:p w14:paraId="622FD17A" w14:textId="77777777" w:rsidR="0085230E" w:rsidRPr="009E258C" w:rsidRDefault="0085230E" w:rsidP="005D3F07">
            <w:pPr>
              <w:overflowPunct/>
              <w:autoSpaceDE/>
              <w:autoSpaceDN/>
              <w:adjustRightInd/>
              <w:ind w:right="-957"/>
              <w:textAlignment w:val="auto"/>
              <w:rPr>
                <w:rFonts w:ascii="Times New Roman" w:hAnsi="Times New Roman" w:cs="Times New Roman"/>
                <w:b/>
                <w:color w:val="auto"/>
                <w:sz w:val="44"/>
                <w:szCs w:val="1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9E258C">
              <w:rPr>
                <w:rFonts w:ascii="Times New Roman" w:hAnsi="Times New Roman" w:cs="Times New Roman"/>
                <w:b/>
                <w:color w:val="auto"/>
                <w:sz w:val="44"/>
                <w:szCs w:val="18"/>
              </w:rPr>
              <w:t xml:space="preserve">Cohort: </w:t>
            </w:r>
            <w:r w:rsidR="00B037B0" w:rsidRPr="009E258C">
              <w:rPr>
                <w:rFonts w:ascii="Times New Roman" w:hAnsi="Times New Roman" w:cs="Times New Roman"/>
                <w:b/>
                <w:color w:val="auto"/>
                <w:sz w:val="44"/>
                <w:szCs w:val="18"/>
              </w:rPr>
              <w:t>21</w:t>
            </w:r>
            <w:r w:rsidR="00AE6231" w:rsidRPr="009E258C">
              <w:rPr>
                <w:rFonts w:ascii="Times New Roman" w:hAnsi="Times New Roman" w:cs="Times New Roman"/>
                <w:b/>
                <w:color w:val="auto"/>
                <w:sz w:val="44"/>
                <w:szCs w:val="1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05851061" w14:textId="77777777" w:rsidR="00172494" w:rsidRPr="00172494" w:rsidRDefault="00172494" w:rsidP="00172494">
            <w:pPr>
              <w:spacing w:line="360" w:lineRule="auto"/>
              <w:jc w:val="both"/>
              <w:rPr>
                <w:iCs/>
                <w:sz w:val="24"/>
                <w:szCs w:val="24"/>
              </w:rPr>
            </w:pPr>
            <w:r w:rsidRPr="00172494">
              <w:rPr>
                <w:iCs/>
                <w:sz w:val="24"/>
                <w:szCs w:val="24"/>
              </w:rPr>
              <w:t>This case study concerns Person 3, a 16-year-old young person who became known to Children's Services due to safeguarding concerns. Person 3 was accommodated under Section 76 of the Social Services and Well-being (Wales) Act 2014 (SSWBA) as a voluntary looked-after child. My role within the case, as a 16+ Social Worker, involved assessing risk, coordinating safeguarding interventions, discharging statutory duties, and working collaboratively with the young person and partner agencies to promote his safety and wellbeing. This case is significant from a safeguarding perspective due to the complexity of the concerns identified. Alongside this, there were concerns regarding child criminal exploitation and indicators of modern slavery, requiring a multi-agency response. The case highlighted the challenges of balancing the young person's wishes and feelings with the need to protect him from significant harm.</w:t>
            </w:r>
          </w:p>
          <w:p w14:paraId="5CD1FD94" w14:textId="77777777" w:rsidR="00172494" w:rsidRPr="00172494" w:rsidRDefault="00172494" w:rsidP="00172494">
            <w:pPr>
              <w:spacing w:line="360" w:lineRule="auto"/>
              <w:jc w:val="both"/>
              <w:rPr>
                <w:iCs/>
                <w:sz w:val="24"/>
                <w:szCs w:val="24"/>
              </w:rPr>
            </w:pPr>
          </w:p>
          <w:p w14:paraId="7EF9F446" w14:textId="77777777" w:rsidR="00172494" w:rsidRPr="00172494" w:rsidRDefault="00172494" w:rsidP="00172494">
            <w:pPr>
              <w:spacing w:line="360" w:lineRule="auto"/>
              <w:jc w:val="both"/>
              <w:rPr>
                <w:iCs/>
                <w:sz w:val="24"/>
                <w:szCs w:val="24"/>
              </w:rPr>
            </w:pPr>
            <w:r w:rsidRPr="00172494">
              <w:rPr>
                <w:iCs/>
                <w:sz w:val="24"/>
                <w:szCs w:val="24"/>
              </w:rPr>
              <w:t xml:space="preserve">This case was selected because it demonstrates the complexity of safeguarding older adolescents who may appear to be making autonomous choices whilst simultaneously </w:t>
            </w:r>
            <w:r w:rsidRPr="00172494">
              <w:rPr>
                <w:iCs/>
                <w:sz w:val="24"/>
                <w:szCs w:val="24"/>
              </w:rPr>
              <w:lastRenderedPageBreak/>
              <w:t>experiencing significant vulnerability and exploitation. It also highlights the challenges practitioners face when balancing rights, participation and autonomy with statutory safeguarding responsibilities. In the Welsh context, safeguarding practice is shaped by the SSWBA (2014), which places wellbeing, voice and control at the centre of intervention whilst requiring professionals to work collaboratively to protect children and young people from harm. This case therefore provides an opportunity to critically evaluate assessment, professional judgement and multi-agency safeguarding within a complex practice setting.</w:t>
            </w:r>
          </w:p>
          <w:p w14:paraId="561D15A4" w14:textId="77777777" w:rsidR="00172494" w:rsidRPr="00172494" w:rsidRDefault="00172494" w:rsidP="00172494">
            <w:pPr>
              <w:spacing w:line="360" w:lineRule="auto"/>
              <w:jc w:val="both"/>
              <w:rPr>
                <w:iCs/>
                <w:sz w:val="24"/>
                <w:szCs w:val="24"/>
              </w:rPr>
            </w:pPr>
            <w:r w:rsidRPr="00172494">
              <w:rPr>
                <w:iCs/>
                <w:sz w:val="24"/>
                <w:szCs w:val="24"/>
              </w:rPr>
              <w:t xml:space="preserve">This case study critically reflects on my assessment of risk, safeguarding interventions, multi-agency collaboration and the application of professional judgement within a complex safeguarding context. </w:t>
            </w:r>
          </w:p>
          <w:p w14:paraId="34D42A4B" w14:textId="77777777" w:rsidR="00172494" w:rsidRPr="00172494" w:rsidRDefault="00172494" w:rsidP="00172494">
            <w:pPr>
              <w:spacing w:line="360" w:lineRule="auto"/>
              <w:jc w:val="both"/>
              <w:rPr>
                <w:iCs/>
                <w:sz w:val="24"/>
                <w:szCs w:val="24"/>
              </w:rPr>
            </w:pPr>
          </w:p>
          <w:p w14:paraId="4A67406F" w14:textId="77777777" w:rsidR="00172494" w:rsidRPr="00172494" w:rsidRDefault="00172494" w:rsidP="00172494">
            <w:pPr>
              <w:spacing w:line="360" w:lineRule="auto"/>
              <w:jc w:val="both"/>
              <w:rPr>
                <w:iCs/>
                <w:sz w:val="24"/>
                <w:szCs w:val="24"/>
              </w:rPr>
            </w:pPr>
            <w:r w:rsidRPr="00172494">
              <w:rPr>
                <w:iCs/>
                <w:sz w:val="24"/>
                <w:szCs w:val="24"/>
              </w:rPr>
              <w:t xml:space="preserve">At the point of transfer to the 16+ team, several concerns had already been identified. Person 3 had previously attempted suicide through overdose, presenting significant concerns regarding his emotional wellbeing and vulnerability. There were also concerns regarding possible neurodivergence, experiences of bullying, social isolation and harmful sexualised behaviours online. These concerns suggested multiple vulnerabilities and highlighted the need for a holistic assessment that considered both risk and unmet support needs. </w:t>
            </w:r>
          </w:p>
          <w:p w14:paraId="761FBD36" w14:textId="77777777" w:rsidR="00172494" w:rsidRPr="00172494" w:rsidRDefault="00172494" w:rsidP="00172494">
            <w:pPr>
              <w:spacing w:line="360" w:lineRule="auto"/>
              <w:jc w:val="both"/>
              <w:rPr>
                <w:iCs/>
                <w:sz w:val="24"/>
                <w:szCs w:val="24"/>
              </w:rPr>
            </w:pPr>
            <w:r w:rsidRPr="00172494">
              <w:rPr>
                <w:iCs/>
                <w:sz w:val="24"/>
                <w:szCs w:val="24"/>
              </w:rPr>
              <w:t xml:space="preserve">Understanding Person 3's family background was important in analysing how his experiences may have contributed to his vulnerability. Following his mother's remarriage, he had been asked to leave the family home and subsequently lived with his grandmother and father. However, he reported being told by his father that he had never wanted children and that Person 3 had been a mistake. Reflecting on this information, I recognised the potential impact that rejection, instability and low self-worth may have had on his emotional wellbeing, relationships and susceptibility to exploitation. Initially, it would have been easy to focus solely on presenting risk behaviours; however, analysis of his history highlighted the importance of understanding the underlying factors driving those behaviours. </w:t>
            </w:r>
          </w:p>
          <w:p w14:paraId="3AAAA71F" w14:textId="77777777" w:rsidR="00172494" w:rsidRPr="00172494" w:rsidRDefault="00172494" w:rsidP="00172494">
            <w:pPr>
              <w:spacing w:line="360" w:lineRule="auto"/>
              <w:jc w:val="both"/>
              <w:rPr>
                <w:iCs/>
                <w:sz w:val="24"/>
                <w:szCs w:val="24"/>
              </w:rPr>
            </w:pPr>
          </w:p>
          <w:p w14:paraId="3FDA1652" w14:textId="77777777" w:rsidR="00172494" w:rsidRPr="00172494" w:rsidRDefault="00172494" w:rsidP="00172494">
            <w:pPr>
              <w:spacing w:line="360" w:lineRule="auto"/>
              <w:jc w:val="both"/>
              <w:rPr>
                <w:iCs/>
                <w:sz w:val="24"/>
                <w:szCs w:val="24"/>
              </w:rPr>
            </w:pPr>
            <w:r w:rsidRPr="00172494">
              <w:rPr>
                <w:iCs/>
                <w:sz w:val="24"/>
                <w:szCs w:val="24"/>
              </w:rPr>
              <w:t xml:space="preserve">Person 3 disclosed involvement in activities consistent with money </w:t>
            </w:r>
            <w:proofErr w:type="spellStart"/>
            <w:r w:rsidRPr="00172494">
              <w:rPr>
                <w:iCs/>
                <w:sz w:val="24"/>
                <w:szCs w:val="24"/>
              </w:rPr>
              <w:t>muling</w:t>
            </w:r>
            <w:proofErr w:type="spellEnd"/>
            <w:r w:rsidRPr="00172494">
              <w:rPr>
                <w:iCs/>
                <w:sz w:val="24"/>
                <w:szCs w:val="24"/>
              </w:rPr>
              <w:t xml:space="preserve">. Initially, there may have been an assumption that his actions were motivated purely by a desire to make money. However, further assessment challenged this assumption and identified that he appeared vulnerable to grooming, manipulation and coercion. His social isolation, desire for acceptance </w:t>
            </w:r>
            <w:r w:rsidRPr="00172494">
              <w:rPr>
                <w:iCs/>
                <w:sz w:val="24"/>
                <w:szCs w:val="24"/>
              </w:rPr>
              <w:lastRenderedPageBreak/>
              <w:t>and financial motivation increased his susceptibility to exploitation. As my understanding of the case developed, I completed a Child Exploitation Risk Assessment Tool and shared the findings with partner agencies. This enabled professionals to develop a shared understanding of risk and supported the establishment of monthly multi-agency strategy meetings, reflecting the SSWBA (2014) emphasis on partnership working and the promotion of wellbeing through coordinated intervention.</w:t>
            </w:r>
          </w:p>
          <w:p w14:paraId="2C971B43" w14:textId="77777777" w:rsidR="00172494" w:rsidRPr="00172494" w:rsidRDefault="00172494" w:rsidP="00172494">
            <w:pPr>
              <w:spacing w:line="360" w:lineRule="auto"/>
              <w:jc w:val="both"/>
              <w:rPr>
                <w:iCs/>
                <w:sz w:val="24"/>
                <w:szCs w:val="24"/>
              </w:rPr>
            </w:pPr>
            <w:r w:rsidRPr="00172494">
              <w:rPr>
                <w:iCs/>
                <w:sz w:val="24"/>
                <w:szCs w:val="24"/>
              </w:rPr>
              <w:t>Further information identified concerns relating to modern slavery and criminal exploitation, as Person 3 expressed a strong desire to obtain his passport and travel independently. Although he was sixteen and viewed the passport as his personal property, professionals considered that returning it would significantly increase the risk of further exploitation or trafficking. This created an ethical tension between promoting independence and safeguarding him from harm. Through direct discussions with person 3, I concluded that the level of risk outweighed the benefits of returning the passport at that time — a decision requiring careful consideration of proportionality, rights and safeguarding responsibilities.</w:t>
            </w:r>
          </w:p>
          <w:p w14:paraId="3BFD9A27" w14:textId="77777777" w:rsidR="00172494" w:rsidRPr="00172494" w:rsidRDefault="00172494" w:rsidP="00172494">
            <w:pPr>
              <w:spacing w:line="360" w:lineRule="auto"/>
              <w:jc w:val="both"/>
              <w:rPr>
                <w:iCs/>
                <w:sz w:val="24"/>
                <w:szCs w:val="24"/>
              </w:rPr>
            </w:pPr>
          </w:p>
          <w:p w14:paraId="0B0FA895" w14:textId="77777777" w:rsidR="00172494" w:rsidRPr="00172494" w:rsidRDefault="00172494" w:rsidP="00172494">
            <w:pPr>
              <w:spacing w:line="360" w:lineRule="auto"/>
              <w:jc w:val="both"/>
              <w:rPr>
                <w:iCs/>
                <w:sz w:val="24"/>
                <w:szCs w:val="24"/>
              </w:rPr>
            </w:pPr>
            <w:r w:rsidRPr="00172494">
              <w:rPr>
                <w:iCs/>
                <w:sz w:val="24"/>
                <w:szCs w:val="24"/>
              </w:rPr>
              <w:t xml:space="preserve">The assessment identified numerous risks, including money </w:t>
            </w:r>
            <w:proofErr w:type="spellStart"/>
            <w:r w:rsidRPr="00172494">
              <w:rPr>
                <w:iCs/>
                <w:sz w:val="24"/>
                <w:szCs w:val="24"/>
              </w:rPr>
              <w:t>muling</w:t>
            </w:r>
            <w:proofErr w:type="spellEnd"/>
            <w:r w:rsidRPr="00172494">
              <w:rPr>
                <w:iCs/>
                <w:sz w:val="24"/>
                <w:szCs w:val="24"/>
              </w:rPr>
              <w:t xml:space="preserve"> activities that resulted in police involvement and the freezing of his bank account, with potential implications for his future financial stability, employment opportunities and reputation. More significantly, there were concerns that individuals involved in the exploitation were attempting to contact him and expected him to continue participating in criminal activity. Information shared by person 3 suggested that failure to comply could place him at risk of serious harm. Consequently, safeguarding concerns extended beyond financial exploitation to risks to his physical safety and potentially his life. A positive National Referral Mechanism (NRM) decision, the UK framework for identifying and supporting potential victims of modern slavery and exploitation, further reinforced recognition of his exploitation and strengthened safeguarding planning and protections.</w:t>
            </w:r>
          </w:p>
          <w:p w14:paraId="72C30A82" w14:textId="77777777" w:rsidR="00172494" w:rsidRPr="00172494" w:rsidRDefault="00172494" w:rsidP="00172494">
            <w:pPr>
              <w:spacing w:line="360" w:lineRule="auto"/>
              <w:jc w:val="both"/>
              <w:rPr>
                <w:iCs/>
                <w:sz w:val="24"/>
                <w:szCs w:val="24"/>
              </w:rPr>
            </w:pPr>
            <w:r w:rsidRPr="00172494">
              <w:rPr>
                <w:iCs/>
                <w:sz w:val="24"/>
                <w:szCs w:val="24"/>
              </w:rPr>
              <w:t xml:space="preserve">Initially, Person 3's involvement in money </w:t>
            </w:r>
            <w:proofErr w:type="spellStart"/>
            <w:r w:rsidRPr="00172494">
              <w:rPr>
                <w:iCs/>
                <w:sz w:val="24"/>
                <w:szCs w:val="24"/>
              </w:rPr>
              <w:t>muling</w:t>
            </w:r>
            <w:proofErr w:type="spellEnd"/>
            <w:r w:rsidRPr="00172494">
              <w:rPr>
                <w:iCs/>
                <w:sz w:val="24"/>
                <w:szCs w:val="24"/>
              </w:rPr>
              <w:t xml:space="preserve"> could have been viewed primarily as offending behaviour. However, reflecting on the assessment process, the most significant learning was the importance of moving beyond presenting behaviours and continually questioning assumptions. Through assessment, supervision and multi-agency information sharing, it became clear that he was a vulnerable young person experiencing exploitation. </w:t>
            </w:r>
            <w:r w:rsidRPr="00172494">
              <w:rPr>
                <w:iCs/>
                <w:sz w:val="24"/>
                <w:szCs w:val="24"/>
              </w:rPr>
              <w:lastRenderedPageBreak/>
              <w:t>This analysis informed safeguarding interventions, strengthened risk management and ensured that practice remained consistent with the wellbeing and protection duties contained within the SSWBA (2014).</w:t>
            </w:r>
          </w:p>
          <w:p w14:paraId="3F7707C6" w14:textId="77777777" w:rsidR="00172494" w:rsidRPr="00172494" w:rsidRDefault="00172494" w:rsidP="00172494">
            <w:pPr>
              <w:spacing w:line="360" w:lineRule="auto"/>
              <w:jc w:val="both"/>
              <w:rPr>
                <w:iCs/>
                <w:sz w:val="24"/>
                <w:szCs w:val="24"/>
              </w:rPr>
            </w:pPr>
          </w:p>
          <w:p w14:paraId="54721C28" w14:textId="77777777" w:rsidR="00172494" w:rsidRPr="00172494" w:rsidRDefault="00172494" w:rsidP="00172494">
            <w:pPr>
              <w:spacing w:line="360" w:lineRule="auto"/>
              <w:jc w:val="both"/>
              <w:rPr>
                <w:iCs/>
                <w:sz w:val="24"/>
                <w:szCs w:val="24"/>
              </w:rPr>
            </w:pPr>
            <w:r w:rsidRPr="00172494">
              <w:rPr>
                <w:iCs/>
                <w:sz w:val="24"/>
                <w:szCs w:val="24"/>
              </w:rPr>
              <w:t>Despite these risks, the assessment also identified important strengths and protective factors. Person 3 was residing in a staffed placement with support available twenty-four hours a day, providing stability and oversight, and was engaging with myself and other professionals. Applying a strengths-based approach allowed me to recognise not only the risks but also the resources available to support positive outcomes. A strengths-based approach also enabled exploration of Person 3's aspirations rather than defining him solely by safeguarding concerns. His desire for financial independence reflected a legitimate developmental goal, although his methods of obtaining money were unsafe, and this informed intervention planning by focusing on safer pathways to independence, education, employment and financial management, consistent with the wellbeing and empowerment principles of the SSWBA (2014).</w:t>
            </w:r>
          </w:p>
          <w:p w14:paraId="38AF1395" w14:textId="77777777" w:rsidR="00172494" w:rsidRPr="00172494" w:rsidRDefault="00172494" w:rsidP="00172494">
            <w:pPr>
              <w:spacing w:line="360" w:lineRule="auto"/>
              <w:jc w:val="both"/>
              <w:rPr>
                <w:iCs/>
                <w:sz w:val="24"/>
                <w:szCs w:val="24"/>
              </w:rPr>
            </w:pPr>
            <w:r w:rsidRPr="00172494">
              <w:rPr>
                <w:iCs/>
                <w:sz w:val="24"/>
                <w:szCs w:val="24"/>
              </w:rPr>
              <w:t>Throughout the assessment, Person 3's wishes and feelings remained central. He consistently stated that he wanted his passport back and wished to make money, including to purchase cannabis. Whilst it would have been easy to dismiss these views because of the associated risks, strengths-based practice required me to consider the underlying needs driving them. Analysis through direct discussions and work with person 3 suggested that financial independence, belonging and autonomy were significant motivators, and understanding these motivations enabled more meaningful discussions about safer alternatives and future planning.</w:t>
            </w:r>
          </w:p>
          <w:p w14:paraId="2F8F07EF" w14:textId="77777777" w:rsidR="00172494" w:rsidRPr="00172494" w:rsidRDefault="00172494" w:rsidP="00172494">
            <w:pPr>
              <w:spacing w:line="360" w:lineRule="auto"/>
              <w:jc w:val="both"/>
              <w:rPr>
                <w:iCs/>
                <w:sz w:val="24"/>
                <w:szCs w:val="24"/>
              </w:rPr>
            </w:pPr>
          </w:p>
          <w:p w14:paraId="1D301645" w14:textId="77777777" w:rsidR="00172494" w:rsidRPr="00172494" w:rsidRDefault="00172494" w:rsidP="00172494">
            <w:pPr>
              <w:spacing w:line="360" w:lineRule="auto"/>
              <w:jc w:val="both"/>
              <w:rPr>
                <w:iCs/>
                <w:sz w:val="24"/>
                <w:szCs w:val="24"/>
              </w:rPr>
            </w:pPr>
          </w:p>
          <w:p w14:paraId="58D3229E" w14:textId="77777777" w:rsidR="00172494" w:rsidRPr="00172494" w:rsidRDefault="00172494" w:rsidP="00172494">
            <w:pPr>
              <w:spacing w:line="360" w:lineRule="auto"/>
              <w:jc w:val="both"/>
              <w:rPr>
                <w:iCs/>
                <w:sz w:val="24"/>
                <w:szCs w:val="24"/>
              </w:rPr>
            </w:pPr>
            <w:r w:rsidRPr="00172494">
              <w:rPr>
                <w:iCs/>
                <w:sz w:val="24"/>
                <w:szCs w:val="24"/>
              </w:rPr>
              <w:t>Safeguarding Legislation, Policy and Procedures</w:t>
            </w:r>
          </w:p>
          <w:p w14:paraId="36E3E12A" w14:textId="77777777" w:rsidR="00172494" w:rsidRPr="00172494" w:rsidRDefault="00172494" w:rsidP="00172494">
            <w:pPr>
              <w:spacing w:line="360" w:lineRule="auto"/>
              <w:jc w:val="both"/>
              <w:rPr>
                <w:iCs/>
                <w:sz w:val="24"/>
                <w:szCs w:val="24"/>
              </w:rPr>
            </w:pPr>
          </w:p>
          <w:p w14:paraId="5F41D2F6" w14:textId="77777777" w:rsidR="00172494" w:rsidRPr="00172494" w:rsidRDefault="00172494" w:rsidP="00172494">
            <w:pPr>
              <w:spacing w:line="360" w:lineRule="auto"/>
              <w:jc w:val="both"/>
              <w:rPr>
                <w:iCs/>
                <w:sz w:val="24"/>
                <w:szCs w:val="24"/>
              </w:rPr>
            </w:pPr>
            <w:r w:rsidRPr="00172494">
              <w:rPr>
                <w:iCs/>
                <w:sz w:val="24"/>
                <w:szCs w:val="24"/>
              </w:rPr>
              <w:t xml:space="preserve">The primary legislative framework underpinning this case was the SSWBA (2014). The Act places wellbeing at the centre of practice and requires professionals to promote voice, choice, prevention and early intervention. These principles were particularly relevant as Person 3 was transitioning into adulthood whilst experiencing significant safeguarding risks. Although practice was primarily guided by Welsh legislation, safeguarding responsibilities were also </w:t>
            </w:r>
            <w:r w:rsidRPr="00172494">
              <w:rPr>
                <w:iCs/>
                <w:sz w:val="24"/>
                <w:szCs w:val="24"/>
              </w:rPr>
              <w:lastRenderedPageBreak/>
              <w:t>shaped by wider UK, European and international human rights frameworks, which informed assessment, intervention and decision-making throughout.</w:t>
            </w:r>
          </w:p>
          <w:p w14:paraId="7B4704E0" w14:textId="77777777" w:rsidR="00172494" w:rsidRPr="00172494" w:rsidRDefault="00172494" w:rsidP="00172494">
            <w:pPr>
              <w:spacing w:line="360" w:lineRule="auto"/>
              <w:jc w:val="both"/>
              <w:rPr>
                <w:iCs/>
                <w:sz w:val="24"/>
                <w:szCs w:val="24"/>
              </w:rPr>
            </w:pPr>
            <w:r w:rsidRPr="00172494">
              <w:rPr>
                <w:iCs/>
                <w:sz w:val="24"/>
                <w:szCs w:val="24"/>
              </w:rPr>
              <w:t>Parts 3, 4 and 6 of the SSWBA informed assessment, care planning and accommodation arrangements. The Pathway Assessment enabled a holistic understanding of Person 3's emotional wellbeing, family relationships, vulnerabilities linked to possible neurodivergence and emerging exploitation concerns. As a looked-after child accommodated under Section 76, the local authority also had corporate parenting responsibilities to safeguard his welfare whilst supporting his transition towards independence. This required balancing his wishes and rights with identified safeguarding risks.</w:t>
            </w:r>
          </w:p>
          <w:p w14:paraId="6E92F996" w14:textId="77777777" w:rsidR="00172494" w:rsidRPr="00172494" w:rsidRDefault="00172494" w:rsidP="00172494">
            <w:pPr>
              <w:spacing w:line="360" w:lineRule="auto"/>
              <w:jc w:val="both"/>
              <w:rPr>
                <w:iCs/>
                <w:sz w:val="24"/>
                <w:szCs w:val="24"/>
              </w:rPr>
            </w:pPr>
            <w:r w:rsidRPr="00172494">
              <w:rPr>
                <w:iCs/>
                <w:sz w:val="24"/>
                <w:szCs w:val="24"/>
              </w:rPr>
              <w:t xml:space="preserve">Part 7 of the SSWBA provided the key safeguarding framework. As concerns regarding criminal exploitation, money </w:t>
            </w:r>
            <w:proofErr w:type="spellStart"/>
            <w:r w:rsidRPr="00172494">
              <w:rPr>
                <w:iCs/>
                <w:sz w:val="24"/>
                <w:szCs w:val="24"/>
              </w:rPr>
              <w:t>muling</w:t>
            </w:r>
            <w:proofErr w:type="spellEnd"/>
            <w:r w:rsidRPr="00172494">
              <w:rPr>
                <w:iCs/>
                <w:sz w:val="24"/>
                <w:szCs w:val="24"/>
              </w:rPr>
              <w:t>, coercion and possible trafficking emerged, it became necessary to consider whether Person 3 met the statutory Child at Risk threshold. The cumulative evidence indicated that he was experiencing, or was at risk of, abuse, neglect and exploitation and was unable to protect himself from this harm. Consequently, concerns were progressed through child protection processes, including completion of the Child Exploitation Risk Assessment Tool, information sharing, referrals to relevant agencies and regular multi-agency strategy meetings. These actions reflected the duty placed on agencies to collaborate to safeguard children at risk.</w:t>
            </w:r>
          </w:p>
          <w:p w14:paraId="177DE535" w14:textId="77777777" w:rsidR="00172494" w:rsidRPr="00172494" w:rsidRDefault="00172494" w:rsidP="00172494">
            <w:pPr>
              <w:spacing w:line="360" w:lineRule="auto"/>
              <w:jc w:val="both"/>
              <w:rPr>
                <w:iCs/>
                <w:sz w:val="24"/>
                <w:szCs w:val="24"/>
              </w:rPr>
            </w:pPr>
          </w:p>
          <w:p w14:paraId="53CEE384" w14:textId="77777777" w:rsidR="00172494" w:rsidRPr="00172494" w:rsidRDefault="00172494" w:rsidP="00172494">
            <w:pPr>
              <w:spacing w:line="360" w:lineRule="auto"/>
              <w:jc w:val="both"/>
              <w:rPr>
                <w:iCs/>
                <w:sz w:val="24"/>
                <w:szCs w:val="24"/>
              </w:rPr>
            </w:pPr>
            <w:r w:rsidRPr="00172494">
              <w:rPr>
                <w:iCs/>
                <w:sz w:val="24"/>
                <w:szCs w:val="24"/>
              </w:rPr>
              <w:t>The Children Act 1989 also informed decision-making, particularly the principle that the child's welfare is paramount. This was significant when balancing Person 3's views, including his wish to have his passport returned, against professional concerns regarding exploitation and trafficking. Reflecting on this decision strengthened my understanding that safeguarding decisions must be evidence-based, proportionate and focused on reducing the risk of significant harm. Multi-agency assessment and professional challenge were central in evidencing the threshold for intervention and ensuring that child protection responses remained lawful, necessary and focused on promoting Person 3's safety and wellbeing.</w:t>
            </w:r>
          </w:p>
          <w:p w14:paraId="42FB20CF" w14:textId="77777777" w:rsidR="00172494" w:rsidRPr="00172494" w:rsidRDefault="00172494" w:rsidP="00172494">
            <w:pPr>
              <w:spacing w:line="360" w:lineRule="auto"/>
              <w:jc w:val="both"/>
              <w:rPr>
                <w:iCs/>
                <w:sz w:val="24"/>
                <w:szCs w:val="24"/>
              </w:rPr>
            </w:pPr>
          </w:p>
          <w:p w14:paraId="37268795" w14:textId="77777777" w:rsidR="00172494" w:rsidRPr="00172494" w:rsidRDefault="00172494" w:rsidP="00172494">
            <w:pPr>
              <w:spacing w:line="360" w:lineRule="auto"/>
              <w:jc w:val="both"/>
              <w:rPr>
                <w:iCs/>
                <w:sz w:val="24"/>
                <w:szCs w:val="24"/>
              </w:rPr>
            </w:pPr>
            <w:r w:rsidRPr="00172494">
              <w:rPr>
                <w:iCs/>
                <w:sz w:val="24"/>
                <w:szCs w:val="24"/>
              </w:rPr>
              <w:t xml:space="preserve">Alongside legislation, the Wales Safeguarding Procedures (2026) provide a national framework for practitioners responding to abuse, neglect and exploitation, supporting consistent practice across Wales. In this case, the procedures informed information sharing, </w:t>
            </w:r>
            <w:r w:rsidRPr="00172494">
              <w:rPr>
                <w:iCs/>
                <w:sz w:val="24"/>
                <w:szCs w:val="24"/>
              </w:rPr>
              <w:lastRenderedPageBreak/>
              <w:t>risk assessment, multi-agency working and safeguarding decision-making, helping to ensure concerns regarding exploitation and modern slavery were recognised promptly and managed through coordinated professional responses.</w:t>
            </w:r>
          </w:p>
          <w:p w14:paraId="5C2C258F" w14:textId="77777777" w:rsidR="00172494" w:rsidRPr="00172494" w:rsidRDefault="00172494" w:rsidP="00172494">
            <w:pPr>
              <w:spacing w:line="360" w:lineRule="auto"/>
              <w:jc w:val="both"/>
              <w:rPr>
                <w:iCs/>
                <w:sz w:val="24"/>
                <w:szCs w:val="24"/>
              </w:rPr>
            </w:pPr>
          </w:p>
          <w:p w14:paraId="24A9D543" w14:textId="77777777" w:rsidR="00172494" w:rsidRPr="00172494" w:rsidRDefault="00172494" w:rsidP="00172494">
            <w:pPr>
              <w:spacing w:line="360" w:lineRule="auto"/>
              <w:jc w:val="both"/>
              <w:rPr>
                <w:iCs/>
                <w:sz w:val="24"/>
                <w:szCs w:val="24"/>
              </w:rPr>
            </w:pPr>
            <w:r w:rsidRPr="00172494">
              <w:rPr>
                <w:iCs/>
                <w:sz w:val="24"/>
                <w:szCs w:val="24"/>
              </w:rPr>
              <w:t xml:space="preserve">The Modern Slavery Act 2015 was also relevant, providing the principal UK-wide legislative framework for identifying, preventing and responding to modern slavery, human trafficking and exploitation. Importantly, it recognises that children involved in exploitative situations may be victims rather than offenders, reinforcing the need for safeguarding responses that prioritise protection over punishment. Concerns regarding grooming, coercion and money </w:t>
            </w:r>
            <w:proofErr w:type="spellStart"/>
            <w:r w:rsidRPr="00172494">
              <w:rPr>
                <w:iCs/>
                <w:sz w:val="24"/>
                <w:szCs w:val="24"/>
              </w:rPr>
              <w:t>muling</w:t>
            </w:r>
            <w:proofErr w:type="spellEnd"/>
            <w:r w:rsidRPr="00172494">
              <w:rPr>
                <w:iCs/>
                <w:sz w:val="24"/>
                <w:szCs w:val="24"/>
              </w:rPr>
              <w:t xml:space="preserve"> indicated that Person 3 may have been subject to exploitation by others for financial gain, and the subsequent positive NRM decision strengthened professional understanding of him as a potential victim of exploitation.</w:t>
            </w:r>
          </w:p>
          <w:p w14:paraId="22673DEA" w14:textId="77777777" w:rsidR="00172494" w:rsidRPr="00172494" w:rsidRDefault="00172494" w:rsidP="00172494">
            <w:pPr>
              <w:spacing w:line="360" w:lineRule="auto"/>
              <w:jc w:val="both"/>
              <w:rPr>
                <w:iCs/>
                <w:sz w:val="24"/>
                <w:szCs w:val="24"/>
              </w:rPr>
            </w:pPr>
          </w:p>
          <w:p w14:paraId="6DBEF3ED" w14:textId="77777777" w:rsidR="00172494" w:rsidRPr="00172494" w:rsidRDefault="00172494" w:rsidP="00172494">
            <w:pPr>
              <w:spacing w:line="360" w:lineRule="auto"/>
              <w:jc w:val="both"/>
              <w:rPr>
                <w:iCs/>
                <w:sz w:val="24"/>
                <w:szCs w:val="24"/>
              </w:rPr>
            </w:pPr>
            <w:r w:rsidRPr="00172494">
              <w:rPr>
                <w:iCs/>
                <w:sz w:val="24"/>
                <w:szCs w:val="24"/>
              </w:rPr>
              <w:t>Additionally, the Human Rights Act 1998 significantly influenced safeguarding decisions, incorporating rights contained within the European Convention on Human Rights (ECHR) into domestic law. In Person 3's case, safeguarding interventions needed to balance his individual rights with the need to protect him from harm. Decisions regarding his passport potentially affected his right to private and family life; however, these interventions were considered necessary and proportionate in light of the risks identified. Article 3 of the ECHR, which protects individuals from inhumane or degrading treatment, supports safeguarding interventions where there is a risk of exploitation, trafficking or significant harm, while Article</w:t>
            </w:r>
            <w:r w:rsidRPr="00172494">
              <w:rPr>
                <w:i/>
                <w:sz w:val="24"/>
                <w:szCs w:val="24"/>
              </w:rPr>
              <w:t xml:space="preserve"> </w:t>
            </w:r>
            <w:r w:rsidRPr="00172494">
              <w:rPr>
                <w:iCs/>
                <w:sz w:val="24"/>
                <w:szCs w:val="24"/>
              </w:rPr>
              <w:t>8, which protects the right to private and family life, required careful consideration when making decisions that limited Person 3's access to his passport. The challenge for practitioners is to ensure any interference with individual rights is lawful, necessary and proportionate.</w:t>
            </w:r>
          </w:p>
          <w:p w14:paraId="51A0B499" w14:textId="77777777" w:rsidR="00172494" w:rsidRPr="00172494" w:rsidRDefault="00172494" w:rsidP="00172494">
            <w:pPr>
              <w:spacing w:line="360" w:lineRule="auto"/>
              <w:jc w:val="both"/>
              <w:rPr>
                <w:iCs/>
                <w:sz w:val="24"/>
                <w:szCs w:val="24"/>
              </w:rPr>
            </w:pPr>
            <w:r w:rsidRPr="00172494">
              <w:rPr>
                <w:iCs/>
                <w:sz w:val="24"/>
                <w:szCs w:val="24"/>
              </w:rPr>
              <w:t>The statutory guidance Working Together to Safeguard People (Welsh Government, 2022) also informed practice, supporting implementation of safeguarding duties and emphasising proportionality, partnership working and early identification of risk. Given the range of agencies involved in Person 3's case, effective information sharing was essential, and the guidance reinforced the importance of collaborative safeguarding arrangements throughout.</w:t>
            </w:r>
          </w:p>
          <w:p w14:paraId="1D3D21D5" w14:textId="77777777" w:rsidR="00172494" w:rsidRPr="00172494" w:rsidRDefault="00172494" w:rsidP="00172494">
            <w:pPr>
              <w:spacing w:line="360" w:lineRule="auto"/>
              <w:jc w:val="both"/>
              <w:rPr>
                <w:iCs/>
                <w:sz w:val="24"/>
                <w:szCs w:val="24"/>
              </w:rPr>
            </w:pPr>
          </w:p>
          <w:p w14:paraId="4D47B076" w14:textId="77777777" w:rsidR="00172494" w:rsidRPr="00172494" w:rsidRDefault="00172494" w:rsidP="00172494">
            <w:pPr>
              <w:spacing w:line="360" w:lineRule="auto"/>
              <w:jc w:val="both"/>
              <w:rPr>
                <w:iCs/>
                <w:sz w:val="24"/>
                <w:szCs w:val="24"/>
              </w:rPr>
            </w:pPr>
            <w:r w:rsidRPr="00172494">
              <w:rPr>
                <w:iCs/>
                <w:sz w:val="24"/>
                <w:szCs w:val="24"/>
              </w:rPr>
              <w:lastRenderedPageBreak/>
              <w:t>The United Nations Convention on the Rights of the Child (UNCRC) was highly relevant because Person 3 was aged sixteen and therefore remained a child in law. The convention emphasises that a child's best interests should be a primary consideration and that children have a right to participate in decisions affecting them, reinforcing the need to listen to Person 3's wishes and feelings even when professionals determined that certain safeguarding measures were necessary. The United Nations Convention on the Rights of Persons with Disabilities was also relevant given concerns regarding possible neurodivergence, promoting equality, participation and protection from abuse for disabled individuals and encouraging consideration of whether additional support or adjustments were required to help Person 3 understand risks and participate meaningfully in decision-making. Similarly, the Equality Act 2010 required consideration of whether additional needs affected his ability to understand risks and engage with services.</w:t>
            </w:r>
          </w:p>
          <w:p w14:paraId="52496EAA" w14:textId="77777777" w:rsidR="00172494" w:rsidRPr="00172494" w:rsidRDefault="00172494" w:rsidP="00172494">
            <w:pPr>
              <w:spacing w:line="360" w:lineRule="auto"/>
              <w:jc w:val="both"/>
              <w:rPr>
                <w:iCs/>
                <w:sz w:val="24"/>
                <w:szCs w:val="24"/>
              </w:rPr>
            </w:pPr>
          </w:p>
          <w:p w14:paraId="66275AC1" w14:textId="77777777" w:rsidR="00172494" w:rsidRPr="00172494" w:rsidRDefault="00172494" w:rsidP="00172494">
            <w:pPr>
              <w:spacing w:line="360" w:lineRule="auto"/>
              <w:jc w:val="both"/>
              <w:rPr>
                <w:iCs/>
                <w:sz w:val="24"/>
                <w:szCs w:val="24"/>
              </w:rPr>
            </w:pPr>
            <w:r w:rsidRPr="00172494">
              <w:rPr>
                <w:iCs/>
                <w:sz w:val="24"/>
                <w:szCs w:val="24"/>
              </w:rPr>
              <w:t>Overall, this case demonstrated how safeguarding practice is shaped by an interconnected framework of Welsh, UK and international legislation, policy and human rights principles. At a Welsh level, the SSWBA (2014) provided the primary statutory framework for safeguarding and promoting the young person's wellbeing. This operates alongside UK-wide legislation, including the Children Act 1989, Human Rights Act 1998, and Data Protection Act 2018, which establish duties relating to child protection, information sharing and the protection of individual rights. In addition, safeguarding practice is informed by international frameworks such as the UNCRC, which has been incorporated into Welsh policy and emphasises children's rights to protection, participation and wellbeing. Together, these Welsh, UK and international frameworks ensured that interventions remained lawful, rights-based, proportionate and focused on the young person's welfare, protection and best interests.</w:t>
            </w:r>
          </w:p>
          <w:p w14:paraId="0ED186A4" w14:textId="77777777" w:rsidR="00172494" w:rsidRPr="00172494" w:rsidRDefault="00172494" w:rsidP="00172494">
            <w:pPr>
              <w:spacing w:line="360" w:lineRule="auto"/>
              <w:jc w:val="both"/>
              <w:rPr>
                <w:iCs/>
                <w:sz w:val="24"/>
                <w:szCs w:val="24"/>
              </w:rPr>
            </w:pPr>
          </w:p>
          <w:p w14:paraId="172703F8" w14:textId="77777777" w:rsidR="00172494" w:rsidRPr="00172494" w:rsidRDefault="00172494" w:rsidP="00172494">
            <w:pPr>
              <w:spacing w:line="360" w:lineRule="auto"/>
              <w:jc w:val="both"/>
              <w:rPr>
                <w:iCs/>
                <w:sz w:val="24"/>
                <w:szCs w:val="24"/>
              </w:rPr>
            </w:pPr>
            <w:r w:rsidRPr="00172494">
              <w:rPr>
                <w:iCs/>
                <w:sz w:val="24"/>
                <w:szCs w:val="24"/>
              </w:rPr>
              <w:t>Professional Judgement</w:t>
            </w:r>
          </w:p>
          <w:p w14:paraId="4ECFF205" w14:textId="77777777" w:rsidR="00172494" w:rsidRPr="00172494" w:rsidRDefault="00172494" w:rsidP="00172494">
            <w:pPr>
              <w:spacing w:line="360" w:lineRule="auto"/>
              <w:jc w:val="both"/>
              <w:rPr>
                <w:iCs/>
                <w:sz w:val="24"/>
                <w:szCs w:val="24"/>
              </w:rPr>
            </w:pPr>
          </w:p>
          <w:p w14:paraId="1A849B1C" w14:textId="77777777" w:rsidR="00172494" w:rsidRPr="00172494" w:rsidRDefault="00172494" w:rsidP="00172494">
            <w:pPr>
              <w:spacing w:line="360" w:lineRule="auto"/>
              <w:jc w:val="both"/>
              <w:rPr>
                <w:iCs/>
                <w:sz w:val="24"/>
                <w:szCs w:val="24"/>
              </w:rPr>
            </w:pPr>
            <w:r w:rsidRPr="00172494">
              <w:rPr>
                <w:iCs/>
                <w:sz w:val="24"/>
                <w:szCs w:val="24"/>
              </w:rPr>
              <w:t xml:space="preserve">Throughout my work with Person 3, professional curiosity was essential in moving beyond presenting behaviours to understand the wider context of his vulnerabilities. Initially, concerns were centred on family breakdown; however, information gathered through direct discussions </w:t>
            </w:r>
            <w:r w:rsidRPr="00172494">
              <w:rPr>
                <w:iCs/>
                <w:sz w:val="24"/>
                <w:szCs w:val="24"/>
              </w:rPr>
              <w:lastRenderedPageBreak/>
              <w:t>with person 3, supervision and multi-agency discussions identified more complex safeguarding concerns linked to exploitation and modern slavery.</w:t>
            </w:r>
          </w:p>
          <w:p w14:paraId="6C3F4D39" w14:textId="77777777" w:rsidR="00172494" w:rsidRPr="00172494" w:rsidRDefault="00172494" w:rsidP="00172494">
            <w:pPr>
              <w:spacing w:line="360" w:lineRule="auto"/>
              <w:jc w:val="both"/>
              <w:rPr>
                <w:iCs/>
                <w:sz w:val="24"/>
                <w:szCs w:val="24"/>
              </w:rPr>
            </w:pPr>
            <w:r w:rsidRPr="00172494">
              <w:rPr>
                <w:iCs/>
                <w:sz w:val="24"/>
                <w:szCs w:val="24"/>
              </w:rPr>
              <w:t xml:space="preserve">A key learning was the importance of avoiding assumptions. Person 3's involvement in money </w:t>
            </w:r>
            <w:proofErr w:type="spellStart"/>
            <w:r w:rsidRPr="00172494">
              <w:rPr>
                <w:iCs/>
                <w:sz w:val="24"/>
                <w:szCs w:val="24"/>
              </w:rPr>
              <w:t>muling</w:t>
            </w:r>
            <w:proofErr w:type="spellEnd"/>
            <w:r w:rsidRPr="00172494">
              <w:rPr>
                <w:iCs/>
                <w:sz w:val="24"/>
                <w:szCs w:val="24"/>
              </w:rPr>
              <w:t xml:space="preserve"> could easily have been viewed primarily as criminal behaviour motivated by financial gain. However, professional curiosity required me to explore why a vulnerable young person would become involved in such activity. Through assessment, it became evident that his actions could not be understood in isolation from his life experiences: his history of family rejection, social isolation, bullying and low self-esteem increased his vulnerability to grooming and manipulation. This shifted my analysis from viewing him solely as a young person making poor choices to recognising him as a young person experiencing exploitation. Firmin's (2017) theory of Contextual Safeguarding argues that risk frequently occurs outside the family home, within peer groups, schools, communities and online environments. </w:t>
            </w:r>
          </w:p>
          <w:p w14:paraId="53826B8F" w14:textId="77777777" w:rsidR="00172494" w:rsidRPr="00172494" w:rsidRDefault="00172494" w:rsidP="00172494">
            <w:pPr>
              <w:spacing w:line="360" w:lineRule="auto"/>
              <w:jc w:val="both"/>
              <w:rPr>
                <w:iCs/>
                <w:sz w:val="24"/>
                <w:szCs w:val="24"/>
              </w:rPr>
            </w:pPr>
            <w:r w:rsidRPr="00172494">
              <w:rPr>
                <w:iCs/>
                <w:sz w:val="24"/>
                <w:szCs w:val="24"/>
              </w:rPr>
              <w:t>From an ecological systems perspective (Bronfenbrenner, 1979), behaviour cannot be understood without considering the wider systems influencing an individual. Person 3's social isolation and lack of positive peer relationships may have increased his need for acceptance and belonging, making him more susceptible to exploitation by individuals offering financial reward and a perceived sense of connection.</w:t>
            </w:r>
          </w:p>
          <w:p w14:paraId="4D651D7F" w14:textId="77777777" w:rsidR="00172494" w:rsidRPr="00172494" w:rsidRDefault="00172494" w:rsidP="00172494">
            <w:pPr>
              <w:spacing w:line="360" w:lineRule="auto"/>
              <w:jc w:val="both"/>
              <w:rPr>
                <w:iCs/>
                <w:sz w:val="24"/>
                <w:szCs w:val="24"/>
              </w:rPr>
            </w:pPr>
          </w:p>
          <w:p w14:paraId="3B297517" w14:textId="77777777" w:rsidR="00172494" w:rsidRPr="00172494" w:rsidRDefault="00172494" w:rsidP="00172494">
            <w:pPr>
              <w:spacing w:line="360" w:lineRule="auto"/>
              <w:jc w:val="both"/>
              <w:rPr>
                <w:iCs/>
                <w:sz w:val="24"/>
                <w:szCs w:val="24"/>
              </w:rPr>
            </w:pPr>
            <w:r w:rsidRPr="00172494">
              <w:rPr>
                <w:iCs/>
                <w:sz w:val="24"/>
                <w:szCs w:val="24"/>
              </w:rPr>
              <w:t>The concern regarding possible neurodivergence also required careful analysis. Rather than making assumptions about capacity or understanding, it was important to consider whether additional learning or communication needs affected Person 3's ability to recognise risk and make informed decisions. This influenced my approach to communication, ensuring information was provided clearly and repeatedly whilst checking his understanding of potential consequences, and focused analysis not only on risk but on the barriers that may affect a young person's ability to protect himself.</w:t>
            </w:r>
          </w:p>
          <w:p w14:paraId="407DD909" w14:textId="77777777" w:rsidR="00172494" w:rsidRPr="00172494" w:rsidRDefault="00172494" w:rsidP="00172494">
            <w:pPr>
              <w:spacing w:line="360" w:lineRule="auto"/>
              <w:jc w:val="both"/>
              <w:rPr>
                <w:iCs/>
                <w:sz w:val="24"/>
                <w:szCs w:val="24"/>
              </w:rPr>
            </w:pPr>
          </w:p>
          <w:p w14:paraId="36FBF467" w14:textId="77777777" w:rsidR="00172494" w:rsidRPr="00172494" w:rsidRDefault="00172494" w:rsidP="00172494">
            <w:pPr>
              <w:spacing w:line="360" w:lineRule="auto"/>
              <w:jc w:val="both"/>
              <w:rPr>
                <w:iCs/>
                <w:sz w:val="24"/>
                <w:szCs w:val="24"/>
              </w:rPr>
            </w:pPr>
            <w:r w:rsidRPr="00172494">
              <w:rPr>
                <w:iCs/>
                <w:sz w:val="24"/>
                <w:szCs w:val="24"/>
              </w:rPr>
              <w:t xml:space="preserve">My analysis of the passport issue further demonstrated the complexity of safeguarding decision-making. Person 3 strongly believed the passport belonged to him and wanted it returned. Respecting his wishes was an important consideration, as principles of person-centred practice and human rights require professionals to support autonomy and involvement in decisions wherever possible. However, information from professionals suggested he was </w:t>
            </w:r>
            <w:r w:rsidRPr="00172494">
              <w:rPr>
                <w:iCs/>
                <w:sz w:val="24"/>
                <w:szCs w:val="24"/>
              </w:rPr>
              <w:lastRenderedPageBreak/>
              <w:t>vulnerable to further exploitation and potential trafficking, creating a tension between respecting his expressed wishes and the duty to protect him from significant harm. Through supervision and multi-agency discussion, I carefully weighed Person 3's right to make choices about his own property against the evidence of risk and the likelihood that access to the passport could increase opportunities for further exploitation. Consideration was also given to the least restrictive option and whether alternative measures could adequately manage the risk. Ultimately, I concluded that temporarily retaining the passport was a proportionate and necessary response, as the potential risk of serious harm outweighed the restrictions placed on Person 3's autonomy at that time. This decision was regularly reviewed to ensure that any restriction remained justified, lawful and focused on safeguarding his wellbeing.</w:t>
            </w:r>
          </w:p>
          <w:p w14:paraId="7ADBEDDA" w14:textId="77777777" w:rsidR="00172494" w:rsidRPr="00172494" w:rsidRDefault="00172494" w:rsidP="00172494">
            <w:pPr>
              <w:spacing w:line="360" w:lineRule="auto"/>
              <w:jc w:val="both"/>
              <w:rPr>
                <w:iCs/>
                <w:sz w:val="24"/>
                <w:szCs w:val="24"/>
              </w:rPr>
            </w:pPr>
          </w:p>
          <w:p w14:paraId="6240CD9D" w14:textId="77777777" w:rsidR="00172494" w:rsidRPr="00172494" w:rsidRDefault="00172494" w:rsidP="00172494">
            <w:pPr>
              <w:spacing w:line="360" w:lineRule="auto"/>
              <w:jc w:val="both"/>
              <w:rPr>
                <w:iCs/>
                <w:sz w:val="24"/>
                <w:szCs w:val="24"/>
              </w:rPr>
            </w:pPr>
            <w:r w:rsidRPr="00172494">
              <w:rPr>
                <w:iCs/>
                <w:sz w:val="24"/>
                <w:szCs w:val="24"/>
              </w:rPr>
              <w:t>Threshold decision-making was a crucial component of the assessment process. As information regarding exploitation emerged, it became necessary to determine whether concerns met the threshold for formal safeguarding intervention. Analysis of Person 3's vulnerabilities, his involvement in money mulling, reports of coercion and concerns regarding trafficking indicated that he met the Child at Risk threshold under the SSWBA (2014), as he was at risk of abuse, neglect and exploitation. This justified escalation through child protection processes, including completion of the Child Exploitation Risk Assessment Tool, referrals to relevant agencies and the establishment of monthly multi-agency strategy meetings, based on cumulative evidence available through assessment and information sharing.</w:t>
            </w:r>
          </w:p>
          <w:p w14:paraId="6B1CDEF8" w14:textId="77777777" w:rsidR="00172494" w:rsidRPr="00172494" w:rsidRDefault="00172494" w:rsidP="00172494">
            <w:pPr>
              <w:jc w:val="both"/>
              <w:rPr>
                <w:i/>
                <w:sz w:val="24"/>
                <w:szCs w:val="24"/>
              </w:rPr>
            </w:pPr>
          </w:p>
          <w:p w14:paraId="4DA2AF41" w14:textId="77777777" w:rsidR="00172494" w:rsidRPr="00172494" w:rsidRDefault="00172494" w:rsidP="00172494">
            <w:pPr>
              <w:spacing w:line="360" w:lineRule="auto"/>
              <w:jc w:val="both"/>
              <w:rPr>
                <w:iCs/>
                <w:sz w:val="24"/>
                <w:szCs w:val="24"/>
              </w:rPr>
            </w:pPr>
            <w:r w:rsidRPr="00172494">
              <w:rPr>
                <w:iCs/>
                <w:sz w:val="24"/>
                <w:szCs w:val="24"/>
              </w:rPr>
              <w:t>Social Work Theories</w:t>
            </w:r>
          </w:p>
          <w:p w14:paraId="752A1E76" w14:textId="77777777" w:rsidR="00172494" w:rsidRPr="00172494" w:rsidRDefault="00172494" w:rsidP="00172494">
            <w:pPr>
              <w:spacing w:line="360" w:lineRule="auto"/>
              <w:jc w:val="both"/>
              <w:rPr>
                <w:iCs/>
                <w:sz w:val="24"/>
                <w:szCs w:val="24"/>
              </w:rPr>
            </w:pPr>
          </w:p>
          <w:p w14:paraId="6BDF8A81" w14:textId="77777777" w:rsidR="00172494" w:rsidRPr="00172494" w:rsidRDefault="00172494" w:rsidP="00172494">
            <w:pPr>
              <w:spacing w:line="360" w:lineRule="auto"/>
              <w:jc w:val="both"/>
              <w:rPr>
                <w:iCs/>
                <w:sz w:val="24"/>
                <w:szCs w:val="24"/>
              </w:rPr>
            </w:pPr>
            <w:r w:rsidRPr="00172494">
              <w:rPr>
                <w:iCs/>
                <w:sz w:val="24"/>
                <w:szCs w:val="24"/>
              </w:rPr>
              <w:t>Throughout this case, social work theories provided a framework for understanding Person 3's vulnerabilities, strengths and safeguarding needs, helping ensure responses were evidence-informed and proportionate.</w:t>
            </w:r>
          </w:p>
          <w:p w14:paraId="79D15798" w14:textId="77777777" w:rsidR="00172494" w:rsidRPr="00172494" w:rsidRDefault="00172494" w:rsidP="00172494">
            <w:pPr>
              <w:spacing w:line="360" w:lineRule="auto"/>
              <w:jc w:val="both"/>
              <w:rPr>
                <w:iCs/>
                <w:sz w:val="24"/>
                <w:szCs w:val="24"/>
              </w:rPr>
            </w:pPr>
            <w:r w:rsidRPr="00172494">
              <w:rPr>
                <w:iCs/>
                <w:sz w:val="24"/>
                <w:szCs w:val="24"/>
              </w:rPr>
              <w:t xml:space="preserve">Ecological Systems Theory (Bronfenbrenner, 1979) was particularly useful in understanding the complexity of Person 3's circumstances, suggesting that an individual's development is influenced by interactions between different systems within their environment. Person 3 lived within a rural Welsh community and spoke both Welsh and English; whilst these factors did not directly explain safeguarding concerns, they formed part of his identity and experiences. </w:t>
            </w:r>
            <w:r w:rsidRPr="00172494">
              <w:rPr>
                <w:iCs/>
                <w:sz w:val="24"/>
                <w:szCs w:val="24"/>
              </w:rPr>
              <w:lastRenderedPageBreak/>
              <w:t xml:space="preserve">Consistent with the Active Offer (Social Care Wales, 2026), consideration was given to his bilingual identity and preferred language, and although bilingual, the case highlighted the importance of language in promoting participation and wellbeing. </w:t>
            </w:r>
          </w:p>
          <w:p w14:paraId="6F1A4F3D" w14:textId="77777777" w:rsidR="00172494" w:rsidRPr="00172494" w:rsidRDefault="00172494" w:rsidP="00172494">
            <w:pPr>
              <w:spacing w:line="360" w:lineRule="auto"/>
              <w:jc w:val="both"/>
              <w:rPr>
                <w:iCs/>
                <w:sz w:val="24"/>
                <w:szCs w:val="24"/>
              </w:rPr>
            </w:pPr>
            <w:r w:rsidRPr="00172494">
              <w:rPr>
                <w:iCs/>
                <w:sz w:val="24"/>
                <w:szCs w:val="24"/>
              </w:rPr>
              <w:t xml:space="preserve">The rural Welsh context presented both strengths and challenges, including strong community identity alongside increased isolation and reduced access to specialist services. Person 3 reported having few friends and experiencing bullying, reducing access to positive peer support; analysis suggested that individuals involved in exploitation may have filled this gap by offering acceptance, belonging and financial opportunities. At a wider societal level, online platforms, financial pressures and the increasing prevalence of child criminal exploitation all influenced risk. Money </w:t>
            </w:r>
            <w:proofErr w:type="spellStart"/>
            <w:r w:rsidRPr="00172494">
              <w:rPr>
                <w:iCs/>
                <w:sz w:val="24"/>
                <w:szCs w:val="24"/>
              </w:rPr>
              <w:t>muling</w:t>
            </w:r>
            <w:proofErr w:type="spellEnd"/>
            <w:r w:rsidRPr="00172494">
              <w:rPr>
                <w:iCs/>
                <w:sz w:val="24"/>
                <w:szCs w:val="24"/>
              </w:rPr>
              <w:t xml:space="preserve"> is often viewed as criminal behaviour; however, ecological analysis highlighted how broader societal factors can be used to exploit vulnerable young people, helping shift my professional judgement away from seeing Person 3 as an offender and towards recognising him as a potential victim of exploitation and modern slavery.</w:t>
            </w:r>
          </w:p>
          <w:p w14:paraId="5F5EBC16" w14:textId="77777777" w:rsidR="00172494" w:rsidRPr="00172494" w:rsidRDefault="00172494" w:rsidP="00172494">
            <w:pPr>
              <w:spacing w:line="360" w:lineRule="auto"/>
              <w:jc w:val="both"/>
              <w:rPr>
                <w:iCs/>
                <w:sz w:val="24"/>
                <w:szCs w:val="24"/>
              </w:rPr>
            </w:pPr>
          </w:p>
          <w:p w14:paraId="50628B9B" w14:textId="77777777" w:rsidR="00172494" w:rsidRPr="00172494" w:rsidRDefault="00172494" w:rsidP="00172494">
            <w:pPr>
              <w:spacing w:line="360" w:lineRule="auto"/>
              <w:jc w:val="both"/>
              <w:rPr>
                <w:iCs/>
                <w:sz w:val="24"/>
                <w:szCs w:val="24"/>
              </w:rPr>
            </w:pPr>
            <w:r w:rsidRPr="00172494">
              <w:rPr>
                <w:iCs/>
                <w:sz w:val="24"/>
                <w:szCs w:val="24"/>
              </w:rPr>
              <w:t xml:space="preserve">Anti-Oppressive Practice was important throughout the case. Young people involved in criminal exploitation are often viewed through a deficit-based lens and labelled as offenders rather than victims, and there was a risk that Person 3's involvement in money </w:t>
            </w:r>
            <w:proofErr w:type="spellStart"/>
            <w:r w:rsidRPr="00172494">
              <w:rPr>
                <w:iCs/>
                <w:sz w:val="24"/>
                <w:szCs w:val="24"/>
              </w:rPr>
              <w:t>muling</w:t>
            </w:r>
            <w:proofErr w:type="spellEnd"/>
            <w:r w:rsidRPr="00172494">
              <w:rPr>
                <w:iCs/>
                <w:sz w:val="24"/>
                <w:szCs w:val="24"/>
              </w:rPr>
              <w:t xml:space="preserve"> could have overshadowed his vulnerabilities and diverted attention away from safeguarding concerns. Anti-oppressive practice required me to challenge these assumptions and consider how stigma, power imbalances and societal attitudes could affect professional responses. Concerns regarding possible neurodivergence further reinforced this, requiring me to consider whether additional needs affected his understanding of risk, communication or decision-making, and to adapt communication and check understanding to ensure interventions were accessible and inclusive.</w:t>
            </w:r>
          </w:p>
          <w:p w14:paraId="6F929D8F" w14:textId="77777777" w:rsidR="00172494" w:rsidRPr="00172494" w:rsidRDefault="00172494" w:rsidP="00172494">
            <w:pPr>
              <w:spacing w:line="360" w:lineRule="auto"/>
              <w:jc w:val="both"/>
              <w:rPr>
                <w:iCs/>
                <w:sz w:val="24"/>
                <w:szCs w:val="24"/>
              </w:rPr>
            </w:pPr>
          </w:p>
          <w:p w14:paraId="66B37880" w14:textId="77777777" w:rsidR="00172494" w:rsidRPr="00172494" w:rsidRDefault="00172494" w:rsidP="00172494">
            <w:pPr>
              <w:spacing w:line="360" w:lineRule="auto"/>
              <w:jc w:val="both"/>
              <w:rPr>
                <w:iCs/>
                <w:sz w:val="24"/>
                <w:szCs w:val="24"/>
              </w:rPr>
            </w:pPr>
            <w:r w:rsidRPr="00172494">
              <w:rPr>
                <w:iCs/>
                <w:sz w:val="24"/>
                <w:szCs w:val="24"/>
              </w:rPr>
              <w:t xml:space="preserve">Attachment Theory (Bowlby, 1969) also contributed to my understanding of the case, suggesting that early relationships influence emotional development, self-worth and future relationships. Whilst I could not make assumptions regarding Person 3's attachment style, his experiences of rejection and instability appeared significant; being told by a parent that he was unwanted, and experiencing multiple placement transitions, may have affected his sense of security and belonging. From an attachment perspective, Person 3's desire for acceptance </w:t>
            </w:r>
            <w:r w:rsidRPr="00172494">
              <w:rPr>
                <w:iCs/>
                <w:sz w:val="24"/>
                <w:szCs w:val="24"/>
              </w:rPr>
              <w:lastRenderedPageBreak/>
              <w:t>and financial gain may not simply have reflected poor decision-making but may also have represented attempts to meet unmet emotional needs. This informed my professional judgement by encouraging a relationship-based approach, prioritising consistency, trust and meaningful engagement rather than focusing solely on risk behaviours. It also supported a more analytical assessment, recognising that unmet attachment needs may have increased Person 3's vulnerability to coercion and influence by others. This strengthened safeguarding interventions by ensuring responses addressed both immediate risks and the underlying factors contributing to his vulnerability.</w:t>
            </w:r>
          </w:p>
          <w:p w14:paraId="0E22A297" w14:textId="77777777" w:rsidR="00172494" w:rsidRPr="00172494" w:rsidRDefault="00172494" w:rsidP="00172494">
            <w:pPr>
              <w:jc w:val="both"/>
              <w:rPr>
                <w:i/>
                <w:sz w:val="24"/>
                <w:szCs w:val="24"/>
              </w:rPr>
            </w:pPr>
          </w:p>
          <w:p w14:paraId="61C43765" w14:textId="77777777" w:rsidR="00172494" w:rsidRPr="00172494" w:rsidRDefault="00172494" w:rsidP="00172494">
            <w:pPr>
              <w:spacing w:line="360" w:lineRule="auto"/>
              <w:jc w:val="both"/>
              <w:rPr>
                <w:iCs/>
                <w:sz w:val="24"/>
                <w:szCs w:val="24"/>
              </w:rPr>
            </w:pPr>
            <w:r w:rsidRPr="00172494">
              <w:rPr>
                <w:iCs/>
                <w:sz w:val="24"/>
                <w:szCs w:val="24"/>
              </w:rPr>
              <w:t>Collaborative Working</w:t>
            </w:r>
          </w:p>
          <w:p w14:paraId="3F8E14E7" w14:textId="77777777" w:rsidR="00172494" w:rsidRPr="00172494" w:rsidRDefault="00172494" w:rsidP="00172494">
            <w:pPr>
              <w:spacing w:line="360" w:lineRule="auto"/>
              <w:jc w:val="both"/>
              <w:rPr>
                <w:iCs/>
                <w:sz w:val="24"/>
                <w:szCs w:val="24"/>
              </w:rPr>
            </w:pPr>
          </w:p>
          <w:p w14:paraId="48C4BB62" w14:textId="77777777" w:rsidR="00172494" w:rsidRPr="00172494" w:rsidRDefault="00172494" w:rsidP="00172494">
            <w:pPr>
              <w:spacing w:line="360" w:lineRule="auto"/>
              <w:jc w:val="both"/>
              <w:rPr>
                <w:iCs/>
                <w:sz w:val="24"/>
                <w:szCs w:val="24"/>
              </w:rPr>
            </w:pPr>
            <w:r w:rsidRPr="00172494">
              <w:rPr>
                <w:iCs/>
                <w:sz w:val="24"/>
                <w:szCs w:val="24"/>
              </w:rPr>
              <w:t>Effective safeguarding relies upon collaborative working with the child, their family and partner agencies. Throughout this case, successful intervention depended on information sharing, professional challenge and coordinated decision-making. Multi-agency working was essential in managing risk, identifying exploitation concerns and promoting Person 3's wellbeing; however, collaboration also presented barriers, including differing professional opinions, power imbalances and tensions between safeguarding responsibilities and the young person's wishes. For example, collaboration with Person 3's mother and father was challenging; and although at time, information provided by family helped develop a better understanding of his experiences, vulnerabilities and support needs; I analysed this information critically and avoided accepting one perspective as the sole explanation for difficulties. Through professional curiosity and ongoing assessment, I sought to balance parental views with information obtained directly from Person 3 and other agencies, reinforcing the importance of maintaining professional objectivity when working with families experiencing conflict.</w:t>
            </w:r>
          </w:p>
          <w:p w14:paraId="3E5573CC" w14:textId="77777777" w:rsidR="00172494" w:rsidRPr="00172494" w:rsidRDefault="00172494" w:rsidP="00172494">
            <w:pPr>
              <w:spacing w:line="360" w:lineRule="auto"/>
              <w:jc w:val="both"/>
              <w:rPr>
                <w:iCs/>
                <w:sz w:val="24"/>
                <w:szCs w:val="24"/>
              </w:rPr>
            </w:pPr>
          </w:p>
          <w:p w14:paraId="6F4820BD" w14:textId="77777777" w:rsidR="00172494" w:rsidRPr="00172494" w:rsidRDefault="00172494" w:rsidP="00172494">
            <w:pPr>
              <w:spacing w:line="360" w:lineRule="auto"/>
              <w:jc w:val="both"/>
              <w:rPr>
                <w:iCs/>
                <w:sz w:val="24"/>
                <w:szCs w:val="24"/>
              </w:rPr>
            </w:pPr>
            <w:r w:rsidRPr="00172494">
              <w:rPr>
                <w:iCs/>
                <w:sz w:val="24"/>
                <w:szCs w:val="24"/>
              </w:rPr>
              <w:t xml:space="preserve">The most important collaborative relationship was with Person 3 himself. The principles of the SSWBA emphasise voice, control and participation in decision-making, and throughout the intervention I sought to ensure his wishes and feelings remained central to planning and review. For example, he was clear that he wanted his passport returned and wished to make money independently, and whilst professionals identified significant safeguarding risks </w:t>
            </w:r>
            <w:r w:rsidRPr="00172494">
              <w:rPr>
                <w:iCs/>
                <w:sz w:val="24"/>
                <w:szCs w:val="24"/>
              </w:rPr>
              <w:lastRenderedPageBreak/>
              <w:t>associated with these wishes, it was important that his views were listened to rather than dismissed. I recognised that meaningful participation does not necessarily mean agreeing with a young person's requests; instead, it requires ensuring they understand decisions, have opportunities to express their views, and are involved in planning wherever possible — reflecting the principles of co-production and strengths-based practice.</w:t>
            </w:r>
          </w:p>
          <w:p w14:paraId="3D1CE560" w14:textId="77777777" w:rsidR="00172494" w:rsidRPr="00172494" w:rsidRDefault="00172494" w:rsidP="00172494">
            <w:pPr>
              <w:spacing w:line="360" w:lineRule="auto"/>
              <w:jc w:val="both"/>
              <w:rPr>
                <w:iCs/>
                <w:sz w:val="24"/>
                <w:szCs w:val="24"/>
              </w:rPr>
            </w:pPr>
          </w:p>
          <w:p w14:paraId="18987150" w14:textId="77777777" w:rsidR="00172494" w:rsidRPr="00172494" w:rsidRDefault="00172494" w:rsidP="00172494">
            <w:pPr>
              <w:spacing w:line="360" w:lineRule="auto"/>
              <w:jc w:val="both"/>
              <w:rPr>
                <w:iCs/>
                <w:sz w:val="24"/>
                <w:szCs w:val="24"/>
              </w:rPr>
            </w:pPr>
            <w:r w:rsidRPr="00172494">
              <w:rPr>
                <w:iCs/>
                <w:sz w:val="24"/>
                <w:szCs w:val="24"/>
              </w:rPr>
              <w:t xml:space="preserve">Police intelligence contributed to understanding the level of risk and the individuals involved, and joint working enabled the sharing of information that would not have been available through social work assessment alone. The police perspective sometimes prioritised criminal activity, whereas social work practice emphasised vulnerability and safeguarding, highlighting the challenges associated with differing organisational cultures and professional priorities. Had these differing perspectives not been explored collaboratively, there was a risk that Person 3's victimisation could have been overlooked; consequently, professional challenge and respectful disagreement became important mechanisms for strengthening safeguarding analysis and reducing the likelihood of professional bias influencing decision-making. </w:t>
            </w:r>
          </w:p>
          <w:p w14:paraId="2B3FD0F2" w14:textId="77777777" w:rsidR="00172494" w:rsidRPr="00172494" w:rsidRDefault="00172494" w:rsidP="00172494">
            <w:pPr>
              <w:spacing w:line="360" w:lineRule="auto"/>
              <w:jc w:val="both"/>
              <w:rPr>
                <w:iCs/>
                <w:sz w:val="24"/>
                <w:szCs w:val="24"/>
              </w:rPr>
            </w:pPr>
            <w:r w:rsidRPr="00172494">
              <w:rPr>
                <w:iCs/>
                <w:sz w:val="24"/>
                <w:szCs w:val="24"/>
              </w:rPr>
              <w:t>Power dynamics also influenced collaborative working. As a sixteen-year-old looked-after child, Person 3 often experienced situations where professionals made decisions that affected him, and there was a risk that safeguarding concerns could overshadow his voice. Reflecting on this, I became increasingly aware of the importance of balancing professional authority with participation and empowerment; ensuring Person 3 remained involved in discussions helped reduce this imbalance and supported relationship-based practice.</w:t>
            </w:r>
          </w:p>
          <w:p w14:paraId="4A3FA74F" w14:textId="77777777" w:rsidR="00172494" w:rsidRPr="00172494" w:rsidRDefault="00172494" w:rsidP="00172494">
            <w:pPr>
              <w:spacing w:line="360" w:lineRule="auto"/>
              <w:jc w:val="both"/>
              <w:rPr>
                <w:iCs/>
                <w:sz w:val="24"/>
                <w:szCs w:val="24"/>
              </w:rPr>
            </w:pPr>
          </w:p>
          <w:p w14:paraId="070261E9" w14:textId="77777777" w:rsidR="00172494" w:rsidRPr="00172494" w:rsidRDefault="00172494" w:rsidP="00172494">
            <w:pPr>
              <w:spacing w:line="360" w:lineRule="auto"/>
              <w:jc w:val="both"/>
              <w:rPr>
                <w:iCs/>
                <w:sz w:val="24"/>
                <w:szCs w:val="24"/>
              </w:rPr>
            </w:pPr>
            <w:r w:rsidRPr="00172494">
              <w:rPr>
                <w:iCs/>
                <w:sz w:val="24"/>
                <w:szCs w:val="24"/>
              </w:rPr>
              <w:t>Education and health professionals contributed valuable information regarding bullying, social isolation, emotional wellbeing, previous overdose and possible neurodivergence. Their specialist knowledge strengthened assessment and provided a more holistic understanding of person 3. Within Children's Services, collaboration with the 16+ Team was also essential: as an accommodated young person approaching adulthood, Person 3 required a coordinated approach balancing safeguarding responsibilities with preparation for independence. Completing the Pathway Assessment and Pathway Plan required ongoing communication between professionals, focusing on both immediate safety and longer-term outcomes reflection, and support when managing complex decisions.</w:t>
            </w:r>
          </w:p>
          <w:p w14:paraId="0172E3D1" w14:textId="77777777" w:rsidR="00172494" w:rsidRPr="00172494" w:rsidRDefault="00172494" w:rsidP="00172494">
            <w:pPr>
              <w:spacing w:line="360" w:lineRule="auto"/>
              <w:jc w:val="both"/>
              <w:rPr>
                <w:iCs/>
                <w:sz w:val="24"/>
                <w:szCs w:val="24"/>
              </w:rPr>
            </w:pPr>
          </w:p>
          <w:p w14:paraId="2F9A76EF" w14:textId="77777777" w:rsidR="00172494" w:rsidRPr="00172494" w:rsidRDefault="00172494" w:rsidP="00172494">
            <w:pPr>
              <w:spacing w:line="360" w:lineRule="auto"/>
              <w:jc w:val="both"/>
              <w:rPr>
                <w:iCs/>
                <w:sz w:val="24"/>
                <w:szCs w:val="24"/>
              </w:rPr>
            </w:pPr>
            <w:r w:rsidRPr="00172494">
              <w:rPr>
                <w:iCs/>
                <w:sz w:val="24"/>
                <w:szCs w:val="24"/>
              </w:rPr>
              <w:t xml:space="preserve">Monthly multi-agency strategy meetings enabled information sharing, review present risks and future planning. Agencies sometimes differed in their understanding of risk, capacity and appropriate intervention — including differing views about Person 3's capacity to understand risk, the significance of his involvement in money </w:t>
            </w:r>
            <w:proofErr w:type="spellStart"/>
            <w:r w:rsidRPr="00172494">
              <w:rPr>
                <w:iCs/>
                <w:sz w:val="24"/>
                <w:szCs w:val="24"/>
              </w:rPr>
              <w:t>muling</w:t>
            </w:r>
            <w:proofErr w:type="spellEnd"/>
            <w:r w:rsidRPr="00172494">
              <w:rPr>
                <w:iCs/>
                <w:sz w:val="24"/>
                <w:szCs w:val="24"/>
              </w:rPr>
              <w:t xml:space="preserve">, and the appropriateness of restricting access to his passport — but constructive professional challenge enhanced analysis and prevented assumption. Person 3 was not directly involved but their wishes and feelings were shared in the meeting, and they were updated following each meeting. </w:t>
            </w:r>
          </w:p>
          <w:p w14:paraId="53D17688" w14:textId="77777777" w:rsidR="00172494" w:rsidRPr="00172494" w:rsidRDefault="00172494" w:rsidP="00172494">
            <w:pPr>
              <w:spacing w:line="360" w:lineRule="auto"/>
              <w:jc w:val="both"/>
              <w:rPr>
                <w:iCs/>
                <w:sz w:val="24"/>
                <w:szCs w:val="24"/>
              </w:rPr>
            </w:pPr>
          </w:p>
          <w:p w14:paraId="25BD1E3B" w14:textId="77777777" w:rsidR="00172494" w:rsidRPr="00172494" w:rsidRDefault="00172494" w:rsidP="00172494">
            <w:pPr>
              <w:spacing w:line="360" w:lineRule="auto"/>
              <w:jc w:val="both"/>
              <w:rPr>
                <w:iCs/>
                <w:sz w:val="24"/>
                <w:szCs w:val="24"/>
              </w:rPr>
            </w:pPr>
            <w:r w:rsidRPr="00172494">
              <w:rPr>
                <w:iCs/>
                <w:sz w:val="24"/>
                <w:szCs w:val="24"/>
              </w:rPr>
              <w:t>The Wales Safeguarding Procedures and Working Together principles highlight the importance of coordinated communication in safeguarding practice, and this case clearly demonstrated its value. Systems Theory emphasises that individuals are influenced by interconnected systems: Person 3's experiences were shaped by interactions between family, social care, health, education, police and placement services, and no single agency held a complete understanding of risk. Multi-agency working was therefore essential in identifying concerns regarding exploitation, financial abuse and modern slavery, reinforcing the importance of shared responsibility and collaborative decision-making.</w:t>
            </w:r>
          </w:p>
          <w:p w14:paraId="633D7EEB" w14:textId="77777777" w:rsidR="00172494" w:rsidRPr="00172494" w:rsidRDefault="00172494" w:rsidP="00172494">
            <w:pPr>
              <w:spacing w:line="360" w:lineRule="auto"/>
              <w:jc w:val="both"/>
              <w:rPr>
                <w:iCs/>
                <w:sz w:val="24"/>
                <w:szCs w:val="24"/>
              </w:rPr>
            </w:pPr>
          </w:p>
          <w:p w14:paraId="493AF422" w14:textId="77777777" w:rsidR="00172494" w:rsidRPr="00172494" w:rsidRDefault="00172494" w:rsidP="00172494">
            <w:pPr>
              <w:spacing w:line="360" w:lineRule="auto"/>
              <w:jc w:val="both"/>
              <w:rPr>
                <w:iCs/>
                <w:sz w:val="24"/>
                <w:szCs w:val="24"/>
              </w:rPr>
            </w:pPr>
            <w:r w:rsidRPr="00172494">
              <w:rPr>
                <w:iCs/>
                <w:sz w:val="24"/>
                <w:szCs w:val="24"/>
              </w:rPr>
              <w:t xml:space="preserve">Overall, this case highlighted both the strengths and complexities of collaborative practice. Multi-agency working enabled a more comprehensive understanding of risk, strengthened safeguarding interventions and promoted better outcomes for Person 3. Reflecting on this experience has reinforced the importance of partnership working, co-production, voice and control, and effective information sharing, demonstrating my ability to work collaboratively with people in need of care and support, their </w:t>
            </w:r>
            <w:proofErr w:type="spellStart"/>
            <w:r w:rsidRPr="00172494">
              <w:rPr>
                <w:iCs/>
                <w:sz w:val="24"/>
                <w:szCs w:val="24"/>
              </w:rPr>
              <w:t>carers</w:t>
            </w:r>
            <w:proofErr w:type="spellEnd"/>
            <w:r w:rsidRPr="00172494">
              <w:rPr>
                <w:iCs/>
                <w:sz w:val="24"/>
                <w:szCs w:val="24"/>
              </w:rPr>
              <w:t xml:space="preserve"> and professionals to safeguard wellbeing and achieve positive outcomes.</w:t>
            </w:r>
          </w:p>
          <w:p w14:paraId="75B4925E" w14:textId="77777777" w:rsidR="00172494" w:rsidRPr="00172494" w:rsidRDefault="00172494" w:rsidP="00172494">
            <w:pPr>
              <w:spacing w:line="360" w:lineRule="auto"/>
              <w:jc w:val="both"/>
              <w:rPr>
                <w:iCs/>
                <w:sz w:val="24"/>
                <w:szCs w:val="24"/>
              </w:rPr>
            </w:pPr>
          </w:p>
          <w:p w14:paraId="2B600E12" w14:textId="77777777" w:rsidR="00172494" w:rsidRPr="00172494" w:rsidRDefault="00172494" w:rsidP="00172494">
            <w:pPr>
              <w:spacing w:line="360" w:lineRule="auto"/>
              <w:jc w:val="both"/>
              <w:rPr>
                <w:iCs/>
                <w:sz w:val="24"/>
                <w:szCs w:val="24"/>
              </w:rPr>
            </w:pPr>
            <w:r w:rsidRPr="00172494">
              <w:rPr>
                <w:iCs/>
                <w:sz w:val="24"/>
                <w:szCs w:val="24"/>
              </w:rPr>
              <w:t>Conclusion</w:t>
            </w:r>
          </w:p>
          <w:p w14:paraId="1F088E00" w14:textId="77777777" w:rsidR="00172494" w:rsidRPr="00172494" w:rsidRDefault="00172494" w:rsidP="00172494">
            <w:pPr>
              <w:spacing w:line="360" w:lineRule="auto"/>
              <w:jc w:val="both"/>
              <w:rPr>
                <w:iCs/>
                <w:sz w:val="24"/>
                <w:szCs w:val="24"/>
              </w:rPr>
            </w:pPr>
          </w:p>
          <w:p w14:paraId="263C5817" w14:textId="77777777" w:rsidR="00172494" w:rsidRPr="00172494" w:rsidRDefault="00172494" w:rsidP="00172494">
            <w:pPr>
              <w:spacing w:line="360" w:lineRule="auto"/>
              <w:jc w:val="both"/>
              <w:rPr>
                <w:iCs/>
                <w:sz w:val="24"/>
                <w:szCs w:val="24"/>
              </w:rPr>
            </w:pPr>
            <w:r w:rsidRPr="00172494">
              <w:rPr>
                <w:iCs/>
                <w:sz w:val="24"/>
                <w:szCs w:val="24"/>
              </w:rPr>
              <w:t xml:space="preserve">This case highlighted the complexity of safeguarding practice with vulnerable adolescents experiencing exploitation, family breakdown and significant emotional vulnerabilities. Effective safeguarding required more than gathering information; it relied on professional curiosity, </w:t>
            </w:r>
            <w:r w:rsidRPr="00172494">
              <w:rPr>
                <w:iCs/>
                <w:sz w:val="24"/>
                <w:szCs w:val="24"/>
              </w:rPr>
              <w:lastRenderedPageBreak/>
              <w:t>critical analysis and the ability to understand how multiple risk factors interacted to increase vulnerability. Through assessment and reflection, I recognised the importance of moving beyond presenting behaviours to consider the wider context of a young person's experiences, including family relationships, social isolation, emotional wellbeing and exploitation.</w:t>
            </w:r>
          </w:p>
          <w:p w14:paraId="740C25C5" w14:textId="77777777" w:rsidR="00172494" w:rsidRPr="00172494" w:rsidRDefault="00172494" w:rsidP="00172494">
            <w:pPr>
              <w:spacing w:line="360" w:lineRule="auto"/>
              <w:jc w:val="both"/>
              <w:rPr>
                <w:iCs/>
                <w:sz w:val="24"/>
                <w:szCs w:val="24"/>
              </w:rPr>
            </w:pPr>
          </w:p>
          <w:p w14:paraId="1111F858" w14:textId="77777777" w:rsidR="00172494" w:rsidRPr="00172494" w:rsidRDefault="00172494" w:rsidP="00172494">
            <w:pPr>
              <w:spacing w:line="360" w:lineRule="auto"/>
              <w:jc w:val="both"/>
              <w:rPr>
                <w:iCs/>
                <w:sz w:val="24"/>
                <w:szCs w:val="24"/>
              </w:rPr>
            </w:pPr>
            <w:r w:rsidRPr="00172494">
              <w:rPr>
                <w:iCs/>
                <w:sz w:val="24"/>
                <w:szCs w:val="24"/>
              </w:rPr>
              <w:t>The case also demonstrated the value of collaborative working. Multi-agency information sharing between social care, police, education, health and safeguarding professionals enabled a fuller understanding of risk and supported coordinated intervention. Whilst differing professional opinions occasionally created challenges, I learned that constructive professional challenge can strengthen decision-making by encouraging critical thinking and reducing the potential for assumptions to influence practice. This has reinforced the importance of actively engaging with partner agencies to support holistic assessment and effective safeguarding interventions.</w:t>
            </w:r>
          </w:p>
          <w:p w14:paraId="79711285" w14:textId="77777777" w:rsidR="00172494" w:rsidRPr="00172494" w:rsidRDefault="00172494" w:rsidP="00172494">
            <w:pPr>
              <w:spacing w:line="360" w:lineRule="auto"/>
              <w:jc w:val="both"/>
              <w:rPr>
                <w:iCs/>
                <w:sz w:val="24"/>
                <w:szCs w:val="24"/>
              </w:rPr>
            </w:pPr>
          </w:p>
          <w:p w14:paraId="01E06E42" w14:textId="77777777" w:rsidR="00172494" w:rsidRPr="00172494" w:rsidRDefault="00172494" w:rsidP="00172494">
            <w:pPr>
              <w:spacing w:line="360" w:lineRule="auto"/>
              <w:jc w:val="both"/>
              <w:rPr>
                <w:iCs/>
                <w:sz w:val="24"/>
                <w:szCs w:val="24"/>
              </w:rPr>
            </w:pPr>
            <w:r w:rsidRPr="00172494">
              <w:rPr>
                <w:iCs/>
                <w:sz w:val="24"/>
                <w:szCs w:val="24"/>
              </w:rPr>
              <w:t>Legislation, policy and procedures provided the framework for practice, particularly the SSWBA, Wales Safeguarding Procedures and wider human rights principles, ensuring interventions remained lawful, rights-based and focused on promoting wellbeing whilst safeguarding Person 3 from harm. The case strengthened my understanding of balancing autonomy with protection, particularly when working with older adolescents who are developing independence whilst remaining vulnerable to exploitation. Social work theories strengthened my professional judgement throughout: Ecological Systems Theory, Systems Theory and Attachment Theory helped me understand how individual, family, community and societal factors influenced Person 3's circumstances, while anti-oppressive practice and cultural humility encouraged reflection on the impact of power, vulnerability and identity.</w:t>
            </w:r>
          </w:p>
          <w:p w14:paraId="19F289DC" w14:textId="77777777" w:rsidR="00172494" w:rsidRPr="00172494" w:rsidRDefault="00172494" w:rsidP="00172494">
            <w:pPr>
              <w:spacing w:line="360" w:lineRule="auto"/>
              <w:jc w:val="both"/>
              <w:rPr>
                <w:iCs/>
                <w:sz w:val="24"/>
                <w:szCs w:val="24"/>
              </w:rPr>
            </w:pPr>
          </w:p>
          <w:p w14:paraId="20370495" w14:textId="089F7307" w:rsidR="00D3203C" w:rsidRPr="00172494" w:rsidRDefault="00172494" w:rsidP="00172494">
            <w:pPr>
              <w:spacing w:line="360" w:lineRule="auto"/>
              <w:jc w:val="both"/>
              <w:rPr>
                <w:iCs/>
                <w:sz w:val="24"/>
                <w:szCs w:val="24"/>
              </w:rPr>
            </w:pPr>
            <w:r w:rsidRPr="00172494">
              <w:rPr>
                <w:iCs/>
                <w:sz w:val="24"/>
                <w:szCs w:val="24"/>
              </w:rPr>
              <w:t>Overall, this case has strengthened my understanding of how safeguarding practice requires the integration of assessment, analysis, collaborative working and professional judgement in increasingly complex circumstances. Most significantly, it reinforced the importance of professional curiosity and the need to challenge assumptions about offending, vulnerability and adolescence. Moving forward, I will continue to use reflective supervision, evidence-</w:t>
            </w:r>
            <w:r w:rsidRPr="00172494">
              <w:rPr>
                <w:iCs/>
                <w:sz w:val="24"/>
                <w:szCs w:val="24"/>
              </w:rPr>
              <w:lastRenderedPageBreak/>
              <w:t>informed practice and critical reflection to strengthen my analysis, support defensible decision-making and promote positive outcomes for vulnerable children and young people.</w:t>
            </w: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7B0AB646" w:rsidR="00D3203C" w:rsidRDefault="00172494" w:rsidP="00FF7EBB">
            <w:pPr>
              <w:jc w:val="both"/>
              <w:rPr>
                <w:i/>
                <w:sz w:val="24"/>
                <w:szCs w:val="24"/>
              </w:rPr>
            </w:pPr>
            <w:r>
              <w:rPr>
                <w:i/>
                <w:sz w:val="24"/>
                <w:szCs w:val="24"/>
              </w:rPr>
              <w:t>Word count: 4308</w:t>
            </w: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575E53" w14:textId="77777777" w:rsidR="00AA1728" w:rsidRDefault="00AA1728">
      <w:r>
        <w:separator/>
      </w:r>
    </w:p>
  </w:endnote>
  <w:endnote w:type="continuationSeparator" w:id="0">
    <w:p w14:paraId="2655243A" w14:textId="77777777" w:rsidR="00AA1728" w:rsidRDefault="00AA17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64E6D1" w14:textId="77777777" w:rsidR="00AA1728" w:rsidRDefault="00AA1728">
      <w:r>
        <w:separator/>
      </w:r>
    </w:p>
  </w:footnote>
  <w:footnote w:type="continuationSeparator" w:id="0">
    <w:p w14:paraId="2B7DEDD3" w14:textId="77777777" w:rsidR="00AA1728" w:rsidRDefault="00AA17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67229"/>
    <w:rsid w:val="00171418"/>
    <w:rsid w:val="00172494"/>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25A9E"/>
    <w:rsid w:val="00430DE3"/>
    <w:rsid w:val="00431ADE"/>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258C"/>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1728"/>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9E25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roxy_581@msn.com"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5070</Words>
  <Characters>28899</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Roxanne Owen-Williams (PLANT)</cp:lastModifiedBy>
  <cp:revision>3</cp:revision>
  <cp:lastPrinted>2020-02-11T19:20:00Z</cp:lastPrinted>
  <dcterms:created xsi:type="dcterms:W3CDTF">2026-09-22T11:09:00Z</dcterms:created>
  <dcterms:modified xsi:type="dcterms:W3CDTF">2026-10-05T16:06:00Z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