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0A6CF" w14:textId="77777777" w:rsidR="00F51FE3" w:rsidRDefault="00C3249C">
      <w:pPr>
        <w:spacing w:before="240" w:after="240" w:line="360" w:lineRule="auto"/>
        <w:jc w:val="center"/>
        <w:rPr>
          <w:rFonts w:ascii="Arial" w:eastAsia="Arial" w:hAnsi="Arial" w:cs="Arial"/>
          <w:b/>
          <w:sz w:val="28"/>
          <w:szCs w:val="28"/>
          <w:highlight w:val="white"/>
        </w:rPr>
      </w:pPr>
      <w:proofErr w:type="spellStart"/>
      <w:proofErr w:type="gramStart"/>
      <w:r>
        <w:rPr>
          <w:rFonts w:ascii="Arial" w:eastAsia="Arial" w:hAnsi="Arial" w:cs="Arial"/>
          <w:b/>
          <w:sz w:val="28"/>
          <w:szCs w:val="28"/>
          <w:highlight w:val="white"/>
        </w:rPr>
        <w:t>Student:Cătălin</w:t>
      </w:r>
      <w:proofErr w:type="spellEnd"/>
      <w:proofErr w:type="gramEnd"/>
      <w:r>
        <w:rPr>
          <w:rFonts w:ascii="Arial" w:eastAsia="Arial" w:hAnsi="Arial" w:cs="Arial"/>
          <w:b/>
          <w:sz w:val="28"/>
          <w:szCs w:val="28"/>
          <w:highlight w:val="white"/>
        </w:rPr>
        <w:t xml:space="preserve"> </w:t>
      </w:r>
      <w:proofErr w:type="spellStart"/>
      <w:r>
        <w:rPr>
          <w:rFonts w:ascii="Arial" w:eastAsia="Arial" w:hAnsi="Arial" w:cs="Arial"/>
          <w:b/>
          <w:sz w:val="28"/>
          <w:szCs w:val="28"/>
          <w:highlight w:val="white"/>
        </w:rPr>
        <w:t>Alexandru</w:t>
      </w:r>
      <w:proofErr w:type="spellEnd"/>
      <w:r>
        <w:rPr>
          <w:rFonts w:ascii="Arial" w:eastAsia="Arial" w:hAnsi="Arial" w:cs="Arial"/>
          <w:b/>
          <w:sz w:val="28"/>
          <w:szCs w:val="28"/>
          <w:highlight w:val="white"/>
        </w:rPr>
        <w:t xml:space="preserve"> </w:t>
      </w:r>
      <w:proofErr w:type="spellStart"/>
      <w:r>
        <w:rPr>
          <w:rFonts w:ascii="Arial" w:eastAsia="Arial" w:hAnsi="Arial" w:cs="Arial"/>
          <w:b/>
          <w:sz w:val="28"/>
          <w:szCs w:val="28"/>
          <w:highlight w:val="white"/>
        </w:rPr>
        <w:t>Banciu</w:t>
      </w:r>
      <w:proofErr w:type="spellEnd"/>
    </w:p>
    <w:p w14:paraId="7C3C02ED" w14:textId="77777777" w:rsidR="00F51FE3" w:rsidRDefault="00C3249C">
      <w:pPr>
        <w:spacing w:before="240" w:after="240" w:line="360" w:lineRule="auto"/>
        <w:jc w:val="center"/>
        <w:rPr>
          <w:rFonts w:ascii="Arial" w:eastAsia="Arial" w:hAnsi="Arial" w:cs="Arial"/>
          <w:b/>
          <w:sz w:val="28"/>
          <w:szCs w:val="28"/>
          <w:highlight w:val="white"/>
        </w:rPr>
      </w:pPr>
      <w:r>
        <w:rPr>
          <w:rFonts w:ascii="Arial" w:eastAsia="Arial" w:hAnsi="Arial" w:cs="Arial"/>
          <w:b/>
          <w:sz w:val="28"/>
          <w:szCs w:val="28"/>
          <w:highlight w:val="white"/>
        </w:rPr>
        <w:t>Student ID :2124371</w:t>
      </w:r>
    </w:p>
    <w:p w14:paraId="254932FD" w14:textId="77777777" w:rsidR="00F51FE3" w:rsidRDefault="00C3249C">
      <w:pPr>
        <w:spacing w:before="240" w:after="240" w:line="360" w:lineRule="auto"/>
        <w:jc w:val="center"/>
        <w:rPr>
          <w:rFonts w:ascii="Arial" w:eastAsia="Arial" w:hAnsi="Arial" w:cs="Arial"/>
          <w:b/>
          <w:sz w:val="28"/>
          <w:szCs w:val="28"/>
          <w:highlight w:val="white"/>
        </w:rPr>
      </w:pPr>
      <w:r>
        <w:rPr>
          <w:rFonts w:ascii="Arial" w:eastAsia="Arial" w:hAnsi="Arial" w:cs="Arial"/>
          <w:b/>
          <w:sz w:val="28"/>
          <w:szCs w:val="28"/>
          <w:highlight w:val="white"/>
        </w:rPr>
        <w:t xml:space="preserve"> </w:t>
      </w:r>
    </w:p>
    <w:p w14:paraId="0435D52D" w14:textId="77777777" w:rsidR="00F51FE3" w:rsidRDefault="00C3249C">
      <w:pPr>
        <w:spacing w:before="240" w:after="240" w:line="360" w:lineRule="auto"/>
        <w:jc w:val="center"/>
        <w:rPr>
          <w:rFonts w:ascii="Arial" w:eastAsia="Arial" w:hAnsi="Arial" w:cs="Arial"/>
          <w:b/>
          <w:sz w:val="28"/>
          <w:szCs w:val="28"/>
          <w:highlight w:val="white"/>
        </w:rPr>
      </w:pPr>
      <w:r>
        <w:rPr>
          <w:rFonts w:ascii="Arial" w:eastAsia="Arial" w:hAnsi="Arial" w:cs="Arial"/>
          <w:b/>
          <w:sz w:val="28"/>
          <w:szCs w:val="28"/>
          <w:highlight w:val="white"/>
        </w:rPr>
        <w:t>University Name: University of Wales Trinity Saint David</w:t>
      </w:r>
    </w:p>
    <w:p w14:paraId="203FDAD8" w14:textId="77777777" w:rsidR="00F51FE3" w:rsidRDefault="00C3249C">
      <w:pPr>
        <w:spacing w:before="240" w:after="240" w:line="360" w:lineRule="auto"/>
        <w:jc w:val="center"/>
        <w:rPr>
          <w:rFonts w:ascii="Arial" w:eastAsia="Arial" w:hAnsi="Arial" w:cs="Arial"/>
          <w:b/>
          <w:sz w:val="28"/>
          <w:szCs w:val="28"/>
          <w:highlight w:val="white"/>
        </w:rPr>
      </w:pPr>
      <w:r>
        <w:rPr>
          <w:rFonts w:ascii="Arial" w:eastAsia="Arial" w:hAnsi="Arial" w:cs="Arial"/>
          <w:b/>
          <w:sz w:val="28"/>
          <w:szCs w:val="28"/>
          <w:highlight w:val="white"/>
        </w:rPr>
        <w:t xml:space="preserve">Module </w:t>
      </w:r>
      <w:proofErr w:type="gramStart"/>
      <w:r>
        <w:rPr>
          <w:rFonts w:ascii="Arial" w:eastAsia="Arial" w:hAnsi="Arial" w:cs="Arial"/>
          <w:b/>
          <w:sz w:val="28"/>
          <w:szCs w:val="28"/>
          <w:highlight w:val="white"/>
        </w:rPr>
        <w:t>Coordinator :</w:t>
      </w:r>
      <w:proofErr w:type="gramEnd"/>
      <w:r>
        <w:rPr>
          <w:rFonts w:ascii="Arial" w:eastAsia="Arial" w:hAnsi="Arial" w:cs="Arial"/>
          <w:b/>
          <w:sz w:val="28"/>
          <w:szCs w:val="28"/>
          <w:highlight w:val="white"/>
        </w:rPr>
        <w:t xml:space="preserve"> Isaiah </w:t>
      </w:r>
      <w:proofErr w:type="spellStart"/>
      <w:r>
        <w:rPr>
          <w:rFonts w:ascii="Arial" w:eastAsia="Arial" w:hAnsi="Arial" w:cs="Arial"/>
          <w:b/>
          <w:sz w:val="28"/>
          <w:szCs w:val="28"/>
          <w:highlight w:val="white"/>
        </w:rPr>
        <w:t>Oino</w:t>
      </w:r>
      <w:proofErr w:type="spellEnd"/>
    </w:p>
    <w:p w14:paraId="4CBB4C7C" w14:textId="77777777" w:rsidR="00F51FE3" w:rsidRDefault="00F51FE3">
      <w:pPr>
        <w:spacing w:before="240" w:after="240" w:line="360" w:lineRule="auto"/>
        <w:jc w:val="center"/>
        <w:rPr>
          <w:rFonts w:ascii="Arial" w:eastAsia="Arial" w:hAnsi="Arial" w:cs="Arial"/>
          <w:b/>
          <w:sz w:val="28"/>
          <w:szCs w:val="28"/>
          <w:highlight w:val="white"/>
        </w:rPr>
      </w:pPr>
    </w:p>
    <w:p w14:paraId="48721DD8" w14:textId="77777777" w:rsidR="00F51FE3" w:rsidRDefault="00C3249C">
      <w:pPr>
        <w:spacing w:before="240" w:after="240" w:line="360" w:lineRule="auto"/>
        <w:jc w:val="center"/>
        <w:rPr>
          <w:rFonts w:ascii="Arial" w:eastAsia="Arial" w:hAnsi="Arial" w:cs="Arial"/>
          <w:b/>
          <w:sz w:val="28"/>
          <w:szCs w:val="28"/>
          <w:highlight w:val="white"/>
        </w:rPr>
      </w:pPr>
      <w:r>
        <w:rPr>
          <w:rFonts w:ascii="Arial" w:eastAsia="Arial" w:hAnsi="Arial" w:cs="Arial"/>
          <w:b/>
          <w:sz w:val="28"/>
          <w:szCs w:val="28"/>
          <w:highlight w:val="white"/>
        </w:rPr>
        <w:t xml:space="preserve">Module </w:t>
      </w:r>
      <w:proofErr w:type="gramStart"/>
      <w:r>
        <w:rPr>
          <w:rFonts w:ascii="Arial" w:eastAsia="Arial" w:hAnsi="Arial" w:cs="Arial"/>
          <w:b/>
          <w:sz w:val="28"/>
          <w:szCs w:val="28"/>
          <w:highlight w:val="white"/>
        </w:rPr>
        <w:t>code :</w:t>
      </w:r>
      <w:proofErr w:type="gramEnd"/>
      <w:r>
        <w:rPr>
          <w:rFonts w:ascii="Arial" w:eastAsia="Arial" w:hAnsi="Arial" w:cs="Arial"/>
          <w:b/>
          <w:sz w:val="28"/>
          <w:szCs w:val="28"/>
          <w:highlight w:val="white"/>
        </w:rPr>
        <w:t xml:space="preserve"> LCBB4001 </w:t>
      </w:r>
    </w:p>
    <w:p w14:paraId="5CEFB76A" w14:textId="77777777" w:rsidR="00F51FE3" w:rsidRDefault="00C3249C">
      <w:pPr>
        <w:jc w:val="center"/>
        <w:rPr>
          <w:rFonts w:ascii="Arial" w:eastAsia="Arial" w:hAnsi="Arial" w:cs="Arial"/>
          <w:b/>
          <w:sz w:val="28"/>
          <w:szCs w:val="28"/>
        </w:rPr>
      </w:pPr>
      <w:r>
        <w:rPr>
          <w:rFonts w:ascii="Arial" w:eastAsia="Arial" w:hAnsi="Arial" w:cs="Arial"/>
          <w:b/>
          <w:sz w:val="28"/>
          <w:szCs w:val="28"/>
        </w:rPr>
        <w:t xml:space="preserve"> </w:t>
      </w:r>
    </w:p>
    <w:p w14:paraId="735C5670" w14:textId="77777777" w:rsidR="00F51FE3" w:rsidRDefault="00C3249C">
      <w:pPr>
        <w:jc w:val="center"/>
        <w:rPr>
          <w:rFonts w:ascii="Arial" w:eastAsia="Arial" w:hAnsi="Arial" w:cs="Arial"/>
          <w:b/>
          <w:sz w:val="28"/>
          <w:szCs w:val="28"/>
        </w:rPr>
      </w:pPr>
      <w:r>
        <w:rPr>
          <w:rFonts w:ascii="Arial" w:eastAsia="Arial" w:hAnsi="Arial" w:cs="Arial"/>
          <w:b/>
          <w:sz w:val="28"/>
          <w:szCs w:val="28"/>
        </w:rPr>
        <w:t xml:space="preserve">Assignment </w:t>
      </w:r>
      <w:proofErr w:type="gramStart"/>
      <w:r>
        <w:rPr>
          <w:rFonts w:ascii="Arial" w:eastAsia="Arial" w:hAnsi="Arial" w:cs="Arial"/>
          <w:b/>
          <w:sz w:val="28"/>
          <w:szCs w:val="28"/>
        </w:rPr>
        <w:t>title :</w:t>
      </w:r>
      <w:proofErr w:type="gramEnd"/>
      <w:r>
        <w:rPr>
          <w:rFonts w:ascii="Arial" w:eastAsia="Arial" w:hAnsi="Arial" w:cs="Arial"/>
          <w:b/>
          <w:sz w:val="28"/>
          <w:szCs w:val="28"/>
        </w:rPr>
        <w:t xml:space="preserve"> Essay on Accounting fundamentals</w:t>
      </w:r>
    </w:p>
    <w:p w14:paraId="386D0D56" w14:textId="77777777" w:rsidR="00F51FE3" w:rsidRDefault="00F51FE3">
      <w:pPr>
        <w:jc w:val="center"/>
        <w:rPr>
          <w:rFonts w:ascii="Arial" w:eastAsia="Arial" w:hAnsi="Arial" w:cs="Arial"/>
          <w:b/>
          <w:sz w:val="22"/>
          <w:szCs w:val="22"/>
        </w:rPr>
      </w:pPr>
    </w:p>
    <w:p w14:paraId="4AA55F74" w14:textId="77777777" w:rsidR="00F51FE3" w:rsidRDefault="00F51FE3">
      <w:pPr>
        <w:jc w:val="center"/>
        <w:rPr>
          <w:rFonts w:ascii="Arial" w:eastAsia="Arial" w:hAnsi="Arial" w:cs="Arial"/>
          <w:b/>
          <w:sz w:val="22"/>
          <w:szCs w:val="22"/>
          <w:highlight w:val="white"/>
        </w:rPr>
      </w:pPr>
    </w:p>
    <w:p w14:paraId="454BBC5B" w14:textId="77777777" w:rsidR="00F51FE3" w:rsidRDefault="00F51FE3">
      <w:pPr>
        <w:jc w:val="center"/>
        <w:rPr>
          <w:rFonts w:ascii="Arial" w:eastAsia="Arial" w:hAnsi="Arial" w:cs="Arial"/>
          <w:b/>
          <w:sz w:val="22"/>
          <w:szCs w:val="22"/>
          <w:highlight w:val="white"/>
        </w:rPr>
      </w:pPr>
    </w:p>
    <w:p w14:paraId="0585D963" w14:textId="77777777" w:rsidR="00F51FE3" w:rsidRDefault="00C3249C">
      <w:pPr>
        <w:spacing w:line="259" w:lineRule="auto"/>
        <w:jc w:val="left"/>
        <w:rPr>
          <w:rFonts w:ascii="Arial" w:eastAsia="Arial" w:hAnsi="Arial" w:cs="Arial"/>
          <w:b/>
          <w:sz w:val="22"/>
          <w:szCs w:val="22"/>
          <w:highlight w:val="white"/>
        </w:rPr>
      </w:pPr>
      <w:r>
        <w:rPr>
          <w:rFonts w:ascii="Arial" w:eastAsia="Arial" w:hAnsi="Arial" w:cs="Arial"/>
          <w:b/>
          <w:sz w:val="22"/>
          <w:szCs w:val="22"/>
          <w:highlight w:val="white"/>
        </w:rPr>
        <w:tab/>
      </w:r>
    </w:p>
    <w:p w14:paraId="7AF154C6" w14:textId="77777777" w:rsidR="00F51FE3" w:rsidRDefault="00F51FE3">
      <w:pPr>
        <w:pStyle w:val="Heading1"/>
        <w:rPr>
          <w:rFonts w:ascii="Arial" w:eastAsia="Arial" w:hAnsi="Arial" w:cs="Arial"/>
          <w:sz w:val="22"/>
          <w:szCs w:val="22"/>
        </w:rPr>
      </w:pPr>
    </w:p>
    <w:p w14:paraId="174E1769" w14:textId="77777777" w:rsidR="00F51FE3" w:rsidRDefault="00F51FE3">
      <w:pPr>
        <w:pStyle w:val="Heading1"/>
        <w:rPr>
          <w:rFonts w:ascii="Arial" w:eastAsia="Arial" w:hAnsi="Arial" w:cs="Arial"/>
          <w:sz w:val="22"/>
          <w:szCs w:val="22"/>
        </w:rPr>
      </w:pPr>
    </w:p>
    <w:p w14:paraId="29E4C4C7" w14:textId="77777777" w:rsidR="00F51FE3" w:rsidRDefault="00F51FE3">
      <w:pPr>
        <w:pStyle w:val="Heading1"/>
        <w:rPr>
          <w:rFonts w:ascii="Arial" w:eastAsia="Arial" w:hAnsi="Arial" w:cs="Arial"/>
          <w:sz w:val="22"/>
          <w:szCs w:val="22"/>
        </w:rPr>
      </w:pPr>
    </w:p>
    <w:p w14:paraId="485DD185" w14:textId="77777777" w:rsidR="00F51FE3" w:rsidRDefault="00C3249C">
      <w:pPr>
        <w:pStyle w:val="Heading1"/>
        <w:rPr>
          <w:rFonts w:ascii="Arial" w:eastAsia="Arial" w:hAnsi="Arial" w:cs="Arial"/>
          <w:sz w:val="22"/>
          <w:szCs w:val="22"/>
        </w:rPr>
      </w:pPr>
      <w:r>
        <w:rPr>
          <w:rFonts w:ascii="Arial" w:eastAsia="Arial" w:hAnsi="Arial" w:cs="Arial"/>
          <w:sz w:val="22"/>
          <w:szCs w:val="22"/>
        </w:rPr>
        <w:t>Introduction</w:t>
      </w:r>
    </w:p>
    <w:p w14:paraId="523BC33E" w14:textId="77777777" w:rsidR="00F51FE3" w:rsidRDefault="00C3249C">
      <w:pPr>
        <w:rPr>
          <w:rFonts w:ascii="Arial" w:eastAsia="Arial" w:hAnsi="Arial" w:cs="Arial"/>
          <w:sz w:val="22"/>
          <w:szCs w:val="22"/>
        </w:rPr>
      </w:pPr>
      <w:r>
        <w:rPr>
          <w:rFonts w:ascii="Arial" w:eastAsia="Arial" w:hAnsi="Arial" w:cs="Arial"/>
          <w:sz w:val="22"/>
          <w:szCs w:val="22"/>
        </w:rPr>
        <w:t>This essay will be conducted on the diverse fundamental accounting concepts. The prime functions of accountancy, that is bookkeeping techniques will be critically conducted here. Furt</w:t>
      </w:r>
      <w:r>
        <w:rPr>
          <w:rFonts w:ascii="Arial" w:eastAsia="Arial" w:hAnsi="Arial" w:cs="Arial"/>
          <w:sz w:val="22"/>
          <w:szCs w:val="22"/>
        </w:rPr>
        <w:t>hermore, the business considered in this essay that is General Supplies Ltd. will also be critically analysed in terms of its final books of accounts. In addition to this, the different concepts, principles and approaches followed in the procedure of accou</w:t>
      </w:r>
      <w:r>
        <w:rPr>
          <w:rFonts w:ascii="Arial" w:eastAsia="Arial" w:hAnsi="Arial" w:cs="Arial"/>
          <w:sz w:val="22"/>
          <w:szCs w:val="22"/>
        </w:rPr>
        <w:t>nting will also be critically discussed within this essay. Here, their relevance, significance and need in the presentation of financial statements and reports will also be critically discussed.</w:t>
      </w:r>
    </w:p>
    <w:p w14:paraId="59BDF8E3" w14:textId="77777777" w:rsidR="00F51FE3" w:rsidRDefault="00F51FE3">
      <w:pPr>
        <w:spacing w:line="259" w:lineRule="auto"/>
        <w:jc w:val="left"/>
        <w:rPr>
          <w:rFonts w:ascii="Arial" w:eastAsia="Arial" w:hAnsi="Arial" w:cs="Arial"/>
          <w:sz w:val="22"/>
          <w:szCs w:val="22"/>
        </w:rPr>
      </w:pPr>
    </w:p>
    <w:p w14:paraId="680214B9" w14:textId="77777777" w:rsidR="00F51FE3" w:rsidRDefault="00F51FE3">
      <w:pPr>
        <w:spacing w:line="259" w:lineRule="auto"/>
        <w:jc w:val="left"/>
        <w:rPr>
          <w:rFonts w:ascii="Arial" w:eastAsia="Arial" w:hAnsi="Arial" w:cs="Arial"/>
          <w:sz w:val="22"/>
          <w:szCs w:val="22"/>
        </w:rPr>
      </w:pPr>
    </w:p>
    <w:p w14:paraId="32E1EB81" w14:textId="77777777" w:rsidR="00F51FE3" w:rsidRDefault="00F51FE3">
      <w:pPr>
        <w:spacing w:line="259" w:lineRule="auto"/>
        <w:jc w:val="left"/>
        <w:rPr>
          <w:rFonts w:ascii="Arial" w:eastAsia="Arial" w:hAnsi="Arial" w:cs="Arial"/>
          <w:sz w:val="22"/>
          <w:szCs w:val="22"/>
        </w:rPr>
      </w:pPr>
    </w:p>
    <w:p w14:paraId="201475BA" w14:textId="77777777" w:rsidR="00F51FE3" w:rsidRDefault="00F51FE3">
      <w:pPr>
        <w:spacing w:line="259" w:lineRule="auto"/>
        <w:jc w:val="left"/>
        <w:rPr>
          <w:rFonts w:ascii="Arial" w:eastAsia="Arial" w:hAnsi="Arial" w:cs="Arial"/>
          <w:sz w:val="22"/>
          <w:szCs w:val="22"/>
        </w:rPr>
      </w:pPr>
    </w:p>
    <w:p w14:paraId="4BF52D72" w14:textId="77777777" w:rsidR="00F51FE3" w:rsidRDefault="00F51FE3">
      <w:pPr>
        <w:spacing w:line="259" w:lineRule="auto"/>
        <w:jc w:val="left"/>
        <w:rPr>
          <w:rFonts w:ascii="Arial" w:eastAsia="Arial" w:hAnsi="Arial" w:cs="Arial"/>
          <w:sz w:val="22"/>
          <w:szCs w:val="22"/>
        </w:rPr>
      </w:pPr>
    </w:p>
    <w:p w14:paraId="17DD5631" w14:textId="77777777" w:rsidR="00F51FE3" w:rsidRDefault="00F51FE3">
      <w:pPr>
        <w:spacing w:line="259" w:lineRule="auto"/>
        <w:jc w:val="left"/>
        <w:rPr>
          <w:rFonts w:ascii="Arial" w:eastAsia="Arial" w:hAnsi="Arial" w:cs="Arial"/>
          <w:sz w:val="22"/>
          <w:szCs w:val="22"/>
        </w:rPr>
      </w:pPr>
    </w:p>
    <w:p w14:paraId="21405F3C" w14:textId="77777777" w:rsidR="00F51FE3" w:rsidRDefault="00F51FE3">
      <w:pPr>
        <w:spacing w:line="259" w:lineRule="auto"/>
        <w:jc w:val="left"/>
        <w:rPr>
          <w:rFonts w:ascii="Arial" w:eastAsia="Arial" w:hAnsi="Arial" w:cs="Arial"/>
          <w:sz w:val="22"/>
          <w:szCs w:val="22"/>
        </w:rPr>
      </w:pPr>
    </w:p>
    <w:p w14:paraId="3D923493" w14:textId="77777777" w:rsidR="00F51FE3" w:rsidRDefault="00F51FE3">
      <w:pPr>
        <w:spacing w:line="259" w:lineRule="auto"/>
        <w:jc w:val="left"/>
        <w:rPr>
          <w:rFonts w:ascii="Arial" w:eastAsia="Arial" w:hAnsi="Arial" w:cs="Arial"/>
          <w:sz w:val="22"/>
          <w:szCs w:val="22"/>
        </w:rPr>
      </w:pPr>
    </w:p>
    <w:p w14:paraId="2CF7B296" w14:textId="77777777" w:rsidR="00F51FE3" w:rsidRDefault="00F51FE3">
      <w:pPr>
        <w:spacing w:before="240" w:after="240" w:line="360" w:lineRule="auto"/>
        <w:jc w:val="left"/>
        <w:rPr>
          <w:rFonts w:ascii="Arial" w:eastAsia="Arial" w:hAnsi="Arial" w:cs="Arial"/>
          <w:b/>
          <w:sz w:val="22"/>
          <w:szCs w:val="22"/>
          <w:u w:val="single"/>
        </w:rPr>
      </w:pPr>
    </w:p>
    <w:p w14:paraId="358AED66" w14:textId="77777777" w:rsidR="00F51FE3" w:rsidRDefault="00F51FE3">
      <w:pPr>
        <w:spacing w:before="240" w:after="240" w:line="360" w:lineRule="auto"/>
        <w:jc w:val="left"/>
        <w:rPr>
          <w:rFonts w:ascii="Arial" w:eastAsia="Arial" w:hAnsi="Arial" w:cs="Arial"/>
          <w:b/>
          <w:sz w:val="22"/>
          <w:szCs w:val="22"/>
        </w:rPr>
      </w:pPr>
    </w:p>
    <w:p w14:paraId="2DC231C8" w14:textId="77777777" w:rsidR="00F51FE3" w:rsidRDefault="00F51FE3">
      <w:pPr>
        <w:spacing w:before="240" w:after="240" w:line="360" w:lineRule="auto"/>
        <w:jc w:val="left"/>
        <w:rPr>
          <w:rFonts w:ascii="Arial" w:eastAsia="Arial" w:hAnsi="Arial" w:cs="Arial"/>
          <w:b/>
          <w:sz w:val="22"/>
          <w:szCs w:val="22"/>
        </w:rPr>
      </w:pPr>
    </w:p>
    <w:p w14:paraId="5A26FBB8" w14:textId="77777777" w:rsidR="009A4CE1" w:rsidRDefault="009A4CE1">
      <w:pPr>
        <w:spacing w:before="240" w:after="240" w:line="360" w:lineRule="auto"/>
        <w:jc w:val="left"/>
        <w:rPr>
          <w:rFonts w:ascii="Arial" w:eastAsia="Arial" w:hAnsi="Arial" w:cs="Arial"/>
          <w:b/>
          <w:sz w:val="22"/>
          <w:szCs w:val="22"/>
        </w:rPr>
      </w:pPr>
    </w:p>
    <w:p w14:paraId="4F3B2990" w14:textId="77777777" w:rsidR="009A4CE1" w:rsidRDefault="009A4CE1">
      <w:pPr>
        <w:spacing w:before="240" w:after="240" w:line="360" w:lineRule="auto"/>
        <w:jc w:val="left"/>
        <w:rPr>
          <w:rFonts w:ascii="Arial" w:eastAsia="Arial" w:hAnsi="Arial" w:cs="Arial"/>
          <w:b/>
          <w:sz w:val="22"/>
          <w:szCs w:val="22"/>
        </w:rPr>
      </w:pPr>
    </w:p>
    <w:p w14:paraId="0DFC8353" w14:textId="2493A55A" w:rsidR="00F51FE3" w:rsidRDefault="00C3249C">
      <w:pPr>
        <w:spacing w:before="240" w:after="240" w:line="360" w:lineRule="auto"/>
        <w:jc w:val="left"/>
        <w:rPr>
          <w:rFonts w:ascii="Arial" w:eastAsia="Arial" w:hAnsi="Arial" w:cs="Arial"/>
          <w:b/>
          <w:sz w:val="22"/>
          <w:szCs w:val="22"/>
        </w:rPr>
      </w:pPr>
      <w:r>
        <w:rPr>
          <w:rFonts w:ascii="Arial" w:eastAsia="Arial" w:hAnsi="Arial" w:cs="Arial"/>
          <w:b/>
          <w:sz w:val="22"/>
          <w:szCs w:val="22"/>
        </w:rPr>
        <w:lastRenderedPageBreak/>
        <w:t>Discussion</w:t>
      </w:r>
    </w:p>
    <w:p w14:paraId="2B46CD70" w14:textId="77777777" w:rsidR="00F51FE3" w:rsidRDefault="00C3249C">
      <w:pPr>
        <w:spacing w:before="240" w:after="240" w:line="360" w:lineRule="auto"/>
        <w:jc w:val="left"/>
        <w:rPr>
          <w:rFonts w:ascii="Arial" w:eastAsia="Arial" w:hAnsi="Arial" w:cs="Arial"/>
          <w:b/>
          <w:sz w:val="22"/>
          <w:szCs w:val="22"/>
        </w:rPr>
      </w:pPr>
      <w:r>
        <w:rPr>
          <w:rFonts w:ascii="Arial" w:eastAsia="Arial" w:hAnsi="Arial" w:cs="Arial"/>
          <w:b/>
          <w:sz w:val="22"/>
          <w:szCs w:val="22"/>
        </w:rPr>
        <w:t>(1) Creation of the adjusted trial balance</w:t>
      </w:r>
    </w:p>
    <w:p w14:paraId="564403B3" w14:textId="77777777" w:rsidR="00F51FE3" w:rsidRDefault="00C3249C">
      <w:pPr>
        <w:spacing w:before="240" w:after="240" w:line="360" w:lineRule="auto"/>
        <w:jc w:val="center"/>
        <w:rPr>
          <w:rFonts w:ascii="Arial" w:eastAsia="Arial" w:hAnsi="Arial" w:cs="Arial"/>
          <w:b/>
          <w:sz w:val="22"/>
          <w:szCs w:val="22"/>
          <w:u w:val="single"/>
        </w:rPr>
      </w:pPr>
      <w:r>
        <w:rPr>
          <w:rFonts w:ascii="Arial" w:eastAsia="Arial" w:hAnsi="Arial" w:cs="Arial"/>
          <w:b/>
          <w:sz w:val="22"/>
          <w:szCs w:val="22"/>
          <w:u w:val="single"/>
        </w:rPr>
        <w:t xml:space="preserve">In the books of General Supplies Ltd. </w:t>
      </w:r>
      <w:r>
        <w:rPr>
          <w:rFonts w:ascii="Arial" w:eastAsia="Arial" w:hAnsi="Arial" w:cs="Arial"/>
          <w:b/>
          <w:sz w:val="22"/>
          <w:szCs w:val="22"/>
        </w:rPr>
        <w:t xml:space="preserve">  </w:t>
      </w:r>
      <w:r>
        <w:rPr>
          <w:rFonts w:ascii="Arial" w:eastAsia="Arial" w:hAnsi="Arial" w:cs="Arial"/>
          <w:b/>
          <w:sz w:val="22"/>
          <w:szCs w:val="22"/>
          <w:u w:val="single"/>
        </w:rPr>
        <w:t>Trial balance creation</w:t>
      </w:r>
    </w:p>
    <w:p w14:paraId="0A4EC4D8" w14:textId="77777777" w:rsidR="00F51FE3" w:rsidRDefault="00C3249C">
      <w:pPr>
        <w:jc w:val="center"/>
        <w:rPr>
          <w:rFonts w:ascii="Arial" w:eastAsia="Arial" w:hAnsi="Arial" w:cs="Arial"/>
          <w:b/>
          <w:sz w:val="22"/>
          <w:szCs w:val="22"/>
          <w:u w:val="single"/>
        </w:rPr>
      </w:pPr>
      <w:r>
        <w:rPr>
          <w:rFonts w:ascii="Arial" w:eastAsia="Arial" w:hAnsi="Arial" w:cs="Arial"/>
          <w:b/>
          <w:sz w:val="22"/>
          <w:szCs w:val="22"/>
          <w:u w:val="single"/>
        </w:rPr>
        <w:t>For a 12-period time frame as ended for 31</w:t>
      </w:r>
      <w:r>
        <w:rPr>
          <w:rFonts w:ascii="Arial" w:eastAsia="Arial" w:hAnsi="Arial" w:cs="Arial"/>
          <w:b/>
          <w:sz w:val="22"/>
          <w:szCs w:val="22"/>
          <w:u w:val="single"/>
          <w:vertAlign w:val="superscript"/>
        </w:rPr>
        <w:t>st</w:t>
      </w:r>
      <w:r>
        <w:rPr>
          <w:rFonts w:ascii="Arial" w:eastAsia="Arial" w:hAnsi="Arial" w:cs="Arial"/>
          <w:b/>
          <w:sz w:val="22"/>
          <w:szCs w:val="22"/>
          <w:u w:val="single"/>
        </w:rPr>
        <w:t xml:space="preserve"> December 2021</w:t>
      </w:r>
    </w:p>
    <w:tbl>
      <w:tblPr>
        <w:tblStyle w:val="a"/>
        <w:tblW w:w="8250" w:type="dxa"/>
        <w:jc w:val="center"/>
        <w:tblLayout w:type="fixed"/>
        <w:tblLook w:val="0400" w:firstRow="0" w:lastRow="0" w:firstColumn="0" w:lastColumn="0" w:noHBand="0" w:noVBand="1"/>
      </w:tblPr>
      <w:tblGrid>
        <w:gridCol w:w="4380"/>
        <w:gridCol w:w="1800"/>
        <w:gridCol w:w="2070"/>
      </w:tblGrid>
      <w:tr w:rsidR="00F51FE3" w14:paraId="4C5B78BD" w14:textId="77777777">
        <w:trPr>
          <w:trHeight w:val="300"/>
          <w:jc w:val="center"/>
        </w:trPr>
        <w:tc>
          <w:tcPr>
            <w:tcW w:w="4380" w:type="dxa"/>
            <w:tcBorders>
              <w:top w:val="nil"/>
              <w:left w:val="nil"/>
              <w:bottom w:val="single" w:sz="4" w:space="0" w:color="000000"/>
              <w:right w:val="nil"/>
            </w:tcBorders>
            <w:shd w:val="clear" w:color="auto" w:fill="auto"/>
            <w:vAlign w:val="bottom"/>
          </w:tcPr>
          <w:p w14:paraId="0AE24BA5" w14:textId="77777777" w:rsidR="00F51FE3" w:rsidRDefault="00C3249C">
            <w:pPr>
              <w:spacing w:after="0" w:line="240" w:lineRule="auto"/>
              <w:jc w:val="left"/>
              <w:rPr>
                <w:rFonts w:ascii="Arial" w:eastAsia="Arial" w:hAnsi="Arial" w:cs="Arial"/>
                <w:b/>
                <w:i/>
                <w:color w:val="000000"/>
                <w:sz w:val="22"/>
                <w:szCs w:val="22"/>
              </w:rPr>
            </w:pPr>
            <w:r>
              <w:rPr>
                <w:rFonts w:ascii="Arial" w:eastAsia="Arial" w:hAnsi="Arial" w:cs="Arial"/>
                <w:b/>
                <w:i/>
                <w:color w:val="000000"/>
                <w:sz w:val="22"/>
                <w:szCs w:val="22"/>
              </w:rPr>
              <w:t>ACCOUNT BALANCES</w:t>
            </w:r>
          </w:p>
        </w:tc>
        <w:tc>
          <w:tcPr>
            <w:tcW w:w="1800" w:type="dxa"/>
            <w:tcBorders>
              <w:top w:val="nil"/>
              <w:left w:val="single" w:sz="4" w:space="0" w:color="000000"/>
              <w:bottom w:val="single" w:sz="4" w:space="0" w:color="000000"/>
              <w:right w:val="nil"/>
            </w:tcBorders>
            <w:shd w:val="clear" w:color="auto" w:fill="auto"/>
            <w:vAlign w:val="bottom"/>
          </w:tcPr>
          <w:p w14:paraId="267C9CC2" w14:textId="77777777" w:rsidR="00F51FE3" w:rsidRDefault="00C3249C">
            <w:pPr>
              <w:spacing w:after="0" w:line="240" w:lineRule="auto"/>
              <w:jc w:val="center"/>
              <w:rPr>
                <w:rFonts w:ascii="Arial" w:eastAsia="Arial" w:hAnsi="Arial" w:cs="Arial"/>
                <w:b/>
                <w:i/>
                <w:color w:val="000000"/>
                <w:sz w:val="22"/>
                <w:szCs w:val="22"/>
              </w:rPr>
            </w:pPr>
            <w:r>
              <w:rPr>
                <w:rFonts w:ascii="Arial" w:eastAsia="Arial" w:hAnsi="Arial" w:cs="Arial"/>
                <w:b/>
                <w:i/>
                <w:color w:val="000000"/>
                <w:sz w:val="22"/>
                <w:szCs w:val="22"/>
              </w:rPr>
              <w:t xml:space="preserve">DEBIT </w:t>
            </w:r>
            <w:proofErr w:type="spellStart"/>
            <w:r>
              <w:rPr>
                <w:rFonts w:ascii="Arial" w:eastAsia="Arial" w:hAnsi="Arial" w:cs="Arial"/>
                <w:b/>
                <w:i/>
                <w:color w:val="000000"/>
                <w:sz w:val="22"/>
                <w:szCs w:val="22"/>
              </w:rPr>
              <w:t>Transc</w:t>
            </w:r>
            <w:proofErr w:type="spellEnd"/>
            <w:r>
              <w:rPr>
                <w:rFonts w:ascii="Arial" w:eastAsia="Arial" w:hAnsi="Arial" w:cs="Arial"/>
                <w:b/>
                <w:i/>
                <w:color w:val="000000"/>
                <w:sz w:val="22"/>
                <w:szCs w:val="22"/>
              </w:rPr>
              <w:t>. £</w:t>
            </w:r>
          </w:p>
        </w:tc>
        <w:tc>
          <w:tcPr>
            <w:tcW w:w="2070" w:type="dxa"/>
            <w:tcBorders>
              <w:top w:val="nil"/>
              <w:left w:val="single" w:sz="4" w:space="0" w:color="000000"/>
              <w:bottom w:val="single" w:sz="4" w:space="0" w:color="000000"/>
              <w:right w:val="single" w:sz="4" w:space="0" w:color="000000"/>
            </w:tcBorders>
            <w:shd w:val="clear" w:color="auto" w:fill="auto"/>
            <w:vAlign w:val="bottom"/>
          </w:tcPr>
          <w:p w14:paraId="15969193" w14:textId="77777777" w:rsidR="00F51FE3" w:rsidRDefault="00C3249C">
            <w:pPr>
              <w:spacing w:after="0" w:line="240" w:lineRule="auto"/>
              <w:jc w:val="center"/>
              <w:rPr>
                <w:rFonts w:ascii="Arial" w:eastAsia="Arial" w:hAnsi="Arial" w:cs="Arial"/>
                <w:b/>
                <w:i/>
                <w:color w:val="000000"/>
                <w:sz w:val="22"/>
                <w:szCs w:val="22"/>
              </w:rPr>
            </w:pPr>
            <w:r>
              <w:rPr>
                <w:rFonts w:ascii="Arial" w:eastAsia="Arial" w:hAnsi="Arial" w:cs="Arial"/>
                <w:b/>
                <w:i/>
                <w:color w:val="000000"/>
                <w:sz w:val="22"/>
                <w:szCs w:val="22"/>
              </w:rPr>
              <w:t xml:space="preserve">CREDIT </w:t>
            </w:r>
            <w:proofErr w:type="spellStart"/>
            <w:r>
              <w:rPr>
                <w:rFonts w:ascii="Arial" w:eastAsia="Arial" w:hAnsi="Arial" w:cs="Arial"/>
                <w:b/>
                <w:i/>
                <w:color w:val="000000"/>
                <w:sz w:val="22"/>
                <w:szCs w:val="22"/>
              </w:rPr>
              <w:t>Transc</w:t>
            </w:r>
            <w:proofErr w:type="spellEnd"/>
            <w:r>
              <w:rPr>
                <w:rFonts w:ascii="Arial" w:eastAsia="Arial" w:hAnsi="Arial" w:cs="Arial"/>
                <w:b/>
                <w:i/>
                <w:color w:val="000000"/>
                <w:sz w:val="22"/>
                <w:szCs w:val="22"/>
              </w:rPr>
              <w:t>. £</w:t>
            </w:r>
          </w:p>
        </w:tc>
      </w:tr>
      <w:tr w:rsidR="00F51FE3" w14:paraId="15C2AE28" w14:textId="77777777">
        <w:trPr>
          <w:trHeight w:val="255"/>
          <w:jc w:val="center"/>
        </w:trPr>
        <w:tc>
          <w:tcPr>
            <w:tcW w:w="4380" w:type="dxa"/>
            <w:tcBorders>
              <w:top w:val="nil"/>
              <w:left w:val="nil"/>
              <w:bottom w:val="nil"/>
              <w:right w:val="nil"/>
            </w:tcBorders>
            <w:shd w:val="clear" w:color="auto" w:fill="auto"/>
            <w:vAlign w:val="bottom"/>
          </w:tcPr>
          <w:p w14:paraId="6C33B74F"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Finance Income</w:t>
            </w:r>
          </w:p>
        </w:tc>
        <w:tc>
          <w:tcPr>
            <w:tcW w:w="1800" w:type="dxa"/>
            <w:tcBorders>
              <w:top w:val="nil"/>
              <w:left w:val="single" w:sz="4" w:space="0" w:color="000000"/>
              <w:bottom w:val="nil"/>
              <w:right w:val="single" w:sz="4" w:space="0" w:color="000000"/>
            </w:tcBorders>
            <w:shd w:val="clear" w:color="auto" w:fill="auto"/>
            <w:vAlign w:val="bottom"/>
          </w:tcPr>
          <w:p w14:paraId="170C4AF0"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c>
          <w:tcPr>
            <w:tcW w:w="2070" w:type="dxa"/>
            <w:tcBorders>
              <w:top w:val="nil"/>
              <w:left w:val="nil"/>
              <w:bottom w:val="nil"/>
              <w:right w:val="single" w:sz="4" w:space="0" w:color="000000"/>
            </w:tcBorders>
            <w:shd w:val="clear" w:color="auto" w:fill="auto"/>
            <w:vAlign w:val="bottom"/>
          </w:tcPr>
          <w:p w14:paraId="4DA388C4"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4000</w:t>
            </w:r>
          </w:p>
        </w:tc>
      </w:tr>
      <w:tr w:rsidR="00F51FE3" w14:paraId="69D86F40" w14:textId="77777777">
        <w:trPr>
          <w:trHeight w:val="300"/>
          <w:jc w:val="center"/>
        </w:trPr>
        <w:tc>
          <w:tcPr>
            <w:tcW w:w="4380" w:type="dxa"/>
            <w:tcBorders>
              <w:top w:val="nil"/>
              <w:left w:val="nil"/>
              <w:bottom w:val="nil"/>
              <w:right w:val="nil"/>
            </w:tcBorders>
            <w:shd w:val="clear" w:color="auto" w:fill="auto"/>
            <w:vAlign w:val="bottom"/>
          </w:tcPr>
          <w:p w14:paraId="689FFE09"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Finance Expenses</w:t>
            </w:r>
          </w:p>
        </w:tc>
        <w:tc>
          <w:tcPr>
            <w:tcW w:w="1800" w:type="dxa"/>
            <w:tcBorders>
              <w:top w:val="nil"/>
              <w:left w:val="single" w:sz="4" w:space="0" w:color="000000"/>
              <w:bottom w:val="nil"/>
              <w:right w:val="nil"/>
            </w:tcBorders>
            <w:shd w:val="clear" w:color="auto" w:fill="auto"/>
            <w:vAlign w:val="bottom"/>
          </w:tcPr>
          <w:p w14:paraId="5CE18060"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16000</w:t>
            </w:r>
          </w:p>
        </w:tc>
        <w:tc>
          <w:tcPr>
            <w:tcW w:w="2070" w:type="dxa"/>
            <w:tcBorders>
              <w:top w:val="nil"/>
              <w:left w:val="single" w:sz="4" w:space="0" w:color="000000"/>
              <w:bottom w:val="nil"/>
              <w:right w:val="single" w:sz="4" w:space="0" w:color="000000"/>
            </w:tcBorders>
            <w:shd w:val="clear" w:color="auto" w:fill="auto"/>
            <w:vAlign w:val="bottom"/>
          </w:tcPr>
          <w:p w14:paraId="5206CC4C"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4EA76AF6" w14:textId="77777777">
        <w:trPr>
          <w:trHeight w:val="300"/>
          <w:jc w:val="center"/>
        </w:trPr>
        <w:tc>
          <w:tcPr>
            <w:tcW w:w="4380" w:type="dxa"/>
            <w:tcBorders>
              <w:top w:val="nil"/>
              <w:left w:val="nil"/>
              <w:bottom w:val="nil"/>
              <w:right w:val="nil"/>
            </w:tcBorders>
            <w:shd w:val="clear" w:color="auto" w:fill="auto"/>
            <w:vAlign w:val="bottom"/>
          </w:tcPr>
          <w:p w14:paraId="2F30DCD1"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Share Capital</w:t>
            </w:r>
          </w:p>
        </w:tc>
        <w:tc>
          <w:tcPr>
            <w:tcW w:w="1800" w:type="dxa"/>
            <w:tcBorders>
              <w:top w:val="nil"/>
              <w:left w:val="single" w:sz="4" w:space="0" w:color="000000"/>
              <w:bottom w:val="nil"/>
              <w:right w:val="nil"/>
            </w:tcBorders>
            <w:shd w:val="clear" w:color="auto" w:fill="auto"/>
            <w:vAlign w:val="bottom"/>
          </w:tcPr>
          <w:p w14:paraId="00940D5B"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c>
          <w:tcPr>
            <w:tcW w:w="2070" w:type="dxa"/>
            <w:tcBorders>
              <w:top w:val="nil"/>
              <w:left w:val="single" w:sz="4" w:space="0" w:color="000000"/>
              <w:bottom w:val="nil"/>
              <w:right w:val="single" w:sz="4" w:space="0" w:color="000000"/>
            </w:tcBorders>
            <w:shd w:val="clear" w:color="auto" w:fill="auto"/>
            <w:vAlign w:val="bottom"/>
          </w:tcPr>
          <w:p w14:paraId="4AD0FDDA"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347900</w:t>
            </w:r>
          </w:p>
        </w:tc>
      </w:tr>
      <w:tr w:rsidR="00F51FE3" w14:paraId="3AC433F1" w14:textId="77777777">
        <w:trPr>
          <w:trHeight w:val="300"/>
          <w:jc w:val="center"/>
        </w:trPr>
        <w:tc>
          <w:tcPr>
            <w:tcW w:w="4380" w:type="dxa"/>
            <w:tcBorders>
              <w:top w:val="nil"/>
              <w:left w:val="nil"/>
              <w:bottom w:val="nil"/>
              <w:right w:val="nil"/>
            </w:tcBorders>
            <w:shd w:val="clear" w:color="auto" w:fill="auto"/>
            <w:vAlign w:val="bottom"/>
          </w:tcPr>
          <w:p w14:paraId="07BF51B6"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Bank</w:t>
            </w:r>
          </w:p>
        </w:tc>
        <w:tc>
          <w:tcPr>
            <w:tcW w:w="1800" w:type="dxa"/>
            <w:tcBorders>
              <w:top w:val="nil"/>
              <w:left w:val="single" w:sz="4" w:space="0" w:color="000000"/>
              <w:bottom w:val="nil"/>
              <w:right w:val="nil"/>
            </w:tcBorders>
            <w:shd w:val="clear" w:color="auto" w:fill="auto"/>
            <w:vAlign w:val="bottom"/>
          </w:tcPr>
          <w:p w14:paraId="51AE6DA3"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c>
          <w:tcPr>
            <w:tcW w:w="2070" w:type="dxa"/>
            <w:tcBorders>
              <w:top w:val="nil"/>
              <w:left w:val="single" w:sz="4" w:space="0" w:color="000000"/>
              <w:bottom w:val="nil"/>
              <w:right w:val="single" w:sz="4" w:space="0" w:color="000000"/>
            </w:tcBorders>
            <w:shd w:val="clear" w:color="auto" w:fill="auto"/>
            <w:vAlign w:val="bottom"/>
          </w:tcPr>
          <w:p w14:paraId="2BB0DABC"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2000</w:t>
            </w:r>
          </w:p>
        </w:tc>
      </w:tr>
      <w:tr w:rsidR="00F51FE3" w14:paraId="77CD1B9B" w14:textId="77777777">
        <w:trPr>
          <w:trHeight w:val="300"/>
          <w:jc w:val="center"/>
        </w:trPr>
        <w:tc>
          <w:tcPr>
            <w:tcW w:w="4380" w:type="dxa"/>
            <w:tcBorders>
              <w:top w:val="nil"/>
              <w:left w:val="nil"/>
              <w:bottom w:val="nil"/>
              <w:right w:val="nil"/>
            </w:tcBorders>
            <w:shd w:val="clear" w:color="auto" w:fill="auto"/>
            <w:vAlign w:val="bottom"/>
          </w:tcPr>
          <w:p w14:paraId="14096FA2"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Opening Inventory</w:t>
            </w:r>
          </w:p>
        </w:tc>
        <w:tc>
          <w:tcPr>
            <w:tcW w:w="1800" w:type="dxa"/>
            <w:tcBorders>
              <w:top w:val="nil"/>
              <w:left w:val="single" w:sz="4" w:space="0" w:color="000000"/>
              <w:bottom w:val="nil"/>
              <w:right w:val="nil"/>
            </w:tcBorders>
            <w:shd w:val="clear" w:color="auto" w:fill="auto"/>
            <w:vAlign w:val="bottom"/>
          </w:tcPr>
          <w:p w14:paraId="490C4D7A"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90000</w:t>
            </w:r>
          </w:p>
        </w:tc>
        <w:tc>
          <w:tcPr>
            <w:tcW w:w="2070" w:type="dxa"/>
            <w:tcBorders>
              <w:top w:val="nil"/>
              <w:left w:val="single" w:sz="4" w:space="0" w:color="000000"/>
              <w:bottom w:val="nil"/>
              <w:right w:val="single" w:sz="4" w:space="0" w:color="000000"/>
            </w:tcBorders>
            <w:shd w:val="clear" w:color="auto" w:fill="auto"/>
            <w:vAlign w:val="bottom"/>
          </w:tcPr>
          <w:p w14:paraId="780520ED"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513B1000" w14:textId="77777777">
        <w:trPr>
          <w:trHeight w:val="300"/>
          <w:jc w:val="center"/>
        </w:trPr>
        <w:tc>
          <w:tcPr>
            <w:tcW w:w="4380" w:type="dxa"/>
            <w:tcBorders>
              <w:top w:val="nil"/>
              <w:left w:val="nil"/>
              <w:bottom w:val="nil"/>
              <w:right w:val="nil"/>
            </w:tcBorders>
            <w:shd w:val="clear" w:color="auto" w:fill="auto"/>
            <w:vAlign w:val="bottom"/>
          </w:tcPr>
          <w:p w14:paraId="12A8FEB9"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Machinery (at cost)</w:t>
            </w:r>
          </w:p>
        </w:tc>
        <w:tc>
          <w:tcPr>
            <w:tcW w:w="1800" w:type="dxa"/>
            <w:tcBorders>
              <w:top w:val="nil"/>
              <w:left w:val="single" w:sz="4" w:space="0" w:color="000000"/>
              <w:bottom w:val="nil"/>
              <w:right w:val="nil"/>
            </w:tcBorders>
            <w:shd w:val="clear" w:color="auto" w:fill="auto"/>
            <w:vAlign w:val="bottom"/>
          </w:tcPr>
          <w:p w14:paraId="7840CAF5"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120000</w:t>
            </w:r>
          </w:p>
        </w:tc>
        <w:tc>
          <w:tcPr>
            <w:tcW w:w="2070" w:type="dxa"/>
            <w:tcBorders>
              <w:top w:val="nil"/>
              <w:left w:val="single" w:sz="4" w:space="0" w:color="000000"/>
              <w:bottom w:val="nil"/>
              <w:right w:val="single" w:sz="4" w:space="0" w:color="000000"/>
            </w:tcBorders>
            <w:shd w:val="clear" w:color="auto" w:fill="auto"/>
            <w:vAlign w:val="bottom"/>
          </w:tcPr>
          <w:p w14:paraId="68B70B58"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17C28C1F" w14:textId="77777777">
        <w:trPr>
          <w:trHeight w:val="300"/>
          <w:jc w:val="center"/>
        </w:trPr>
        <w:tc>
          <w:tcPr>
            <w:tcW w:w="4380" w:type="dxa"/>
            <w:tcBorders>
              <w:top w:val="nil"/>
              <w:left w:val="nil"/>
              <w:bottom w:val="nil"/>
              <w:right w:val="nil"/>
            </w:tcBorders>
            <w:shd w:val="clear" w:color="auto" w:fill="auto"/>
            <w:vAlign w:val="bottom"/>
          </w:tcPr>
          <w:p w14:paraId="61E1B274"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Buildings (at cost)</w:t>
            </w:r>
          </w:p>
        </w:tc>
        <w:tc>
          <w:tcPr>
            <w:tcW w:w="1800" w:type="dxa"/>
            <w:tcBorders>
              <w:top w:val="nil"/>
              <w:left w:val="single" w:sz="4" w:space="0" w:color="000000"/>
              <w:bottom w:val="nil"/>
              <w:right w:val="nil"/>
            </w:tcBorders>
            <w:shd w:val="clear" w:color="auto" w:fill="auto"/>
            <w:vAlign w:val="bottom"/>
          </w:tcPr>
          <w:p w14:paraId="2A87FFE8"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750000</w:t>
            </w:r>
          </w:p>
        </w:tc>
        <w:tc>
          <w:tcPr>
            <w:tcW w:w="2070" w:type="dxa"/>
            <w:tcBorders>
              <w:top w:val="nil"/>
              <w:left w:val="single" w:sz="4" w:space="0" w:color="000000"/>
              <w:bottom w:val="nil"/>
              <w:right w:val="single" w:sz="4" w:space="0" w:color="000000"/>
            </w:tcBorders>
            <w:shd w:val="clear" w:color="auto" w:fill="auto"/>
            <w:vAlign w:val="bottom"/>
          </w:tcPr>
          <w:p w14:paraId="3E71331C"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17672334" w14:textId="77777777">
        <w:trPr>
          <w:trHeight w:val="285"/>
          <w:jc w:val="center"/>
        </w:trPr>
        <w:tc>
          <w:tcPr>
            <w:tcW w:w="4380" w:type="dxa"/>
            <w:tcBorders>
              <w:top w:val="nil"/>
              <w:left w:val="nil"/>
              <w:bottom w:val="nil"/>
              <w:right w:val="nil"/>
            </w:tcBorders>
            <w:shd w:val="clear" w:color="auto" w:fill="auto"/>
            <w:vAlign w:val="bottom"/>
          </w:tcPr>
          <w:p w14:paraId="1D8637A9"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Provision for depreciation (Buildings)</w:t>
            </w:r>
          </w:p>
        </w:tc>
        <w:tc>
          <w:tcPr>
            <w:tcW w:w="1800" w:type="dxa"/>
            <w:tcBorders>
              <w:top w:val="nil"/>
              <w:left w:val="single" w:sz="4" w:space="0" w:color="000000"/>
              <w:bottom w:val="nil"/>
              <w:right w:val="nil"/>
            </w:tcBorders>
            <w:shd w:val="clear" w:color="auto" w:fill="auto"/>
            <w:vAlign w:val="bottom"/>
          </w:tcPr>
          <w:p w14:paraId="4112234A"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c>
          <w:tcPr>
            <w:tcW w:w="2070" w:type="dxa"/>
            <w:tcBorders>
              <w:top w:val="nil"/>
              <w:left w:val="single" w:sz="4" w:space="0" w:color="000000"/>
              <w:bottom w:val="nil"/>
              <w:right w:val="single" w:sz="4" w:space="0" w:color="000000"/>
            </w:tcBorders>
            <w:shd w:val="clear" w:color="auto" w:fill="auto"/>
            <w:vAlign w:val="bottom"/>
          </w:tcPr>
          <w:p w14:paraId="6FE0A000"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100000</w:t>
            </w:r>
          </w:p>
        </w:tc>
      </w:tr>
      <w:tr w:rsidR="00F51FE3" w14:paraId="46687C1D" w14:textId="77777777">
        <w:trPr>
          <w:trHeight w:val="300"/>
          <w:jc w:val="center"/>
        </w:trPr>
        <w:tc>
          <w:tcPr>
            <w:tcW w:w="4380" w:type="dxa"/>
            <w:tcBorders>
              <w:top w:val="nil"/>
              <w:left w:val="nil"/>
              <w:bottom w:val="nil"/>
              <w:right w:val="nil"/>
            </w:tcBorders>
            <w:shd w:val="clear" w:color="auto" w:fill="auto"/>
            <w:vAlign w:val="bottom"/>
          </w:tcPr>
          <w:p w14:paraId="6ABE3776"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Provision for depreciation (Machinery)</w:t>
            </w:r>
          </w:p>
        </w:tc>
        <w:tc>
          <w:tcPr>
            <w:tcW w:w="1800" w:type="dxa"/>
            <w:tcBorders>
              <w:top w:val="nil"/>
              <w:left w:val="single" w:sz="4" w:space="0" w:color="000000"/>
              <w:bottom w:val="nil"/>
              <w:right w:val="nil"/>
            </w:tcBorders>
            <w:shd w:val="clear" w:color="auto" w:fill="auto"/>
            <w:vAlign w:val="bottom"/>
          </w:tcPr>
          <w:p w14:paraId="1E62A534"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c>
          <w:tcPr>
            <w:tcW w:w="2070" w:type="dxa"/>
            <w:tcBorders>
              <w:top w:val="nil"/>
              <w:left w:val="single" w:sz="4" w:space="0" w:color="000000"/>
              <w:bottom w:val="nil"/>
              <w:right w:val="single" w:sz="4" w:space="0" w:color="000000"/>
            </w:tcBorders>
            <w:shd w:val="clear" w:color="auto" w:fill="auto"/>
            <w:vAlign w:val="bottom"/>
          </w:tcPr>
          <w:p w14:paraId="49686E9E"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25000</w:t>
            </w:r>
          </w:p>
        </w:tc>
      </w:tr>
      <w:tr w:rsidR="00F51FE3" w14:paraId="40B97A0A" w14:textId="77777777">
        <w:trPr>
          <w:trHeight w:val="300"/>
          <w:jc w:val="center"/>
        </w:trPr>
        <w:tc>
          <w:tcPr>
            <w:tcW w:w="4380" w:type="dxa"/>
            <w:tcBorders>
              <w:top w:val="nil"/>
              <w:left w:val="nil"/>
              <w:bottom w:val="nil"/>
              <w:right w:val="nil"/>
            </w:tcBorders>
            <w:shd w:val="clear" w:color="auto" w:fill="auto"/>
            <w:vAlign w:val="bottom"/>
          </w:tcPr>
          <w:p w14:paraId="316E40C6"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Legal Expenses</w:t>
            </w:r>
          </w:p>
        </w:tc>
        <w:tc>
          <w:tcPr>
            <w:tcW w:w="1800" w:type="dxa"/>
            <w:tcBorders>
              <w:top w:val="nil"/>
              <w:left w:val="single" w:sz="4" w:space="0" w:color="000000"/>
              <w:bottom w:val="nil"/>
              <w:right w:val="single" w:sz="4" w:space="0" w:color="000000"/>
            </w:tcBorders>
            <w:shd w:val="clear" w:color="auto" w:fill="auto"/>
            <w:vAlign w:val="bottom"/>
          </w:tcPr>
          <w:p w14:paraId="6DB7B668"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7000</w:t>
            </w:r>
          </w:p>
        </w:tc>
        <w:tc>
          <w:tcPr>
            <w:tcW w:w="2070" w:type="dxa"/>
            <w:tcBorders>
              <w:top w:val="nil"/>
              <w:left w:val="nil"/>
              <w:bottom w:val="nil"/>
              <w:right w:val="single" w:sz="4" w:space="0" w:color="000000"/>
            </w:tcBorders>
            <w:shd w:val="clear" w:color="auto" w:fill="auto"/>
            <w:vAlign w:val="bottom"/>
          </w:tcPr>
          <w:p w14:paraId="3BDDA2C0"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65D16030" w14:textId="77777777">
        <w:trPr>
          <w:trHeight w:val="300"/>
          <w:jc w:val="center"/>
        </w:trPr>
        <w:tc>
          <w:tcPr>
            <w:tcW w:w="4380" w:type="dxa"/>
            <w:tcBorders>
              <w:top w:val="nil"/>
              <w:left w:val="nil"/>
              <w:bottom w:val="nil"/>
              <w:right w:val="nil"/>
            </w:tcBorders>
            <w:shd w:val="clear" w:color="auto" w:fill="auto"/>
            <w:vAlign w:val="bottom"/>
          </w:tcPr>
          <w:p w14:paraId="268BA6C1"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Heating and Lighting</w:t>
            </w:r>
          </w:p>
        </w:tc>
        <w:tc>
          <w:tcPr>
            <w:tcW w:w="1800" w:type="dxa"/>
            <w:tcBorders>
              <w:top w:val="nil"/>
              <w:left w:val="single" w:sz="4" w:space="0" w:color="000000"/>
              <w:bottom w:val="nil"/>
              <w:right w:val="nil"/>
            </w:tcBorders>
            <w:shd w:val="clear" w:color="auto" w:fill="auto"/>
            <w:vAlign w:val="bottom"/>
          </w:tcPr>
          <w:p w14:paraId="5688FAC6"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10000</w:t>
            </w:r>
          </w:p>
        </w:tc>
        <w:tc>
          <w:tcPr>
            <w:tcW w:w="2070" w:type="dxa"/>
            <w:tcBorders>
              <w:top w:val="nil"/>
              <w:left w:val="single" w:sz="4" w:space="0" w:color="000000"/>
              <w:bottom w:val="nil"/>
              <w:right w:val="single" w:sz="4" w:space="0" w:color="000000"/>
            </w:tcBorders>
            <w:shd w:val="clear" w:color="auto" w:fill="auto"/>
            <w:vAlign w:val="bottom"/>
          </w:tcPr>
          <w:p w14:paraId="600974C4"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41F4072D" w14:textId="77777777">
        <w:trPr>
          <w:trHeight w:val="300"/>
          <w:jc w:val="center"/>
        </w:trPr>
        <w:tc>
          <w:tcPr>
            <w:tcW w:w="4380" w:type="dxa"/>
            <w:tcBorders>
              <w:top w:val="nil"/>
              <w:left w:val="nil"/>
              <w:bottom w:val="nil"/>
              <w:right w:val="nil"/>
            </w:tcBorders>
            <w:shd w:val="clear" w:color="auto" w:fill="auto"/>
            <w:vAlign w:val="bottom"/>
          </w:tcPr>
          <w:p w14:paraId="2C63FB3D"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Long term loans</w:t>
            </w:r>
          </w:p>
        </w:tc>
        <w:tc>
          <w:tcPr>
            <w:tcW w:w="1800" w:type="dxa"/>
            <w:tcBorders>
              <w:top w:val="nil"/>
              <w:left w:val="single" w:sz="4" w:space="0" w:color="000000"/>
              <w:bottom w:val="nil"/>
              <w:right w:val="nil"/>
            </w:tcBorders>
            <w:shd w:val="clear" w:color="auto" w:fill="auto"/>
            <w:vAlign w:val="bottom"/>
          </w:tcPr>
          <w:p w14:paraId="12AA18EC"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c>
          <w:tcPr>
            <w:tcW w:w="2070" w:type="dxa"/>
            <w:tcBorders>
              <w:top w:val="nil"/>
              <w:left w:val="single" w:sz="4" w:space="0" w:color="000000"/>
              <w:bottom w:val="nil"/>
              <w:right w:val="single" w:sz="4" w:space="0" w:color="000000"/>
            </w:tcBorders>
            <w:shd w:val="clear" w:color="auto" w:fill="auto"/>
            <w:vAlign w:val="bottom"/>
          </w:tcPr>
          <w:p w14:paraId="228ACD55"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200000</w:t>
            </w:r>
          </w:p>
        </w:tc>
      </w:tr>
      <w:tr w:rsidR="00F51FE3" w14:paraId="4A4843DA" w14:textId="77777777">
        <w:trPr>
          <w:trHeight w:val="300"/>
          <w:jc w:val="center"/>
        </w:trPr>
        <w:tc>
          <w:tcPr>
            <w:tcW w:w="4380" w:type="dxa"/>
            <w:tcBorders>
              <w:top w:val="nil"/>
              <w:left w:val="nil"/>
              <w:bottom w:val="nil"/>
              <w:right w:val="nil"/>
            </w:tcBorders>
            <w:shd w:val="clear" w:color="auto" w:fill="auto"/>
            <w:vAlign w:val="bottom"/>
          </w:tcPr>
          <w:p w14:paraId="49C42642"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Rent and Rates</w:t>
            </w:r>
          </w:p>
        </w:tc>
        <w:tc>
          <w:tcPr>
            <w:tcW w:w="1800" w:type="dxa"/>
            <w:tcBorders>
              <w:top w:val="nil"/>
              <w:left w:val="single" w:sz="4" w:space="0" w:color="000000"/>
              <w:bottom w:val="nil"/>
              <w:right w:val="nil"/>
            </w:tcBorders>
            <w:shd w:val="clear" w:color="auto" w:fill="auto"/>
            <w:vAlign w:val="bottom"/>
          </w:tcPr>
          <w:p w14:paraId="04FC94D0"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24780</w:t>
            </w:r>
          </w:p>
        </w:tc>
        <w:tc>
          <w:tcPr>
            <w:tcW w:w="2070" w:type="dxa"/>
            <w:tcBorders>
              <w:top w:val="nil"/>
              <w:left w:val="single" w:sz="4" w:space="0" w:color="000000"/>
              <w:bottom w:val="nil"/>
              <w:right w:val="single" w:sz="4" w:space="0" w:color="000000"/>
            </w:tcBorders>
            <w:shd w:val="clear" w:color="auto" w:fill="auto"/>
            <w:vAlign w:val="bottom"/>
          </w:tcPr>
          <w:p w14:paraId="68E59314"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3B659231" w14:textId="77777777">
        <w:trPr>
          <w:trHeight w:val="300"/>
          <w:jc w:val="center"/>
        </w:trPr>
        <w:tc>
          <w:tcPr>
            <w:tcW w:w="4380" w:type="dxa"/>
            <w:tcBorders>
              <w:top w:val="nil"/>
              <w:left w:val="nil"/>
              <w:bottom w:val="nil"/>
              <w:right w:val="nil"/>
            </w:tcBorders>
            <w:shd w:val="clear" w:color="auto" w:fill="auto"/>
            <w:vAlign w:val="bottom"/>
          </w:tcPr>
          <w:p w14:paraId="515FD703"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Outstanding rates</w:t>
            </w:r>
          </w:p>
        </w:tc>
        <w:tc>
          <w:tcPr>
            <w:tcW w:w="1800" w:type="dxa"/>
            <w:tcBorders>
              <w:top w:val="nil"/>
              <w:left w:val="single" w:sz="4" w:space="0" w:color="000000"/>
              <w:bottom w:val="nil"/>
              <w:right w:val="nil"/>
            </w:tcBorders>
            <w:shd w:val="clear" w:color="auto" w:fill="auto"/>
            <w:vAlign w:val="bottom"/>
          </w:tcPr>
          <w:p w14:paraId="64C87F9B"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3220</w:t>
            </w:r>
          </w:p>
        </w:tc>
        <w:tc>
          <w:tcPr>
            <w:tcW w:w="2070" w:type="dxa"/>
            <w:tcBorders>
              <w:top w:val="nil"/>
              <w:left w:val="single" w:sz="4" w:space="0" w:color="000000"/>
              <w:bottom w:val="nil"/>
              <w:right w:val="single" w:sz="4" w:space="0" w:color="000000"/>
            </w:tcBorders>
            <w:shd w:val="clear" w:color="auto" w:fill="auto"/>
            <w:vAlign w:val="bottom"/>
          </w:tcPr>
          <w:p w14:paraId="7AD43E43"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6F660F92" w14:textId="77777777">
        <w:trPr>
          <w:trHeight w:val="300"/>
          <w:jc w:val="center"/>
        </w:trPr>
        <w:tc>
          <w:tcPr>
            <w:tcW w:w="4380" w:type="dxa"/>
            <w:tcBorders>
              <w:top w:val="nil"/>
              <w:left w:val="nil"/>
              <w:bottom w:val="nil"/>
              <w:right w:val="nil"/>
            </w:tcBorders>
            <w:shd w:val="clear" w:color="auto" w:fill="auto"/>
            <w:vAlign w:val="bottom"/>
          </w:tcPr>
          <w:p w14:paraId="42A63366"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Insurance</w:t>
            </w:r>
          </w:p>
        </w:tc>
        <w:tc>
          <w:tcPr>
            <w:tcW w:w="1800" w:type="dxa"/>
            <w:tcBorders>
              <w:top w:val="nil"/>
              <w:left w:val="single" w:sz="4" w:space="0" w:color="000000"/>
              <w:bottom w:val="nil"/>
              <w:right w:val="nil"/>
            </w:tcBorders>
            <w:shd w:val="clear" w:color="auto" w:fill="auto"/>
            <w:vAlign w:val="bottom"/>
          </w:tcPr>
          <w:p w14:paraId="7D0EA279"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17520</w:t>
            </w:r>
          </w:p>
        </w:tc>
        <w:tc>
          <w:tcPr>
            <w:tcW w:w="2070" w:type="dxa"/>
            <w:tcBorders>
              <w:top w:val="nil"/>
              <w:left w:val="single" w:sz="4" w:space="0" w:color="000000"/>
              <w:bottom w:val="nil"/>
              <w:right w:val="single" w:sz="4" w:space="0" w:color="000000"/>
            </w:tcBorders>
            <w:shd w:val="clear" w:color="auto" w:fill="auto"/>
            <w:vAlign w:val="bottom"/>
          </w:tcPr>
          <w:p w14:paraId="357BF4AB"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566C0B78" w14:textId="77777777">
        <w:trPr>
          <w:trHeight w:val="300"/>
          <w:jc w:val="center"/>
        </w:trPr>
        <w:tc>
          <w:tcPr>
            <w:tcW w:w="4380" w:type="dxa"/>
            <w:tcBorders>
              <w:top w:val="nil"/>
              <w:left w:val="nil"/>
              <w:bottom w:val="nil"/>
              <w:right w:val="nil"/>
            </w:tcBorders>
            <w:shd w:val="clear" w:color="auto" w:fill="auto"/>
            <w:vAlign w:val="bottom"/>
          </w:tcPr>
          <w:p w14:paraId="397050DF"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Prepaid Insurance</w:t>
            </w:r>
          </w:p>
        </w:tc>
        <w:tc>
          <w:tcPr>
            <w:tcW w:w="1800" w:type="dxa"/>
            <w:tcBorders>
              <w:top w:val="nil"/>
              <w:left w:val="single" w:sz="4" w:space="0" w:color="000000"/>
              <w:bottom w:val="nil"/>
              <w:right w:val="nil"/>
            </w:tcBorders>
            <w:shd w:val="clear" w:color="auto" w:fill="auto"/>
            <w:vAlign w:val="bottom"/>
          </w:tcPr>
          <w:p w14:paraId="24DB462B"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c>
          <w:tcPr>
            <w:tcW w:w="2070" w:type="dxa"/>
            <w:tcBorders>
              <w:top w:val="nil"/>
              <w:left w:val="single" w:sz="4" w:space="0" w:color="000000"/>
              <w:bottom w:val="nil"/>
              <w:right w:val="single" w:sz="4" w:space="0" w:color="000000"/>
            </w:tcBorders>
            <w:shd w:val="clear" w:color="auto" w:fill="auto"/>
            <w:vAlign w:val="bottom"/>
          </w:tcPr>
          <w:p w14:paraId="0B1F9A38"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16000</w:t>
            </w:r>
          </w:p>
        </w:tc>
      </w:tr>
      <w:tr w:rsidR="00F51FE3" w14:paraId="0B8E5344" w14:textId="77777777">
        <w:trPr>
          <w:trHeight w:val="300"/>
          <w:jc w:val="center"/>
        </w:trPr>
        <w:tc>
          <w:tcPr>
            <w:tcW w:w="4380" w:type="dxa"/>
            <w:tcBorders>
              <w:top w:val="nil"/>
              <w:left w:val="nil"/>
              <w:bottom w:val="nil"/>
              <w:right w:val="nil"/>
            </w:tcBorders>
            <w:shd w:val="clear" w:color="auto" w:fill="auto"/>
            <w:vAlign w:val="bottom"/>
          </w:tcPr>
          <w:p w14:paraId="0A00CC1F"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Postage and Stationery</w:t>
            </w:r>
          </w:p>
        </w:tc>
        <w:tc>
          <w:tcPr>
            <w:tcW w:w="1800" w:type="dxa"/>
            <w:tcBorders>
              <w:top w:val="nil"/>
              <w:left w:val="single" w:sz="4" w:space="0" w:color="000000"/>
              <w:bottom w:val="nil"/>
              <w:right w:val="nil"/>
            </w:tcBorders>
            <w:shd w:val="clear" w:color="auto" w:fill="auto"/>
            <w:vAlign w:val="bottom"/>
          </w:tcPr>
          <w:p w14:paraId="5BA3665A"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6000</w:t>
            </w:r>
          </w:p>
        </w:tc>
        <w:tc>
          <w:tcPr>
            <w:tcW w:w="2070" w:type="dxa"/>
            <w:tcBorders>
              <w:top w:val="nil"/>
              <w:left w:val="single" w:sz="4" w:space="0" w:color="000000"/>
              <w:bottom w:val="nil"/>
              <w:right w:val="single" w:sz="4" w:space="0" w:color="000000"/>
            </w:tcBorders>
            <w:shd w:val="clear" w:color="auto" w:fill="auto"/>
            <w:vAlign w:val="bottom"/>
          </w:tcPr>
          <w:p w14:paraId="269A612A"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6046C0EA" w14:textId="77777777">
        <w:trPr>
          <w:trHeight w:val="300"/>
          <w:jc w:val="center"/>
        </w:trPr>
        <w:tc>
          <w:tcPr>
            <w:tcW w:w="4380" w:type="dxa"/>
            <w:tcBorders>
              <w:top w:val="nil"/>
              <w:left w:val="nil"/>
              <w:bottom w:val="nil"/>
              <w:right w:val="nil"/>
            </w:tcBorders>
            <w:shd w:val="clear" w:color="auto" w:fill="auto"/>
            <w:vAlign w:val="bottom"/>
          </w:tcPr>
          <w:p w14:paraId="6E1D045C"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Share Premium</w:t>
            </w:r>
          </w:p>
        </w:tc>
        <w:tc>
          <w:tcPr>
            <w:tcW w:w="1800" w:type="dxa"/>
            <w:tcBorders>
              <w:top w:val="nil"/>
              <w:left w:val="single" w:sz="4" w:space="0" w:color="000000"/>
              <w:bottom w:val="nil"/>
              <w:right w:val="nil"/>
            </w:tcBorders>
            <w:shd w:val="clear" w:color="auto" w:fill="auto"/>
            <w:vAlign w:val="bottom"/>
          </w:tcPr>
          <w:p w14:paraId="6A3D2126"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c>
          <w:tcPr>
            <w:tcW w:w="2070" w:type="dxa"/>
            <w:tcBorders>
              <w:top w:val="nil"/>
              <w:left w:val="single" w:sz="4" w:space="0" w:color="000000"/>
              <w:bottom w:val="nil"/>
              <w:right w:val="single" w:sz="4" w:space="0" w:color="000000"/>
            </w:tcBorders>
            <w:shd w:val="clear" w:color="auto" w:fill="auto"/>
            <w:vAlign w:val="bottom"/>
          </w:tcPr>
          <w:p w14:paraId="462DA604"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100000</w:t>
            </w:r>
          </w:p>
        </w:tc>
      </w:tr>
      <w:tr w:rsidR="00F51FE3" w14:paraId="67991515" w14:textId="77777777">
        <w:trPr>
          <w:trHeight w:val="300"/>
          <w:jc w:val="center"/>
        </w:trPr>
        <w:tc>
          <w:tcPr>
            <w:tcW w:w="4380" w:type="dxa"/>
            <w:tcBorders>
              <w:top w:val="nil"/>
              <w:left w:val="nil"/>
              <w:bottom w:val="nil"/>
              <w:right w:val="nil"/>
            </w:tcBorders>
            <w:shd w:val="clear" w:color="auto" w:fill="auto"/>
            <w:vAlign w:val="bottom"/>
          </w:tcPr>
          <w:p w14:paraId="1563CC91"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Sales Revenues</w:t>
            </w:r>
          </w:p>
        </w:tc>
        <w:tc>
          <w:tcPr>
            <w:tcW w:w="1800" w:type="dxa"/>
            <w:tcBorders>
              <w:top w:val="nil"/>
              <w:left w:val="single" w:sz="4" w:space="0" w:color="000000"/>
              <w:bottom w:val="nil"/>
              <w:right w:val="nil"/>
            </w:tcBorders>
            <w:shd w:val="clear" w:color="auto" w:fill="auto"/>
            <w:vAlign w:val="bottom"/>
          </w:tcPr>
          <w:p w14:paraId="30AB9E4F"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c>
          <w:tcPr>
            <w:tcW w:w="2070" w:type="dxa"/>
            <w:tcBorders>
              <w:top w:val="nil"/>
              <w:left w:val="single" w:sz="4" w:space="0" w:color="000000"/>
              <w:bottom w:val="nil"/>
              <w:right w:val="single" w:sz="4" w:space="0" w:color="000000"/>
            </w:tcBorders>
            <w:shd w:val="clear" w:color="auto" w:fill="auto"/>
            <w:vAlign w:val="bottom"/>
          </w:tcPr>
          <w:p w14:paraId="42E5090D"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900000</w:t>
            </w:r>
          </w:p>
        </w:tc>
      </w:tr>
      <w:tr w:rsidR="00F51FE3" w14:paraId="7BE41F9A" w14:textId="77777777">
        <w:trPr>
          <w:trHeight w:val="300"/>
          <w:jc w:val="center"/>
        </w:trPr>
        <w:tc>
          <w:tcPr>
            <w:tcW w:w="4380" w:type="dxa"/>
            <w:tcBorders>
              <w:top w:val="nil"/>
              <w:left w:val="nil"/>
              <w:bottom w:val="nil"/>
              <w:right w:val="nil"/>
            </w:tcBorders>
            <w:shd w:val="clear" w:color="auto" w:fill="auto"/>
            <w:vAlign w:val="bottom"/>
          </w:tcPr>
          <w:p w14:paraId="76CAACE7"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Retained Profits</w:t>
            </w:r>
          </w:p>
        </w:tc>
        <w:tc>
          <w:tcPr>
            <w:tcW w:w="1800" w:type="dxa"/>
            <w:tcBorders>
              <w:top w:val="nil"/>
              <w:left w:val="single" w:sz="4" w:space="0" w:color="000000"/>
              <w:bottom w:val="nil"/>
              <w:right w:val="nil"/>
            </w:tcBorders>
            <w:shd w:val="clear" w:color="auto" w:fill="auto"/>
            <w:vAlign w:val="bottom"/>
          </w:tcPr>
          <w:p w14:paraId="585817CC"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c>
          <w:tcPr>
            <w:tcW w:w="2070" w:type="dxa"/>
            <w:tcBorders>
              <w:top w:val="nil"/>
              <w:left w:val="single" w:sz="4" w:space="0" w:color="000000"/>
              <w:bottom w:val="nil"/>
              <w:right w:val="single" w:sz="4" w:space="0" w:color="000000"/>
            </w:tcBorders>
            <w:shd w:val="clear" w:color="auto" w:fill="auto"/>
            <w:vAlign w:val="bottom"/>
          </w:tcPr>
          <w:p w14:paraId="4695CCF1"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50000</w:t>
            </w:r>
          </w:p>
        </w:tc>
      </w:tr>
      <w:tr w:rsidR="00F51FE3" w14:paraId="2E87CA3F" w14:textId="77777777">
        <w:trPr>
          <w:trHeight w:val="300"/>
          <w:jc w:val="center"/>
        </w:trPr>
        <w:tc>
          <w:tcPr>
            <w:tcW w:w="4380" w:type="dxa"/>
            <w:tcBorders>
              <w:top w:val="nil"/>
              <w:left w:val="nil"/>
              <w:bottom w:val="nil"/>
              <w:right w:val="nil"/>
            </w:tcBorders>
            <w:shd w:val="clear" w:color="auto" w:fill="auto"/>
            <w:vAlign w:val="bottom"/>
          </w:tcPr>
          <w:p w14:paraId="799D3FEB"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Travelling expenses</w:t>
            </w:r>
          </w:p>
        </w:tc>
        <w:tc>
          <w:tcPr>
            <w:tcW w:w="1800" w:type="dxa"/>
            <w:tcBorders>
              <w:top w:val="nil"/>
              <w:left w:val="single" w:sz="4" w:space="0" w:color="000000"/>
              <w:bottom w:val="nil"/>
              <w:right w:val="nil"/>
            </w:tcBorders>
            <w:shd w:val="clear" w:color="auto" w:fill="auto"/>
            <w:vAlign w:val="bottom"/>
          </w:tcPr>
          <w:p w14:paraId="20AA06A5"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5000</w:t>
            </w:r>
          </w:p>
        </w:tc>
        <w:tc>
          <w:tcPr>
            <w:tcW w:w="2070" w:type="dxa"/>
            <w:tcBorders>
              <w:top w:val="nil"/>
              <w:left w:val="single" w:sz="4" w:space="0" w:color="000000"/>
              <w:bottom w:val="nil"/>
              <w:right w:val="single" w:sz="4" w:space="0" w:color="000000"/>
            </w:tcBorders>
            <w:shd w:val="clear" w:color="auto" w:fill="auto"/>
            <w:vAlign w:val="bottom"/>
          </w:tcPr>
          <w:p w14:paraId="35CDAD8D"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693CAA6B" w14:textId="77777777">
        <w:trPr>
          <w:trHeight w:val="300"/>
          <w:jc w:val="center"/>
        </w:trPr>
        <w:tc>
          <w:tcPr>
            <w:tcW w:w="4380" w:type="dxa"/>
            <w:tcBorders>
              <w:top w:val="nil"/>
              <w:left w:val="nil"/>
              <w:bottom w:val="nil"/>
              <w:right w:val="nil"/>
            </w:tcBorders>
            <w:shd w:val="clear" w:color="auto" w:fill="auto"/>
            <w:vAlign w:val="bottom"/>
          </w:tcPr>
          <w:p w14:paraId="2A66AC6D"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Motor Running Expenses</w:t>
            </w:r>
          </w:p>
        </w:tc>
        <w:tc>
          <w:tcPr>
            <w:tcW w:w="1800" w:type="dxa"/>
            <w:tcBorders>
              <w:top w:val="nil"/>
              <w:left w:val="single" w:sz="4" w:space="0" w:color="000000"/>
              <w:bottom w:val="nil"/>
              <w:right w:val="nil"/>
            </w:tcBorders>
            <w:shd w:val="clear" w:color="auto" w:fill="auto"/>
            <w:vAlign w:val="bottom"/>
          </w:tcPr>
          <w:p w14:paraId="3FF1ADC3"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8700</w:t>
            </w:r>
          </w:p>
        </w:tc>
        <w:tc>
          <w:tcPr>
            <w:tcW w:w="2070" w:type="dxa"/>
            <w:tcBorders>
              <w:top w:val="nil"/>
              <w:left w:val="single" w:sz="4" w:space="0" w:color="000000"/>
              <w:bottom w:val="nil"/>
              <w:right w:val="single" w:sz="4" w:space="0" w:color="000000"/>
            </w:tcBorders>
            <w:shd w:val="clear" w:color="auto" w:fill="auto"/>
            <w:vAlign w:val="bottom"/>
          </w:tcPr>
          <w:p w14:paraId="35A3D55A"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7E6B0AF8" w14:textId="77777777">
        <w:trPr>
          <w:trHeight w:val="300"/>
          <w:jc w:val="center"/>
        </w:trPr>
        <w:tc>
          <w:tcPr>
            <w:tcW w:w="4380" w:type="dxa"/>
            <w:tcBorders>
              <w:top w:val="nil"/>
              <w:left w:val="nil"/>
              <w:bottom w:val="nil"/>
              <w:right w:val="nil"/>
            </w:tcBorders>
            <w:shd w:val="clear" w:color="auto" w:fill="auto"/>
            <w:vAlign w:val="bottom"/>
          </w:tcPr>
          <w:p w14:paraId="5762CB13"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Salaries and Wages</w:t>
            </w:r>
          </w:p>
        </w:tc>
        <w:tc>
          <w:tcPr>
            <w:tcW w:w="1800" w:type="dxa"/>
            <w:tcBorders>
              <w:top w:val="nil"/>
              <w:left w:val="single" w:sz="4" w:space="0" w:color="000000"/>
              <w:bottom w:val="nil"/>
              <w:right w:val="nil"/>
            </w:tcBorders>
            <w:shd w:val="clear" w:color="auto" w:fill="auto"/>
            <w:vAlign w:val="bottom"/>
          </w:tcPr>
          <w:p w14:paraId="04156994"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150000</w:t>
            </w:r>
          </w:p>
        </w:tc>
        <w:tc>
          <w:tcPr>
            <w:tcW w:w="2070" w:type="dxa"/>
            <w:tcBorders>
              <w:top w:val="nil"/>
              <w:left w:val="single" w:sz="4" w:space="0" w:color="000000"/>
              <w:bottom w:val="nil"/>
              <w:right w:val="single" w:sz="4" w:space="0" w:color="000000"/>
            </w:tcBorders>
            <w:shd w:val="clear" w:color="auto" w:fill="auto"/>
            <w:vAlign w:val="bottom"/>
          </w:tcPr>
          <w:p w14:paraId="448005CB"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047EFCBB" w14:textId="77777777">
        <w:trPr>
          <w:trHeight w:val="300"/>
          <w:jc w:val="center"/>
        </w:trPr>
        <w:tc>
          <w:tcPr>
            <w:tcW w:w="4380" w:type="dxa"/>
            <w:tcBorders>
              <w:top w:val="nil"/>
              <w:left w:val="nil"/>
              <w:bottom w:val="nil"/>
              <w:right w:val="nil"/>
            </w:tcBorders>
            <w:shd w:val="clear" w:color="auto" w:fill="auto"/>
            <w:vAlign w:val="bottom"/>
          </w:tcPr>
          <w:p w14:paraId="6B90BE35"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Bad Debts</w:t>
            </w:r>
          </w:p>
        </w:tc>
        <w:tc>
          <w:tcPr>
            <w:tcW w:w="1800" w:type="dxa"/>
            <w:tcBorders>
              <w:top w:val="nil"/>
              <w:left w:val="single" w:sz="4" w:space="0" w:color="000000"/>
              <w:bottom w:val="nil"/>
              <w:right w:val="nil"/>
            </w:tcBorders>
            <w:shd w:val="clear" w:color="auto" w:fill="auto"/>
            <w:vAlign w:val="bottom"/>
          </w:tcPr>
          <w:p w14:paraId="2ADDE9AC"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4000</w:t>
            </w:r>
          </w:p>
        </w:tc>
        <w:tc>
          <w:tcPr>
            <w:tcW w:w="2070" w:type="dxa"/>
            <w:tcBorders>
              <w:top w:val="nil"/>
              <w:left w:val="single" w:sz="4" w:space="0" w:color="000000"/>
              <w:bottom w:val="nil"/>
              <w:right w:val="single" w:sz="4" w:space="0" w:color="000000"/>
            </w:tcBorders>
            <w:shd w:val="clear" w:color="auto" w:fill="auto"/>
            <w:vAlign w:val="bottom"/>
          </w:tcPr>
          <w:p w14:paraId="1E5A2D0D"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51D46928" w14:textId="77777777">
        <w:trPr>
          <w:trHeight w:val="300"/>
          <w:jc w:val="center"/>
        </w:trPr>
        <w:tc>
          <w:tcPr>
            <w:tcW w:w="4380" w:type="dxa"/>
            <w:tcBorders>
              <w:top w:val="nil"/>
              <w:left w:val="nil"/>
              <w:bottom w:val="nil"/>
              <w:right w:val="nil"/>
            </w:tcBorders>
            <w:shd w:val="clear" w:color="auto" w:fill="auto"/>
            <w:vAlign w:val="bottom"/>
          </w:tcPr>
          <w:p w14:paraId="16B23D78"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Purchases</w:t>
            </w:r>
          </w:p>
        </w:tc>
        <w:tc>
          <w:tcPr>
            <w:tcW w:w="1800" w:type="dxa"/>
            <w:tcBorders>
              <w:top w:val="nil"/>
              <w:left w:val="single" w:sz="4" w:space="0" w:color="000000"/>
              <w:bottom w:val="nil"/>
              <w:right w:val="nil"/>
            </w:tcBorders>
            <w:shd w:val="clear" w:color="auto" w:fill="auto"/>
            <w:vAlign w:val="bottom"/>
          </w:tcPr>
          <w:p w14:paraId="4EECEC86"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560000</w:t>
            </w:r>
          </w:p>
        </w:tc>
        <w:tc>
          <w:tcPr>
            <w:tcW w:w="2070" w:type="dxa"/>
            <w:tcBorders>
              <w:top w:val="nil"/>
              <w:left w:val="single" w:sz="4" w:space="0" w:color="000000"/>
              <w:bottom w:val="nil"/>
              <w:right w:val="single" w:sz="4" w:space="0" w:color="000000"/>
            </w:tcBorders>
            <w:shd w:val="clear" w:color="auto" w:fill="auto"/>
            <w:vAlign w:val="bottom"/>
          </w:tcPr>
          <w:p w14:paraId="723AB8E7"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31964C94" w14:textId="77777777">
        <w:trPr>
          <w:trHeight w:val="300"/>
          <w:jc w:val="center"/>
        </w:trPr>
        <w:tc>
          <w:tcPr>
            <w:tcW w:w="4380" w:type="dxa"/>
            <w:tcBorders>
              <w:top w:val="nil"/>
              <w:left w:val="nil"/>
              <w:bottom w:val="nil"/>
              <w:right w:val="nil"/>
            </w:tcBorders>
            <w:shd w:val="clear" w:color="auto" w:fill="auto"/>
            <w:vAlign w:val="bottom"/>
          </w:tcPr>
          <w:p w14:paraId="5CD30B75"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Revaluation Reserve</w:t>
            </w:r>
          </w:p>
        </w:tc>
        <w:tc>
          <w:tcPr>
            <w:tcW w:w="1800" w:type="dxa"/>
            <w:tcBorders>
              <w:top w:val="nil"/>
              <w:left w:val="single" w:sz="4" w:space="0" w:color="000000"/>
              <w:bottom w:val="nil"/>
              <w:right w:val="nil"/>
            </w:tcBorders>
            <w:shd w:val="clear" w:color="auto" w:fill="auto"/>
            <w:vAlign w:val="bottom"/>
          </w:tcPr>
          <w:p w14:paraId="276B5EDF"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c>
          <w:tcPr>
            <w:tcW w:w="2070" w:type="dxa"/>
            <w:tcBorders>
              <w:top w:val="nil"/>
              <w:left w:val="single" w:sz="4" w:space="0" w:color="000000"/>
              <w:bottom w:val="nil"/>
              <w:right w:val="single" w:sz="4" w:space="0" w:color="000000"/>
            </w:tcBorders>
            <w:shd w:val="clear" w:color="auto" w:fill="auto"/>
            <w:vAlign w:val="bottom"/>
          </w:tcPr>
          <w:p w14:paraId="5D2362E8"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100000</w:t>
            </w:r>
          </w:p>
        </w:tc>
      </w:tr>
      <w:tr w:rsidR="00F51FE3" w14:paraId="1978047C" w14:textId="77777777">
        <w:trPr>
          <w:trHeight w:val="300"/>
          <w:jc w:val="center"/>
        </w:trPr>
        <w:tc>
          <w:tcPr>
            <w:tcW w:w="4380" w:type="dxa"/>
            <w:tcBorders>
              <w:top w:val="nil"/>
              <w:left w:val="nil"/>
              <w:bottom w:val="nil"/>
              <w:right w:val="nil"/>
            </w:tcBorders>
            <w:shd w:val="clear" w:color="auto" w:fill="auto"/>
            <w:vAlign w:val="bottom"/>
          </w:tcPr>
          <w:p w14:paraId="6E048BA0"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Provision for Bad Debts (Adjusted)</w:t>
            </w:r>
          </w:p>
        </w:tc>
        <w:tc>
          <w:tcPr>
            <w:tcW w:w="1800" w:type="dxa"/>
            <w:tcBorders>
              <w:top w:val="nil"/>
              <w:left w:val="single" w:sz="4" w:space="0" w:color="000000"/>
              <w:bottom w:val="nil"/>
              <w:right w:val="nil"/>
            </w:tcBorders>
            <w:shd w:val="clear" w:color="auto" w:fill="auto"/>
            <w:vAlign w:val="bottom"/>
          </w:tcPr>
          <w:p w14:paraId="3F6D6C5D"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c>
          <w:tcPr>
            <w:tcW w:w="2070" w:type="dxa"/>
            <w:tcBorders>
              <w:top w:val="nil"/>
              <w:left w:val="single" w:sz="4" w:space="0" w:color="000000"/>
              <w:bottom w:val="nil"/>
              <w:right w:val="single" w:sz="4" w:space="0" w:color="000000"/>
            </w:tcBorders>
            <w:shd w:val="clear" w:color="auto" w:fill="auto"/>
            <w:vAlign w:val="bottom"/>
          </w:tcPr>
          <w:p w14:paraId="63E313B5"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4000</w:t>
            </w:r>
          </w:p>
        </w:tc>
      </w:tr>
      <w:tr w:rsidR="00F51FE3" w14:paraId="2C82CC8B" w14:textId="77777777">
        <w:trPr>
          <w:trHeight w:val="300"/>
          <w:jc w:val="center"/>
        </w:trPr>
        <w:tc>
          <w:tcPr>
            <w:tcW w:w="4380" w:type="dxa"/>
            <w:tcBorders>
              <w:top w:val="nil"/>
              <w:left w:val="nil"/>
              <w:bottom w:val="nil"/>
              <w:right w:val="nil"/>
            </w:tcBorders>
            <w:shd w:val="clear" w:color="auto" w:fill="auto"/>
            <w:vAlign w:val="bottom"/>
          </w:tcPr>
          <w:p w14:paraId="2C50DAF2"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Taxation</w:t>
            </w:r>
          </w:p>
        </w:tc>
        <w:tc>
          <w:tcPr>
            <w:tcW w:w="1800" w:type="dxa"/>
            <w:tcBorders>
              <w:top w:val="nil"/>
              <w:left w:val="single" w:sz="4" w:space="0" w:color="000000"/>
              <w:bottom w:val="nil"/>
              <w:right w:val="nil"/>
            </w:tcBorders>
            <w:shd w:val="clear" w:color="auto" w:fill="auto"/>
            <w:vAlign w:val="bottom"/>
          </w:tcPr>
          <w:p w14:paraId="34EC3DD9"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12900</w:t>
            </w:r>
          </w:p>
        </w:tc>
        <w:tc>
          <w:tcPr>
            <w:tcW w:w="2070" w:type="dxa"/>
            <w:tcBorders>
              <w:top w:val="nil"/>
              <w:left w:val="single" w:sz="4" w:space="0" w:color="000000"/>
              <w:bottom w:val="nil"/>
              <w:right w:val="single" w:sz="4" w:space="0" w:color="000000"/>
            </w:tcBorders>
            <w:shd w:val="clear" w:color="auto" w:fill="auto"/>
            <w:vAlign w:val="bottom"/>
          </w:tcPr>
          <w:p w14:paraId="660D6FB1"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2A993D2E" w14:textId="77777777">
        <w:trPr>
          <w:trHeight w:val="300"/>
          <w:jc w:val="center"/>
        </w:trPr>
        <w:tc>
          <w:tcPr>
            <w:tcW w:w="4380" w:type="dxa"/>
            <w:tcBorders>
              <w:top w:val="nil"/>
              <w:left w:val="nil"/>
              <w:bottom w:val="nil"/>
              <w:right w:val="nil"/>
            </w:tcBorders>
            <w:shd w:val="clear" w:color="auto" w:fill="auto"/>
            <w:vAlign w:val="bottom"/>
          </w:tcPr>
          <w:p w14:paraId="30EDB1E9"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Trade Receivables (debtors)</w:t>
            </w:r>
          </w:p>
        </w:tc>
        <w:tc>
          <w:tcPr>
            <w:tcW w:w="1800" w:type="dxa"/>
            <w:tcBorders>
              <w:top w:val="nil"/>
              <w:left w:val="single" w:sz="4" w:space="0" w:color="000000"/>
              <w:bottom w:val="nil"/>
              <w:right w:val="single" w:sz="4" w:space="0" w:color="000000"/>
            </w:tcBorders>
            <w:shd w:val="clear" w:color="auto" w:fill="auto"/>
            <w:vAlign w:val="bottom"/>
          </w:tcPr>
          <w:p w14:paraId="29CF0113"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400000</w:t>
            </w:r>
          </w:p>
        </w:tc>
        <w:tc>
          <w:tcPr>
            <w:tcW w:w="2070" w:type="dxa"/>
            <w:tcBorders>
              <w:top w:val="nil"/>
              <w:left w:val="nil"/>
              <w:bottom w:val="nil"/>
              <w:right w:val="single" w:sz="4" w:space="0" w:color="000000"/>
            </w:tcBorders>
            <w:shd w:val="clear" w:color="auto" w:fill="auto"/>
            <w:vAlign w:val="bottom"/>
          </w:tcPr>
          <w:p w14:paraId="0569100C"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19EC1B9B" w14:textId="77777777">
        <w:trPr>
          <w:trHeight w:val="300"/>
          <w:jc w:val="center"/>
        </w:trPr>
        <w:tc>
          <w:tcPr>
            <w:tcW w:w="4380" w:type="dxa"/>
            <w:tcBorders>
              <w:top w:val="nil"/>
              <w:left w:val="nil"/>
              <w:bottom w:val="nil"/>
              <w:right w:val="nil"/>
            </w:tcBorders>
            <w:shd w:val="clear" w:color="auto" w:fill="auto"/>
            <w:vAlign w:val="bottom"/>
          </w:tcPr>
          <w:p w14:paraId="53CCD69E"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Trade Payables (creditors)</w:t>
            </w:r>
          </w:p>
        </w:tc>
        <w:tc>
          <w:tcPr>
            <w:tcW w:w="1800" w:type="dxa"/>
            <w:tcBorders>
              <w:top w:val="nil"/>
              <w:left w:val="single" w:sz="4" w:space="0" w:color="000000"/>
              <w:bottom w:val="nil"/>
              <w:right w:val="nil"/>
            </w:tcBorders>
            <w:shd w:val="clear" w:color="auto" w:fill="auto"/>
            <w:vAlign w:val="bottom"/>
          </w:tcPr>
          <w:p w14:paraId="74523B1F"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c>
          <w:tcPr>
            <w:tcW w:w="2070" w:type="dxa"/>
            <w:tcBorders>
              <w:top w:val="nil"/>
              <w:left w:val="single" w:sz="4" w:space="0" w:color="000000"/>
              <w:bottom w:val="nil"/>
              <w:right w:val="single" w:sz="4" w:space="0" w:color="000000"/>
            </w:tcBorders>
            <w:shd w:val="clear" w:color="auto" w:fill="auto"/>
            <w:vAlign w:val="bottom"/>
          </w:tcPr>
          <w:p w14:paraId="11B2F84B"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350000</w:t>
            </w:r>
          </w:p>
        </w:tc>
      </w:tr>
      <w:tr w:rsidR="00F51FE3" w14:paraId="137DDDB9" w14:textId="77777777">
        <w:trPr>
          <w:trHeight w:val="300"/>
          <w:jc w:val="center"/>
        </w:trPr>
        <w:tc>
          <w:tcPr>
            <w:tcW w:w="4380" w:type="dxa"/>
            <w:tcBorders>
              <w:top w:val="nil"/>
              <w:left w:val="nil"/>
              <w:bottom w:val="nil"/>
              <w:right w:val="nil"/>
            </w:tcBorders>
            <w:shd w:val="clear" w:color="auto" w:fill="auto"/>
            <w:vAlign w:val="bottom"/>
          </w:tcPr>
          <w:p w14:paraId="11EBD24B"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Suspense account</w:t>
            </w:r>
          </w:p>
        </w:tc>
        <w:tc>
          <w:tcPr>
            <w:tcW w:w="1800" w:type="dxa"/>
            <w:tcBorders>
              <w:top w:val="nil"/>
              <w:left w:val="single" w:sz="4" w:space="0" w:color="000000"/>
              <w:bottom w:val="nil"/>
              <w:right w:val="nil"/>
            </w:tcBorders>
            <w:shd w:val="clear" w:color="auto" w:fill="auto"/>
            <w:vAlign w:val="bottom"/>
          </w:tcPr>
          <w:p w14:paraId="1EEF3794"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13780</w:t>
            </w:r>
          </w:p>
        </w:tc>
        <w:tc>
          <w:tcPr>
            <w:tcW w:w="2070" w:type="dxa"/>
            <w:tcBorders>
              <w:top w:val="nil"/>
              <w:left w:val="single" w:sz="4" w:space="0" w:color="000000"/>
              <w:bottom w:val="nil"/>
              <w:right w:val="single" w:sz="4" w:space="0" w:color="000000"/>
            </w:tcBorders>
            <w:shd w:val="clear" w:color="auto" w:fill="auto"/>
            <w:vAlign w:val="bottom"/>
          </w:tcPr>
          <w:p w14:paraId="5A33E24F"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r>
      <w:tr w:rsidR="00F51FE3" w14:paraId="4D9B8DD3" w14:textId="77777777">
        <w:trPr>
          <w:trHeight w:val="315"/>
          <w:jc w:val="center"/>
        </w:trPr>
        <w:tc>
          <w:tcPr>
            <w:tcW w:w="4380" w:type="dxa"/>
            <w:tcBorders>
              <w:top w:val="single" w:sz="4" w:space="0" w:color="4472C4"/>
              <w:left w:val="nil"/>
              <w:bottom w:val="single" w:sz="6" w:space="0" w:color="4472C4"/>
              <w:right w:val="nil"/>
            </w:tcBorders>
            <w:shd w:val="clear" w:color="auto" w:fill="auto"/>
            <w:vAlign w:val="bottom"/>
          </w:tcPr>
          <w:p w14:paraId="5EAFC0B2" w14:textId="77777777" w:rsidR="00F51FE3" w:rsidRDefault="00C3249C">
            <w:pPr>
              <w:spacing w:after="0" w:line="240" w:lineRule="auto"/>
              <w:jc w:val="left"/>
              <w:rPr>
                <w:rFonts w:ascii="Arial" w:eastAsia="Arial" w:hAnsi="Arial" w:cs="Arial"/>
                <w:b/>
                <w:i/>
                <w:color w:val="000000"/>
                <w:sz w:val="22"/>
                <w:szCs w:val="22"/>
              </w:rPr>
            </w:pPr>
            <w:r>
              <w:rPr>
                <w:rFonts w:ascii="Arial" w:eastAsia="Arial" w:hAnsi="Arial" w:cs="Arial"/>
                <w:b/>
                <w:i/>
                <w:color w:val="000000"/>
                <w:sz w:val="22"/>
                <w:szCs w:val="22"/>
              </w:rPr>
              <w:t>GRAND TOTAL</w:t>
            </w:r>
          </w:p>
        </w:tc>
        <w:tc>
          <w:tcPr>
            <w:tcW w:w="1800" w:type="dxa"/>
            <w:tcBorders>
              <w:top w:val="single" w:sz="4" w:space="0" w:color="4472C4"/>
              <w:left w:val="single" w:sz="4" w:space="0" w:color="000000"/>
              <w:bottom w:val="single" w:sz="6" w:space="0" w:color="4472C4"/>
              <w:right w:val="nil"/>
            </w:tcBorders>
            <w:shd w:val="clear" w:color="auto" w:fill="auto"/>
            <w:vAlign w:val="bottom"/>
          </w:tcPr>
          <w:p w14:paraId="1780593D" w14:textId="77777777" w:rsidR="00F51FE3" w:rsidRDefault="00C3249C">
            <w:pPr>
              <w:spacing w:after="0" w:line="240" w:lineRule="auto"/>
              <w:jc w:val="center"/>
              <w:rPr>
                <w:rFonts w:ascii="Arial" w:eastAsia="Arial" w:hAnsi="Arial" w:cs="Arial"/>
                <w:b/>
                <w:i/>
                <w:color w:val="000000"/>
                <w:sz w:val="22"/>
                <w:szCs w:val="22"/>
              </w:rPr>
            </w:pPr>
            <w:r>
              <w:rPr>
                <w:rFonts w:ascii="Arial" w:eastAsia="Arial" w:hAnsi="Arial" w:cs="Arial"/>
                <w:b/>
                <w:i/>
                <w:color w:val="000000"/>
                <w:sz w:val="22"/>
                <w:szCs w:val="22"/>
              </w:rPr>
              <w:t>2198900</w:t>
            </w:r>
          </w:p>
        </w:tc>
        <w:tc>
          <w:tcPr>
            <w:tcW w:w="2070" w:type="dxa"/>
            <w:tcBorders>
              <w:top w:val="single" w:sz="4" w:space="0" w:color="4472C4"/>
              <w:left w:val="single" w:sz="4" w:space="0" w:color="000000"/>
              <w:bottom w:val="single" w:sz="6" w:space="0" w:color="4472C4"/>
              <w:right w:val="single" w:sz="4" w:space="0" w:color="000000"/>
            </w:tcBorders>
            <w:shd w:val="clear" w:color="auto" w:fill="auto"/>
            <w:vAlign w:val="bottom"/>
          </w:tcPr>
          <w:p w14:paraId="31EC3434" w14:textId="77777777" w:rsidR="00F51FE3" w:rsidRDefault="00C3249C">
            <w:pPr>
              <w:spacing w:after="0" w:line="240" w:lineRule="auto"/>
              <w:jc w:val="center"/>
              <w:rPr>
                <w:rFonts w:ascii="Arial" w:eastAsia="Arial" w:hAnsi="Arial" w:cs="Arial"/>
                <w:b/>
                <w:i/>
                <w:color w:val="000000"/>
                <w:sz w:val="22"/>
                <w:szCs w:val="22"/>
              </w:rPr>
            </w:pPr>
            <w:r>
              <w:rPr>
                <w:rFonts w:ascii="Arial" w:eastAsia="Arial" w:hAnsi="Arial" w:cs="Arial"/>
                <w:b/>
                <w:i/>
                <w:color w:val="000000"/>
                <w:sz w:val="22"/>
                <w:szCs w:val="22"/>
              </w:rPr>
              <w:t>2198900</w:t>
            </w:r>
          </w:p>
        </w:tc>
      </w:tr>
    </w:tbl>
    <w:p w14:paraId="639CB6CF" w14:textId="77777777" w:rsidR="00F51FE3" w:rsidRDefault="00F51FE3">
      <w:pPr>
        <w:rPr>
          <w:rFonts w:ascii="Arial" w:eastAsia="Arial" w:hAnsi="Arial" w:cs="Arial"/>
          <w:sz w:val="22"/>
          <w:szCs w:val="22"/>
        </w:rPr>
      </w:pPr>
    </w:p>
    <w:p w14:paraId="0E1E1744" w14:textId="77777777" w:rsidR="00F51FE3" w:rsidRDefault="00F51FE3">
      <w:pPr>
        <w:pStyle w:val="Heading2"/>
        <w:rPr>
          <w:rFonts w:ascii="Arial" w:eastAsia="Arial" w:hAnsi="Arial" w:cs="Arial"/>
          <w:sz w:val="22"/>
          <w:szCs w:val="22"/>
        </w:rPr>
      </w:pPr>
    </w:p>
    <w:p w14:paraId="336F4D0B" w14:textId="77777777" w:rsidR="00F51FE3" w:rsidRDefault="00C3249C">
      <w:pPr>
        <w:pStyle w:val="Heading2"/>
        <w:rPr>
          <w:rFonts w:ascii="Arial" w:eastAsia="Arial" w:hAnsi="Arial" w:cs="Arial"/>
          <w:sz w:val="22"/>
          <w:szCs w:val="22"/>
        </w:rPr>
      </w:pPr>
      <w:r>
        <w:rPr>
          <w:rFonts w:ascii="Arial" w:eastAsia="Arial" w:hAnsi="Arial" w:cs="Arial"/>
          <w:sz w:val="22"/>
          <w:szCs w:val="22"/>
        </w:rPr>
        <w:t>(2) Creation of income statement for the business</w:t>
      </w:r>
    </w:p>
    <w:p w14:paraId="4FEB6175" w14:textId="77777777" w:rsidR="00F51FE3" w:rsidRDefault="00C3249C">
      <w:pPr>
        <w:jc w:val="center"/>
        <w:rPr>
          <w:rFonts w:ascii="Arial" w:eastAsia="Arial" w:hAnsi="Arial" w:cs="Arial"/>
          <w:b/>
          <w:sz w:val="22"/>
          <w:szCs w:val="22"/>
          <w:u w:val="single"/>
        </w:rPr>
      </w:pPr>
      <w:r>
        <w:rPr>
          <w:rFonts w:ascii="Arial" w:eastAsia="Arial" w:hAnsi="Arial" w:cs="Arial"/>
          <w:b/>
          <w:sz w:val="22"/>
          <w:szCs w:val="22"/>
          <w:u w:val="single"/>
        </w:rPr>
        <w:t>In the books of General Supplies Ltd.</w:t>
      </w:r>
    </w:p>
    <w:p w14:paraId="1406A3C4" w14:textId="77777777" w:rsidR="00F51FE3" w:rsidRDefault="00C3249C">
      <w:pPr>
        <w:jc w:val="center"/>
        <w:rPr>
          <w:rFonts w:ascii="Arial" w:eastAsia="Arial" w:hAnsi="Arial" w:cs="Arial"/>
          <w:b/>
          <w:sz w:val="22"/>
          <w:szCs w:val="22"/>
          <w:u w:val="single"/>
        </w:rPr>
      </w:pPr>
      <w:r>
        <w:rPr>
          <w:rFonts w:ascii="Arial" w:eastAsia="Arial" w:hAnsi="Arial" w:cs="Arial"/>
          <w:b/>
          <w:sz w:val="22"/>
          <w:szCs w:val="22"/>
          <w:u w:val="single"/>
        </w:rPr>
        <w:t>Income Statement creation</w:t>
      </w:r>
    </w:p>
    <w:p w14:paraId="5DC55D02" w14:textId="77777777" w:rsidR="00F51FE3" w:rsidRDefault="00C3249C">
      <w:pPr>
        <w:jc w:val="center"/>
        <w:rPr>
          <w:rFonts w:ascii="Arial" w:eastAsia="Arial" w:hAnsi="Arial" w:cs="Arial"/>
          <w:sz w:val="22"/>
          <w:szCs w:val="22"/>
        </w:rPr>
      </w:pPr>
      <w:r>
        <w:rPr>
          <w:rFonts w:ascii="Arial" w:eastAsia="Arial" w:hAnsi="Arial" w:cs="Arial"/>
          <w:b/>
          <w:sz w:val="22"/>
          <w:szCs w:val="22"/>
          <w:u w:val="single"/>
        </w:rPr>
        <w:t>For a 12-period time frame as ended for 31</w:t>
      </w:r>
      <w:r>
        <w:rPr>
          <w:rFonts w:ascii="Arial" w:eastAsia="Arial" w:hAnsi="Arial" w:cs="Arial"/>
          <w:b/>
          <w:sz w:val="22"/>
          <w:szCs w:val="22"/>
          <w:u w:val="single"/>
          <w:vertAlign w:val="superscript"/>
        </w:rPr>
        <w:t>st</w:t>
      </w:r>
      <w:r>
        <w:rPr>
          <w:rFonts w:ascii="Arial" w:eastAsia="Arial" w:hAnsi="Arial" w:cs="Arial"/>
          <w:b/>
          <w:sz w:val="22"/>
          <w:szCs w:val="22"/>
          <w:u w:val="single"/>
        </w:rPr>
        <w:t xml:space="preserve"> December 2021</w:t>
      </w:r>
    </w:p>
    <w:tbl>
      <w:tblPr>
        <w:tblStyle w:val="a0"/>
        <w:tblW w:w="8296" w:type="dxa"/>
        <w:tblInd w:w="704" w:type="dxa"/>
        <w:tblLayout w:type="fixed"/>
        <w:tblLook w:val="0400" w:firstRow="0" w:lastRow="0" w:firstColumn="0" w:lastColumn="0" w:noHBand="0" w:noVBand="1"/>
      </w:tblPr>
      <w:tblGrid>
        <w:gridCol w:w="3656"/>
        <w:gridCol w:w="2014"/>
        <w:gridCol w:w="1326"/>
        <w:gridCol w:w="1300"/>
      </w:tblGrid>
      <w:tr w:rsidR="00F51FE3" w14:paraId="36B6CAD9"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778E0883" w14:textId="77777777" w:rsidR="00F51FE3" w:rsidRDefault="00C3249C">
            <w:pPr>
              <w:spacing w:after="0" w:line="240" w:lineRule="auto"/>
              <w:jc w:val="left"/>
              <w:rPr>
                <w:rFonts w:ascii="Arial" w:eastAsia="Arial" w:hAnsi="Arial" w:cs="Arial"/>
                <w:b/>
                <w:i/>
                <w:color w:val="000000"/>
                <w:sz w:val="22"/>
                <w:szCs w:val="22"/>
              </w:rPr>
            </w:pPr>
            <w:r>
              <w:rPr>
                <w:rFonts w:ascii="Arial" w:eastAsia="Arial" w:hAnsi="Arial" w:cs="Arial"/>
                <w:b/>
                <w:i/>
                <w:color w:val="000000"/>
                <w:sz w:val="22"/>
                <w:szCs w:val="22"/>
              </w:rPr>
              <w:t>Transaction Detail</w:t>
            </w:r>
          </w:p>
        </w:tc>
        <w:tc>
          <w:tcPr>
            <w:tcW w:w="2014"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1EE99449" w14:textId="77777777" w:rsidR="00F51FE3" w:rsidRDefault="00C3249C">
            <w:pPr>
              <w:spacing w:after="0" w:line="240" w:lineRule="auto"/>
              <w:jc w:val="center"/>
              <w:rPr>
                <w:rFonts w:ascii="Arial" w:eastAsia="Arial" w:hAnsi="Arial" w:cs="Arial"/>
                <w:b/>
                <w:i/>
                <w:color w:val="000000"/>
                <w:sz w:val="22"/>
                <w:szCs w:val="22"/>
              </w:rPr>
            </w:pPr>
            <w:r>
              <w:rPr>
                <w:rFonts w:ascii="Arial" w:eastAsia="Arial" w:hAnsi="Arial" w:cs="Arial"/>
                <w:b/>
                <w:i/>
                <w:color w:val="000000"/>
                <w:sz w:val="22"/>
                <w:szCs w:val="22"/>
              </w:rPr>
              <w:t>Inner workings (£)</w:t>
            </w:r>
          </w:p>
        </w:tc>
        <w:tc>
          <w:tcPr>
            <w:tcW w:w="132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01EA7064" w14:textId="77777777" w:rsidR="00F51FE3" w:rsidRDefault="00C3249C">
            <w:pPr>
              <w:spacing w:after="0" w:line="240" w:lineRule="auto"/>
              <w:jc w:val="center"/>
              <w:rPr>
                <w:rFonts w:ascii="Arial" w:eastAsia="Arial" w:hAnsi="Arial" w:cs="Arial"/>
                <w:b/>
                <w:i/>
                <w:color w:val="000000"/>
                <w:sz w:val="22"/>
                <w:szCs w:val="22"/>
              </w:rPr>
            </w:pPr>
            <w:proofErr w:type="spellStart"/>
            <w:r>
              <w:rPr>
                <w:rFonts w:ascii="Arial" w:eastAsia="Arial" w:hAnsi="Arial" w:cs="Arial"/>
                <w:b/>
                <w:i/>
                <w:color w:val="000000"/>
                <w:sz w:val="22"/>
                <w:szCs w:val="22"/>
              </w:rPr>
              <w:t>Amnt</w:t>
            </w:r>
            <w:proofErr w:type="spellEnd"/>
            <w:r>
              <w:rPr>
                <w:rFonts w:ascii="Arial" w:eastAsia="Arial" w:hAnsi="Arial" w:cs="Arial"/>
                <w:b/>
                <w:i/>
                <w:color w:val="000000"/>
                <w:sz w:val="22"/>
                <w:szCs w:val="22"/>
              </w:rPr>
              <w:t>. (£)</w:t>
            </w:r>
          </w:p>
        </w:tc>
        <w:tc>
          <w:tcPr>
            <w:tcW w:w="130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19E664D4" w14:textId="77777777" w:rsidR="00F51FE3" w:rsidRDefault="00C3249C">
            <w:pPr>
              <w:spacing w:after="0" w:line="240" w:lineRule="auto"/>
              <w:jc w:val="center"/>
              <w:rPr>
                <w:rFonts w:ascii="Arial" w:eastAsia="Arial" w:hAnsi="Arial" w:cs="Arial"/>
                <w:b/>
                <w:i/>
                <w:color w:val="000000"/>
                <w:sz w:val="22"/>
                <w:szCs w:val="22"/>
              </w:rPr>
            </w:pPr>
            <w:proofErr w:type="spellStart"/>
            <w:r>
              <w:rPr>
                <w:rFonts w:ascii="Arial" w:eastAsia="Arial" w:hAnsi="Arial" w:cs="Arial"/>
                <w:b/>
                <w:i/>
                <w:color w:val="000000"/>
                <w:sz w:val="22"/>
                <w:szCs w:val="22"/>
              </w:rPr>
              <w:t>Amnt</w:t>
            </w:r>
            <w:proofErr w:type="spellEnd"/>
            <w:r>
              <w:rPr>
                <w:rFonts w:ascii="Arial" w:eastAsia="Arial" w:hAnsi="Arial" w:cs="Arial"/>
                <w:b/>
                <w:i/>
                <w:color w:val="000000"/>
                <w:sz w:val="22"/>
                <w:szCs w:val="22"/>
              </w:rPr>
              <w:t>. (£)</w:t>
            </w:r>
          </w:p>
        </w:tc>
      </w:tr>
      <w:tr w:rsidR="00F51FE3" w14:paraId="788053FD"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1D90A94C"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Sales Revenues</w:t>
            </w:r>
          </w:p>
        </w:tc>
        <w:tc>
          <w:tcPr>
            <w:tcW w:w="2014"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51BB8081" w14:textId="77777777" w:rsidR="00F51FE3" w:rsidRDefault="00F51FE3">
            <w:pPr>
              <w:spacing w:after="0" w:line="240" w:lineRule="auto"/>
              <w:jc w:val="left"/>
              <w:rPr>
                <w:rFonts w:ascii="Arial" w:eastAsia="Arial" w:hAnsi="Arial" w:cs="Arial"/>
                <w:color w:val="000000"/>
                <w:sz w:val="22"/>
                <w:szCs w:val="22"/>
              </w:rPr>
            </w:pPr>
          </w:p>
        </w:tc>
        <w:tc>
          <w:tcPr>
            <w:tcW w:w="132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213DC209" w14:textId="77777777" w:rsidR="00F51FE3" w:rsidRDefault="00F51FE3">
            <w:pPr>
              <w:spacing w:after="0" w:line="240" w:lineRule="auto"/>
              <w:jc w:val="center"/>
              <w:rPr>
                <w:rFonts w:ascii="Arial" w:eastAsia="Arial" w:hAnsi="Arial" w:cs="Arial"/>
                <w:sz w:val="22"/>
                <w:szCs w:val="22"/>
              </w:rPr>
            </w:pPr>
          </w:p>
        </w:tc>
        <w:tc>
          <w:tcPr>
            <w:tcW w:w="130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59499FB2"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900000</w:t>
            </w:r>
          </w:p>
        </w:tc>
      </w:tr>
      <w:tr w:rsidR="00F51FE3" w14:paraId="65945EA0"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6E23196D" w14:textId="77777777" w:rsidR="00F51FE3" w:rsidRDefault="00C3249C">
            <w:pPr>
              <w:spacing w:after="0" w:line="240" w:lineRule="auto"/>
              <w:jc w:val="left"/>
              <w:rPr>
                <w:rFonts w:ascii="Arial" w:eastAsia="Arial" w:hAnsi="Arial" w:cs="Arial"/>
                <w:b/>
                <w:i/>
                <w:color w:val="000000"/>
                <w:sz w:val="22"/>
                <w:szCs w:val="22"/>
                <w:u w:val="single"/>
              </w:rPr>
            </w:pPr>
            <w:r>
              <w:rPr>
                <w:rFonts w:ascii="Arial" w:eastAsia="Arial" w:hAnsi="Arial" w:cs="Arial"/>
                <w:b/>
                <w:i/>
                <w:color w:val="000000"/>
                <w:sz w:val="22"/>
                <w:szCs w:val="22"/>
                <w:u w:val="single"/>
              </w:rPr>
              <w:t xml:space="preserve">{LESS}: Cost on Item </w:t>
            </w:r>
            <w:proofErr w:type="gramStart"/>
            <w:r>
              <w:rPr>
                <w:rFonts w:ascii="Arial" w:eastAsia="Arial" w:hAnsi="Arial" w:cs="Arial"/>
                <w:b/>
                <w:i/>
                <w:color w:val="000000"/>
                <w:sz w:val="22"/>
                <w:szCs w:val="22"/>
                <w:u w:val="single"/>
              </w:rPr>
              <w:t>Sale(</w:t>
            </w:r>
            <w:proofErr w:type="gramEnd"/>
            <w:r>
              <w:rPr>
                <w:rFonts w:ascii="Arial" w:eastAsia="Arial" w:hAnsi="Arial" w:cs="Arial"/>
                <w:b/>
                <w:i/>
                <w:color w:val="000000"/>
                <w:sz w:val="22"/>
                <w:szCs w:val="22"/>
                <w:u w:val="single"/>
              </w:rPr>
              <w:t>COGS):-</w:t>
            </w:r>
          </w:p>
        </w:tc>
        <w:tc>
          <w:tcPr>
            <w:tcW w:w="2014"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53936900" w14:textId="77777777" w:rsidR="00F51FE3" w:rsidRDefault="00F51FE3">
            <w:pPr>
              <w:spacing w:after="0" w:line="240" w:lineRule="auto"/>
              <w:jc w:val="left"/>
              <w:rPr>
                <w:rFonts w:ascii="Arial" w:eastAsia="Arial" w:hAnsi="Arial" w:cs="Arial"/>
                <w:b/>
                <w:i/>
                <w:color w:val="000000"/>
                <w:sz w:val="22"/>
                <w:szCs w:val="22"/>
                <w:u w:val="single"/>
              </w:rPr>
            </w:pPr>
          </w:p>
        </w:tc>
        <w:tc>
          <w:tcPr>
            <w:tcW w:w="132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59300F52" w14:textId="77777777" w:rsidR="00F51FE3" w:rsidRDefault="00F51FE3">
            <w:pPr>
              <w:spacing w:after="0" w:line="240" w:lineRule="auto"/>
              <w:jc w:val="center"/>
              <w:rPr>
                <w:rFonts w:ascii="Arial" w:eastAsia="Arial" w:hAnsi="Arial" w:cs="Arial"/>
                <w:sz w:val="22"/>
                <w:szCs w:val="22"/>
              </w:rPr>
            </w:pPr>
          </w:p>
        </w:tc>
        <w:tc>
          <w:tcPr>
            <w:tcW w:w="130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23C8B354" w14:textId="77777777" w:rsidR="00F51FE3" w:rsidRDefault="00F51FE3">
            <w:pPr>
              <w:spacing w:after="0" w:line="240" w:lineRule="auto"/>
              <w:jc w:val="center"/>
              <w:rPr>
                <w:rFonts w:ascii="Arial" w:eastAsia="Arial" w:hAnsi="Arial" w:cs="Arial"/>
                <w:sz w:val="22"/>
                <w:szCs w:val="22"/>
              </w:rPr>
            </w:pPr>
          </w:p>
        </w:tc>
      </w:tr>
      <w:tr w:rsidR="00F51FE3" w14:paraId="567D0920"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07FF1A69"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(Opening) Initial Inventory</w:t>
            </w:r>
          </w:p>
        </w:tc>
        <w:tc>
          <w:tcPr>
            <w:tcW w:w="2014"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60A4F267" w14:textId="77777777" w:rsidR="00F51FE3" w:rsidRDefault="00F51FE3">
            <w:pPr>
              <w:spacing w:after="0" w:line="240" w:lineRule="auto"/>
              <w:jc w:val="left"/>
              <w:rPr>
                <w:rFonts w:ascii="Arial" w:eastAsia="Arial" w:hAnsi="Arial" w:cs="Arial"/>
                <w:color w:val="000000"/>
                <w:sz w:val="22"/>
                <w:szCs w:val="22"/>
              </w:rPr>
            </w:pPr>
          </w:p>
        </w:tc>
        <w:tc>
          <w:tcPr>
            <w:tcW w:w="132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32F44577"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90000</w:t>
            </w:r>
          </w:p>
        </w:tc>
        <w:tc>
          <w:tcPr>
            <w:tcW w:w="130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6019BD38" w14:textId="77777777" w:rsidR="00F51FE3" w:rsidRDefault="00F51FE3">
            <w:pPr>
              <w:spacing w:after="0" w:line="240" w:lineRule="auto"/>
              <w:jc w:val="center"/>
              <w:rPr>
                <w:rFonts w:ascii="Arial" w:eastAsia="Arial" w:hAnsi="Arial" w:cs="Arial"/>
                <w:color w:val="000000"/>
                <w:sz w:val="22"/>
                <w:szCs w:val="22"/>
              </w:rPr>
            </w:pPr>
          </w:p>
        </w:tc>
      </w:tr>
      <w:tr w:rsidR="00F51FE3" w14:paraId="56ADC401"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15D3ED2A"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 xml:space="preserve">{ADD}: Purchases </w:t>
            </w:r>
          </w:p>
        </w:tc>
        <w:tc>
          <w:tcPr>
            <w:tcW w:w="2014"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7E3E243E" w14:textId="77777777" w:rsidR="00F51FE3" w:rsidRDefault="00F51FE3">
            <w:pPr>
              <w:spacing w:after="0" w:line="240" w:lineRule="auto"/>
              <w:jc w:val="left"/>
              <w:rPr>
                <w:rFonts w:ascii="Arial" w:eastAsia="Arial" w:hAnsi="Arial" w:cs="Arial"/>
                <w:color w:val="000000"/>
                <w:sz w:val="22"/>
                <w:szCs w:val="22"/>
              </w:rPr>
            </w:pPr>
          </w:p>
        </w:tc>
        <w:tc>
          <w:tcPr>
            <w:tcW w:w="132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3101635F"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560000</w:t>
            </w:r>
          </w:p>
        </w:tc>
        <w:tc>
          <w:tcPr>
            <w:tcW w:w="130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1D4E0F4D" w14:textId="77777777" w:rsidR="00F51FE3" w:rsidRDefault="00F51FE3">
            <w:pPr>
              <w:spacing w:after="0" w:line="240" w:lineRule="auto"/>
              <w:jc w:val="center"/>
              <w:rPr>
                <w:rFonts w:ascii="Arial" w:eastAsia="Arial" w:hAnsi="Arial" w:cs="Arial"/>
                <w:color w:val="000000"/>
                <w:sz w:val="22"/>
                <w:szCs w:val="22"/>
              </w:rPr>
            </w:pPr>
          </w:p>
        </w:tc>
      </w:tr>
      <w:tr w:rsidR="00F51FE3" w14:paraId="1B2BD9EC" w14:textId="77777777">
        <w:trPr>
          <w:trHeight w:val="300"/>
        </w:trPr>
        <w:tc>
          <w:tcPr>
            <w:tcW w:w="3656" w:type="dxa"/>
            <w:tcBorders>
              <w:top w:val="single" w:sz="4" w:space="0" w:color="A9D08E"/>
              <w:left w:val="single" w:sz="4" w:space="0" w:color="A9D08E"/>
              <w:bottom w:val="single" w:sz="4" w:space="0" w:color="000000"/>
              <w:right w:val="single" w:sz="4" w:space="0" w:color="A9D08E"/>
            </w:tcBorders>
            <w:shd w:val="clear" w:color="auto" w:fill="C6E0B4"/>
            <w:vAlign w:val="bottom"/>
          </w:tcPr>
          <w:p w14:paraId="63453BB1"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{LESS}: (Closing) Final Inventories</w:t>
            </w:r>
          </w:p>
        </w:tc>
        <w:tc>
          <w:tcPr>
            <w:tcW w:w="2014" w:type="dxa"/>
            <w:tcBorders>
              <w:top w:val="single" w:sz="4" w:space="0" w:color="A9D08E"/>
              <w:left w:val="single" w:sz="4" w:space="0" w:color="A9D08E"/>
              <w:bottom w:val="single" w:sz="4" w:space="0" w:color="000000"/>
              <w:right w:val="single" w:sz="4" w:space="0" w:color="A9D08E"/>
            </w:tcBorders>
            <w:shd w:val="clear" w:color="auto" w:fill="C6E0B4"/>
            <w:vAlign w:val="bottom"/>
          </w:tcPr>
          <w:p w14:paraId="720FF3A1"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 </w:t>
            </w:r>
          </w:p>
        </w:tc>
        <w:tc>
          <w:tcPr>
            <w:tcW w:w="1326" w:type="dxa"/>
            <w:tcBorders>
              <w:top w:val="single" w:sz="4" w:space="0" w:color="A9D08E"/>
              <w:left w:val="single" w:sz="4" w:space="0" w:color="A9D08E"/>
              <w:bottom w:val="single" w:sz="4" w:space="0" w:color="000000"/>
              <w:right w:val="single" w:sz="4" w:space="0" w:color="A9D08E"/>
            </w:tcBorders>
            <w:shd w:val="clear" w:color="auto" w:fill="C6E0B4"/>
            <w:vAlign w:val="bottom"/>
          </w:tcPr>
          <w:p w14:paraId="69024AC4"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125000</w:t>
            </w:r>
          </w:p>
        </w:tc>
        <w:tc>
          <w:tcPr>
            <w:tcW w:w="1300" w:type="dxa"/>
            <w:tcBorders>
              <w:top w:val="single" w:sz="4" w:space="0" w:color="A9D08E"/>
              <w:left w:val="single" w:sz="4" w:space="0" w:color="A9D08E"/>
              <w:bottom w:val="single" w:sz="4" w:space="0" w:color="000000"/>
              <w:right w:val="single" w:sz="4" w:space="0" w:color="A9D08E"/>
            </w:tcBorders>
            <w:shd w:val="clear" w:color="auto" w:fill="C6E0B4"/>
            <w:vAlign w:val="bottom"/>
          </w:tcPr>
          <w:p w14:paraId="17FB34F8"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525000</w:t>
            </w:r>
          </w:p>
        </w:tc>
      </w:tr>
      <w:tr w:rsidR="00F51FE3" w14:paraId="10A1258C"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7C5405AD" w14:textId="77777777" w:rsidR="00F51FE3" w:rsidRDefault="00C3249C">
            <w:pPr>
              <w:spacing w:after="0" w:line="240" w:lineRule="auto"/>
              <w:jc w:val="left"/>
              <w:rPr>
                <w:rFonts w:ascii="Arial" w:eastAsia="Arial" w:hAnsi="Arial" w:cs="Arial"/>
                <w:b/>
                <w:color w:val="000000"/>
                <w:sz w:val="22"/>
                <w:szCs w:val="22"/>
              </w:rPr>
            </w:pPr>
            <w:r>
              <w:rPr>
                <w:rFonts w:ascii="Arial" w:eastAsia="Arial" w:hAnsi="Arial" w:cs="Arial"/>
                <w:b/>
                <w:color w:val="000000"/>
                <w:sz w:val="22"/>
                <w:szCs w:val="22"/>
              </w:rPr>
              <w:t>GROSS overall Profits/(Losses)</w:t>
            </w:r>
          </w:p>
        </w:tc>
        <w:tc>
          <w:tcPr>
            <w:tcW w:w="2014"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3E6AC0F9" w14:textId="77777777" w:rsidR="00F51FE3" w:rsidRDefault="00F51FE3">
            <w:pPr>
              <w:spacing w:after="0" w:line="240" w:lineRule="auto"/>
              <w:jc w:val="left"/>
              <w:rPr>
                <w:rFonts w:ascii="Arial" w:eastAsia="Arial" w:hAnsi="Arial" w:cs="Arial"/>
                <w:b/>
                <w:color w:val="000000"/>
                <w:sz w:val="22"/>
                <w:szCs w:val="22"/>
              </w:rPr>
            </w:pPr>
          </w:p>
        </w:tc>
        <w:tc>
          <w:tcPr>
            <w:tcW w:w="132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2079E581" w14:textId="77777777" w:rsidR="00F51FE3" w:rsidRDefault="00F51FE3">
            <w:pPr>
              <w:spacing w:after="0" w:line="240" w:lineRule="auto"/>
              <w:jc w:val="center"/>
              <w:rPr>
                <w:rFonts w:ascii="Arial" w:eastAsia="Arial" w:hAnsi="Arial" w:cs="Arial"/>
                <w:sz w:val="22"/>
                <w:szCs w:val="22"/>
              </w:rPr>
            </w:pPr>
          </w:p>
        </w:tc>
        <w:tc>
          <w:tcPr>
            <w:tcW w:w="130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7F663F8E" w14:textId="77777777" w:rsidR="00F51FE3" w:rsidRDefault="00C3249C">
            <w:pPr>
              <w:spacing w:after="0" w:line="240" w:lineRule="auto"/>
              <w:jc w:val="center"/>
              <w:rPr>
                <w:rFonts w:ascii="Arial" w:eastAsia="Arial" w:hAnsi="Arial" w:cs="Arial"/>
                <w:b/>
                <w:color w:val="000000"/>
                <w:sz w:val="22"/>
                <w:szCs w:val="22"/>
              </w:rPr>
            </w:pPr>
            <w:r>
              <w:rPr>
                <w:rFonts w:ascii="Arial" w:eastAsia="Arial" w:hAnsi="Arial" w:cs="Arial"/>
                <w:b/>
                <w:color w:val="000000"/>
                <w:sz w:val="22"/>
                <w:szCs w:val="22"/>
              </w:rPr>
              <w:t>375000</w:t>
            </w:r>
          </w:p>
        </w:tc>
      </w:tr>
      <w:tr w:rsidR="00F51FE3" w14:paraId="37F375EE"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112A2230" w14:textId="77777777" w:rsidR="00F51FE3" w:rsidRDefault="00C3249C">
            <w:pPr>
              <w:spacing w:after="0" w:line="240" w:lineRule="auto"/>
              <w:jc w:val="left"/>
              <w:rPr>
                <w:rFonts w:ascii="Arial" w:eastAsia="Arial" w:hAnsi="Arial" w:cs="Arial"/>
                <w:b/>
                <w:i/>
                <w:color w:val="000000"/>
                <w:sz w:val="22"/>
                <w:szCs w:val="22"/>
                <w:u w:val="single"/>
              </w:rPr>
            </w:pPr>
            <w:r>
              <w:rPr>
                <w:rFonts w:ascii="Arial" w:eastAsia="Arial" w:hAnsi="Arial" w:cs="Arial"/>
                <w:b/>
                <w:i/>
                <w:color w:val="000000"/>
                <w:sz w:val="22"/>
                <w:szCs w:val="22"/>
                <w:u w:val="single"/>
              </w:rPr>
              <w:t xml:space="preserve">{LESS}: </w:t>
            </w:r>
            <w:proofErr w:type="gramStart"/>
            <w:r>
              <w:rPr>
                <w:rFonts w:ascii="Arial" w:eastAsia="Arial" w:hAnsi="Arial" w:cs="Arial"/>
                <w:b/>
                <w:i/>
                <w:color w:val="000000"/>
                <w:sz w:val="22"/>
                <w:szCs w:val="22"/>
                <w:u w:val="single"/>
              </w:rPr>
              <w:t>Expense:-</w:t>
            </w:r>
            <w:proofErr w:type="gramEnd"/>
          </w:p>
        </w:tc>
        <w:tc>
          <w:tcPr>
            <w:tcW w:w="2014"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186E3301" w14:textId="77777777" w:rsidR="00F51FE3" w:rsidRDefault="00F51FE3">
            <w:pPr>
              <w:spacing w:after="0" w:line="240" w:lineRule="auto"/>
              <w:jc w:val="left"/>
              <w:rPr>
                <w:rFonts w:ascii="Arial" w:eastAsia="Arial" w:hAnsi="Arial" w:cs="Arial"/>
                <w:b/>
                <w:i/>
                <w:color w:val="000000"/>
                <w:sz w:val="22"/>
                <w:szCs w:val="22"/>
                <w:u w:val="single"/>
              </w:rPr>
            </w:pPr>
          </w:p>
        </w:tc>
        <w:tc>
          <w:tcPr>
            <w:tcW w:w="132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56A75D3E" w14:textId="77777777" w:rsidR="00F51FE3" w:rsidRDefault="00F51FE3">
            <w:pPr>
              <w:spacing w:after="0" w:line="240" w:lineRule="auto"/>
              <w:jc w:val="center"/>
              <w:rPr>
                <w:rFonts w:ascii="Arial" w:eastAsia="Arial" w:hAnsi="Arial" w:cs="Arial"/>
                <w:sz w:val="22"/>
                <w:szCs w:val="22"/>
              </w:rPr>
            </w:pPr>
          </w:p>
        </w:tc>
        <w:tc>
          <w:tcPr>
            <w:tcW w:w="130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6DB0EFFC" w14:textId="77777777" w:rsidR="00F51FE3" w:rsidRDefault="00F51FE3">
            <w:pPr>
              <w:spacing w:after="0" w:line="240" w:lineRule="auto"/>
              <w:jc w:val="center"/>
              <w:rPr>
                <w:rFonts w:ascii="Arial" w:eastAsia="Arial" w:hAnsi="Arial" w:cs="Arial"/>
                <w:sz w:val="22"/>
                <w:szCs w:val="22"/>
              </w:rPr>
            </w:pPr>
          </w:p>
        </w:tc>
      </w:tr>
      <w:tr w:rsidR="00F51FE3" w14:paraId="6ABDE31A"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12000E25"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Legal Expenses</w:t>
            </w:r>
          </w:p>
        </w:tc>
        <w:tc>
          <w:tcPr>
            <w:tcW w:w="2014"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272B5D63" w14:textId="77777777" w:rsidR="00F51FE3" w:rsidRDefault="00F51FE3">
            <w:pPr>
              <w:spacing w:after="0" w:line="240" w:lineRule="auto"/>
              <w:jc w:val="left"/>
              <w:rPr>
                <w:rFonts w:ascii="Arial" w:eastAsia="Arial" w:hAnsi="Arial" w:cs="Arial"/>
                <w:color w:val="000000"/>
                <w:sz w:val="22"/>
                <w:szCs w:val="22"/>
              </w:rPr>
            </w:pPr>
          </w:p>
        </w:tc>
        <w:tc>
          <w:tcPr>
            <w:tcW w:w="132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45AA5E6E"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7000</w:t>
            </w:r>
          </w:p>
        </w:tc>
        <w:tc>
          <w:tcPr>
            <w:tcW w:w="130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33F57608" w14:textId="77777777" w:rsidR="00F51FE3" w:rsidRDefault="00F51FE3">
            <w:pPr>
              <w:spacing w:after="0" w:line="240" w:lineRule="auto"/>
              <w:jc w:val="center"/>
              <w:rPr>
                <w:rFonts w:ascii="Arial" w:eastAsia="Arial" w:hAnsi="Arial" w:cs="Arial"/>
                <w:color w:val="000000"/>
                <w:sz w:val="22"/>
                <w:szCs w:val="22"/>
              </w:rPr>
            </w:pPr>
          </w:p>
        </w:tc>
      </w:tr>
      <w:tr w:rsidR="00F51FE3" w14:paraId="5BA5E35F"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11BE4041"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Heating and Lighting</w:t>
            </w:r>
          </w:p>
        </w:tc>
        <w:tc>
          <w:tcPr>
            <w:tcW w:w="2014"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4AB3AEFE" w14:textId="77777777" w:rsidR="00F51FE3" w:rsidRDefault="00F51FE3">
            <w:pPr>
              <w:spacing w:after="0" w:line="240" w:lineRule="auto"/>
              <w:jc w:val="left"/>
              <w:rPr>
                <w:rFonts w:ascii="Arial" w:eastAsia="Arial" w:hAnsi="Arial" w:cs="Arial"/>
                <w:color w:val="000000"/>
                <w:sz w:val="22"/>
                <w:szCs w:val="22"/>
              </w:rPr>
            </w:pPr>
          </w:p>
        </w:tc>
        <w:tc>
          <w:tcPr>
            <w:tcW w:w="132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6A4D14A5"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10000</w:t>
            </w:r>
          </w:p>
        </w:tc>
        <w:tc>
          <w:tcPr>
            <w:tcW w:w="130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2A1DFDFF" w14:textId="77777777" w:rsidR="00F51FE3" w:rsidRDefault="00F51FE3">
            <w:pPr>
              <w:spacing w:after="0" w:line="240" w:lineRule="auto"/>
              <w:jc w:val="center"/>
              <w:rPr>
                <w:rFonts w:ascii="Arial" w:eastAsia="Arial" w:hAnsi="Arial" w:cs="Arial"/>
                <w:color w:val="000000"/>
                <w:sz w:val="22"/>
                <w:szCs w:val="22"/>
              </w:rPr>
            </w:pPr>
          </w:p>
        </w:tc>
      </w:tr>
      <w:tr w:rsidR="00F51FE3" w14:paraId="364E698D"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06109526"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Rent and Rates</w:t>
            </w:r>
          </w:p>
        </w:tc>
        <w:tc>
          <w:tcPr>
            <w:tcW w:w="2014"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453679EB"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24780</w:t>
            </w:r>
          </w:p>
        </w:tc>
        <w:tc>
          <w:tcPr>
            <w:tcW w:w="132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55EFFF2A" w14:textId="77777777" w:rsidR="00F51FE3" w:rsidRDefault="00F51FE3">
            <w:pPr>
              <w:spacing w:after="0" w:line="240" w:lineRule="auto"/>
              <w:jc w:val="center"/>
              <w:rPr>
                <w:rFonts w:ascii="Arial" w:eastAsia="Arial" w:hAnsi="Arial" w:cs="Arial"/>
                <w:color w:val="000000"/>
                <w:sz w:val="22"/>
                <w:szCs w:val="22"/>
              </w:rPr>
            </w:pPr>
          </w:p>
        </w:tc>
        <w:tc>
          <w:tcPr>
            <w:tcW w:w="130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731CE371" w14:textId="77777777" w:rsidR="00F51FE3" w:rsidRDefault="00F51FE3">
            <w:pPr>
              <w:spacing w:after="0" w:line="240" w:lineRule="auto"/>
              <w:jc w:val="center"/>
              <w:rPr>
                <w:rFonts w:ascii="Arial" w:eastAsia="Arial" w:hAnsi="Arial" w:cs="Arial"/>
                <w:sz w:val="22"/>
                <w:szCs w:val="22"/>
              </w:rPr>
            </w:pPr>
          </w:p>
        </w:tc>
      </w:tr>
      <w:tr w:rsidR="00F51FE3" w14:paraId="0CF7865E"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793417AB" w14:textId="77777777" w:rsidR="00F51FE3" w:rsidRDefault="00C3249C">
            <w:pPr>
              <w:spacing w:after="0" w:line="240" w:lineRule="auto"/>
              <w:jc w:val="left"/>
              <w:rPr>
                <w:rFonts w:ascii="Arial" w:eastAsia="Arial" w:hAnsi="Arial" w:cs="Arial"/>
                <w:i/>
                <w:color w:val="000000"/>
                <w:sz w:val="22"/>
                <w:szCs w:val="22"/>
              </w:rPr>
            </w:pPr>
            <w:r>
              <w:rPr>
                <w:rFonts w:ascii="Arial" w:eastAsia="Arial" w:hAnsi="Arial" w:cs="Arial"/>
                <w:i/>
                <w:color w:val="000000"/>
                <w:sz w:val="22"/>
                <w:szCs w:val="22"/>
              </w:rPr>
              <w:t>(+): Outstanding rates</w:t>
            </w:r>
          </w:p>
        </w:tc>
        <w:tc>
          <w:tcPr>
            <w:tcW w:w="2014" w:type="dxa"/>
            <w:tcBorders>
              <w:top w:val="single" w:sz="4" w:space="0" w:color="A9D08E"/>
              <w:left w:val="single" w:sz="4" w:space="0" w:color="A9D08E"/>
              <w:bottom w:val="single" w:sz="4" w:space="0" w:color="000000"/>
              <w:right w:val="single" w:sz="4" w:space="0" w:color="A9D08E"/>
            </w:tcBorders>
            <w:shd w:val="clear" w:color="auto" w:fill="C6E0B4"/>
            <w:vAlign w:val="bottom"/>
          </w:tcPr>
          <w:p w14:paraId="5E7CE5F8"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3220</w:t>
            </w:r>
          </w:p>
        </w:tc>
        <w:tc>
          <w:tcPr>
            <w:tcW w:w="132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788F35D4"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28000</w:t>
            </w:r>
          </w:p>
        </w:tc>
        <w:tc>
          <w:tcPr>
            <w:tcW w:w="130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291104F2" w14:textId="77777777" w:rsidR="00F51FE3" w:rsidRDefault="00F51FE3">
            <w:pPr>
              <w:spacing w:after="0" w:line="240" w:lineRule="auto"/>
              <w:jc w:val="center"/>
              <w:rPr>
                <w:rFonts w:ascii="Arial" w:eastAsia="Arial" w:hAnsi="Arial" w:cs="Arial"/>
                <w:color w:val="000000"/>
                <w:sz w:val="22"/>
                <w:szCs w:val="22"/>
              </w:rPr>
            </w:pPr>
          </w:p>
        </w:tc>
      </w:tr>
      <w:tr w:rsidR="00F51FE3" w14:paraId="430DE6E7"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0EEA7E72"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Insurance</w:t>
            </w:r>
          </w:p>
        </w:tc>
        <w:tc>
          <w:tcPr>
            <w:tcW w:w="2014"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55019B07"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17520</w:t>
            </w:r>
          </w:p>
        </w:tc>
        <w:tc>
          <w:tcPr>
            <w:tcW w:w="132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39A53D8D" w14:textId="77777777" w:rsidR="00F51FE3" w:rsidRDefault="00F51FE3">
            <w:pPr>
              <w:spacing w:after="0" w:line="240" w:lineRule="auto"/>
              <w:jc w:val="center"/>
              <w:rPr>
                <w:rFonts w:ascii="Arial" w:eastAsia="Arial" w:hAnsi="Arial" w:cs="Arial"/>
                <w:color w:val="000000"/>
                <w:sz w:val="22"/>
                <w:szCs w:val="22"/>
              </w:rPr>
            </w:pPr>
          </w:p>
        </w:tc>
        <w:tc>
          <w:tcPr>
            <w:tcW w:w="130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1337142E" w14:textId="77777777" w:rsidR="00F51FE3" w:rsidRDefault="00F51FE3">
            <w:pPr>
              <w:spacing w:after="0" w:line="240" w:lineRule="auto"/>
              <w:jc w:val="center"/>
              <w:rPr>
                <w:rFonts w:ascii="Arial" w:eastAsia="Arial" w:hAnsi="Arial" w:cs="Arial"/>
                <w:sz w:val="22"/>
                <w:szCs w:val="22"/>
              </w:rPr>
            </w:pPr>
          </w:p>
        </w:tc>
      </w:tr>
      <w:tr w:rsidR="00F51FE3" w14:paraId="68A36D10"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075FFC9F" w14:textId="77777777" w:rsidR="00F51FE3" w:rsidRDefault="00C3249C">
            <w:pPr>
              <w:spacing w:after="0" w:line="240" w:lineRule="auto"/>
              <w:jc w:val="left"/>
              <w:rPr>
                <w:rFonts w:ascii="Arial" w:eastAsia="Arial" w:hAnsi="Arial" w:cs="Arial"/>
                <w:i/>
                <w:color w:val="000000"/>
                <w:sz w:val="22"/>
                <w:szCs w:val="22"/>
              </w:rPr>
            </w:pPr>
            <w:r>
              <w:rPr>
                <w:rFonts w:ascii="Arial" w:eastAsia="Arial" w:hAnsi="Arial" w:cs="Arial"/>
                <w:i/>
                <w:color w:val="000000"/>
                <w:sz w:val="22"/>
                <w:szCs w:val="22"/>
              </w:rPr>
              <w:t>(-): Prepaid Insurance</w:t>
            </w:r>
          </w:p>
        </w:tc>
        <w:tc>
          <w:tcPr>
            <w:tcW w:w="2014" w:type="dxa"/>
            <w:tcBorders>
              <w:top w:val="single" w:sz="4" w:space="0" w:color="A9D08E"/>
              <w:left w:val="single" w:sz="4" w:space="0" w:color="A9D08E"/>
              <w:bottom w:val="single" w:sz="4" w:space="0" w:color="000000"/>
              <w:right w:val="single" w:sz="4" w:space="0" w:color="A9D08E"/>
            </w:tcBorders>
            <w:shd w:val="clear" w:color="auto" w:fill="C6E0B4"/>
            <w:vAlign w:val="bottom"/>
          </w:tcPr>
          <w:p w14:paraId="086B04EE"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16000</w:t>
            </w:r>
          </w:p>
        </w:tc>
        <w:tc>
          <w:tcPr>
            <w:tcW w:w="132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0CA8D589"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1520</w:t>
            </w:r>
          </w:p>
        </w:tc>
        <w:tc>
          <w:tcPr>
            <w:tcW w:w="130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4414AFA7" w14:textId="77777777" w:rsidR="00F51FE3" w:rsidRDefault="00F51FE3">
            <w:pPr>
              <w:spacing w:after="0" w:line="240" w:lineRule="auto"/>
              <w:jc w:val="center"/>
              <w:rPr>
                <w:rFonts w:ascii="Arial" w:eastAsia="Arial" w:hAnsi="Arial" w:cs="Arial"/>
                <w:color w:val="000000"/>
                <w:sz w:val="22"/>
                <w:szCs w:val="22"/>
              </w:rPr>
            </w:pPr>
          </w:p>
        </w:tc>
      </w:tr>
      <w:tr w:rsidR="00F51FE3" w14:paraId="7782E266"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609BDF05"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Postage and Stationery</w:t>
            </w:r>
          </w:p>
        </w:tc>
        <w:tc>
          <w:tcPr>
            <w:tcW w:w="2014"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56C7A559" w14:textId="77777777" w:rsidR="00F51FE3" w:rsidRDefault="00F51FE3">
            <w:pPr>
              <w:spacing w:after="0" w:line="240" w:lineRule="auto"/>
              <w:jc w:val="left"/>
              <w:rPr>
                <w:rFonts w:ascii="Arial" w:eastAsia="Arial" w:hAnsi="Arial" w:cs="Arial"/>
                <w:color w:val="000000"/>
                <w:sz w:val="22"/>
                <w:szCs w:val="22"/>
              </w:rPr>
            </w:pPr>
          </w:p>
        </w:tc>
        <w:tc>
          <w:tcPr>
            <w:tcW w:w="132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441F1BB4"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6000</w:t>
            </w:r>
          </w:p>
        </w:tc>
        <w:tc>
          <w:tcPr>
            <w:tcW w:w="130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78769018" w14:textId="77777777" w:rsidR="00F51FE3" w:rsidRDefault="00F51FE3">
            <w:pPr>
              <w:spacing w:after="0" w:line="240" w:lineRule="auto"/>
              <w:jc w:val="center"/>
              <w:rPr>
                <w:rFonts w:ascii="Arial" w:eastAsia="Arial" w:hAnsi="Arial" w:cs="Arial"/>
                <w:color w:val="000000"/>
                <w:sz w:val="22"/>
                <w:szCs w:val="22"/>
              </w:rPr>
            </w:pPr>
          </w:p>
        </w:tc>
      </w:tr>
      <w:tr w:rsidR="00F51FE3" w14:paraId="37D4E4B9"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733462A8"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Travelling expenses</w:t>
            </w:r>
          </w:p>
        </w:tc>
        <w:tc>
          <w:tcPr>
            <w:tcW w:w="2014"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3BB9ADC2" w14:textId="77777777" w:rsidR="00F51FE3" w:rsidRDefault="00F51FE3">
            <w:pPr>
              <w:spacing w:after="0" w:line="240" w:lineRule="auto"/>
              <w:jc w:val="left"/>
              <w:rPr>
                <w:rFonts w:ascii="Arial" w:eastAsia="Arial" w:hAnsi="Arial" w:cs="Arial"/>
                <w:color w:val="000000"/>
                <w:sz w:val="22"/>
                <w:szCs w:val="22"/>
              </w:rPr>
            </w:pPr>
          </w:p>
        </w:tc>
        <w:tc>
          <w:tcPr>
            <w:tcW w:w="132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5D4BC683"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5000</w:t>
            </w:r>
          </w:p>
        </w:tc>
        <w:tc>
          <w:tcPr>
            <w:tcW w:w="130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3F0B8407" w14:textId="77777777" w:rsidR="00F51FE3" w:rsidRDefault="00F51FE3">
            <w:pPr>
              <w:spacing w:after="0" w:line="240" w:lineRule="auto"/>
              <w:jc w:val="center"/>
              <w:rPr>
                <w:rFonts w:ascii="Arial" w:eastAsia="Arial" w:hAnsi="Arial" w:cs="Arial"/>
                <w:color w:val="000000"/>
                <w:sz w:val="22"/>
                <w:szCs w:val="22"/>
              </w:rPr>
            </w:pPr>
          </w:p>
        </w:tc>
      </w:tr>
      <w:tr w:rsidR="00F51FE3" w14:paraId="23CC94B6"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7D57616C"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Motor Running Expenses</w:t>
            </w:r>
          </w:p>
        </w:tc>
        <w:tc>
          <w:tcPr>
            <w:tcW w:w="2014"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1C4172BC" w14:textId="77777777" w:rsidR="00F51FE3" w:rsidRDefault="00F51FE3">
            <w:pPr>
              <w:spacing w:after="0" w:line="240" w:lineRule="auto"/>
              <w:jc w:val="left"/>
              <w:rPr>
                <w:rFonts w:ascii="Arial" w:eastAsia="Arial" w:hAnsi="Arial" w:cs="Arial"/>
                <w:color w:val="000000"/>
                <w:sz w:val="22"/>
                <w:szCs w:val="22"/>
              </w:rPr>
            </w:pPr>
          </w:p>
        </w:tc>
        <w:tc>
          <w:tcPr>
            <w:tcW w:w="132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15DB4B93"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8700</w:t>
            </w:r>
          </w:p>
        </w:tc>
        <w:tc>
          <w:tcPr>
            <w:tcW w:w="130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18EEFF80" w14:textId="77777777" w:rsidR="00F51FE3" w:rsidRDefault="00F51FE3">
            <w:pPr>
              <w:spacing w:after="0" w:line="240" w:lineRule="auto"/>
              <w:jc w:val="center"/>
              <w:rPr>
                <w:rFonts w:ascii="Arial" w:eastAsia="Arial" w:hAnsi="Arial" w:cs="Arial"/>
                <w:color w:val="000000"/>
                <w:sz w:val="22"/>
                <w:szCs w:val="22"/>
              </w:rPr>
            </w:pPr>
          </w:p>
        </w:tc>
      </w:tr>
      <w:tr w:rsidR="00F51FE3" w14:paraId="6172D490"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7A71E155"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Salaries and Wages</w:t>
            </w:r>
          </w:p>
        </w:tc>
        <w:tc>
          <w:tcPr>
            <w:tcW w:w="2014"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7DDE6433" w14:textId="77777777" w:rsidR="00F51FE3" w:rsidRDefault="00F51FE3">
            <w:pPr>
              <w:spacing w:after="0" w:line="240" w:lineRule="auto"/>
              <w:jc w:val="left"/>
              <w:rPr>
                <w:rFonts w:ascii="Arial" w:eastAsia="Arial" w:hAnsi="Arial" w:cs="Arial"/>
                <w:color w:val="000000"/>
                <w:sz w:val="22"/>
                <w:szCs w:val="22"/>
              </w:rPr>
            </w:pPr>
          </w:p>
        </w:tc>
        <w:tc>
          <w:tcPr>
            <w:tcW w:w="132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57B6EF23"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150000</w:t>
            </w:r>
          </w:p>
        </w:tc>
        <w:tc>
          <w:tcPr>
            <w:tcW w:w="130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2001003D" w14:textId="77777777" w:rsidR="00F51FE3" w:rsidRDefault="00F51FE3">
            <w:pPr>
              <w:spacing w:after="0" w:line="240" w:lineRule="auto"/>
              <w:jc w:val="center"/>
              <w:rPr>
                <w:rFonts w:ascii="Arial" w:eastAsia="Arial" w:hAnsi="Arial" w:cs="Arial"/>
                <w:color w:val="000000"/>
                <w:sz w:val="22"/>
                <w:szCs w:val="22"/>
              </w:rPr>
            </w:pPr>
          </w:p>
        </w:tc>
      </w:tr>
      <w:tr w:rsidR="00F51FE3" w14:paraId="467293BE"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0D517F31"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Bad Debts</w:t>
            </w:r>
          </w:p>
        </w:tc>
        <w:tc>
          <w:tcPr>
            <w:tcW w:w="2014"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0A893D57" w14:textId="77777777" w:rsidR="00F51FE3" w:rsidRDefault="00F51FE3">
            <w:pPr>
              <w:spacing w:after="0" w:line="240" w:lineRule="auto"/>
              <w:jc w:val="left"/>
              <w:rPr>
                <w:rFonts w:ascii="Arial" w:eastAsia="Arial" w:hAnsi="Arial" w:cs="Arial"/>
                <w:color w:val="000000"/>
                <w:sz w:val="22"/>
                <w:szCs w:val="22"/>
              </w:rPr>
            </w:pPr>
          </w:p>
        </w:tc>
        <w:tc>
          <w:tcPr>
            <w:tcW w:w="132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4E02F178"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4000</w:t>
            </w:r>
          </w:p>
        </w:tc>
        <w:tc>
          <w:tcPr>
            <w:tcW w:w="130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61F671A4" w14:textId="77777777" w:rsidR="00F51FE3" w:rsidRDefault="00F51FE3">
            <w:pPr>
              <w:spacing w:after="0" w:line="240" w:lineRule="auto"/>
              <w:jc w:val="center"/>
              <w:rPr>
                <w:rFonts w:ascii="Arial" w:eastAsia="Arial" w:hAnsi="Arial" w:cs="Arial"/>
                <w:color w:val="000000"/>
                <w:sz w:val="22"/>
                <w:szCs w:val="22"/>
              </w:rPr>
            </w:pPr>
          </w:p>
        </w:tc>
      </w:tr>
      <w:tr w:rsidR="00F51FE3" w14:paraId="1DFC3484"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349AC0D5"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Provision for Bad Debts (Adjusted)</w:t>
            </w:r>
          </w:p>
        </w:tc>
        <w:tc>
          <w:tcPr>
            <w:tcW w:w="2014"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2FE478EE" w14:textId="77777777" w:rsidR="00F51FE3" w:rsidRDefault="00F51FE3">
            <w:pPr>
              <w:spacing w:after="0" w:line="240" w:lineRule="auto"/>
              <w:jc w:val="left"/>
              <w:rPr>
                <w:rFonts w:ascii="Arial" w:eastAsia="Arial" w:hAnsi="Arial" w:cs="Arial"/>
                <w:color w:val="000000"/>
                <w:sz w:val="22"/>
                <w:szCs w:val="22"/>
              </w:rPr>
            </w:pPr>
          </w:p>
        </w:tc>
        <w:tc>
          <w:tcPr>
            <w:tcW w:w="132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6B001C39"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4000</w:t>
            </w:r>
          </w:p>
        </w:tc>
        <w:tc>
          <w:tcPr>
            <w:tcW w:w="130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7E47A7C5" w14:textId="77777777" w:rsidR="00F51FE3" w:rsidRDefault="00F51FE3">
            <w:pPr>
              <w:spacing w:after="0" w:line="240" w:lineRule="auto"/>
              <w:jc w:val="center"/>
              <w:rPr>
                <w:rFonts w:ascii="Arial" w:eastAsia="Arial" w:hAnsi="Arial" w:cs="Arial"/>
                <w:color w:val="000000"/>
                <w:sz w:val="22"/>
                <w:szCs w:val="22"/>
              </w:rPr>
            </w:pPr>
          </w:p>
        </w:tc>
      </w:tr>
      <w:tr w:rsidR="00F51FE3" w14:paraId="2925B03A"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6F7780D8"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Finance Expenses</w:t>
            </w:r>
          </w:p>
        </w:tc>
        <w:tc>
          <w:tcPr>
            <w:tcW w:w="2014"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5696D6F4"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16000</w:t>
            </w:r>
          </w:p>
        </w:tc>
        <w:tc>
          <w:tcPr>
            <w:tcW w:w="132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73C12B79" w14:textId="77777777" w:rsidR="00F51FE3" w:rsidRDefault="00F51FE3">
            <w:pPr>
              <w:spacing w:after="0" w:line="240" w:lineRule="auto"/>
              <w:jc w:val="center"/>
              <w:rPr>
                <w:rFonts w:ascii="Arial" w:eastAsia="Arial" w:hAnsi="Arial" w:cs="Arial"/>
                <w:color w:val="000000"/>
                <w:sz w:val="22"/>
                <w:szCs w:val="22"/>
              </w:rPr>
            </w:pPr>
          </w:p>
        </w:tc>
        <w:tc>
          <w:tcPr>
            <w:tcW w:w="130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54ADC32E" w14:textId="77777777" w:rsidR="00F51FE3" w:rsidRDefault="00F51FE3">
            <w:pPr>
              <w:spacing w:after="0" w:line="240" w:lineRule="auto"/>
              <w:jc w:val="center"/>
              <w:rPr>
                <w:rFonts w:ascii="Arial" w:eastAsia="Arial" w:hAnsi="Arial" w:cs="Arial"/>
                <w:sz w:val="22"/>
                <w:szCs w:val="22"/>
              </w:rPr>
            </w:pPr>
          </w:p>
        </w:tc>
      </w:tr>
      <w:tr w:rsidR="00F51FE3" w14:paraId="3005FF4F"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25E665DB"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 Finance Income</w:t>
            </w:r>
          </w:p>
        </w:tc>
        <w:tc>
          <w:tcPr>
            <w:tcW w:w="2014" w:type="dxa"/>
            <w:tcBorders>
              <w:top w:val="single" w:sz="4" w:space="0" w:color="A9D08E"/>
              <w:left w:val="single" w:sz="4" w:space="0" w:color="A9D08E"/>
              <w:bottom w:val="single" w:sz="4" w:space="0" w:color="000000"/>
              <w:right w:val="single" w:sz="4" w:space="0" w:color="A9D08E"/>
            </w:tcBorders>
            <w:shd w:val="clear" w:color="auto" w:fill="C6E0B4"/>
            <w:vAlign w:val="bottom"/>
          </w:tcPr>
          <w:p w14:paraId="12DE52A9"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4000</w:t>
            </w:r>
          </w:p>
        </w:tc>
        <w:tc>
          <w:tcPr>
            <w:tcW w:w="1326"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7615D789"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12000</w:t>
            </w:r>
          </w:p>
        </w:tc>
        <w:tc>
          <w:tcPr>
            <w:tcW w:w="130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3EFAA12D" w14:textId="77777777" w:rsidR="00F51FE3" w:rsidRDefault="00F51FE3">
            <w:pPr>
              <w:spacing w:after="0" w:line="240" w:lineRule="auto"/>
              <w:jc w:val="center"/>
              <w:rPr>
                <w:rFonts w:ascii="Arial" w:eastAsia="Arial" w:hAnsi="Arial" w:cs="Arial"/>
                <w:color w:val="000000"/>
                <w:sz w:val="22"/>
                <w:szCs w:val="22"/>
              </w:rPr>
            </w:pPr>
          </w:p>
        </w:tc>
      </w:tr>
      <w:tr w:rsidR="00F51FE3" w14:paraId="3AD1CB99" w14:textId="77777777">
        <w:trPr>
          <w:trHeight w:val="300"/>
        </w:trPr>
        <w:tc>
          <w:tcPr>
            <w:tcW w:w="365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712049DF"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Taxation</w:t>
            </w:r>
          </w:p>
        </w:tc>
        <w:tc>
          <w:tcPr>
            <w:tcW w:w="2014"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7EBED77C" w14:textId="77777777" w:rsidR="00F51FE3" w:rsidRDefault="00F51FE3">
            <w:pPr>
              <w:spacing w:after="0" w:line="240" w:lineRule="auto"/>
              <w:jc w:val="left"/>
              <w:rPr>
                <w:rFonts w:ascii="Arial" w:eastAsia="Arial" w:hAnsi="Arial" w:cs="Arial"/>
                <w:color w:val="000000"/>
                <w:sz w:val="22"/>
                <w:szCs w:val="22"/>
              </w:rPr>
            </w:pPr>
          </w:p>
        </w:tc>
        <w:tc>
          <w:tcPr>
            <w:tcW w:w="1326"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7A5DAA67"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12900</w:t>
            </w:r>
          </w:p>
        </w:tc>
        <w:tc>
          <w:tcPr>
            <w:tcW w:w="130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765F2315"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249120</w:t>
            </w:r>
          </w:p>
        </w:tc>
      </w:tr>
      <w:tr w:rsidR="00F51FE3" w14:paraId="18588D16" w14:textId="77777777">
        <w:trPr>
          <w:trHeight w:val="315"/>
        </w:trPr>
        <w:tc>
          <w:tcPr>
            <w:tcW w:w="3656" w:type="dxa"/>
            <w:tcBorders>
              <w:top w:val="single" w:sz="4" w:space="0" w:color="4472C4"/>
              <w:left w:val="single" w:sz="4" w:space="0" w:color="A9D08E"/>
              <w:bottom w:val="single" w:sz="6" w:space="0" w:color="4472C4"/>
              <w:right w:val="single" w:sz="4" w:space="0" w:color="A9D08E"/>
            </w:tcBorders>
            <w:shd w:val="clear" w:color="auto" w:fill="C6E0B4"/>
            <w:vAlign w:val="bottom"/>
          </w:tcPr>
          <w:p w14:paraId="1D7C86E0" w14:textId="77777777" w:rsidR="00F51FE3" w:rsidRDefault="00C3249C">
            <w:pPr>
              <w:spacing w:after="0" w:line="240" w:lineRule="auto"/>
              <w:jc w:val="left"/>
              <w:rPr>
                <w:rFonts w:ascii="Arial" w:eastAsia="Arial" w:hAnsi="Arial" w:cs="Arial"/>
                <w:b/>
                <w:i/>
                <w:color w:val="000000"/>
                <w:sz w:val="22"/>
                <w:szCs w:val="22"/>
              </w:rPr>
            </w:pPr>
            <w:r>
              <w:rPr>
                <w:rFonts w:ascii="Arial" w:eastAsia="Arial" w:hAnsi="Arial" w:cs="Arial"/>
                <w:b/>
                <w:i/>
                <w:color w:val="000000"/>
                <w:sz w:val="22"/>
                <w:szCs w:val="22"/>
              </w:rPr>
              <w:t>NET overall Profits/(Losses)</w:t>
            </w:r>
          </w:p>
        </w:tc>
        <w:tc>
          <w:tcPr>
            <w:tcW w:w="2014" w:type="dxa"/>
            <w:tcBorders>
              <w:top w:val="single" w:sz="4" w:space="0" w:color="4472C4"/>
              <w:left w:val="single" w:sz="4" w:space="0" w:color="A9D08E"/>
              <w:bottom w:val="single" w:sz="6" w:space="0" w:color="4472C4"/>
              <w:right w:val="single" w:sz="4" w:space="0" w:color="A9D08E"/>
            </w:tcBorders>
            <w:shd w:val="clear" w:color="auto" w:fill="C6E0B4"/>
            <w:vAlign w:val="bottom"/>
          </w:tcPr>
          <w:p w14:paraId="4D4EEE21" w14:textId="77777777" w:rsidR="00F51FE3" w:rsidRDefault="00C3249C">
            <w:pPr>
              <w:spacing w:after="0" w:line="240" w:lineRule="auto"/>
              <w:jc w:val="center"/>
              <w:rPr>
                <w:rFonts w:ascii="Arial" w:eastAsia="Arial" w:hAnsi="Arial" w:cs="Arial"/>
                <w:b/>
                <w:i/>
                <w:color w:val="000000"/>
                <w:sz w:val="22"/>
                <w:szCs w:val="22"/>
              </w:rPr>
            </w:pPr>
            <w:r>
              <w:rPr>
                <w:rFonts w:ascii="Arial" w:eastAsia="Arial" w:hAnsi="Arial" w:cs="Arial"/>
                <w:b/>
                <w:i/>
                <w:color w:val="000000"/>
                <w:sz w:val="22"/>
                <w:szCs w:val="22"/>
              </w:rPr>
              <w:t> </w:t>
            </w:r>
          </w:p>
        </w:tc>
        <w:tc>
          <w:tcPr>
            <w:tcW w:w="1326" w:type="dxa"/>
            <w:tcBorders>
              <w:top w:val="single" w:sz="4" w:space="0" w:color="4472C4"/>
              <w:left w:val="single" w:sz="4" w:space="0" w:color="A9D08E"/>
              <w:bottom w:val="single" w:sz="6" w:space="0" w:color="4472C4"/>
              <w:right w:val="single" w:sz="4" w:space="0" w:color="A9D08E"/>
            </w:tcBorders>
            <w:shd w:val="clear" w:color="auto" w:fill="C6E0B4"/>
            <w:vAlign w:val="bottom"/>
          </w:tcPr>
          <w:p w14:paraId="68124F03" w14:textId="77777777" w:rsidR="00F51FE3" w:rsidRDefault="00C3249C">
            <w:pPr>
              <w:spacing w:after="0" w:line="240" w:lineRule="auto"/>
              <w:jc w:val="center"/>
              <w:rPr>
                <w:rFonts w:ascii="Arial" w:eastAsia="Arial" w:hAnsi="Arial" w:cs="Arial"/>
                <w:b/>
                <w:i/>
                <w:color w:val="000000"/>
                <w:sz w:val="22"/>
                <w:szCs w:val="22"/>
              </w:rPr>
            </w:pPr>
            <w:r>
              <w:rPr>
                <w:rFonts w:ascii="Arial" w:eastAsia="Arial" w:hAnsi="Arial" w:cs="Arial"/>
                <w:b/>
                <w:i/>
                <w:color w:val="000000"/>
                <w:sz w:val="22"/>
                <w:szCs w:val="22"/>
              </w:rPr>
              <w:t> </w:t>
            </w:r>
          </w:p>
        </w:tc>
        <w:tc>
          <w:tcPr>
            <w:tcW w:w="1300" w:type="dxa"/>
            <w:tcBorders>
              <w:top w:val="single" w:sz="4" w:space="0" w:color="4472C4"/>
              <w:left w:val="single" w:sz="4" w:space="0" w:color="A9D08E"/>
              <w:bottom w:val="single" w:sz="6" w:space="0" w:color="4472C4"/>
              <w:right w:val="single" w:sz="4" w:space="0" w:color="A9D08E"/>
            </w:tcBorders>
            <w:shd w:val="clear" w:color="auto" w:fill="C6E0B4"/>
            <w:vAlign w:val="bottom"/>
          </w:tcPr>
          <w:p w14:paraId="216E1CEE" w14:textId="77777777" w:rsidR="00F51FE3" w:rsidRDefault="00C3249C">
            <w:pPr>
              <w:spacing w:after="0" w:line="240" w:lineRule="auto"/>
              <w:jc w:val="center"/>
              <w:rPr>
                <w:rFonts w:ascii="Arial" w:eastAsia="Arial" w:hAnsi="Arial" w:cs="Arial"/>
                <w:b/>
                <w:i/>
                <w:color w:val="000000"/>
                <w:sz w:val="22"/>
                <w:szCs w:val="22"/>
              </w:rPr>
            </w:pPr>
            <w:r>
              <w:rPr>
                <w:rFonts w:ascii="Arial" w:eastAsia="Arial" w:hAnsi="Arial" w:cs="Arial"/>
                <w:b/>
                <w:i/>
                <w:color w:val="000000"/>
                <w:sz w:val="22"/>
                <w:szCs w:val="22"/>
              </w:rPr>
              <w:t>125880</w:t>
            </w:r>
          </w:p>
        </w:tc>
      </w:tr>
    </w:tbl>
    <w:p w14:paraId="1829486E" w14:textId="77777777" w:rsidR="00F51FE3" w:rsidRDefault="00C3249C">
      <w:pPr>
        <w:pStyle w:val="Heading2"/>
        <w:rPr>
          <w:rFonts w:ascii="Arial" w:eastAsia="Arial" w:hAnsi="Arial" w:cs="Arial"/>
          <w:sz w:val="22"/>
          <w:szCs w:val="22"/>
        </w:rPr>
      </w:pPr>
      <w:r>
        <w:rPr>
          <w:rFonts w:ascii="Arial" w:eastAsia="Arial" w:hAnsi="Arial" w:cs="Arial"/>
          <w:sz w:val="22"/>
          <w:szCs w:val="22"/>
        </w:rPr>
        <w:t>(3) Creation of the financial position statement</w:t>
      </w:r>
    </w:p>
    <w:p w14:paraId="02CC69B9" w14:textId="77777777" w:rsidR="00F51FE3" w:rsidRDefault="00C3249C">
      <w:pPr>
        <w:jc w:val="center"/>
        <w:rPr>
          <w:rFonts w:ascii="Arial" w:eastAsia="Arial" w:hAnsi="Arial" w:cs="Arial"/>
          <w:b/>
          <w:sz w:val="22"/>
          <w:szCs w:val="22"/>
          <w:u w:val="single"/>
        </w:rPr>
      </w:pPr>
      <w:r>
        <w:rPr>
          <w:rFonts w:ascii="Arial" w:eastAsia="Arial" w:hAnsi="Arial" w:cs="Arial"/>
          <w:b/>
          <w:sz w:val="22"/>
          <w:szCs w:val="22"/>
          <w:u w:val="single"/>
        </w:rPr>
        <w:t>In the books of General Supplies Ltd.</w:t>
      </w:r>
    </w:p>
    <w:p w14:paraId="770095CD" w14:textId="77777777" w:rsidR="00F51FE3" w:rsidRDefault="00C3249C">
      <w:pPr>
        <w:jc w:val="center"/>
        <w:rPr>
          <w:rFonts w:ascii="Arial" w:eastAsia="Arial" w:hAnsi="Arial" w:cs="Arial"/>
          <w:b/>
          <w:sz w:val="22"/>
          <w:szCs w:val="22"/>
          <w:u w:val="single"/>
        </w:rPr>
      </w:pPr>
      <w:r>
        <w:rPr>
          <w:rFonts w:ascii="Arial" w:eastAsia="Arial" w:hAnsi="Arial" w:cs="Arial"/>
          <w:b/>
          <w:sz w:val="22"/>
          <w:szCs w:val="22"/>
          <w:u w:val="single"/>
        </w:rPr>
        <w:lastRenderedPageBreak/>
        <w:t>Financial Position Statement creation</w:t>
      </w:r>
    </w:p>
    <w:p w14:paraId="6C7FD122" w14:textId="77777777" w:rsidR="00F51FE3" w:rsidRDefault="00C3249C">
      <w:pPr>
        <w:jc w:val="center"/>
        <w:rPr>
          <w:rFonts w:ascii="Arial" w:eastAsia="Arial" w:hAnsi="Arial" w:cs="Arial"/>
          <w:sz w:val="22"/>
          <w:szCs w:val="22"/>
        </w:rPr>
      </w:pPr>
      <w:r>
        <w:rPr>
          <w:rFonts w:ascii="Arial" w:eastAsia="Arial" w:hAnsi="Arial" w:cs="Arial"/>
          <w:b/>
          <w:sz w:val="22"/>
          <w:szCs w:val="22"/>
          <w:u w:val="single"/>
        </w:rPr>
        <w:t>For a 12-period time frame as ended for 31</w:t>
      </w:r>
      <w:r>
        <w:rPr>
          <w:rFonts w:ascii="Arial" w:eastAsia="Arial" w:hAnsi="Arial" w:cs="Arial"/>
          <w:b/>
          <w:sz w:val="22"/>
          <w:szCs w:val="22"/>
          <w:u w:val="single"/>
          <w:vertAlign w:val="superscript"/>
        </w:rPr>
        <w:t>st</w:t>
      </w:r>
      <w:r>
        <w:rPr>
          <w:rFonts w:ascii="Arial" w:eastAsia="Arial" w:hAnsi="Arial" w:cs="Arial"/>
          <w:b/>
          <w:sz w:val="22"/>
          <w:szCs w:val="22"/>
          <w:u w:val="single"/>
        </w:rPr>
        <w:t xml:space="preserve"> December 2021</w:t>
      </w:r>
    </w:p>
    <w:tbl>
      <w:tblPr>
        <w:tblStyle w:val="a1"/>
        <w:tblW w:w="5670" w:type="dxa"/>
        <w:jc w:val="center"/>
        <w:tblLayout w:type="fixed"/>
        <w:tblLook w:val="0400" w:firstRow="0" w:lastRow="0" w:firstColumn="0" w:lastColumn="0" w:noHBand="0" w:noVBand="1"/>
      </w:tblPr>
      <w:tblGrid>
        <w:gridCol w:w="3380"/>
        <w:gridCol w:w="1151"/>
        <w:gridCol w:w="1139"/>
      </w:tblGrid>
      <w:tr w:rsidR="00F51FE3" w14:paraId="58972FE1"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7E86F943" w14:textId="77777777" w:rsidR="00F51FE3" w:rsidRDefault="00C3249C">
            <w:pPr>
              <w:spacing w:after="0" w:line="240" w:lineRule="auto"/>
              <w:jc w:val="left"/>
              <w:rPr>
                <w:rFonts w:ascii="Arial" w:eastAsia="Arial" w:hAnsi="Arial" w:cs="Arial"/>
                <w:b/>
                <w:i/>
                <w:color w:val="000000"/>
                <w:sz w:val="22"/>
                <w:szCs w:val="22"/>
              </w:rPr>
            </w:pPr>
            <w:r>
              <w:rPr>
                <w:rFonts w:ascii="Arial" w:eastAsia="Arial" w:hAnsi="Arial" w:cs="Arial"/>
                <w:b/>
                <w:i/>
                <w:color w:val="000000"/>
                <w:sz w:val="22"/>
                <w:szCs w:val="22"/>
              </w:rPr>
              <w:t>ACCOUNTS BALANCES</w:t>
            </w:r>
          </w:p>
        </w:tc>
        <w:tc>
          <w:tcPr>
            <w:tcW w:w="1151"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1B157F8B" w14:textId="77777777" w:rsidR="00F51FE3" w:rsidRDefault="00C3249C">
            <w:pPr>
              <w:spacing w:after="0" w:line="240" w:lineRule="auto"/>
              <w:jc w:val="center"/>
              <w:rPr>
                <w:rFonts w:ascii="Arial" w:eastAsia="Arial" w:hAnsi="Arial" w:cs="Arial"/>
                <w:b/>
                <w:i/>
                <w:color w:val="000000"/>
                <w:sz w:val="22"/>
                <w:szCs w:val="22"/>
              </w:rPr>
            </w:pPr>
            <w:proofErr w:type="spellStart"/>
            <w:r>
              <w:rPr>
                <w:rFonts w:ascii="Arial" w:eastAsia="Arial" w:hAnsi="Arial" w:cs="Arial"/>
                <w:b/>
                <w:i/>
                <w:color w:val="000000"/>
                <w:sz w:val="22"/>
                <w:szCs w:val="22"/>
              </w:rPr>
              <w:t>Amnt</w:t>
            </w:r>
            <w:proofErr w:type="spellEnd"/>
            <w:r>
              <w:rPr>
                <w:rFonts w:ascii="Arial" w:eastAsia="Arial" w:hAnsi="Arial" w:cs="Arial"/>
                <w:b/>
                <w:i/>
                <w:color w:val="000000"/>
                <w:sz w:val="22"/>
                <w:szCs w:val="22"/>
              </w:rPr>
              <w:t>. (£)</w:t>
            </w:r>
          </w:p>
        </w:tc>
        <w:tc>
          <w:tcPr>
            <w:tcW w:w="1139"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22CAC93F" w14:textId="77777777" w:rsidR="00F51FE3" w:rsidRDefault="00C3249C">
            <w:pPr>
              <w:spacing w:after="0" w:line="240" w:lineRule="auto"/>
              <w:jc w:val="center"/>
              <w:rPr>
                <w:rFonts w:ascii="Arial" w:eastAsia="Arial" w:hAnsi="Arial" w:cs="Arial"/>
                <w:b/>
                <w:i/>
                <w:color w:val="000000"/>
                <w:sz w:val="22"/>
                <w:szCs w:val="22"/>
              </w:rPr>
            </w:pPr>
            <w:proofErr w:type="spellStart"/>
            <w:r>
              <w:rPr>
                <w:rFonts w:ascii="Arial" w:eastAsia="Arial" w:hAnsi="Arial" w:cs="Arial"/>
                <w:b/>
                <w:i/>
                <w:color w:val="000000"/>
                <w:sz w:val="22"/>
                <w:szCs w:val="22"/>
              </w:rPr>
              <w:t>Amnt</w:t>
            </w:r>
            <w:proofErr w:type="spellEnd"/>
            <w:r>
              <w:rPr>
                <w:rFonts w:ascii="Arial" w:eastAsia="Arial" w:hAnsi="Arial" w:cs="Arial"/>
                <w:b/>
                <w:i/>
                <w:color w:val="000000"/>
                <w:sz w:val="22"/>
                <w:szCs w:val="22"/>
              </w:rPr>
              <w:t>. (£)</w:t>
            </w:r>
          </w:p>
        </w:tc>
      </w:tr>
      <w:tr w:rsidR="00F51FE3" w14:paraId="182AAFBB"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3B14BB35" w14:textId="77777777" w:rsidR="00F51FE3" w:rsidRDefault="00C3249C">
            <w:pPr>
              <w:spacing w:after="0" w:line="240" w:lineRule="auto"/>
              <w:jc w:val="left"/>
              <w:rPr>
                <w:rFonts w:ascii="Arial" w:eastAsia="Arial" w:hAnsi="Arial" w:cs="Arial"/>
                <w:b/>
                <w:color w:val="000000"/>
                <w:sz w:val="22"/>
                <w:szCs w:val="22"/>
                <w:u w:val="single"/>
              </w:rPr>
            </w:pPr>
            <w:proofErr w:type="gramStart"/>
            <w:r>
              <w:rPr>
                <w:rFonts w:ascii="Arial" w:eastAsia="Arial" w:hAnsi="Arial" w:cs="Arial"/>
                <w:b/>
                <w:color w:val="000000"/>
                <w:sz w:val="22"/>
                <w:szCs w:val="22"/>
                <w:u w:val="single"/>
              </w:rPr>
              <w:t>ASSETS:-</w:t>
            </w:r>
            <w:proofErr w:type="gramEnd"/>
          </w:p>
        </w:tc>
        <w:tc>
          <w:tcPr>
            <w:tcW w:w="1151"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255EAC62" w14:textId="77777777" w:rsidR="00F51FE3" w:rsidRDefault="00F51FE3">
            <w:pPr>
              <w:spacing w:after="0" w:line="240" w:lineRule="auto"/>
              <w:jc w:val="left"/>
              <w:rPr>
                <w:rFonts w:ascii="Arial" w:eastAsia="Arial" w:hAnsi="Arial" w:cs="Arial"/>
                <w:b/>
                <w:color w:val="000000"/>
                <w:sz w:val="22"/>
                <w:szCs w:val="22"/>
                <w:u w:val="single"/>
              </w:rPr>
            </w:pPr>
          </w:p>
        </w:tc>
        <w:tc>
          <w:tcPr>
            <w:tcW w:w="1139"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3C07F40F" w14:textId="77777777" w:rsidR="00F51FE3" w:rsidRDefault="00F51FE3">
            <w:pPr>
              <w:spacing w:after="0" w:line="240" w:lineRule="auto"/>
              <w:jc w:val="center"/>
              <w:rPr>
                <w:rFonts w:ascii="Arial" w:eastAsia="Arial" w:hAnsi="Arial" w:cs="Arial"/>
                <w:sz w:val="22"/>
                <w:szCs w:val="22"/>
              </w:rPr>
            </w:pPr>
          </w:p>
        </w:tc>
      </w:tr>
      <w:tr w:rsidR="00F51FE3" w14:paraId="1BE95854"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38A448F7" w14:textId="77777777" w:rsidR="00F51FE3" w:rsidRDefault="00C3249C">
            <w:pPr>
              <w:spacing w:after="0" w:line="240" w:lineRule="auto"/>
              <w:jc w:val="left"/>
              <w:rPr>
                <w:rFonts w:ascii="Arial" w:eastAsia="Arial" w:hAnsi="Arial" w:cs="Arial"/>
                <w:i/>
                <w:color w:val="000000"/>
                <w:sz w:val="22"/>
                <w:szCs w:val="22"/>
                <w:u w:val="single"/>
              </w:rPr>
            </w:pPr>
            <w:r>
              <w:rPr>
                <w:rFonts w:ascii="Arial" w:eastAsia="Arial" w:hAnsi="Arial" w:cs="Arial"/>
                <w:i/>
                <w:color w:val="000000"/>
                <w:sz w:val="22"/>
                <w:szCs w:val="22"/>
                <w:u w:val="single"/>
              </w:rPr>
              <w:t>Current Assets:</w:t>
            </w:r>
          </w:p>
        </w:tc>
        <w:tc>
          <w:tcPr>
            <w:tcW w:w="1151"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118FEFC5" w14:textId="77777777" w:rsidR="00F51FE3" w:rsidRDefault="00F51FE3">
            <w:pPr>
              <w:spacing w:after="0" w:line="240" w:lineRule="auto"/>
              <w:jc w:val="left"/>
              <w:rPr>
                <w:rFonts w:ascii="Arial" w:eastAsia="Arial" w:hAnsi="Arial" w:cs="Arial"/>
                <w:i/>
                <w:color w:val="000000"/>
                <w:sz w:val="22"/>
                <w:szCs w:val="22"/>
                <w:u w:val="single"/>
              </w:rPr>
            </w:pPr>
          </w:p>
        </w:tc>
        <w:tc>
          <w:tcPr>
            <w:tcW w:w="1139"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59EE0958" w14:textId="77777777" w:rsidR="00F51FE3" w:rsidRDefault="00F51FE3">
            <w:pPr>
              <w:spacing w:after="0" w:line="240" w:lineRule="auto"/>
              <w:jc w:val="center"/>
              <w:rPr>
                <w:rFonts w:ascii="Arial" w:eastAsia="Arial" w:hAnsi="Arial" w:cs="Arial"/>
                <w:sz w:val="22"/>
                <w:szCs w:val="22"/>
              </w:rPr>
            </w:pPr>
          </w:p>
        </w:tc>
      </w:tr>
      <w:tr w:rsidR="00F51FE3" w14:paraId="3BADC68F"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61EE3C72"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Trade Receivables (debtors)</w:t>
            </w:r>
          </w:p>
        </w:tc>
        <w:tc>
          <w:tcPr>
            <w:tcW w:w="1151"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0B91C885"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400000</w:t>
            </w:r>
          </w:p>
        </w:tc>
        <w:tc>
          <w:tcPr>
            <w:tcW w:w="1139"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72C64764" w14:textId="77777777" w:rsidR="00F51FE3" w:rsidRDefault="00F51FE3">
            <w:pPr>
              <w:spacing w:after="0" w:line="240" w:lineRule="auto"/>
              <w:jc w:val="center"/>
              <w:rPr>
                <w:rFonts w:ascii="Arial" w:eastAsia="Arial" w:hAnsi="Arial" w:cs="Arial"/>
                <w:color w:val="000000"/>
                <w:sz w:val="22"/>
                <w:szCs w:val="22"/>
              </w:rPr>
            </w:pPr>
          </w:p>
        </w:tc>
      </w:tr>
      <w:tr w:rsidR="00F51FE3" w14:paraId="69E99D56"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14A71FEA"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 Bad Debts</w:t>
            </w:r>
          </w:p>
        </w:tc>
        <w:tc>
          <w:tcPr>
            <w:tcW w:w="1151"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6A7FFDD1"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4000</w:t>
            </w:r>
          </w:p>
        </w:tc>
        <w:tc>
          <w:tcPr>
            <w:tcW w:w="1139"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4B392267" w14:textId="77777777" w:rsidR="00F51FE3" w:rsidRDefault="00F51FE3">
            <w:pPr>
              <w:spacing w:after="0" w:line="240" w:lineRule="auto"/>
              <w:jc w:val="center"/>
              <w:rPr>
                <w:rFonts w:ascii="Arial" w:eastAsia="Arial" w:hAnsi="Arial" w:cs="Arial"/>
                <w:color w:val="000000"/>
                <w:sz w:val="22"/>
                <w:szCs w:val="22"/>
              </w:rPr>
            </w:pPr>
          </w:p>
        </w:tc>
      </w:tr>
      <w:tr w:rsidR="00F51FE3" w14:paraId="465FAF6E"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4245D6DE"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 Provision for Bad Debts</w:t>
            </w:r>
          </w:p>
        </w:tc>
        <w:tc>
          <w:tcPr>
            <w:tcW w:w="1151" w:type="dxa"/>
            <w:tcBorders>
              <w:top w:val="single" w:sz="4" w:space="0" w:color="A9D08E"/>
              <w:left w:val="single" w:sz="4" w:space="0" w:color="A9D08E"/>
              <w:bottom w:val="single" w:sz="4" w:space="0" w:color="000000"/>
              <w:right w:val="single" w:sz="4" w:space="0" w:color="A9D08E"/>
            </w:tcBorders>
            <w:shd w:val="clear" w:color="auto" w:fill="C6E0B4"/>
            <w:vAlign w:val="bottom"/>
          </w:tcPr>
          <w:p w14:paraId="0C50C856"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4000</w:t>
            </w:r>
          </w:p>
        </w:tc>
        <w:tc>
          <w:tcPr>
            <w:tcW w:w="1139"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12223BE0"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392000</w:t>
            </w:r>
          </w:p>
        </w:tc>
      </w:tr>
      <w:tr w:rsidR="00F51FE3" w14:paraId="670136E7"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5FD9EB7F"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Bank</w:t>
            </w:r>
          </w:p>
        </w:tc>
        <w:tc>
          <w:tcPr>
            <w:tcW w:w="1151"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462C4D7D" w14:textId="77777777" w:rsidR="00F51FE3" w:rsidRDefault="00F51FE3">
            <w:pPr>
              <w:spacing w:after="0" w:line="240" w:lineRule="auto"/>
              <w:jc w:val="left"/>
              <w:rPr>
                <w:rFonts w:ascii="Arial" w:eastAsia="Arial" w:hAnsi="Arial" w:cs="Arial"/>
                <w:color w:val="000000"/>
                <w:sz w:val="22"/>
                <w:szCs w:val="22"/>
              </w:rPr>
            </w:pPr>
          </w:p>
        </w:tc>
        <w:tc>
          <w:tcPr>
            <w:tcW w:w="1139"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2CA592E5"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2000</w:t>
            </w:r>
          </w:p>
        </w:tc>
      </w:tr>
      <w:tr w:rsidR="00F51FE3" w14:paraId="3F5BDA74"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34A42259"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(Closing) Final Inventory</w:t>
            </w:r>
          </w:p>
        </w:tc>
        <w:tc>
          <w:tcPr>
            <w:tcW w:w="1151"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17C66F6D" w14:textId="77777777" w:rsidR="00F51FE3" w:rsidRDefault="00F51FE3">
            <w:pPr>
              <w:spacing w:after="0" w:line="240" w:lineRule="auto"/>
              <w:jc w:val="left"/>
              <w:rPr>
                <w:rFonts w:ascii="Arial" w:eastAsia="Arial" w:hAnsi="Arial" w:cs="Arial"/>
                <w:color w:val="000000"/>
                <w:sz w:val="22"/>
                <w:szCs w:val="22"/>
              </w:rPr>
            </w:pPr>
          </w:p>
        </w:tc>
        <w:tc>
          <w:tcPr>
            <w:tcW w:w="1139"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32AD59D4"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125000</w:t>
            </w:r>
          </w:p>
        </w:tc>
      </w:tr>
      <w:tr w:rsidR="00F51FE3" w14:paraId="03664F68"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41D87612"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Prepaid Insurance</w:t>
            </w:r>
          </w:p>
        </w:tc>
        <w:tc>
          <w:tcPr>
            <w:tcW w:w="1151"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283679E4" w14:textId="77777777" w:rsidR="00F51FE3" w:rsidRDefault="00F51FE3">
            <w:pPr>
              <w:spacing w:after="0" w:line="240" w:lineRule="auto"/>
              <w:jc w:val="left"/>
              <w:rPr>
                <w:rFonts w:ascii="Arial" w:eastAsia="Arial" w:hAnsi="Arial" w:cs="Arial"/>
                <w:color w:val="000000"/>
                <w:sz w:val="22"/>
                <w:szCs w:val="22"/>
              </w:rPr>
            </w:pPr>
          </w:p>
        </w:tc>
        <w:tc>
          <w:tcPr>
            <w:tcW w:w="1139"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4CEEE224"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16000</w:t>
            </w:r>
          </w:p>
        </w:tc>
      </w:tr>
      <w:tr w:rsidR="00F51FE3" w14:paraId="65BE9BB0"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0700F179" w14:textId="77777777" w:rsidR="00F51FE3" w:rsidRDefault="00C3249C">
            <w:pPr>
              <w:spacing w:after="0" w:line="240" w:lineRule="auto"/>
              <w:jc w:val="left"/>
              <w:rPr>
                <w:rFonts w:ascii="Arial" w:eastAsia="Arial" w:hAnsi="Arial" w:cs="Arial"/>
                <w:i/>
                <w:color w:val="000000"/>
                <w:sz w:val="22"/>
                <w:szCs w:val="22"/>
                <w:u w:val="single"/>
              </w:rPr>
            </w:pPr>
            <w:r>
              <w:rPr>
                <w:rFonts w:ascii="Arial" w:eastAsia="Arial" w:hAnsi="Arial" w:cs="Arial"/>
                <w:i/>
                <w:color w:val="000000"/>
                <w:sz w:val="22"/>
                <w:szCs w:val="22"/>
                <w:u w:val="single"/>
              </w:rPr>
              <w:t>Non-Current Assets:</w:t>
            </w:r>
          </w:p>
        </w:tc>
        <w:tc>
          <w:tcPr>
            <w:tcW w:w="1151"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4A3C5445" w14:textId="77777777" w:rsidR="00F51FE3" w:rsidRDefault="00F51FE3">
            <w:pPr>
              <w:spacing w:after="0" w:line="240" w:lineRule="auto"/>
              <w:jc w:val="left"/>
              <w:rPr>
                <w:rFonts w:ascii="Arial" w:eastAsia="Arial" w:hAnsi="Arial" w:cs="Arial"/>
                <w:i/>
                <w:color w:val="000000"/>
                <w:sz w:val="22"/>
                <w:szCs w:val="22"/>
                <w:u w:val="single"/>
              </w:rPr>
            </w:pPr>
          </w:p>
        </w:tc>
        <w:tc>
          <w:tcPr>
            <w:tcW w:w="1139"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0779C671" w14:textId="77777777" w:rsidR="00F51FE3" w:rsidRDefault="00F51FE3">
            <w:pPr>
              <w:spacing w:after="0" w:line="240" w:lineRule="auto"/>
              <w:jc w:val="center"/>
              <w:rPr>
                <w:rFonts w:ascii="Arial" w:eastAsia="Arial" w:hAnsi="Arial" w:cs="Arial"/>
                <w:sz w:val="22"/>
                <w:szCs w:val="22"/>
              </w:rPr>
            </w:pPr>
          </w:p>
        </w:tc>
      </w:tr>
      <w:tr w:rsidR="00F51FE3" w14:paraId="350BF7E5"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5C67A972"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Machinery (at cost)</w:t>
            </w:r>
          </w:p>
        </w:tc>
        <w:tc>
          <w:tcPr>
            <w:tcW w:w="1151"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0FDC5395"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120000</w:t>
            </w:r>
          </w:p>
        </w:tc>
        <w:tc>
          <w:tcPr>
            <w:tcW w:w="1139"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127F3474" w14:textId="77777777" w:rsidR="00F51FE3" w:rsidRDefault="00F51FE3">
            <w:pPr>
              <w:spacing w:after="0" w:line="240" w:lineRule="auto"/>
              <w:jc w:val="center"/>
              <w:rPr>
                <w:rFonts w:ascii="Arial" w:eastAsia="Arial" w:hAnsi="Arial" w:cs="Arial"/>
                <w:color w:val="000000"/>
                <w:sz w:val="22"/>
                <w:szCs w:val="22"/>
              </w:rPr>
            </w:pPr>
          </w:p>
        </w:tc>
      </w:tr>
      <w:tr w:rsidR="00F51FE3" w14:paraId="7AD65133"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2731D70C"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 Provision for Depreciation</w:t>
            </w:r>
          </w:p>
        </w:tc>
        <w:tc>
          <w:tcPr>
            <w:tcW w:w="1151"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3E13AC72"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25000</w:t>
            </w:r>
          </w:p>
        </w:tc>
        <w:tc>
          <w:tcPr>
            <w:tcW w:w="1139"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13CB5707" w14:textId="77777777" w:rsidR="00F51FE3" w:rsidRDefault="00F51FE3">
            <w:pPr>
              <w:spacing w:after="0" w:line="240" w:lineRule="auto"/>
              <w:jc w:val="center"/>
              <w:rPr>
                <w:rFonts w:ascii="Arial" w:eastAsia="Arial" w:hAnsi="Arial" w:cs="Arial"/>
                <w:color w:val="000000"/>
                <w:sz w:val="22"/>
                <w:szCs w:val="22"/>
              </w:rPr>
            </w:pPr>
          </w:p>
        </w:tc>
      </w:tr>
      <w:tr w:rsidR="00F51FE3" w14:paraId="0D0BD556"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0AF6116F"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 Depreciation (@25%)</w:t>
            </w:r>
          </w:p>
        </w:tc>
        <w:tc>
          <w:tcPr>
            <w:tcW w:w="1151" w:type="dxa"/>
            <w:tcBorders>
              <w:top w:val="single" w:sz="4" w:space="0" w:color="A9D08E"/>
              <w:left w:val="single" w:sz="4" w:space="0" w:color="A9D08E"/>
              <w:bottom w:val="single" w:sz="4" w:space="0" w:color="000000"/>
              <w:right w:val="single" w:sz="4" w:space="0" w:color="A9D08E"/>
            </w:tcBorders>
            <w:shd w:val="clear" w:color="auto" w:fill="E2EFDA"/>
            <w:vAlign w:val="bottom"/>
          </w:tcPr>
          <w:p w14:paraId="1D078533"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30000</w:t>
            </w:r>
          </w:p>
        </w:tc>
        <w:tc>
          <w:tcPr>
            <w:tcW w:w="1139"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448DC002"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65000</w:t>
            </w:r>
          </w:p>
        </w:tc>
      </w:tr>
      <w:tr w:rsidR="00F51FE3" w14:paraId="4EEE6335"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1A03F818"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Buildings (at cost)</w:t>
            </w:r>
          </w:p>
        </w:tc>
        <w:tc>
          <w:tcPr>
            <w:tcW w:w="1151"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25517EDF"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750000</w:t>
            </w:r>
          </w:p>
        </w:tc>
        <w:tc>
          <w:tcPr>
            <w:tcW w:w="1139"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427CF5CC" w14:textId="77777777" w:rsidR="00F51FE3" w:rsidRDefault="00F51FE3">
            <w:pPr>
              <w:spacing w:after="0" w:line="240" w:lineRule="auto"/>
              <w:jc w:val="center"/>
              <w:rPr>
                <w:rFonts w:ascii="Arial" w:eastAsia="Arial" w:hAnsi="Arial" w:cs="Arial"/>
                <w:color w:val="000000"/>
                <w:sz w:val="22"/>
                <w:szCs w:val="22"/>
              </w:rPr>
            </w:pPr>
          </w:p>
        </w:tc>
      </w:tr>
      <w:tr w:rsidR="00F51FE3" w14:paraId="0103A81F"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2A60C8C3"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 Provision for Depreciation</w:t>
            </w:r>
          </w:p>
        </w:tc>
        <w:tc>
          <w:tcPr>
            <w:tcW w:w="1151"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5E02B8E1"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100000</w:t>
            </w:r>
          </w:p>
        </w:tc>
        <w:tc>
          <w:tcPr>
            <w:tcW w:w="1139"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297B79FD" w14:textId="77777777" w:rsidR="00F51FE3" w:rsidRDefault="00F51FE3">
            <w:pPr>
              <w:spacing w:after="0" w:line="240" w:lineRule="auto"/>
              <w:jc w:val="center"/>
              <w:rPr>
                <w:rFonts w:ascii="Arial" w:eastAsia="Arial" w:hAnsi="Arial" w:cs="Arial"/>
                <w:color w:val="000000"/>
                <w:sz w:val="22"/>
                <w:szCs w:val="22"/>
              </w:rPr>
            </w:pPr>
          </w:p>
        </w:tc>
      </w:tr>
      <w:tr w:rsidR="00F51FE3" w14:paraId="2DF1ADB6" w14:textId="77777777">
        <w:trPr>
          <w:trHeight w:val="300"/>
          <w:jc w:val="center"/>
        </w:trPr>
        <w:tc>
          <w:tcPr>
            <w:tcW w:w="3380" w:type="dxa"/>
            <w:tcBorders>
              <w:top w:val="single" w:sz="4" w:space="0" w:color="A9D08E"/>
              <w:left w:val="single" w:sz="4" w:space="0" w:color="A9D08E"/>
              <w:bottom w:val="single" w:sz="4" w:space="0" w:color="000000"/>
              <w:right w:val="single" w:sz="4" w:space="0" w:color="A9D08E"/>
            </w:tcBorders>
            <w:shd w:val="clear" w:color="auto" w:fill="C6E0B4"/>
            <w:vAlign w:val="bottom"/>
          </w:tcPr>
          <w:p w14:paraId="04554C23"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 Depreciation (@5%)</w:t>
            </w:r>
          </w:p>
        </w:tc>
        <w:tc>
          <w:tcPr>
            <w:tcW w:w="1151" w:type="dxa"/>
            <w:tcBorders>
              <w:top w:val="single" w:sz="4" w:space="0" w:color="A9D08E"/>
              <w:left w:val="single" w:sz="4" w:space="0" w:color="A9D08E"/>
              <w:bottom w:val="single" w:sz="4" w:space="0" w:color="000000"/>
              <w:right w:val="single" w:sz="4" w:space="0" w:color="A9D08E"/>
            </w:tcBorders>
            <w:shd w:val="clear" w:color="auto" w:fill="C6E0B4"/>
            <w:vAlign w:val="bottom"/>
          </w:tcPr>
          <w:p w14:paraId="575687E6"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32500</w:t>
            </w:r>
          </w:p>
        </w:tc>
        <w:tc>
          <w:tcPr>
            <w:tcW w:w="1139" w:type="dxa"/>
            <w:tcBorders>
              <w:top w:val="single" w:sz="4" w:space="0" w:color="A9D08E"/>
              <w:left w:val="single" w:sz="4" w:space="0" w:color="A9D08E"/>
              <w:bottom w:val="single" w:sz="4" w:space="0" w:color="000000"/>
              <w:right w:val="single" w:sz="4" w:space="0" w:color="A9D08E"/>
            </w:tcBorders>
            <w:shd w:val="clear" w:color="auto" w:fill="C6E0B4"/>
            <w:vAlign w:val="bottom"/>
          </w:tcPr>
          <w:p w14:paraId="2DA855D6"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617500</w:t>
            </w:r>
          </w:p>
        </w:tc>
      </w:tr>
      <w:tr w:rsidR="00F51FE3" w14:paraId="1651AB52"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2BA1F716" w14:textId="77777777" w:rsidR="00F51FE3" w:rsidRDefault="00C3249C">
            <w:pPr>
              <w:spacing w:after="0" w:line="240" w:lineRule="auto"/>
              <w:jc w:val="left"/>
              <w:rPr>
                <w:rFonts w:ascii="Arial" w:eastAsia="Arial" w:hAnsi="Arial" w:cs="Arial"/>
                <w:b/>
                <w:color w:val="000000"/>
                <w:sz w:val="22"/>
                <w:szCs w:val="22"/>
              </w:rPr>
            </w:pPr>
            <w:r>
              <w:rPr>
                <w:rFonts w:ascii="Arial" w:eastAsia="Arial" w:hAnsi="Arial" w:cs="Arial"/>
                <w:b/>
                <w:color w:val="000000"/>
                <w:sz w:val="22"/>
                <w:szCs w:val="22"/>
              </w:rPr>
              <w:t xml:space="preserve">Grand TOTAL Assets </w:t>
            </w:r>
          </w:p>
        </w:tc>
        <w:tc>
          <w:tcPr>
            <w:tcW w:w="1151"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7F90C3E8" w14:textId="77777777" w:rsidR="00F51FE3" w:rsidRDefault="00F51FE3">
            <w:pPr>
              <w:spacing w:after="0" w:line="240" w:lineRule="auto"/>
              <w:jc w:val="left"/>
              <w:rPr>
                <w:rFonts w:ascii="Arial" w:eastAsia="Arial" w:hAnsi="Arial" w:cs="Arial"/>
                <w:b/>
                <w:color w:val="000000"/>
                <w:sz w:val="22"/>
                <w:szCs w:val="22"/>
              </w:rPr>
            </w:pPr>
          </w:p>
        </w:tc>
        <w:tc>
          <w:tcPr>
            <w:tcW w:w="1139"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6FB88EF8" w14:textId="77777777" w:rsidR="00F51FE3" w:rsidRDefault="00C3249C">
            <w:pPr>
              <w:spacing w:after="0" w:line="240" w:lineRule="auto"/>
              <w:jc w:val="center"/>
              <w:rPr>
                <w:rFonts w:ascii="Arial" w:eastAsia="Arial" w:hAnsi="Arial" w:cs="Arial"/>
                <w:b/>
                <w:color w:val="000000"/>
                <w:sz w:val="22"/>
                <w:szCs w:val="22"/>
              </w:rPr>
            </w:pPr>
            <w:r>
              <w:rPr>
                <w:rFonts w:ascii="Arial" w:eastAsia="Arial" w:hAnsi="Arial" w:cs="Arial"/>
                <w:b/>
                <w:color w:val="000000"/>
                <w:sz w:val="22"/>
                <w:szCs w:val="22"/>
              </w:rPr>
              <w:t>1217500</w:t>
            </w:r>
          </w:p>
        </w:tc>
      </w:tr>
      <w:tr w:rsidR="00F51FE3" w14:paraId="5051A1A1"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56261991" w14:textId="77777777" w:rsidR="00F51FE3" w:rsidRDefault="00F51FE3">
            <w:pPr>
              <w:spacing w:after="0" w:line="240" w:lineRule="auto"/>
              <w:jc w:val="center"/>
              <w:rPr>
                <w:rFonts w:ascii="Arial" w:eastAsia="Arial" w:hAnsi="Arial" w:cs="Arial"/>
                <w:b/>
                <w:color w:val="000000"/>
                <w:sz w:val="22"/>
                <w:szCs w:val="22"/>
              </w:rPr>
            </w:pPr>
          </w:p>
        </w:tc>
        <w:tc>
          <w:tcPr>
            <w:tcW w:w="1151"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0EAFB309" w14:textId="77777777" w:rsidR="00F51FE3" w:rsidRDefault="00F51FE3">
            <w:pPr>
              <w:spacing w:after="0" w:line="240" w:lineRule="auto"/>
              <w:jc w:val="left"/>
              <w:rPr>
                <w:rFonts w:ascii="Arial" w:eastAsia="Arial" w:hAnsi="Arial" w:cs="Arial"/>
                <w:sz w:val="22"/>
                <w:szCs w:val="22"/>
              </w:rPr>
            </w:pPr>
          </w:p>
        </w:tc>
        <w:tc>
          <w:tcPr>
            <w:tcW w:w="1139"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05740E34" w14:textId="77777777" w:rsidR="00F51FE3" w:rsidRDefault="00F51FE3">
            <w:pPr>
              <w:spacing w:after="0" w:line="240" w:lineRule="auto"/>
              <w:jc w:val="center"/>
              <w:rPr>
                <w:rFonts w:ascii="Arial" w:eastAsia="Arial" w:hAnsi="Arial" w:cs="Arial"/>
                <w:sz w:val="22"/>
                <w:szCs w:val="22"/>
              </w:rPr>
            </w:pPr>
          </w:p>
        </w:tc>
      </w:tr>
      <w:tr w:rsidR="00F51FE3" w14:paraId="259529C1"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66B274ED" w14:textId="77777777" w:rsidR="00F51FE3" w:rsidRDefault="00C3249C">
            <w:pPr>
              <w:spacing w:after="0" w:line="240" w:lineRule="auto"/>
              <w:jc w:val="left"/>
              <w:rPr>
                <w:rFonts w:ascii="Arial" w:eastAsia="Arial" w:hAnsi="Arial" w:cs="Arial"/>
                <w:b/>
                <w:color w:val="000000"/>
                <w:sz w:val="22"/>
                <w:szCs w:val="22"/>
                <w:u w:val="single"/>
              </w:rPr>
            </w:pPr>
            <w:r>
              <w:rPr>
                <w:rFonts w:ascii="Arial" w:eastAsia="Arial" w:hAnsi="Arial" w:cs="Arial"/>
                <w:b/>
                <w:color w:val="000000"/>
                <w:sz w:val="22"/>
                <w:szCs w:val="22"/>
                <w:u w:val="single"/>
              </w:rPr>
              <w:t xml:space="preserve">{Less}: </w:t>
            </w:r>
            <w:proofErr w:type="gramStart"/>
            <w:r>
              <w:rPr>
                <w:rFonts w:ascii="Arial" w:eastAsia="Arial" w:hAnsi="Arial" w:cs="Arial"/>
                <w:b/>
                <w:color w:val="000000"/>
                <w:sz w:val="22"/>
                <w:szCs w:val="22"/>
                <w:u w:val="single"/>
              </w:rPr>
              <w:t>Liabilities:-</w:t>
            </w:r>
            <w:proofErr w:type="gramEnd"/>
          </w:p>
        </w:tc>
        <w:tc>
          <w:tcPr>
            <w:tcW w:w="1151"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673CA753" w14:textId="77777777" w:rsidR="00F51FE3" w:rsidRDefault="00F51FE3">
            <w:pPr>
              <w:spacing w:after="0" w:line="240" w:lineRule="auto"/>
              <w:jc w:val="left"/>
              <w:rPr>
                <w:rFonts w:ascii="Arial" w:eastAsia="Arial" w:hAnsi="Arial" w:cs="Arial"/>
                <w:b/>
                <w:color w:val="000000"/>
                <w:sz w:val="22"/>
                <w:szCs w:val="22"/>
                <w:u w:val="single"/>
              </w:rPr>
            </w:pPr>
          </w:p>
        </w:tc>
        <w:tc>
          <w:tcPr>
            <w:tcW w:w="1139"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1CEC0554" w14:textId="77777777" w:rsidR="00F51FE3" w:rsidRDefault="00F51FE3">
            <w:pPr>
              <w:spacing w:after="0" w:line="240" w:lineRule="auto"/>
              <w:jc w:val="center"/>
              <w:rPr>
                <w:rFonts w:ascii="Arial" w:eastAsia="Arial" w:hAnsi="Arial" w:cs="Arial"/>
                <w:sz w:val="22"/>
                <w:szCs w:val="22"/>
              </w:rPr>
            </w:pPr>
          </w:p>
        </w:tc>
      </w:tr>
      <w:tr w:rsidR="00F51FE3" w14:paraId="157145C3"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666F9A77" w14:textId="77777777" w:rsidR="00F51FE3" w:rsidRDefault="00C3249C">
            <w:pPr>
              <w:spacing w:after="0" w:line="240" w:lineRule="auto"/>
              <w:jc w:val="left"/>
              <w:rPr>
                <w:rFonts w:ascii="Arial" w:eastAsia="Arial" w:hAnsi="Arial" w:cs="Arial"/>
                <w:i/>
                <w:color w:val="000000"/>
                <w:sz w:val="22"/>
                <w:szCs w:val="22"/>
                <w:u w:val="single"/>
              </w:rPr>
            </w:pPr>
            <w:r>
              <w:rPr>
                <w:rFonts w:ascii="Arial" w:eastAsia="Arial" w:hAnsi="Arial" w:cs="Arial"/>
                <w:i/>
                <w:color w:val="000000"/>
                <w:sz w:val="22"/>
                <w:szCs w:val="22"/>
                <w:u w:val="single"/>
              </w:rPr>
              <w:t>Current Liability:</w:t>
            </w:r>
          </w:p>
        </w:tc>
        <w:tc>
          <w:tcPr>
            <w:tcW w:w="1151"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6285C0C3" w14:textId="77777777" w:rsidR="00F51FE3" w:rsidRDefault="00F51FE3">
            <w:pPr>
              <w:spacing w:after="0" w:line="240" w:lineRule="auto"/>
              <w:jc w:val="left"/>
              <w:rPr>
                <w:rFonts w:ascii="Arial" w:eastAsia="Arial" w:hAnsi="Arial" w:cs="Arial"/>
                <w:i/>
                <w:color w:val="000000"/>
                <w:sz w:val="22"/>
                <w:szCs w:val="22"/>
                <w:u w:val="single"/>
              </w:rPr>
            </w:pPr>
          </w:p>
        </w:tc>
        <w:tc>
          <w:tcPr>
            <w:tcW w:w="1139"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4040EA82" w14:textId="77777777" w:rsidR="00F51FE3" w:rsidRDefault="00F51FE3">
            <w:pPr>
              <w:spacing w:after="0" w:line="240" w:lineRule="auto"/>
              <w:jc w:val="center"/>
              <w:rPr>
                <w:rFonts w:ascii="Arial" w:eastAsia="Arial" w:hAnsi="Arial" w:cs="Arial"/>
                <w:sz w:val="22"/>
                <w:szCs w:val="22"/>
              </w:rPr>
            </w:pPr>
          </w:p>
        </w:tc>
      </w:tr>
      <w:tr w:rsidR="00F51FE3" w14:paraId="4361E457"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358DF6B9"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Suspense account</w:t>
            </w:r>
          </w:p>
        </w:tc>
        <w:tc>
          <w:tcPr>
            <w:tcW w:w="1151"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223EE97B"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13780</w:t>
            </w:r>
          </w:p>
        </w:tc>
        <w:tc>
          <w:tcPr>
            <w:tcW w:w="1139"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628FD817" w14:textId="77777777" w:rsidR="00F51FE3" w:rsidRDefault="00F51FE3">
            <w:pPr>
              <w:spacing w:after="0" w:line="240" w:lineRule="auto"/>
              <w:jc w:val="center"/>
              <w:rPr>
                <w:rFonts w:ascii="Arial" w:eastAsia="Arial" w:hAnsi="Arial" w:cs="Arial"/>
                <w:color w:val="000000"/>
                <w:sz w:val="22"/>
                <w:szCs w:val="22"/>
              </w:rPr>
            </w:pPr>
          </w:p>
        </w:tc>
      </w:tr>
      <w:tr w:rsidR="00F51FE3" w14:paraId="63DE82D1"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1D81AC5C"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Trade Payables (creditors)</w:t>
            </w:r>
          </w:p>
        </w:tc>
        <w:tc>
          <w:tcPr>
            <w:tcW w:w="1151"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12BDF53B"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350000</w:t>
            </w:r>
          </w:p>
        </w:tc>
        <w:tc>
          <w:tcPr>
            <w:tcW w:w="1139"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1C758791" w14:textId="77777777" w:rsidR="00F51FE3" w:rsidRDefault="00F51FE3">
            <w:pPr>
              <w:spacing w:after="0" w:line="240" w:lineRule="auto"/>
              <w:jc w:val="center"/>
              <w:rPr>
                <w:rFonts w:ascii="Arial" w:eastAsia="Arial" w:hAnsi="Arial" w:cs="Arial"/>
                <w:color w:val="000000"/>
                <w:sz w:val="22"/>
                <w:szCs w:val="22"/>
              </w:rPr>
            </w:pPr>
          </w:p>
        </w:tc>
      </w:tr>
      <w:tr w:rsidR="00F51FE3" w14:paraId="63206F23"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6A4D6E28"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Outstanding rates</w:t>
            </w:r>
          </w:p>
        </w:tc>
        <w:tc>
          <w:tcPr>
            <w:tcW w:w="1151"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3787D364"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3220</w:t>
            </w:r>
          </w:p>
        </w:tc>
        <w:tc>
          <w:tcPr>
            <w:tcW w:w="1139"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70C57B84" w14:textId="77777777" w:rsidR="00F51FE3" w:rsidRDefault="00F51FE3">
            <w:pPr>
              <w:spacing w:after="0" w:line="240" w:lineRule="auto"/>
              <w:jc w:val="center"/>
              <w:rPr>
                <w:rFonts w:ascii="Arial" w:eastAsia="Arial" w:hAnsi="Arial" w:cs="Arial"/>
                <w:color w:val="000000"/>
                <w:sz w:val="22"/>
                <w:szCs w:val="22"/>
              </w:rPr>
            </w:pPr>
          </w:p>
        </w:tc>
      </w:tr>
      <w:tr w:rsidR="00F51FE3" w14:paraId="1192699E" w14:textId="77777777">
        <w:trPr>
          <w:trHeight w:val="315"/>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6E54790A" w14:textId="77777777" w:rsidR="00F51FE3" w:rsidRDefault="00C3249C">
            <w:pPr>
              <w:spacing w:after="0" w:line="240" w:lineRule="auto"/>
              <w:jc w:val="left"/>
              <w:rPr>
                <w:rFonts w:ascii="Arial" w:eastAsia="Arial" w:hAnsi="Arial" w:cs="Arial"/>
                <w:i/>
                <w:color w:val="000000"/>
                <w:sz w:val="22"/>
                <w:szCs w:val="22"/>
                <w:u w:val="single"/>
              </w:rPr>
            </w:pPr>
            <w:r>
              <w:rPr>
                <w:rFonts w:ascii="Arial" w:eastAsia="Arial" w:hAnsi="Arial" w:cs="Arial"/>
                <w:i/>
                <w:color w:val="000000"/>
                <w:sz w:val="22"/>
                <w:szCs w:val="22"/>
                <w:u w:val="single"/>
              </w:rPr>
              <w:t>Non-Current Liability:</w:t>
            </w:r>
          </w:p>
        </w:tc>
        <w:tc>
          <w:tcPr>
            <w:tcW w:w="1151"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39B460FB" w14:textId="77777777" w:rsidR="00F51FE3" w:rsidRDefault="00F51FE3">
            <w:pPr>
              <w:spacing w:after="0" w:line="240" w:lineRule="auto"/>
              <w:jc w:val="left"/>
              <w:rPr>
                <w:rFonts w:ascii="Arial" w:eastAsia="Arial" w:hAnsi="Arial" w:cs="Arial"/>
                <w:i/>
                <w:color w:val="000000"/>
                <w:sz w:val="22"/>
                <w:szCs w:val="22"/>
                <w:u w:val="single"/>
              </w:rPr>
            </w:pPr>
          </w:p>
        </w:tc>
        <w:tc>
          <w:tcPr>
            <w:tcW w:w="1139"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57F949D6" w14:textId="77777777" w:rsidR="00F51FE3" w:rsidRDefault="00F51FE3">
            <w:pPr>
              <w:spacing w:after="0" w:line="240" w:lineRule="auto"/>
              <w:jc w:val="center"/>
              <w:rPr>
                <w:rFonts w:ascii="Arial" w:eastAsia="Arial" w:hAnsi="Arial" w:cs="Arial"/>
                <w:sz w:val="22"/>
                <w:szCs w:val="22"/>
              </w:rPr>
            </w:pPr>
          </w:p>
        </w:tc>
      </w:tr>
      <w:tr w:rsidR="00F51FE3" w14:paraId="50DFEE06" w14:textId="77777777">
        <w:trPr>
          <w:trHeight w:val="315"/>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38EA81D4"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Long term loans</w:t>
            </w:r>
          </w:p>
        </w:tc>
        <w:tc>
          <w:tcPr>
            <w:tcW w:w="1151"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17837B09"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200000</w:t>
            </w:r>
          </w:p>
        </w:tc>
        <w:tc>
          <w:tcPr>
            <w:tcW w:w="1139"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2A13B3A8"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567000</w:t>
            </w:r>
          </w:p>
        </w:tc>
      </w:tr>
      <w:tr w:rsidR="00F51FE3" w14:paraId="5F2ECEEF" w14:textId="77777777">
        <w:trPr>
          <w:trHeight w:val="315"/>
          <w:jc w:val="center"/>
        </w:trPr>
        <w:tc>
          <w:tcPr>
            <w:tcW w:w="3380" w:type="dxa"/>
            <w:tcBorders>
              <w:top w:val="single" w:sz="4" w:space="0" w:color="4472C4"/>
              <w:left w:val="single" w:sz="4" w:space="0" w:color="A9D08E"/>
              <w:bottom w:val="single" w:sz="6" w:space="0" w:color="4472C4"/>
              <w:right w:val="single" w:sz="4" w:space="0" w:color="A9D08E"/>
            </w:tcBorders>
            <w:shd w:val="clear" w:color="auto" w:fill="C6E0B4"/>
            <w:vAlign w:val="bottom"/>
          </w:tcPr>
          <w:p w14:paraId="39BB4CA6" w14:textId="77777777" w:rsidR="00F51FE3" w:rsidRDefault="00C3249C">
            <w:pPr>
              <w:spacing w:after="0" w:line="240" w:lineRule="auto"/>
              <w:jc w:val="left"/>
              <w:rPr>
                <w:rFonts w:ascii="Arial" w:eastAsia="Arial" w:hAnsi="Arial" w:cs="Arial"/>
                <w:b/>
                <w:i/>
                <w:color w:val="000000"/>
                <w:sz w:val="22"/>
                <w:szCs w:val="22"/>
              </w:rPr>
            </w:pPr>
            <w:r>
              <w:rPr>
                <w:rFonts w:ascii="Arial" w:eastAsia="Arial" w:hAnsi="Arial" w:cs="Arial"/>
                <w:b/>
                <w:i/>
                <w:color w:val="000000"/>
                <w:sz w:val="22"/>
                <w:szCs w:val="22"/>
              </w:rPr>
              <w:t xml:space="preserve">NET Assets </w:t>
            </w:r>
          </w:p>
        </w:tc>
        <w:tc>
          <w:tcPr>
            <w:tcW w:w="1151" w:type="dxa"/>
            <w:tcBorders>
              <w:top w:val="single" w:sz="4" w:space="0" w:color="4472C4"/>
              <w:left w:val="single" w:sz="4" w:space="0" w:color="A9D08E"/>
              <w:bottom w:val="single" w:sz="6" w:space="0" w:color="4472C4"/>
              <w:right w:val="single" w:sz="4" w:space="0" w:color="A9D08E"/>
            </w:tcBorders>
            <w:shd w:val="clear" w:color="auto" w:fill="C6E0B4"/>
            <w:vAlign w:val="bottom"/>
          </w:tcPr>
          <w:p w14:paraId="6178486E" w14:textId="77777777" w:rsidR="00F51FE3" w:rsidRDefault="00C3249C">
            <w:pPr>
              <w:spacing w:after="0" w:line="240" w:lineRule="auto"/>
              <w:jc w:val="center"/>
              <w:rPr>
                <w:rFonts w:ascii="Arial" w:eastAsia="Arial" w:hAnsi="Arial" w:cs="Arial"/>
                <w:b/>
                <w:i/>
                <w:color w:val="000000"/>
                <w:sz w:val="22"/>
                <w:szCs w:val="22"/>
              </w:rPr>
            </w:pPr>
            <w:r>
              <w:rPr>
                <w:rFonts w:ascii="Arial" w:eastAsia="Arial" w:hAnsi="Arial" w:cs="Arial"/>
                <w:b/>
                <w:i/>
                <w:color w:val="000000"/>
                <w:sz w:val="22"/>
                <w:szCs w:val="22"/>
              </w:rPr>
              <w:t> </w:t>
            </w:r>
          </w:p>
        </w:tc>
        <w:tc>
          <w:tcPr>
            <w:tcW w:w="1139" w:type="dxa"/>
            <w:tcBorders>
              <w:top w:val="single" w:sz="4" w:space="0" w:color="4472C4"/>
              <w:left w:val="single" w:sz="4" w:space="0" w:color="A9D08E"/>
              <w:bottom w:val="single" w:sz="6" w:space="0" w:color="4472C4"/>
              <w:right w:val="single" w:sz="4" w:space="0" w:color="A9D08E"/>
            </w:tcBorders>
            <w:shd w:val="clear" w:color="auto" w:fill="C6E0B4"/>
            <w:vAlign w:val="bottom"/>
          </w:tcPr>
          <w:p w14:paraId="5E7F92C7" w14:textId="77777777" w:rsidR="00F51FE3" w:rsidRDefault="00C3249C">
            <w:pPr>
              <w:spacing w:after="0" w:line="240" w:lineRule="auto"/>
              <w:jc w:val="center"/>
              <w:rPr>
                <w:rFonts w:ascii="Arial" w:eastAsia="Arial" w:hAnsi="Arial" w:cs="Arial"/>
                <w:b/>
                <w:i/>
                <w:color w:val="000000"/>
                <w:sz w:val="22"/>
                <w:szCs w:val="22"/>
              </w:rPr>
            </w:pPr>
            <w:r>
              <w:rPr>
                <w:rFonts w:ascii="Arial" w:eastAsia="Arial" w:hAnsi="Arial" w:cs="Arial"/>
                <w:b/>
                <w:i/>
                <w:color w:val="000000"/>
                <w:sz w:val="22"/>
                <w:szCs w:val="22"/>
              </w:rPr>
              <w:t>723780</w:t>
            </w:r>
          </w:p>
        </w:tc>
      </w:tr>
      <w:tr w:rsidR="00F51FE3" w14:paraId="37F52598" w14:textId="77777777">
        <w:trPr>
          <w:trHeight w:val="315"/>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21C57D38" w14:textId="77777777" w:rsidR="00F51FE3" w:rsidRDefault="00C3249C">
            <w:pPr>
              <w:spacing w:after="0" w:line="240" w:lineRule="auto"/>
              <w:jc w:val="left"/>
              <w:rPr>
                <w:rFonts w:ascii="Arial" w:eastAsia="Arial" w:hAnsi="Arial" w:cs="Arial"/>
                <w:b/>
                <w:color w:val="000000"/>
                <w:sz w:val="22"/>
                <w:szCs w:val="22"/>
                <w:u w:val="single"/>
              </w:rPr>
            </w:pPr>
            <w:r>
              <w:rPr>
                <w:rFonts w:ascii="Arial" w:eastAsia="Arial" w:hAnsi="Arial" w:cs="Arial"/>
                <w:b/>
                <w:color w:val="000000"/>
                <w:sz w:val="22"/>
                <w:szCs w:val="22"/>
                <w:u w:val="single"/>
              </w:rPr>
              <w:t>Capital/</w:t>
            </w:r>
            <w:proofErr w:type="gramStart"/>
            <w:r>
              <w:rPr>
                <w:rFonts w:ascii="Arial" w:eastAsia="Arial" w:hAnsi="Arial" w:cs="Arial"/>
                <w:b/>
                <w:color w:val="000000"/>
                <w:sz w:val="22"/>
                <w:szCs w:val="22"/>
                <w:u w:val="single"/>
              </w:rPr>
              <w:t>Equity:-</w:t>
            </w:r>
            <w:proofErr w:type="gramEnd"/>
          </w:p>
        </w:tc>
        <w:tc>
          <w:tcPr>
            <w:tcW w:w="1151"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30619161" w14:textId="77777777" w:rsidR="00F51FE3" w:rsidRDefault="00F51FE3">
            <w:pPr>
              <w:spacing w:after="0" w:line="240" w:lineRule="auto"/>
              <w:jc w:val="left"/>
              <w:rPr>
                <w:rFonts w:ascii="Arial" w:eastAsia="Arial" w:hAnsi="Arial" w:cs="Arial"/>
                <w:b/>
                <w:color w:val="000000"/>
                <w:sz w:val="22"/>
                <w:szCs w:val="22"/>
                <w:u w:val="single"/>
              </w:rPr>
            </w:pPr>
          </w:p>
        </w:tc>
        <w:tc>
          <w:tcPr>
            <w:tcW w:w="1139"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2A130D62" w14:textId="77777777" w:rsidR="00F51FE3" w:rsidRDefault="00F51FE3">
            <w:pPr>
              <w:spacing w:after="0" w:line="240" w:lineRule="auto"/>
              <w:jc w:val="center"/>
              <w:rPr>
                <w:rFonts w:ascii="Arial" w:eastAsia="Arial" w:hAnsi="Arial" w:cs="Arial"/>
                <w:sz w:val="22"/>
                <w:szCs w:val="22"/>
              </w:rPr>
            </w:pPr>
          </w:p>
        </w:tc>
      </w:tr>
      <w:tr w:rsidR="00F51FE3" w14:paraId="24071EE4"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52B00C83"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Share Capital</w:t>
            </w:r>
          </w:p>
        </w:tc>
        <w:tc>
          <w:tcPr>
            <w:tcW w:w="1151"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46DCE4B1"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347900</w:t>
            </w:r>
          </w:p>
        </w:tc>
        <w:tc>
          <w:tcPr>
            <w:tcW w:w="1139"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233E31BF" w14:textId="77777777" w:rsidR="00F51FE3" w:rsidRDefault="00F51FE3">
            <w:pPr>
              <w:spacing w:after="0" w:line="240" w:lineRule="auto"/>
              <w:jc w:val="center"/>
              <w:rPr>
                <w:rFonts w:ascii="Arial" w:eastAsia="Arial" w:hAnsi="Arial" w:cs="Arial"/>
                <w:color w:val="000000"/>
                <w:sz w:val="22"/>
                <w:szCs w:val="22"/>
              </w:rPr>
            </w:pPr>
          </w:p>
        </w:tc>
      </w:tr>
      <w:tr w:rsidR="00F51FE3" w14:paraId="33EC4D54"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4038D4A3" w14:textId="77777777" w:rsidR="00F51FE3" w:rsidRDefault="00C3249C">
            <w:pPr>
              <w:spacing w:after="0" w:line="240" w:lineRule="auto"/>
              <w:jc w:val="left"/>
              <w:rPr>
                <w:rFonts w:ascii="Arial" w:eastAsia="Arial" w:hAnsi="Arial" w:cs="Arial"/>
                <w:i/>
                <w:color w:val="000000"/>
                <w:sz w:val="22"/>
                <w:szCs w:val="22"/>
              </w:rPr>
            </w:pPr>
            <w:r>
              <w:rPr>
                <w:rFonts w:ascii="Arial" w:eastAsia="Arial" w:hAnsi="Arial" w:cs="Arial"/>
                <w:i/>
                <w:color w:val="000000"/>
                <w:sz w:val="22"/>
                <w:szCs w:val="22"/>
              </w:rPr>
              <w:t>{Add}: Net Profits</w:t>
            </w:r>
          </w:p>
        </w:tc>
        <w:tc>
          <w:tcPr>
            <w:tcW w:w="1151" w:type="dxa"/>
            <w:tcBorders>
              <w:top w:val="single" w:sz="4" w:space="0" w:color="A9D08E"/>
              <w:left w:val="single" w:sz="4" w:space="0" w:color="A9D08E"/>
              <w:bottom w:val="single" w:sz="4" w:space="0" w:color="000000"/>
              <w:right w:val="single" w:sz="4" w:space="0" w:color="A9D08E"/>
            </w:tcBorders>
            <w:shd w:val="clear" w:color="auto" w:fill="E2EFDA"/>
            <w:vAlign w:val="bottom"/>
          </w:tcPr>
          <w:p w14:paraId="5F4259D0"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125880</w:t>
            </w:r>
          </w:p>
        </w:tc>
        <w:tc>
          <w:tcPr>
            <w:tcW w:w="1139"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0F7C7049"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473780</w:t>
            </w:r>
          </w:p>
        </w:tc>
      </w:tr>
      <w:tr w:rsidR="00F51FE3" w14:paraId="33859B0B"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0B5F5AD2"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Retained Profits</w:t>
            </w:r>
          </w:p>
        </w:tc>
        <w:tc>
          <w:tcPr>
            <w:tcW w:w="1151"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642BF2D1" w14:textId="77777777" w:rsidR="00F51FE3" w:rsidRDefault="00F51FE3">
            <w:pPr>
              <w:spacing w:after="0" w:line="240" w:lineRule="auto"/>
              <w:jc w:val="left"/>
              <w:rPr>
                <w:rFonts w:ascii="Arial" w:eastAsia="Arial" w:hAnsi="Arial" w:cs="Arial"/>
                <w:color w:val="000000"/>
                <w:sz w:val="22"/>
                <w:szCs w:val="22"/>
              </w:rPr>
            </w:pPr>
          </w:p>
        </w:tc>
        <w:tc>
          <w:tcPr>
            <w:tcW w:w="1139"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050F358A"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50000</w:t>
            </w:r>
          </w:p>
        </w:tc>
      </w:tr>
      <w:tr w:rsidR="00F51FE3" w14:paraId="18E5DBCB"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2799B968"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Share Premium</w:t>
            </w:r>
          </w:p>
        </w:tc>
        <w:tc>
          <w:tcPr>
            <w:tcW w:w="1151"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4F6A9E67" w14:textId="77777777" w:rsidR="00F51FE3" w:rsidRDefault="00F51FE3">
            <w:pPr>
              <w:spacing w:after="0" w:line="240" w:lineRule="auto"/>
              <w:jc w:val="left"/>
              <w:rPr>
                <w:rFonts w:ascii="Arial" w:eastAsia="Arial" w:hAnsi="Arial" w:cs="Arial"/>
                <w:color w:val="000000"/>
                <w:sz w:val="22"/>
                <w:szCs w:val="22"/>
              </w:rPr>
            </w:pPr>
          </w:p>
        </w:tc>
        <w:tc>
          <w:tcPr>
            <w:tcW w:w="1139" w:type="dxa"/>
            <w:tcBorders>
              <w:top w:val="single" w:sz="4" w:space="0" w:color="A9D08E"/>
              <w:left w:val="single" w:sz="4" w:space="0" w:color="A9D08E"/>
              <w:bottom w:val="single" w:sz="4" w:space="0" w:color="A9D08E"/>
              <w:right w:val="single" w:sz="4" w:space="0" w:color="A9D08E"/>
            </w:tcBorders>
            <w:shd w:val="clear" w:color="auto" w:fill="E2EFDA"/>
            <w:vAlign w:val="bottom"/>
          </w:tcPr>
          <w:p w14:paraId="484BA42B"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100000</w:t>
            </w:r>
          </w:p>
        </w:tc>
      </w:tr>
      <w:tr w:rsidR="00F51FE3" w14:paraId="65DEFEF3" w14:textId="77777777">
        <w:trPr>
          <w:trHeight w:val="300"/>
          <w:jc w:val="center"/>
        </w:trPr>
        <w:tc>
          <w:tcPr>
            <w:tcW w:w="3380"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452DA9E0" w14:textId="77777777" w:rsidR="00F51FE3" w:rsidRDefault="00C3249C">
            <w:pPr>
              <w:spacing w:after="0" w:line="240" w:lineRule="auto"/>
              <w:jc w:val="left"/>
              <w:rPr>
                <w:rFonts w:ascii="Arial" w:eastAsia="Arial" w:hAnsi="Arial" w:cs="Arial"/>
                <w:color w:val="000000"/>
                <w:sz w:val="22"/>
                <w:szCs w:val="22"/>
              </w:rPr>
            </w:pPr>
            <w:r>
              <w:rPr>
                <w:rFonts w:ascii="Arial" w:eastAsia="Arial" w:hAnsi="Arial" w:cs="Arial"/>
                <w:color w:val="000000"/>
                <w:sz w:val="22"/>
                <w:szCs w:val="22"/>
              </w:rPr>
              <w:t>Revaluation Reserve</w:t>
            </w:r>
          </w:p>
        </w:tc>
        <w:tc>
          <w:tcPr>
            <w:tcW w:w="1151"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03DAD9E2" w14:textId="77777777" w:rsidR="00F51FE3" w:rsidRDefault="00F51FE3">
            <w:pPr>
              <w:spacing w:after="0" w:line="240" w:lineRule="auto"/>
              <w:jc w:val="left"/>
              <w:rPr>
                <w:rFonts w:ascii="Arial" w:eastAsia="Arial" w:hAnsi="Arial" w:cs="Arial"/>
                <w:color w:val="000000"/>
                <w:sz w:val="22"/>
                <w:szCs w:val="22"/>
              </w:rPr>
            </w:pPr>
          </w:p>
        </w:tc>
        <w:tc>
          <w:tcPr>
            <w:tcW w:w="1139" w:type="dxa"/>
            <w:tcBorders>
              <w:top w:val="single" w:sz="4" w:space="0" w:color="A9D08E"/>
              <w:left w:val="single" w:sz="4" w:space="0" w:color="A9D08E"/>
              <w:bottom w:val="single" w:sz="4" w:space="0" w:color="A9D08E"/>
              <w:right w:val="single" w:sz="4" w:space="0" w:color="A9D08E"/>
            </w:tcBorders>
            <w:shd w:val="clear" w:color="auto" w:fill="C6E0B4"/>
            <w:vAlign w:val="bottom"/>
          </w:tcPr>
          <w:p w14:paraId="7DE56EF7" w14:textId="77777777" w:rsidR="00F51FE3" w:rsidRDefault="00C3249C">
            <w:pPr>
              <w:spacing w:after="0" w:line="240" w:lineRule="auto"/>
              <w:jc w:val="center"/>
              <w:rPr>
                <w:rFonts w:ascii="Arial" w:eastAsia="Arial" w:hAnsi="Arial" w:cs="Arial"/>
                <w:color w:val="000000"/>
                <w:sz w:val="22"/>
                <w:szCs w:val="22"/>
              </w:rPr>
            </w:pPr>
            <w:r>
              <w:rPr>
                <w:rFonts w:ascii="Arial" w:eastAsia="Arial" w:hAnsi="Arial" w:cs="Arial"/>
                <w:color w:val="000000"/>
                <w:sz w:val="22"/>
                <w:szCs w:val="22"/>
              </w:rPr>
              <w:t>100000</w:t>
            </w:r>
          </w:p>
        </w:tc>
      </w:tr>
      <w:tr w:rsidR="00F51FE3" w14:paraId="61FE8205" w14:textId="77777777">
        <w:trPr>
          <w:trHeight w:val="315"/>
          <w:jc w:val="center"/>
        </w:trPr>
        <w:tc>
          <w:tcPr>
            <w:tcW w:w="3380" w:type="dxa"/>
            <w:tcBorders>
              <w:top w:val="single" w:sz="4" w:space="0" w:color="4472C4"/>
              <w:left w:val="single" w:sz="4" w:space="0" w:color="A9D08E"/>
              <w:bottom w:val="single" w:sz="6" w:space="0" w:color="4472C4"/>
              <w:right w:val="single" w:sz="4" w:space="0" w:color="A9D08E"/>
            </w:tcBorders>
            <w:shd w:val="clear" w:color="auto" w:fill="E2EFDA"/>
            <w:vAlign w:val="bottom"/>
          </w:tcPr>
          <w:p w14:paraId="36E7AEFB" w14:textId="77777777" w:rsidR="00F51FE3" w:rsidRDefault="00C3249C">
            <w:pPr>
              <w:spacing w:after="0" w:line="240" w:lineRule="auto"/>
              <w:jc w:val="left"/>
              <w:rPr>
                <w:rFonts w:ascii="Arial" w:eastAsia="Arial" w:hAnsi="Arial" w:cs="Arial"/>
                <w:b/>
                <w:i/>
                <w:color w:val="000000"/>
                <w:sz w:val="22"/>
                <w:szCs w:val="22"/>
              </w:rPr>
            </w:pPr>
            <w:r>
              <w:rPr>
                <w:rFonts w:ascii="Arial" w:eastAsia="Arial" w:hAnsi="Arial" w:cs="Arial"/>
                <w:b/>
                <w:i/>
                <w:color w:val="000000"/>
                <w:sz w:val="22"/>
                <w:szCs w:val="22"/>
              </w:rPr>
              <w:t>TOTAL Capital/Equity</w:t>
            </w:r>
          </w:p>
        </w:tc>
        <w:tc>
          <w:tcPr>
            <w:tcW w:w="1151" w:type="dxa"/>
            <w:tcBorders>
              <w:top w:val="single" w:sz="4" w:space="0" w:color="4472C4"/>
              <w:left w:val="single" w:sz="4" w:space="0" w:color="A9D08E"/>
              <w:bottom w:val="single" w:sz="6" w:space="0" w:color="4472C4"/>
              <w:right w:val="single" w:sz="4" w:space="0" w:color="A9D08E"/>
            </w:tcBorders>
            <w:shd w:val="clear" w:color="auto" w:fill="E2EFDA"/>
            <w:vAlign w:val="bottom"/>
          </w:tcPr>
          <w:p w14:paraId="7130B2F0" w14:textId="77777777" w:rsidR="00F51FE3" w:rsidRDefault="00C3249C">
            <w:pPr>
              <w:spacing w:after="0" w:line="240" w:lineRule="auto"/>
              <w:jc w:val="center"/>
              <w:rPr>
                <w:rFonts w:ascii="Arial" w:eastAsia="Arial" w:hAnsi="Arial" w:cs="Arial"/>
                <w:b/>
                <w:i/>
                <w:color w:val="000000"/>
                <w:sz w:val="22"/>
                <w:szCs w:val="22"/>
              </w:rPr>
            </w:pPr>
            <w:r>
              <w:rPr>
                <w:rFonts w:ascii="Arial" w:eastAsia="Arial" w:hAnsi="Arial" w:cs="Arial"/>
                <w:b/>
                <w:i/>
                <w:color w:val="000000"/>
                <w:sz w:val="22"/>
                <w:szCs w:val="22"/>
              </w:rPr>
              <w:t> </w:t>
            </w:r>
          </w:p>
        </w:tc>
        <w:tc>
          <w:tcPr>
            <w:tcW w:w="1139" w:type="dxa"/>
            <w:tcBorders>
              <w:top w:val="single" w:sz="4" w:space="0" w:color="4472C4"/>
              <w:left w:val="single" w:sz="4" w:space="0" w:color="A9D08E"/>
              <w:bottom w:val="single" w:sz="6" w:space="0" w:color="4472C4"/>
              <w:right w:val="single" w:sz="4" w:space="0" w:color="A9D08E"/>
            </w:tcBorders>
            <w:shd w:val="clear" w:color="auto" w:fill="E2EFDA"/>
            <w:vAlign w:val="bottom"/>
          </w:tcPr>
          <w:p w14:paraId="744DA6A2" w14:textId="77777777" w:rsidR="00F51FE3" w:rsidRDefault="00C3249C">
            <w:pPr>
              <w:spacing w:after="0" w:line="240" w:lineRule="auto"/>
              <w:jc w:val="center"/>
              <w:rPr>
                <w:rFonts w:ascii="Arial" w:eastAsia="Arial" w:hAnsi="Arial" w:cs="Arial"/>
                <w:b/>
                <w:i/>
                <w:color w:val="000000"/>
                <w:sz w:val="22"/>
                <w:szCs w:val="22"/>
              </w:rPr>
            </w:pPr>
            <w:r>
              <w:rPr>
                <w:rFonts w:ascii="Arial" w:eastAsia="Arial" w:hAnsi="Arial" w:cs="Arial"/>
                <w:b/>
                <w:i/>
                <w:color w:val="000000"/>
                <w:sz w:val="22"/>
                <w:szCs w:val="22"/>
              </w:rPr>
              <w:t>723780</w:t>
            </w:r>
          </w:p>
        </w:tc>
      </w:tr>
    </w:tbl>
    <w:p w14:paraId="7BCEECAE" w14:textId="77777777" w:rsidR="00F51FE3" w:rsidRDefault="00F51FE3">
      <w:pPr>
        <w:rPr>
          <w:rFonts w:ascii="Arial" w:eastAsia="Arial" w:hAnsi="Arial" w:cs="Arial"/>
          <w:sz w:val="22"/>
          <w:szCs w:val="22"/>
        </w:rPr>
      </w:pPr>
    </w:p>
    <w:p w14:paraId="4C5ABA82" w14:textId="77777777" w:rsidR="00F51FE3" w:rsidRDefault="00C3249C">
      <w:pPr>
        <w:rPr>
          <w:rFonts w:ascii="Arial" w:eastAsia="Arial" w:hAnsi="Arial" w:cs="Arial"/>
          <w:sz w:val="22"/>
          <w:szCs w:val="22"/>
        </w:rPr>
      </w:pPr>
      <w:r>
        <w:rPr>
          <w:rFonts w:ascii="Arial" w:eastAsia="Arial" w:hAnsi="Arial" w:cs="Arial"/>
          <w:sz w:val="22"/>
          <w:szCs w:val="22"/>
        </w:rPr>
        <w:lastRenderedPageBreak/>
        <w:t xml:space="preserve">The field of accounting holds numerous guidelines and </w:t>
      </w:r>
      <w:r>
        <w:rPr>
          <w:rFonts w:ascii="Arial" w:eastAsia="Arial" w:hAnsi="Arial" w:cs="Arial"/>
          <w:b/>
          <w:sz w:val="22"/>
          <w:szCs w:val="22"/>
        </w:rPr>
        <w:t>principles</w:t>
      </w:r>
      <w:r>
        <w:rPr>
          <w:rFonts w:ascii="Arial" w:eastAsia="Arial" w:hAnsi="Arial" w:cs="Arial"/>
          <w:sz w:val="22"/>
          <w:szCs w:val="22"/>
        </w:rPr>
        <w:t xml:space="preserve"> upon which its conductance is based. During the creation or construction of the financial statements, this range of accounting principles is critically utilised to bring a </w:t>
      </w:r>
      <w:r>
        <w:rPr>
          <w:rFonts w:ascii="Arial" w:eastAsia="Arial" w:hAnsi="Arial" w:cs="Arial"/>
          <w:b/>
          <w:sz w:val="22"/>
          <w:szCs w:val="22"/>
        </w:rPr>
        <w:t>synchronised compar</w:t>
      </w:r>
      <w:r>
        <w:rPr>
          <w:rFonts w:ascii="Arial" w:eastAsia="Arial" w:hAnsi="Arial" w:cs="Arial"/>
          <w:b/>
          <w:sz w:val="22"/>
          <w:szCs w:val="22"/>
        </w:rPr>
        <w:t>ative feature</w:t>
      </w:r>
      <w:r>
        <w:rPr>
          <w:rFonts w:ascii="Arial" w:eastAsia="Arial" w:hAnsi="Arial" w:cs="Arial"/>
          <w:sz w:val="22"/>
          <w:szCs w:val="22"/>
        </w:rPr>
        <w:t xml:space="preserve">. Some of the principles of accounting might include concepts, consistency, materiality, monetary unit and many others. </w:t>
      </w:r>
      <w:r>
        <w:rPr>
          <w:rFonts w:ascii="Arial" w:eastAsia="Arial" w:hAnsi="Arial" w:cs="Arial"/>
          <w:b/>
          <w:sz w:val="22"/>
          <w:szCs w:val="22"/>
        </w:rPr>
        <w:t>“Accrual basis</w:t>
      </w:r>
      <w:r>
        <w:rPr>
          <w:rFonts w:ascii="Arial" w:eastAsia="Arial" w:hAnsi="Arial" w:cs="Arial"/>
          <w:sz w:val="22"/>
          <w:szCs w:val="22"/>
        </w:rPr>
        <w:t xml:space="preserve"> </w:t>
      </w:r>
      <w:r>
        <w:rPr>
          <w:rFonts w:ascii="Arial" w:eastAsia="Arial" w:hAnsi="Arial" w:cs="Arial"/>
          <w:b/>
          <w:sz w:val="22"/>
          <w:szCs w:val="22"/>
        </w:rPr>
        <w:t>concept”</w:t>
      </w:r>
      <w:r>
        <w:rPr>
          <w:rFonts w:ascii="Arial" w:eastAsia="Arial" w:hAnsi="Arial" w:cs="Arial"/>
          <w:sz w:val="22"/>
          <w:szCs w:val="22"/>
        </w:rPr>
        <w:t xml:space="preserve"> is one of the most crucial accounting principles that almost all businesses utilising double-entry </w:t>
      </w:r>
      <w:r>
        <w:rPr>
          <w:rFonts w:ascii="Arial" w:eastAsia="Arial" w:hAnsi="Arial" w:cs="Arial"/>
          <w:sz w:val="22"/>
          <w:szCs w:val="22"/>
        </w:rPr>
        <w:t>accounting follow. It implies that during the creation of the relevant financial statements, businesses like General Supplies Ltd. will need to consider all the actual earnings received in hand along with the earnings that are confirmed and promised for th</w:t>
      </w:r>
      <w:r>
        <w:rPr>
          <w:rFonts w:ascii="Arial" w:eastAsia="Arial" w:hAnsi="Arial" w:cs="Arial"/>
          <w:sz w:val="22"/>
          <w:szCs w:val="22"/>
        </w:rPr>
        <w:t xml:space="preserve">e future (Grigg, 2020). The latter kind of earning is </w:t>
      </w:r>
      <w:r>
        <w:rPr>
          <w:rFonts w:ascii="Arial" w:eastAsia="Arial" w:hAnsi="Arial" w:cs="Arial"/>
          <w:b/>
          <w:sz w:val="22"/>
          <w:szCs w:val="22"/>
        </w:rPr>
        <w:t>not actually received</w:t>
      </w:r>
      <w:r>
        <w:rPr>
          <w:rFonts w:ascii="Arial" w:eastAsia="Arial" w:hAnsi="Arial" w:cs="Arial"/>
          <w:sz w:val="22"/>
          <w:szCs w:val="22"/>
        </w:rPr>
        <w:t xml:space="preserve"> in hand at the present date. It must be mentioned that the creation of the financial statements under the stated principle is declared as standard under the </w:t>
      </w:r>
      <w:r>
        <w:rPr>
          <w:rFonts w:ascii="Arial" w:eastAsia="Arial" w:hAnsi="Arial" w:cs="Arial"/>
          <w:b/>
          <w:sz w:val="22"/>
          <w:szCs w:val="22"/>
        </w:rPr>
        <w:t xml:space="preserve">GAAP </w:t>
      </w:r>
      <w:r>
        <w:rPr>
          <w:rFonts w:ascii="Arial" w:eastAsia="Arial" w:hAnsi="Arial" w:cs="Arial"/>
          <w:sz w:val="22"/>
          <w:szCs w:val="22"/>
        </w:rPr>
        <w:t>and the</w:t>
      </w:r>
      <w:r>
        <w:rPr>
          <w:rFonts w:ascii="Arial" w:eastAsia="Arial" w:hAnsi="Arial" w:cs="Arial"/>
          <w:b/>
          <w:sz w:val="22"/>
          <w:szCs w:val="22"/>
        </w:rPr>
        <w:t xml:space="preserve"> IFRS rules</w:t>
      </w:r>
      <w:r>
        <w:rPr>
          <w:rFonts w:ascii="Arial" w:eastAsia="Arial" w:hAnsi="Arial" w:cs="Arial"/>
          <w:sz w:val="22"/>
          <w:szCs w:val="22"/>
        </w:rPr>
        <w:t xml:space="preserve"> and guidelines. There, however, stands a critical difference between accounting on a cash basis and the one on an accrual basis. </w:t>
      </w:r>
      <w:r>
        <w:rPr>
          <w:rFonts w:ascii="Arial" w:eastAsia="Arial" w:hAnsi="Arial" w:cs="Arial"/>
          <w:b/>
          <w:sz w:val="22"/>
          <w:szCs w:val="22"/>
        </w:rPr>
        <w:t>Cash basis</w:t>
      </w:r>
      <w:r>
        <w:rPr>
          <w:rFonts w:ascii="Arial" w:eastAsia="Arial" w:hAnsi="Arial" w:cs="Arial"/>
          <w:sz w:val="22"/>
          <w:szCs w:val="22"/>
        </w:rPr>
        <w:t>, unlike accrual accounting basis, solely considers all those financial earnings or payments that have been done imm</w:t>
      </w:r>
      <w:r>
        <w:rPr>
          <w:rFonts w:ascii="Arial" w:eastAsia="Arial" w:hAnsi="Arial" w:cs="Arial"/>
          <w:sz w:val="22"/>
          <w:szCs w:val="22"/>
        </w:rPr>
        <w:t xml:space="preserve">ediately </w:t>
      </w:r>
      <w:r>
        <w:rPr>
          <w:rFonts w:ascii="Arial" w:eastAsia="Arial" w:hAnsi="Arial" w:cs="Arial"/>
          <w:b/>
          <w:sz w:val="22"/>
          <w:szCs w:val="22"/>
        </w:rPr>
        <w:t>on spot</w:t>
      </w:r>
      <w:r>
        <w:rPr>
          <w:rFonts w:ascii="Arial" w:eastAsia="Arial" w:hAnsi="Arial" w:cs="Arial"/>
          <w:sz w:val="22"/>
          <w:szCs w:val="22"/>
        </w:rPr>
        <w:t xml:space="preserve">. </w:t>
      </w:r>
    </w:p>
    <w:p w14:paraId="4FB1EB43" w14:textId="77777777" w:rsidR="00F51FE3" w:rsidRDefault="00C3249C">
      <w:pPr>
        <w:rPr>
          <w:rFonts w:ascii="Arial" w:eastAsia="Arial" w:hAnsi="Arial" w:cs="Arial"/>
          <w:sz w:val="22"/>
          <w:szCs w:val="22"/>
        </w:rPr>
      </w:pPr>
      <w:r>
        <w:rPr>
          <w:rFonts w:ascii="Arial" w:eastAsia="Arial" w:hAnsi="Arial" w:cs="Arial"/>
          <w:b/>
          <w:sz w:val="22"/>
          <w:szCs w:val="22"/>
        </w:rPr>
        <w:t>“Consistency”</w:t>
      </w:r>
      <w:r>
        <w:rPr>
          <w:rFonts w:ascii="Arial" w:eastAsia="Arial" w:hAnsi="Arial" w:cs="Arial"/>
          <w:sz w:val="22"/>
          <w:szCs w:val="22"/>
        </w:rPr>
        <w:t xml:space="preserve"> makes up the other most pivotal principle that is to be maintained and followed in the field of accountancy, especially during the creation of financial statements. The pivotal rule of this principle is to retain a constant</w:t>
      </w:r>
      <w:r>
        <w:rPr>
          <w:rFonts w:ascii="Arial" w:eastAsia="Arial" w:hAnsi="Arial" w:cs="Arial"/>
          <w:sz w:val="22"/>
          <w:szCs w:val="22"/>
        </w:rPr>
        <w:t xml:space="preserve"> </w:t>
      </w:r>
      <w:r>
        <w:rPr>
          <w:rFonts w:ascii="Arial" w:eastAsia="Arial" w:hAnsi="Arial" w:cs="Arial"/>
          <w:b/>
          <w:sz w:val="22"/>
          <w:szCs w:val="22"/>
        </w:rPr>
        <w:t>uniformity</w:t>
      </w:r>
      <w:r>
        <w:rPr>
          <w:rFonts w:ascii="Arial" w:eastAsia="Arial" w:hAnsi="Arial" w:cs="Arial"/>
          <w:sz w:val="22"/>
          <w:szCs w:val="22"/>
        </w:rPr>
        <w:t xml:space="preserve"> in the</w:t>
      </w:r>
      <w:r>
        <w:rPr>
          <w:rFonts w:ascii="Arial" w:eastAsia="Arial" w:hAnsi="Arial" w:cs="Arial"/>
          <w:b/>
          <w:sz w:val="22"/>
          <w:szCs w:val="22"/>
        </w:rPr>
        <w:t xml:space="preserve"> presentation</w:t>
      </w:r>
      <w:r>
        <w:rPr>
          <w:rFonts w:ascii="Arial" w:eastAsia="Arial" w:hAnsi="Arial" w:cs="Arial"/>
          <w:sz w:val="22"/>
          <w:szCs w:val="22"/>
        </w:rPr>
        <w:t xml:space="preserve"> of the accounting data in the created financial </w:t>
      </w:r>
      <w:proofErr w:type="gramStart"/>
      <w:r>
        <w:rPr>
          <w:rFonts w:ascii="Arial" w:eastAsia="Arial" w:hAnsi="Arial" w:cs="Arial"/>
          <w:sz w:val="22"/>
          <w:szCs w:val="22"/>
        </w:rPr>
        <w:t>statements(</w:t>
      </w:r>
      <w:proofErr w:type="gramEnd"/>
      <w:r>
        <w:rPr>
          <w:rFonts w:ascii="Arial" w:eastAsia="Arial" w:hAnsi="Arial" w:cs="Arial"/>
          <w:sz w:val="22"/>
          <w:szCs w:val="22"/>
          <w:highlight w:val="white"/>
        </w:rPr>
        <w:t>Weygandt, et. al., 2019</w:t>
      </w:r>
      <w:r>
        <w:rPr>
          <w:rFonts w:ascii="Arial" w:eastAsia="Arial" w:hAnsi="Arial" w:cs="Arial"/>
          <w:sz w:val="22"/>
          <w:szCs w:val="22"/>
        </w:rPr>
        <w:t xml:space="preserve">). This implies that the business General Supplies Ltd. needs to </w:t>
      </w:r>
      <w:r>
        <w:rPr>
          <w:rFonts w:ascii="Arial" w:eastAsia="Arial" w:hAnsi="Arial" w:cs="Arial"/>
          <w:b/>
          <w:sz w:val="22"/>
          <w:szCs w:val="22"/>
        </w:rPr>
        <w:t xml:space="preserve">accurately </w:t>
      </w:r>
      <w:r>
        <w:rPr>
          <w:rFonts w:ascii="Arial" w:eastAsia="Arial" w:hAnsi="Arial" w:cs="Arial"/>
          <w:sz w:val="22"/>
          <w:szCs w:val="22"/>
        </w:rPr>
        <w:t xml:space="preserve">check and </w:t>
      </w:r>
      <w:r>
        <w:rPr>
          <w:rFonts w:ascii="Arial" w:eastAsia="Arial" w:hAnsi="Arial" w:cs="Arial"/>
          <w:b/>
          <w:sz w:val="22"/>
          <w:szCs w:val="22"/>
        </w:rPr>
        <w:t>verify</w:t>
      </w:r>
      <w:r>
        <w:rPr>
          <w:rFonts w:ascii="Arial" w:eastAsia="Arial" w:hAnsi="Arial" w:cs="Arial"/>
          <w:sz w:val="22"/>
          <w:szCs w:val="22"/>
        </w:rPr>
        <w:t xml:space="preserve"> its range of accounting information and details w</w:t>
      </w:r>
      <w:r>
        <w:rPr>
          <w:rFonts w:ascii="Arial" w:eastAsia="Arial" w:hAnsi="Arial" w:cs="Arial"/>
          <w:sz w:val="22"/>
          <w:szCs w:val="22"/>
        </w:rPr>
        <w:t xml:space="preserve">ith the recorded evidence before making final entries in its financial reports of accounts. During the procedure of bookkeeping and creation of financial statements, businesses tend to make financial entries in a </w:t>
      </w:r>
      <w:r>
        <w:rPr>
          <w:rFonts w:ascii="Arial" w:eastAsia="Arial" w:hAnsi="Arial" w:cs="Arial"/>
          <w:b/>
          <w:sz w:val="22"/>
          <w:szCs w:val="22"/>
        </w:rPr>
        <w:t>timely</w:t>
      </w:r>
      <w:r>
        <w:rPr>
          <w:rFonts w:ascii="Arial" w:eastAsia="Arial" w:hAnsi="Arial" w:cs="Arial"/>
          <w:sz w:val="22"/>
          <w:szCs w:val="22"/>
        </w:rPr>
        <w:t xml:space="preserve"> and chronological manner. At that ti</w:t>
      </w:r>
      <w:r>
        <w:rPr>
          <w:rFonts w:ascii="Arial" w:eastAsia="Arial" w:hAnsi="Arial" w:cs="Arial"/>
          <w:sz w:val="22"/>
          <w:szCs w:val="22"/>
        </w:rPr>
        <w:t xml:space="preserve">me, the business simultaneously compares any relevant material information from the </w:t>
      </w:r>
      <w:r>
        <w:rPr>
          <w:rFonts w:ascii="Arial" w:eastAsia="Arial" w:hAnsi="Arial" w:cs="Arial"/>
          <w:b/>
          <w:sz w:val="22"/>
          <w:szCs w:val="22"/>
        </w:rPr>
        <w:t>historical records</w:t>
      </w:r>
      <w:r>
        <w:rPr>
          <w:rFonts w:ascii="Arial" w:eastAsia="Arial" w:hAnsi="Arial" w:cs="Arial"/>
          <w:sz w:val="22"/>
          <w:szCs w:val="22"/>
        </w:rPr>
        <w:t xml:space="preserve"> of past financial periods as and when required by the accountants. This is when any historical event that needs to be carried forward must be consistentl</w:t>
      </w:r>
      <w:r>
        <w:rPr>
          <w:rFonts w:ascii="Arial" w:eastAsia="Arial" w:hAnsi="Arial" w:cs="Arial"/>
          <w:sz w:val="22"/>
          <w:szCs w:val="22"/>
        </w:rPr>
        <w:t xml:space="preserve">y entered in the reports. It must, additionally, be </w:t>
      </w:r>
      <w:r>
        <w:rPr>
          <w:rFonts w:ascii="Arial" w:eastAsia="Arial" w:hAnsi="Arial" w:cs="Arial"/>
          <w:sz w:val="22"/>
          <w:szCs w:val="22"/>
        </w:rPr>
        <w:lastRenderedPageBreak/>
        <w:t xml:space="preserve">mentioned that this “consistency” principle is critically acknowledged by the </w:t>
      </w:r>
      <w:r>
        <w:rPr>
          <w:rFonts w:ascii="Arial" w:eastAsia="Arial" w:hAnsi="Arial" w:cs="Arial"/>
          <w:b/>
          <w:sz w:val="22"/>
          <w:szCs w:val="22"/>
        </w:rPr>
        <w:t>tax authorities</w:t>
      </w:r>
      <w:r>
        <w:rPr>
          <w:rFonts w:ascii="Arial" w:eastAsia="Arial" w:hAnsi="Arial" w:cs="Arial"/>
          <w:sz w:val="22"/>
          <w:szCs w:val="22"/>
        </w:rPr>
        <w:t xml:space="preserve"> of the UK nation. This is because, if the financial reports presented in the accounting statements of General </w:t>
      </w:r>
      <w:r>
        <w:rPr>
          <w:rFonts w:ascii="Arial" w:eastAsia="Arial" w:hAnsi="Arial" w:cs="Arial"/>
          <w:sz w:val="22"/>
          <w:szCs w:val="22"/>
        </w:rPr>
        <w:t xml:space="preserve">Supplies Ltd. are not identical to the actual financial events that occurred as per records, suspicion might arise. Furthermore, when a business initiates its operations, it must first decide on an </w:t>
      </w:r>
      <w:r>
        <w:rPr>
          <w:rFonts w:ascii="Arial" w:eastAsia="Arial" w:hAnsi="Arial" w:cs="Arial"/>
          <w:b/>
          <w:sz w:val="22"/>
          <w:szCs w:val="22"/>
        </w:rPr>
        <w:t>accounting practice</w:t>
      </w:r>
      <w:r>
        <w:rPr>
          <w:rFonts w:ascii="Arial" w:eastAsia="Arial" w:hAnsi="Arial" w:cs="Arial"/>
          <w:sz w:val="22"/>
          <w:szCs w:val="22"/>
        </w:rPr>
        <w:t xml:space="preserve"> that would be retained indefinitely an</w:t>
      </w:r>
      <w:r>
        <w:rPr>
          <w:rFonts w:ascii="Arial" w:eastAsia="Arial" w:hAnsi="Arial" w:cs="Arial"/>
          <w:sz w:val="22"/>
          <w:szCs w:val="22"/>
        </w:rPr>
        <w:t>d carried forward to every accounting period.</w:t>
      </w:r>
    </w:p>
    <w:p w14:paraId="779B419A" w14:textId="77777777" w:rsidR="00F51FE3" w:rsidRDefault="00C3249C">
      <w:pPr>
        <w:rPr>
          <w:rFonts w:ascii="Arial" w:eastAsia="Arial" w:hAnsi="Arial" w:cs="Arial"/>
          <w:sz w:val="22"/>
          <w:szCs w:val="22"/>
        </w:rPr>
      </w:pPr>
      <w:r>
        <w:rPr>
          <w:rFonts w:ascii="Arial" w:eastAsia="Arial" w:hAnsi="Arial" w:cs="Arial"/>
          <w:b/>
          <w:sz w:val="22"/>
          <w:szCs w:val="22"/>
        </w:rPr>
        <w:t>“Going concern concept”</w:t>
      </w:r>
      <w:r>
        <w:rPr>
          <w:rFonts w:ascii="Arial" w:eastAsia="Arial" w:hAnsi="Arial" w:cs="Arial"/>
          <w:sz w:val="22"/>
          <w:szCs w:val="22"/>
        </w:rPr>
        <w:t xml:space="preserve"> is that accounting approach that is integrated into the business when initiating the operations to be continued while undertaking the creation of financial statements. This accounting pr</w:t>
      </w:r>
      <w:r>
        <w:rPr>
          <w:rFonts w:ascii="Arial" w:eastAsia="Arial" w:hAnsi="Arial" w:cs="Arial"/>
          <w:sz w:val="22"/>
          <w:szCs w:val="22"/>
        </w:rPr>
        <w:t xml:space="preserve">inciple signifies a </w:t>
      </w:r>
      <w:r>
        <w:rPr>
          <w:rFonts w:ascii="Arial" w:eastAsia="Arial" w:hAnsi="Arial" w:cs="Arial"/>
          <w:b/>
          <w:sz w:val="22"/>
          <w:szCs w:val="22"/>
        </w:rPr>
        <w:t>predeclared assumption</w:t>
      </w:r>
      <w:r>
        <w:rPr>
          <w:rFonts w:ascii="Arial" w:eastAsia="Arial" w:hAnsi="Arial" w:cs="Arial"/>
          <w:sz w:val="22"/>
          <w:szCs w:val="22"/>
        </w:rPr>
        <w:t xml:space="preserve"> made by the business authorities that believes that the business, General Supplies Ltd.</w:t>
      </w:r>
      <w:proofErr w:type="gramStart"/>
      <w:r>
        <w:rPr>
          <w:rFonts w:ascii="Arial" w:eastAsia="Arial" w:hAnsi="Arial" w:cs="Arial"/>
          <w:sz w:val="22"/>
          <w:szCs w:val="22"/>
        </w:rPr>
        <w:t>,  will</w:t>
      </w:r>
      <w:proofErr w:type="gramEnd"/>
      <w:r>
        <w:rPr>
          <w:rFonts w:ascii="Arial" w:eastAsia="Arial" w:hAnsi="Arial" w:cs="Arial"/>
          <w:sz w:val="22"/>
          <w:szCs w:val="22"/>
        </w:rPr>
        <w:t xml:space="preserve"> not be ceasing to exist in the future. In other terms, the business is launched with the expectation that it will </w:t>
      </w:r>
      <w:r>
        <w:rPr>
          <w:rFonts w:ascii="Arial" w:eastAsia="Arial" w:hAnsi="Arial" w:cs="Arial"/>
          <w:b/>
          <w:sz w:val="22"/>
          <w:szCs w:val="22"/>
        </w:rPr>
        <w:t>neve</w:t>
      </w:r>
      <w:r>
        <w:rPr>
          <w:rFonts w:ascii="Arial" w:eastAsia="Arial" w:hAnsi="Arial" w:cs="Arial"/>
          <w:b/>
          <w:sz w:val="22"/>
          <w:szCs w:val="22"/>
        </w:rPr>
        <w:t>r shut down</w:t>
      </w:r>
      <w:r>
        <w:rPr>
          <w:rFonts w:ascii="Arial" w:eastAsia="Arial" w:hAnsi="Arial" w:cs="Arial"/>
          <w:sz w:val="22"/>
          <w:szCs w:val="22"/>
        </w:rPr>
        <w:t xml:space="preserve"> and instead will continue </w:t>
      </w:r>
      <w:proofErr w:type="gramStart"/>
      <w:r>
        <w:rPr>
          <w:rFonts w:ascii="Arial" w:eastAsia="Arial" w:hAnsi="Arial" w:cs="Arial"/>
          <w:sz w:val="22"/>
          <w:szCs w:val="22"/>
        </w:rPr>
        <w:t>forever(</w:t>
      </w:r>
      <w:proofErr w:type="gramEnd"/>
      <w:r>
        <w:rPr>
          <w:rFonts w:ascii="Arial" w:eastAsia="Arial" w:hAnsi="Arial" w:cs="Arial"/>
          <w:sz w:val="22"/>
          <w:szCs w:val="22"/>
          <w:highlight w:val="white"/>
        </w:rPr>
        <w:t>Ruppel, 2017</w:t>
      </w:r>
      <w:r>
        <w:rPr>
          <w:rFonts w:ascii="Arial" w:eastAsia="Arial" w:hAnsi="Arial" w:cs="Arial"/>
          <w:sz w:val="22"/>
          <w:szCs w:val="22"/>
        </w:rPr>
        <w:t xml:space="preserve">). This presumed continuity factor is one of the most influential elements upon which the creation and presentation of financial statements are based. The influence of this presumption additionally </w:t>
      </w:r>
      <w:r>
        <w:rPr>
          <w:rFonts w:ascii="Arial" w:eastAsia="Arial" w:hAnsi="Arial" w:cs="Arial"/>
          <w:sz w:val="22"/>
          <w:szCs w:val="22"/>
        </w:rPr>
        <w:t xml:space="preserve">falls on the business activity of obtaining </w:t>
      </w:r>
      <w:r>
        <w:rPr>
          <w:rFonts w:ascii="Arial" w:eastAsia="Arial" w:hAnsi="Arial" w:cs="Arial"/>
          <w:b/>
          <w:sz w:val="22"/>
          <w:szCs w:val="22"/>
        </w:rPr>
        <w:t>external loans</w:t>
      </w:r>
      <w:r>
        <w:rPr>
          <w:rFonts w:ascii="Arial" w:eastAsia="Arial" w:hAnsi="Arial" w:cs="Arial"/>
          <w:sz w:val="22"/>
          <w:szCs w:val="22"/>
        </w:rPr>
        <w:t xml:space="preserve"> from creditors. Other than this, any kind of </w:t>
      </w:r>
      <w:r>
        <w:rPr>
          <w:rFonts w:ascii="Arial" w:eastAsia="Arial" w:hAnsi="Arial" w:cs="Arial"/>
          <w:b/>
          <w:sz w:val="22"/>
          <w:szCs w:val="22"/>
        </w:rPr>
        <w:t>investment decision</w:t>
      </w:r>
      <w:r>
        <w:rPr>
          <w:rFonts w:ascii="Arial" w:eastAsia="Arial" w:hAnsi="Arial" w:cs="Arial"/>
          <w:sz w:val="22"/>
          <w:szCs w:val="22"/>
        </w:rPr>
        <w:t xml:space="preserve"> and the </w:t>
      </w:r>
      <w:r>
        <w:rPr>
          <w:rFonts w:ascii="Arial" w:eastAsia="Arial" w:hAnsi="Arial" w:cs="Arial"/>
          <w:b/>
          <w:sz w:val="22"/>
          <w:szCs w:val="22"/>
        </w:rPr>
        <w:t>forecasts</w:t>
      </w:r>
      <w:r>
        <w:rPr>
          <w:rFonts w:ascii="Arial" w:eastAsia="Arial" w:hAnsi="Arial" w:cs="Arial"/>
          <w:sz w:val="22"/>
          <w:szCs w:val="22"/>
        </w:rPr>
        <w:t xml:space="preserve"> of future </w:t>
      </w:r>
      <w:r>
        <w:rPr>
          <w:rFonts w:ascii="Arial" w:eastAsia="Arial" w:hAnsi="Arial" w:cs="Arial"/>
          <w:b/>
          <w:sz w:val="22"/>
          <w:szCs w:val="22"/>
        </w:rPr>
        <w:t xml:space="preserve">profit margins </w:t>
      </w:r>
      <w:r>
        <w:rPr>
          <w:rFonts w:ascii="Arial" w:eastAsia="Arial" w:hAnsi="Arial" w:cs="Arial"/>
          <w:sz w:val="22"/>
          <w:szCs w:val="22"/>
        </w:rPr>
        <w:t>is also influenced by this going concern approach. With the assistance of this conceptual accounting principle, the business can also forecast its obtainable position amongst its market competitors in the future periods. Based on such forecasts, activities</w:t>
      </w:r>
      <w:r>
        <w:rPr>
          <w:rFonts w:ascii="Arial" w:eastAsia="Arial" w:hAnsi="Arial" w:cs="Arial"/>
          <w:sz w:val="22"/>
          <w:szCs w:val="22"/>
        </w:rPr>
        <w:t xml:space="preserve"> or </w:t>
      </w:r>
      <w:r>
        <w:rPr>
          <w:rFonts w:ascii="Arial" w:eastAsia="Arial" w:hAnsi="Arial" w:cs="Arial"/>
          <w:b/>
          <w:sz w:val="22"/>
          <w:szCs w:val="22"/>
        </w:rPr>
        <w:t>improvements</w:t>
      </w:r>
      <w:r>
        <w:rPr>
          <w:rFonts w:ascii="Arial" w:eastAsia="Arial" w:hAnsi="Arial" w:cs="Arial"/>
          <w:sz w:val="22"/>
          <w:szCs w:val="22"/>
        </w:rPr>
        <w:t xml:space="preserve"> that would raise the </w:t>
      </w:r>
      <w:r>
        <w:rPr>
          <w:rFonts w:ascii="Arial" w:eastAsia="Arial" w:hAnsi="Arial" w:cs="Arial"/>
          <w:b/>
          <w:sz w:val="22"/>
          <w:szCs w:val="22"/>
        </w:rPr>
        <w:t>competitive edge</w:t>
      </w:r>
      <w:r>
        <w:rPr>
          <w:rFonts w:ascii="Arial" w:eastAsia="Arial" w:hAnsi="Arial" w:cs="Arial"/>
          <w:sz w:val="22"/>
          <w:szCs w:val="22"/>
        </w:rPr>
        <w:t xml:space="preserve"> of General Supplies Ltd. will also be conducted in an optimal manner.</w:t>
      </w:r>
    </w:p>
    <w:p w14:paraId="1A30B01A" w14:textId="77777777" w:rsidR="00F51FE3" w:rsidRDefault="00C3249C">
      <w:pPr>
        <w:rPr>
          <w:rFonts w:ascii="Arial" w:eastAsia="Arial" w:hAnsi="Arial" w:cs="Arial"/>
          <w:sz w:val="22"/>
          <w:szCs w:val="22"/>
        </w:rPr>
      </w:pPr>
      <w:r>
        <w:rPr>
          <w:rFonts w:ascii="Arial" w:eastAsia="Arial" w:hAnsi="Arial" w:cs="Arial"/>
          <w:sz w:val="22"/>
          <w:szCs w:val="22"/>
        </w:rPr>
        <w:t xml:space="preserve">The principle of </w:t>
      </w:r>
      <w:r>
        <w:rPr>
          <w:rFonts w:ascii="Arial" w:eastAsia="Arial" w:hAnsi="Arial" w:cs="Arial"/>
          <w:b/>
          <w:sz w:val="22"/>
          <w:szCs w:val="22"/>
        </w:rPr>
        <w:t>“Materiality”</w:t>
      </w:r>
      <w:r>
        <w:rPr>
          <w:rFonts w:ascii="Arial" w:eastAsia="Arial" w:hAnsi="Arial" w:cs="Arial"/>
          <w:sz w:val="22"/>
          <w:szCs w:val="22"/>
        </w:rPr>
        <w:t xml:space="preserve"> is a core accounting guideline or principle that states that the business in question will need to c</w:t>
      </w:r>
      <w:r>
        <w:rPr>
          <w:rFonts w:ascii="Arial" w:eastAsia="Arial" w:hAnsi="Arial" w:cs="Arial"/>
          <w:sz w:val="22"/>
          <w:szCs w:val="22"/>
        </w:rPr>
        <w:t xml:space="preserve">onsider the </w:t>
      </w:r>
      <w:r>
        <w:rPr>
          <w:rFonts w:ascii="Arial" w:eastAsia="Arial" w:hAnsi="Arial" w:cs="Arial"/>
          <w:b/>
          <w:sz w:val="22"/>
          <w:szCs w:val="22"/>
        </w:rPr>
        <w:t xml:space="preserve">complete inclusion </w:t>
      </w:r>
      <w:r>
        <w:rPr>
          <w:rFonts w:ascii="Arial" w:eastAsia="Arial" w:hAnsi="Arial" w:cs="Arial"/>
          <w:sz w:val="22"/>
          <w:szCs w:val="22"/>
        </w:rPr>
        <w:t xml:space="preserve">of all those relevant facts and figures that hold extreme influential power over the </w:t>
      </w:r>
      <w:r>
        <w:rPr>
          <w:rFonts w:ascii="Arial" w:eastAsia="Arial" w:hAnsi="Arial" w:cs="Arial"/>
          <w:b/>
          <w:sz w:val="22"/>
          <w:szCs w:val="22"/>
        </w:rPr>
        <w:t>decision-making</w:t>
      </w:r>
      <w:r>
        <w:rPr>
          <w:rFonts w:ascii="Arial" w:eastAsia="Arial" w:hAnsi="Arial" w:cs="Arial"/>
          <w:sz w:val="22"/>
          <w:szCs w:val="22"/>
        </w:rPr>
        <w:t xml:space="preserve"> procedures of both internal and external parties. This is since the creation of financial statements and reports are not onl</w:t>
      </w:r>
      <w:r>
        <w:rPr>
          <w:rFonts w:ascii="Arial" w:eastAsia="Arial" w:hAnsi="Arial" w:cs="Arial"/>
          <w:sz w:val="22"/>
          <w:szCs w:val="22"/>
        </w:rPr>
        <w:t xml:space="preserve">y meant for the higher business authorities but also for all those interested investors, stakeholders, </w:t>
      </w:r>
      <w:r>
        <w:rPr>
          <w:rFonts w:ascii="Arial" w:eastAsia="Arial" w:hAnsi="Arial" w:cs="Arial"/>
          <w:sz w:val="22"/>
          <w:szCs w:val="22"/>
        </w:rPr>
        <w:lastRenderedPageBreak/>
        <w:t xml:space="preserve">shareholders and the public. Potential investors who are considering the business for investment will base their </w:t>
      </w:r>
      <w:r>
        <w:rPr>
          <w:rFonts w:ascii="Arial" w:eastAsia="Arial" w:hAnsi="Arial" w:cs="Arial"/>
          <w:b/>
          <w:sz w:val="22"/>
          <w:szCs w:val="22"/>
        </w:rPr>
        <w:t>investment decisions</w:t>
      </w:r>
      <w:r>
        <w:rPr>
          <w:rFonts w:ascii="Arial" w:eastAsia="Arial" w:hAnsi="Arial" w:cs="Arial"/>
          <w:sz w:val="22"/>
          <w:szCs w:val="22"/>
        </w:rPr>
        <w:t xml:space="preserve"> on the material inf</w:t>
      </w:r>
      <w:r>
        <w:rPr>
          <w:rFonts w:ascii="Arial" w:eastAsia="Arial" w:hAnsi="Arial" w:cs="Arial"/>
          <w:sz w:val="22"/>
          <w:szCs w:val="22"/>
        </w:rPr>
        <w:t xml:space="preserve">ormation and details available from accounting reports. The management of General Supplies Ltd. will also be utilising the presented material and relevant financial information towards making </w:t>
      </w:r>
      <w:r>
        <w:rPr>
          <w:rFonts w:ascii="Arial" w:eastAsia="Arial" w:hAnsi="Arial" w:cs="Arial"/>
          <w:b/>
          <w:sz w:val="22"/>
          <w:szCs w:val="22"/>
        </w:rPr>
        <w:t>better developments</w:t>
      </w:r>
      <w:r>
        <w:rPr>
          <w:rFonts w:ascii="Arial" w:eastAsia="Arial" w:hAnsi="Arial" w:cs="Arial"/>
          <w:sz w:val="22"/>
          <w:szCs w:val="22"/>
        </w:rPr>
        <w:t xml:space="preserve"> and improvements to </w:t>
      </w:r>
      <w:r>
        <w:rPr>
          <w:rFonts w:ascii="Arial" w:eastAsia="Arial" w:hAnsi="Arial" w:cs="Arial"/>
          <w:b/>
          <w:sz w:val="22"/>
          <w:szCs w:val="22"/>
        </w:rPr>
        <w:t>upgrade the performance</w:t>
      </w:r>
      <w:r>
        <w:rPr>
          <w:rFonts w:ascii="Arial" w:eastAsia="Arial" w:hAnsi="Arial" w:cs="Arial"/>
          <w:sz w:val="22"/>
          <w:szCs w:val="22"/>
        </w:rPr>
        <w:t xml:space="preserve"> </w:t>
      </w:r>
      <w:r>
        <w:rPr>
          <w:rFonts w:ascii="Arial" w:eastAsia="Arial" w:hAnsi="Arial" w:cs="Arial"/>
          <w:sz w:val="22"/>
          <w:szCs w:val="22"/>
        </w:rPr>
        <w:t xml:space="preserve">of the business organisation in front of its market rivals. The accountants holding the responsibility of creating the needful financial statements and annual financial reports are required to eliminate any kind of immaterial information. </w:t>
      </w:r>
      <w:r>
        <w:rPr>
          <w:rFonts w:ascii="Arial" w:eastAsia="Arial" w:hAnsi="Arial" w:cs="Arial"/>
          <w:b/>
          <w:sz w:val="22"/>
          <w:szCs w:val="22"/>
        </w:rPr>
        <w:t>Immaterial inform</w:t>
      </w:r>
      <w:r>
        <w:rPr>
          <w:rFonts w:ascii="Arial" w:eastAsia="Arial" w:hAnsi="Arial" w:cs="Arial"/>
          <w:b/>
          <w:sz w:val="22"/>
          <w:szCs w:val="22"/>
        </w:rPr>
        <w:t>ation</w:t>
      </w:r>
      <w:r>
        <w:rPr>
          <w:rFonts w:ascii="Arial" w:eastAsia="Arial" w:hAnsi="Arial" w:cs="Arial"/>
          <w:sz w:val="22"/>
          <w:szCs w:val="22"/>
        </w:rPr>
        <w:t xml:space="preserve"> indicates all those elements that hold no significance or play no role in the formation of significant or petty decisions however minute or massive. On the other hand, material information even if deemed pretty minute like any </w:t>
      </w:r>
      <w:r>
        <w:rPr>
          <w:rFonts w:ascii="Arial" w:eastAsia="Arial" w:hAnsi="Arial" w:cs="Arial"/>
          <w:b/>
          <w:sz w:val="22"/>
          <w:szCs w:val="22"/>
        </w:rPr>
        <w:t>minor adjustment</w:t>
      </w:r>
      <w:r>
        <w:rPr>
          <w:rFonts w:ascii="Arial" w:eastAsia="Arial" w:hAnsi="Arial" w:cs="Arial"/>
          <w:sz w:val="22"/>
          <w:szCs w:val="22"/>
        </w:rPr>
        <w:t xml:space="preserve"> needs </w:t>
      </w:r>
      <w:r>
        <w:rPr>
          <w:rFonts w:ascii="Arial" w:eastAsia="Arial" w:hAnsi="Arial" w:cs="Arial"/>
          <w:sz w:val="22"/>
          <w:szCs w:val="22"/>
        </w:rPr>
        <w:t>to be mandatorily integrated into the financial statement entries. This is especially if the consequences brought in by the inclusion of those elements are massive.</w:t>
      </w:r>
    </w:p>
    <w:p w14:paraId="58E0925C" w14:textId="77777777" w:rsidR="00F51FE3" w:rsidRDefault="00C3249C">
      <w:pPr>
        <w:rPr>
          <w:rFonts w:ascii="Arial" w:eastAsia="Arial" w:hAnsi="Arial" w:cs="Arial"/>
          <w:sz w:val="22"/>
          <w:szCs w:val="22"/>
        </w:rPr>
      </w:pPr>
      <w:r>
        <w:rPr>
          <w:rFonts w:ascii="Arial" w:eastAsia="Arial" w:hAnsi="Arial" w:cs="Arial"/>
          <w:sz w:val="22"/>
          <w:szCs w:val="22"/>
        </w:rPr>
        <w:t>There is another accounting principle that is present in this discipline that greatly influ</w:t>
      </w:r>
      <w:r>
        <w:rPr>
          <w:rFonts w:ascii="Arial" w:eastAsia="Arial" w:hAnsi="Arial" w:cs="Arial"/>
          <w:sz w:val="22"/>
          <w:szCs w:val="22"/>
        </w:rPr>
        <w:t xml:space="preserve">ences the outcomes derived from financial statements. This is the principle of </w:t>
      </w:r>
      <w:r>
        <w:rPr>
          <w:rFonts w:ascii="Arial" w:eastAsia="Arial" w:hAnsi="Arial" w:cs="Arial"/>
          <w:b/>
          <w:sz w:val="22"/>
          <w:szCs w:val="22"/>
        </w:rPr>
        <w:t>“conservatism”</w:t>
      </w:r>
      <w:r>
        <w:rPr>
          <w:rFonts w:ascii="Arial" w:eastAsia="Arial" w:hAnsi="Arial" w:cs="Arial"/>
          <w:sz w:val="22"/>
          <w:szCs w:val="22"/>
        </w:rPr>
        <w:t xml:space="preserve">. The mentioned principle declares that the business General Supplies Ltd. will need to acknowledge the incurred expenses and earned revenues in a separate </w:t>
      </w:r>
      <w:proofErr w:type="gramStart"/>
      <w:r>
        <w:rPr>
          <w:rFonts w:ascii="Arial" w:eastAsia="Arial" w:hAnsi="Arial" w:cs="Arial"/>
          <w:sz w:val="22"/>
          <w:szCs w:val="22"/>
        </w:rPr>
        <w:t>method(</w:t>
      </w:r>
      <w:proofErr w:type="spellStart"/>
      <w:proofErr w:type="gramEnd"/>
      <w:r>
        <w:rPr>
          <w:rFonts w:ascii="Arial" w:eastAsia="Arial" w:hAnsi="Arial" w:cs="Arial"/>
          <w:sz w:val="22"/>
          <w:szCs w:val="22"/>
          <w:highlight w:val="white"/>
        </w:rPr>
        <w:t>Burchart</w:t>
      </w:r>
      <w:proofErr w:type="spellEnd"/>
      <w:r>
        <w:rPr>
          <w:rFonts w:ascii="Arial" w:eastAsia="Arial" w:hAnsi="Arial" w:cs="Arial"/>
          <w:sz w:val="22"/>
          <w:szCs w:val="22"/>
        </w:rPr>
        <w:t xml:space="preserve"> </w:t>
      </w:r>
      <w:r>
        <w:rPr>
          <w:rFonts w:ascii="Arial" w:eastAsia="Arial" w:hAnsi="Arial" w:cs="Arial"/>
          <w:sz w:val="22"/>
          <w:szCs w:val="22"/>
          <w:highlight w:val="white"/>
        </w:rPr>
        <w:t xml:space="preserve">and de </w:t>
      </w:r>
      <w:proofErr w:type="spellStart"/>
      <w:r>
        <w:rPr>
          <w:rFonts w:ascii="Arial" w:eastAsia="Arial" w:hAnsi="Arial" w:cs="Arial"/>
          <w:sz w:val="22"/>
          <w:szCs w:val="22"/>
          <w:highlight w:val="white"/>
        </w:rPr>
        <w:t>Monteys</w:t>
      </w:r>
      <w:proofErr w:type="spellEnd"/>
      <w:r>
        <w:rPr>
          <w:rFonts w:ascii="Arial" w:eastAsia="Arial" w:hAnsi="Arial" w:cs="Arial"/>
          <w:sz w:val="22"/>
          <w:szCs w:val="22"/>
          <w:highlight w:val="white"/>
        </w:rPr>
        <w:t>, 2017</w:t>
      </w:r>
      <w:r>
        <w:rPr>
          <w:rFonts w:ascii="Arial" w:eastAsia="Arial" w:hAnsi="Arial" w:cs="Arial"/>
          <w:sz w:val="22"/>
          <w:szCs w:val="22"/>
        </w:rPr>
        <w:t xml:space="preserve">, </w:t>
      </w:r>
      <w:r>
        <w:rPr>
          <w:rFonts w:ascii="Arial" w:eastAsia="Arial" w:hAnsi="Arial" w:cs="Arial"/>
          <w:sz w:val="22"/>
          <w:szCs w:val="22"/>
          <w:highlight w:val="white"/>
        </w:rPr>
        <w:t>p.371</w:t>
      </w:r>
      <w:r>
        <w:rPr>
          <w:rFonts w:ascii="Arial" w:eastAsia="Arial" w:hAnsi="Arial" w:cs="Arial"/>
          <w:sz w:val="22"/>
          <w:szCs w:val="22"/>
        </w:rPr>
        <w:t xml:space="preserve">). In the case of earnings derived from different sales operations, the business General Supplies Ltd. will need to consider solely those </w:t>
      </w:r>
      <w:r>
        <w:rPr>
          <w:rFonts w:ascii="Arial" w:eastAsia="Arial" w:hAnsi="Arial" w:cs="Arial"/>
          <w:b/>
          <w:sz w:val="22"/>
          <w:szCs w:val="22"/>
        </w:rPr>
        <w:t>sources of income</w:t>
      </w:r>
      <w:r>
        <w:rPr>
          <w:rFonts w:ascii="Arial" w:eastAsia="Arial" w:hAnsi="Arial" w:cs="Arial"/>
          <w:sz w:val="22"/>
          <w:szCs w:val="22"/>
        </w:rPr>
        <w:t xml:space="preserve"> that have been critically verified and confirmed by the business</w:t>
      </w:r>
      <w:r>
        <w:rPr>
          <w:rFonts w:ascii="Arial" w:eastAsia="Arial" w:hAnsi="Arial" w:cs="Arial"/>
          <w:sz w:val="22"/>
          <w:szCs w:val="22"/>
        </w:rPr>
        <w:t xml:space="preserve"> accountant regarding the </w:t>
      </w:r>
      <w:r>
        <w:rPr>
          <w:rFonts w:ascii="Arial" w:eastAsia="Arial" w:hAnsi="Arial" w:cs="Arial"/>
          <w:b/>
          <w:sz w:val="22"/>
          <w:szCs w:val="22"/>
        </w:rPr>
        <w:t xml:space="preserve">certainty </w:t>
      </w:r>
      <w:r>
        <w:rPr>
          <w:rFonts w:ascii="Arial" w:eastAsia="Arial" w:hAnsi="Arial" w:cs="Arial"/>
          <w:sz w:val="22"/>
          <w:szCs w:val="22"/>
        </w:rPr>
        <w:t xml:space="preserve">of their </w:t>
      </w:r>
      <w:r>
        <w:rPr>
          <w:rFonts w:ascii="Arial" w:eastAsia="Arial" w:hAnsi="Arial" w:cs="Arial"/>
          <w:b/>
          <w:sz w:val="22"/>
          <w:szCs w:val="22"/>
        </w:rPr>
        <w:t>occurrence</w:t>
      </w:r>
      <w:r>
        <w:rPr>
          <w:rFonts w:ascii="Arial" w:eastAsia="Arial" w:hAnsi="Arial" w:cs="Arial"/>
          <w:sz w:val="22"/>
          <w:szCs w:val="22"/>
        </w:rPr>
        <w:t xml:space="preserve">. This is based on the phrase stating it is crucial that businesses solely consider all losses and only certain profits. It implies that businesses need to </w:t>
      </w:r>
      <w:r>
        <w:rPr>
          <w:rFonts w:ascii="Arial" w:eastAsia="Arial" w:hAnsi="Arial" w:cs="Arial"/>
          <w:b/>
          <w:sz w:val="22"/>
          <w:szCs w:val="22"/>
        </w:rPr>
        <w:t>play it safe</w:t>
      </w:r>
      <w:r>
        <w:rPr>
          <w:rFonts w:ascii="Arial" w:eastAsia="Arial" w:hAnsi="Arial" w:cs="Arial"/>
          <w:sz w:val="22"/>
          <w:szCs w:val="22"/>
        </w:rPr>
        <w:t xml:space="preserve"> by not keeping expectations for </w:t>
      </w:r>
      <w:r>
        <w:rPr>
          <w:rFonts w:ascii="Arial" w:eastAsia="Arial" w:hAnsi="Arial" w:cs="Arial"/>
          <w:sz w:val="22"/>
          <w:szCs w:val="22"/>
        </w:rPr>
        <w:t xml:space="preserve">the occurrence of all its </w:t>
      </w:r>
      <w:proofErr w:type="gramStart"/>
      <w:r>
        <w:rPr>
          <w:rFonts w:ascii="Arial" w:eastAsia="Arial" w:hAnsi="Arial" w:cs="Arial"/>
          <w:sz w:val="22"/>
          <w:szCs w:val="22"/>
        </w:rPr>
        <w:t>earnings(</w:t>
      </w:r>
      <w:proofErr w:type="gramEnd"/>
      <w:r>
        <w:rPr>
          <w:rFonts w:ascii="Arial" w:eastAsia="Arial" w:hAnsi="Arial" w:cs="Arial"/>
          <w:sz w:val="22"/>
          <w:szCs w:val="22"/>
          <w:highlight w:val="white"/>
        </w:rPr>
        <w:t>Gheorghe,</w:t>
      </w:r>
      <w:r>
        <w:rPr>
          <w:rFonts w:ascii="Arial" w:eastAsia="Arial" w:hAnsi="Arial" w:cs="Arial"/>
          <w:sz w:val="22"/>
          <w:szCs w:val="22"/>
        </w:rPr>
        <w:t xml:space="preserve"> </w:t>
      </w:r>
      <w:r>
        <w:rPr>
          <w:rFonts w:ascii="Arial" w:eastAsia="Arial" w:hAnsi="Arial" w:cs="Arial"/>
          <w:sz w:val="22"/>
          <w:szCs w:val="22"/>
          <w:highlight w:val="white"/>
        </w:rPr>
        <w:t>2017</w:t>
      </w:r>
      <w:r>
        <w:rPr>
          <w:rFonts w:ascii="Arial" w:eastAsia="Arial" w:hAnsi="Arial" w:cs="Arial"/>
          <w:sz w:val="22"/>
          <w:szCs w:val="22"/>
        </w:rPr>
        <w:t xml:space="preserve">, </w:t>
      </w:r>
      <w:r>
        <w:rPr>
          <w:rFonts w:ascii="Arial" w:eastAsia="Arial" w:hAnsi="Arial" w:cs="Arial"/>
          <w:sz w:val="22"/>
          <w:szCs w:val="22"/>
          <w:highlight w:val="white"/>
        </w:rPr>
        <w:t>pp.194-197</w:t>
      </w:r>
      <w:r>
        <w:rPr>
          <w:rFonts w:ascii="Arial" w:eastAsia="Arial" w:hAnsi="Arial" w:cs="Arial"/>
          <w:sz w:val="22"/>
          <w:szCs w:val="22"/>
        </w:rPr>
        <w:t>). However, when any probability for the occurrence of expenses arises, it is mandated that they are always considered and included within the financial statements. That is, even if the business’</w:t>
      </w:r>
      <w:r>
        <w:rPr>
          <w:rFonts w:ascii="Arial" w:eastAsia="Arial" w:hAnsi="Arial" w:cs="Arial"/>
          <w:sz w:val="22"/>
          <w:szCs w:val="22"/>
        </w:rPr>
        <w:t xml:space="preserve">s accountant is uncertain regarding the occurrence of any expenditure or liability, it must keep ample </w:t>
      </w:r>
      <w:r>
        <w:rPr>
          <w:rFonts w:ascii="Arial" w:eastAsia="Arial" w:hAnsi="Arial" w:cs="Arial"/>
          <w:b/>
          <w:sz w:val="22"/>
          <w:szCs w:val="22"/>
        </w:rPr>
        <w:t>reserves</w:t>
      </w:r>
      <w:r>
        <w:rPr>
          <w:rFonts w:ascii="Arial" w:eastAsia="Arial" w:hAnsi="Arial" w:cs="Arial"/>
          <w:sz w:val="22"/>
          <w:szCs w:val="22"/>
        </w:rPr>
        <w:t xml:space="preserve"> </w:t>
      </w:r>
      <w:r>
        <w:rPr>
          <w:rFonts w:ascii="Arial" w:eastAsia="Arial" w:hAnsi="Arial" w:cs="Arial"/>
          <w:sz w:val="22"/>
          <w:szCs w:val="22"/>
        </w:rPr>
        <w:lastRenderedPageBreak/>
        <w:t xml:space="preserve">to </w:t>
      </w:r>
      <w:r>
        <w:rPr>
          <w:rFonts w:ascii="Arial" w:eastAsia="Arial" w:hAnsi="Arial" w:cs="Arial"/>
          <w:b/>
          <w:sz w:val="22"/>
          <w:szCs w:val="22"/>
        </w:rPr>
        <w:t xml:space="preserve">compensate </w:t>
      </w:r>
      <w:r>
        <w:rPr>
          <w:rFonts w:ascii="Arial" w:eastAsia="Arial" w:hAnsi="Arial" w:cs="Arial"/>
          <w:sz w:val="22"/>
          <w:szCs w:val="22"/>
        </w:rPr>
        <w:t>for them. The prime reason for which such a principle is followed is that businesses like General Supplies Ltd. might end up suffe</w:t>
      </w:r>
      <w:r>
        <w:rPr>
          <w:rFonts w:ascii="Arial" w:eastAsia="Arial" w:hAnsi="Arial" w:cs="Arial"/>
          <w:sz w:val="22"/>
          <w:szCs w:val="22"/>
        </w:rPr>
        <w:t xml:space="preserve">ring </w:t>
      </w:r>
      <w:r>
        <w:rPr>
          <w:rFonts w:ascii="Arial" w:eastAsia="Arial" w:hAnsi="Arial" w:cs="Arial"/>
          <w:b/>
          <w:sz w:val="22"/>
          <w:szCs w:val="22"/>
        </w:rPr>
        <w:t>unexpected losses</w:t>
      </w:r>
      <w:r>
        <w:rPr>
          <w:rFonts w:ascii="Arial" w:eastAsia="Arial" w:hAnsi="Arial" w:cs="Arial"/>
          <w:sz w:val="22"/>
          <w:szCs w:val="22"/>
        </w:rPr>
        <w:t xml:space="preserve"> by being subject to the absence of ample fund reserves to compensate for the blow of the loss. Hence, they consider it is better to play safe and </w:t>
      </w:r>
      <w:r>
        <w:rPr>
          <w:rFonts w:ascii="Arial" w:eastAsia="Arial" w:hAnsi="Arial" w:cs="Arial"/>
          <w:b/>
          <w:sz w:val="22"/>
          <w:szCs w:val="22"/>
        </w:rPr>
        <w:t xml:space="preserve">not be overconfident </w:t>
      </w:r>
      <w:r>
        <w:rPr>
          <w:rFonts w:ascii="Arial" w:eastAsia="Arial" w:hAnsi="Arial" w:cs="Arial"/>
          <w:sz w:val="22"/>
          <w:szCs w:val="22"/>
        </w:rPr>
        <w:t>or too optimistic regarding the volume of their earnings, revenues</w:t>
      </w:r>
      <w:r>
        <w:rPr>
          <w:rFonts w:ascii="Arial" w:eastAsia="Arial" w:hAnsi="Arial" w:cs="Arial"/>
          <w:sz w:val="22"/>
          <w:szCs w:val="22"/>
        </w:rPr>
        <w:t xml:space="preserve"> and profits. The consequence of not following the approach of conservatism might cause an </w:t>
      </w:r>
      <w:r>
        <w:rPr>
          <w:rFonts w:ascii="Arial" w:eastAsia="Arial" w:hAnsi="Arial" w:cs="Arial"/>
          <w:b/>
          <w:sz w:val="22"/>
          <w:szCs w:val="22"/>
        </w:rPr>
        <w:t>impact adverse</w:t>
      </w:r>
      <w:r>
        <w:rPr>
          <w:rFonts w:ascii="Arial" w:eastAsia="Arial" w:hAnsi="Arial" w:cs="Arial"/>
          <w:sz w:val="22"/>
          <w:szCs w:val="22"/>
        </w:rPr>
        <w:t xml:space="preserve"> enough to drive the business to </w:t>
      </w:r>
      <w:r>
        <w:rPr>
          <w:rFonts w:ascii="Arial" w:eastAsia="Arial" w:hAnsi="Arial" w:cs="Arial"/>
          <w:b/>
          <w:sz w:val="22"/>
          <w:szCs w:val="22"/>
        </w:rPr>
        <w:t>shut down</w:t>
      </w:r>
      <w:r>
        <w:rPr>
          <w:rFonts w:ascii="Arial" w:eastAsia="Arial" w:hAnsi="Arial" w:cs="Arial"/>
          <w:sz w:val="22"/>
          <w:szCs w:val="22"/>
        </w:rPr>
        <w:t xml:space="preserve"> itself by pulling it out of the market competition.</w:t>
      </w:r>
    </w:p>
    <w:p w14:paraId="3A5BC71D" w14:textId="77777777" w:rsidR="00F51FE3" w:rsidRDefault="00C3249C">
      <w:pPr>
        <w:rPr>
          <w:rFonts w:ascii="Arial" w:eastAsia="Arial" w:hAnsi="Arial" w:cs="Arial"/>
          <w:sz w:val="22"/>
          <w:szCs w:val="22"/>
        </w:rPr>
      </w:pPr>
      <w:r>
        <w:rPr>
          <w:rFonts w:ascii="Arial" w:eastAsia="Arial" w:hAnsi="Arial" w:cs="Arial"/>
          <w:sz w:val="22"/>
          <w:szCs w:val="22"/>
        </w:rPr>
        <w:t xml:space="preserve">The principle of </w:t>
      </w:r>
      <w:r>
        <w:rPr>
          <w:rFonts w:ascii="Arial" w:eastAsia="Arial" w:hAnsi="Arial" w:cs="Arial"/>
          <w:b/>
          <w:sz w:val="22"/>
          <w:szCs w:val="22"/>
        </w:rPr>
        <w:t>“economic entity”</w:t>
      </w:r>
      <w:r>
        <w:rPr>
          <w:rFonts w:ascii="Arial" w:eastAsia="Arial" w:hAnsi="Arial" w:cs="Arial"/>
          <w:sz w:val="22"/>
          <w:szCs w:val="22"/>
        </w:rPr>
        <w:t xml:space="preserve"> is another of the cru</w:t>
      </w:r>
      <w:r>
        <w:rPr>
          <w:rFonts w:ascii="Arial" w:eastAsia="Arial" w:hAnsi="Arial" w:cs="Arial"/>
          <w:sz w:val="22"/>
          <w:szCs w:val="22"/>
        </w:rPr>
        <w:t xml:space="preserve">cially considered accounting principles or rules. The key perspective of this accounting principle states that no business owner should end up </w:t>
      </w:r>
      <w:r>
        <w:rPr>
          <w:rFonts w:ascii="Arial" w:eastAsia="Arial" w:hAnsi="Arial" w:cs="Arial"/>
          <w:b/>
          <w:sz w:val="22"/>
          <w:szCs w:val="22"/>
        </w:rPr>
        <w:t>mixing up</w:t>
      </w:r>
      <w:r>
        <w:rPr>
          <w:rFonts w:ascii="Arial" w:eastAsia="Arial" w:hAnsi="Arial" w:cs="Arial"/>
          <w:sz w:val="22"/>
          <w:szCs w:val="22"/>
        </w:rPr>
        <w:t xml:space="preserve"> their personal expenditure with the expenditure of the business. It is extremely mandatory for the fina</w:t>
      </w:r>
      <w:r>
        <w:rPr>
          <w:rFonts w:ascii="Arial" w:eastAsia="Arial" w:hAnsi="Arial" w:cs="Arial"/>
          <w:sz w:val="22"/>
          <w:szCs w:val="22"/>
        </w:rPr>
        <w:t xml:space="preserve">ncial statements and reports to solely project all those expenditures connected to the activities of the </w:t>
      </w:r>
      <w:proofErr w:type="gramStart"/>
      <w:r>
        <w:rPr>
          <w:rFonts w:ascii="Arial" w:eastAsia="Arial" w:hAnsi="Arial" w:cs="Arial"/>
          <w:sz w:val="22"/>
          <w:szCs w:val="22"/>
        </w:rPr>
        <w:t>business(</w:t>
      </w:r>
      <w:proofErr w:type="gramEnd"/>
      <w:r>
        <w:rPr>
          <w:rFonts w:ascii="Arial" w:eastAsia="Arial" w:hAnsi="Arial" w:cs="Arial"/>
          <w:sz w:val="22"/>
          <w:szCs w:val="22"/>
          <w:highlight w:val="white"/>
        </w:rPr>
        <w:t>Marland,</w:t>
      </w:r>
      <w:r>
        <w:rPr>
          <w:rFonts w:ascii="Arial" w:eastAsia="Arial" w:hAnsi="Arial" w:cs="Arial"/>
          <w:sz w:val="22"/>
          <w:szCs w:val="22"/>
        </w:rPr>
        <w:t xml:space="preserve"> et. al., </w:t>
      </w:r>
      <w:r>
        <w:rPr>
          <w:rFonts w:ascii="Arial" w:eastAsia="Arial" w:hAnsi="Arial" w:cs="Arial"/>
          <w:sz w:val="22"/>
          <w:szCs w:val="22"/>
          <w:highlight w:val="white"/>
        </w:rPr>
        <w:t>2017</w:t>
      </w:r>
      <w:r>
        <w:rPr>
          <w:rFonts w:ascii="Arial" w:eastAsia="Arial" w:hAnsi="Arial" w:cs="Arial"/>
          <w:sz w:val="22"/>
          <w:szCs w:val="22"/>
        </w:rPr>
        <w:t xml:space="preserve">). The </w:t>
      </w:r>
      <w:r>
        <w:rPr>
          <w:rFonts w:ascii="Arial" w:eastAsia="Arial" w:hAnsi="Arial" w:cs="Arial"/>
          <w:b/>
          <w:sz w:val="22"/>
          <w:szCs w:val="22"/>
        </w:rPr>
        <w:t>expenditures</w:t>
      </w:r>
      <w:r>
        <w:rPr>
          <w:rFonts w:ascii="Arial" w:eastAsia="Arial" w:hAnsi="Arial" w:cs="Arial"/>
          <w:sz w:val="22"/>
          <w:szCs w:val="22"/>
        </w:rPr>
        <w:t xml:space="preserve"> which have been conducted for personal or private reasons must be </w:t>
      </w:r>
      <w:r>
        <w:rPr>
          <w:rFonts w:ascii="Arial" w:eastAsia="Arial" w:hAnsi="Arial" w:cs="Arial"/>
          <w:b/>
          <w:sz w:val="22"/>
          <w:szCs w:val="22"/>
        </w:rPr>
        <w:t>kept entirely apart</w:t>
      </w:r>
      <w:r>
        <w:rPr>
          <w:rFonts w:ascii="Arial" w:eastAsia="Arial" w:hAnsi="Arial" w:cs="Arial"/>
          <w:sz w:val="22"/>
          <w:szCs w:val="22"/>
        </w:rPr>
        <w:t xml:space="preserve"> in a separate bank account to retain smooth maintenance and flow of funds to and from the fixed personal account. Furthermore, this principle is extremely important as t</w:t>
      </w:r>
      <w:r>
        <w:rPr>
          <w:rFonts w:ascii="Arial" w:eastAsia="Arial" w:hAnsi="Arial" w:cs="Arial"/>
          <w:sz w:val="22"/>
          <w:szCs w:val="22"/>
        </w:rPr>
        <w:t xml:space="preserve">he external parties as well as the internal ones will be able to </w:t>
      </w:r>
      <w:r>
        <w:rPr>
          <w:rFonts w:ascii="Arial" w:eastAsia="Arial" w:hAnsi="Arial" w:cs="Arial"/>
          <w:b/>
          <w:sz w:val="22"/>
          <w:szCs w:val="22"/>
        </w:rPr>
        <w:t>clearly distinguish</w:t>
      </w:r>
      <w:r>
        <w:rPr>
          <w:rFonts w:ascii="Arial" w:eastAsia="Arial" w:hAnsi="Arial" w:cs="Arial"/>
          <w:sz w:val="22"/>
          <w:szCs w:val="22"/>
        </w:rPr>
        <w:t xml:space="preserve"> between the factors or activities that have influenced the business profits. This will also help the business in understanding which issues or </w:t>
      </w:r>
      <w:r>
        <w:rPr>
          <w:rFonts w:ascii="Arial" w:eastAsia="Arial" w:hAnsi="Arial" w:cs="Arial"/>
          <w:b/>
          <w:sz w:val="22"/>
          <w:szCs w:val="22"/>
        </w:rPr>
        <w:t>weak points</w:t>
      </w:r>
      <w:r>
        <w:rPr>
          <w:rFonts w:ascii="Arial" w:eastAsia="Arial" w:hAnsi="Arial" w:cs="Arial"/>
          <w:sz w:val="22"/>
          <w:szCs w:val="22"/>
        </w:rPr>
        <w:t xml:space="preserve"> need to be impro</w:t>
      </w:r>
      <w:r>
        <w:rPr>
          <w:rFonts w:ascii="Arial" w:eastAsia="Arial" w:hAnsi="Arial" w:cs="Arial"/>
          <w:sz w:val="22"/>
          <w:szCs w:val="22"/>
        </w:rPr>
        <w:t xml:space="preserve">ved and which </w:t>
      </w:r>
      <w:r>
        <w:rPr>
          <w:rFonts w:ascii="Arial" w:eastAsia="Arial" w:hAnsi="Arial" w:cs="Arial"/>
          <w:b/>
          <w:sz w:val="22"/>
          <w:szCs w:val="22"/>
        </w:rPr>
        <w:t>strong areas</w:t>
      </w:r>
      <w:r>
        <w:rPr>
          <w:rFonts w:ascii="Arial" w:eastAsia="Arial" w:hAnsi="Arial" w:cs="Arial"/>
          <w:sz w:val="22"/>
          <w:szCs w:val="22"/>
        </w:rPr>
        <w:t xml:space="preserve"> need to be sustained in the future accordingly. All the stated activities cannot be effectively conducted if the business maintains its personal finances with the volume of its business finances.</w:t>
      </w:r>
    </w:p>
    <w:p w14:paraId="6DF26864" w14:textId="77777777" w:rsidR="00F51FE3" w:rsidRDefault="00C3249C">
      <w:pPr>
        <w:rPr>
          <w:rFonts w:ascii="Arial" w:eastAsia="Arial" w:hAnsi="Arial" w:cs="Arial"/>
          <w:sz w:val="22"/>
          <w:szCs w:val="22"/>
        </w:rPr>
      </w:pPr>
      <w:r>
        <w:rPr>
          <w:rFonts w:ascii="Arial" w:eastAsia="Arial" w:hAnsi="Arial" w:cs="Arial"/>
          <w:sz w:val="22"/>
          <w:szCs w:val="22"/>
        </w:rPr>
        <w:t xml:space="preserve">The principle of </w:t>
      </w:r>
      <w:r>
        <w:rPr>
          <w:rFonts w:ascii="Arial" w:eastAsia="Arial" w:hAnsi="Arial" w:cs="Arial"/>
          <w:b/>
          <w:sz w:val="22"/>
          <w:szCs w:val="22"/>
        </w:rPr>
        <w:t xml:space="preserve">“matching” </w:t>
      </w:r>
      <w:r>
        <w:rPr>
          <w:rFonts w:ascii="Arial" w:eastAsia="Arial" w:hAnsi="Arial" w:cs="Arial"/>
          <w:sz w:val="22"/>
          <w:szCs w:val="22"/>
        </w:rPr>
        <w:t>or th</w:t>
      </w:r>
      <w:r>
        <w:rPr>
          <w:rFonts w:ascii="Arial" w:eastAsia="Arial" w:hAnsi="Arial" w:cs="Arial"/>
          <w:sz w:val="22"/>
          <w:szCs w:val="22"/>
        </w:rPr>
        <w:t xml:space="preserve">e “matching” concept might be stated as another well-established and widely followed accounting principle. As per the perspective of this principle, the business is considered to uniformly and consistently follow the </w:t>
      </w:r>
      <w:r>
        <w:rPr>
          <w:rFonts w:ascii="Arial" w:eastAsia="Arial" w:hAnsi="Arial" w:cs="Arial"/>
          <w:b/>
          <w:sz w:val="22"/>
          <w:szCs w:val="22"/>
        </w:rPr>
        <w:t>double entry basis</w:t>
      </w:r>
      <w:r>
        <w:rPr>
          <w:rFonts w:ascii="Arial" w:eastAsia="Arial" w:hAnsi="Arial" w:cs="Arial"/>
          <w:sz w:val="22"/>
          <w:szCs w:val="22"/>
        </w:rPr>
        <w:t xml:space="preserve"> of accounting during</w:t>
      </w:r>
      <w:r>
        <w:rPr>
          <w:rFonts w:ascii="Arial" w:eastAsia="Arial" w:hAnsi="Arial" w:cs="Arial"/>
          <w:sz w:val="22"/>
          <w:szCs w:val="22"/>
        </w:rPr>
        <w:t xml:space="preserve"> the creation of the financial statements and reports. The basis of double-entry makes it mandatory for the accountants who are handling the business finances to make simultaneous </w:t>
      </w:r>
      <w:r>
        <w:rPr>
          <w:rFonts w:ascii="Arial" w:eastAsia="Arial" w:hAnsi="Arial" w:cs="Arial"/>
          <w:sz w:val="22"/>
          <w:szCs w:val="22"/>
        </w:rPr>
        <w:lastRenderedPageBreak/>
        <w:t xml:space="preserve">entries of the same financial transaction </w:t>
      </w:r>
      <w:r>
        <w:rPr>
          <w:rFonts w:ascii="Arial" w:eastAsia="Arial" w:hAnsi="Arial" w:cs="Arial"/>
          <w:b/>
          <w:sz w:val="22"/>
          <w:szCs w:val="22"/>
        </w:rPr>
        <w:t>two times</w:t>
      </w:r>
      <w:r>
        <w:rPr>
          <w:rFonts w:ascii="Arial" w:eastAsia="Arial" w:hAnsi="Arial" w:cs="Arial"/>
          <w:sz w:val="22"/>
          <w:szCs w:val="22"/>
        </w:rPr>
        <w:t>. The repeated entry is c</w:t>
      </w:r>
      <w:r>
        <w:rPr>
          <w:rFonts w:ascii="Arial" w:eastAsia="Arial" w:hAnsi="Arial" w:cs="Arial"/>
          <w:sz w:val="22"/>
          <w:szCs w:val="22"/>
        </w:rPr>
        <w:t xml:space="preserve">onducted or not carried out in the same place, location or accounting book. Rather, the entry of these financial events is made in either </w:t>
      </w:r>
      <w:r>
        <w:rPr>
          <w:rFonts w:ascii="Arial" w:eastAsia="Arial" w:hAnsi="Arial" w:cs="Arial"/>
          <w:b/>
          <w:sz w:val="22"/>
          <w:szCs w:val="22"/>
        </w:rPr>
        <w:t>two separate</w:t>
      </w:r>
      <w:r>
        <w:rPr>
          <w:rFonts w:ascii="Arial" w:eastAsia="Arial" w:hAnsi="Arial" w:cs="Arial"/>
          <w:sz w:val="22"/>
          <w:szCs w:val="22"/>
        </w:rPr>
        <w:t xml:space="preserve"> accounting final</w:t>
      </w:r>
      <w:r>
        <w:rPr>
          <w:rFonts w:ascii="Arial" w:eastAsia="Arial" w:hAnsi="Arial" w:cs="Arial"/>
          <w:b/>
          <w:sz w:val="22"/>
          <w:szCs w:val="22"/>
        </w:rPr>
        <w:t xml:space="preserve"> books</w:t>
      </w:r>
      <w:r>
        <w:rPr>
          <w:rFonts w:ascii="Arial" w:eastAsia="Arial" w:hAnsi="Arial" w:cs="Arial"/>
          <w:sz w:val="22"/>
          <w:szCs w:val="22"/>
        </w:rPr>
        <w:t xml:space="preserve"> or in two different columns that are </w:t>
      </w:r>
      <w:r>
        <w:rPr>
          <w:rFonts w:ascii="Arial" w:eastAsia="Arial" w:hAnsi="Arial" w:cs="Arial"/>
          <w:b/>
          <w:sz w:val="22"/>
          <w:szCs w:val="22"/>
        </w:rPr>
        <w:t>debit</w:t>
      </w:r>
      <w:r>
        <w:rPr>
          <w:rFonts w:ascii="Arial" w:eastAsia="Arial" w:hAnsi="Arial" w:cs="Arial"/>
          <w:sz w:val="22"/>
          <w:szCs w:val="22"/>
        </w:rPr>
        <w:t xml:space="preserve"> column and</w:t>
      </w:r>
      <w:r>
        <w:rPr>
          <w:rFonts w:ascii="Arial" w:eastAsia="Arial" w:hAnsi="Arial" w:cs="Arial"/>
          <w:b/>
          <w:sz w:val="22"/>
          <w:szCs w:val="22"/>
        </w:rPr>
        <w:t xml:space="preserve"> credit</w:t>
      </w:r>
      <w:r>
        <w:rPr>
          <w:rFonts w:ascii="Arial" w:eastAsia="Arial" w:hAnsi="Arial" w:cs="Arial"/>
          <w:sz w:val="22"/>
          <w:szCs w:val="22"/>
        </w:rPr>
        <w:t xml:space="preserve"> column, in the </w:t>
      </w:r>
      <w:r>
        <w:rPr>
          <w:rFonts w:ascii="Arial" w:eastAsia="Arial" w:hAnsi="Arial" w:cs="Arial"/>
          <w:b/>
          <w:sz w:val="22"/>
          <w:szCs w:val="22"/>
        </w:rPr>
        <w:t>same s</w:t>
      </w:r>
      <w:r>
        <w:rPr>
          <w:rFonts w:ascii="Arial" w:eastAsia="Arial" w:hAnsi="Arial" w:cs="Arial"/>
          <w:b/>
          <w:sz w:val="22"/>
          <w:szCs w:val="22"/>
        </w:rPr>
        <w:t>ingle book</w:t>
      </w:r>
      <w:r>
        <w:rPr>
          <w:rFonts w:ascii="Arial" w:eastAsia="Arial" w:hAnsi="Arial" w:cs="Arial"/>
          <w:sz w:val="22"/>
          <w:szCs w:val="22"/>
        </w:rPr>
        <w:t xml:space="preserve">. The sole reason for the following of this principle is that otherwise the business final books, that is the balance sheet, will not end up tallying. A balance sheet needs to have its assets, as well as the collective equities and liabilities, </w:t>
      </w:r>
      <w:r>
        <w:rPr>
          <w:rFonts w:ascii="Arial" w:eastAsia="Arial" w:hAnsi="Arial" w:cs="Arial"/>
          <w:b/>
          <w:sz w:val="22"/>
          <w:szCs w:val="22"/>
        </w:rPr>
        <w:t>t</w:t>
      </w:r>
      <w:r>
        <w:rPr>
          <w:rFonts w:ascii="Arial" w:eastAsia="Arial" w:hAnsi="Arial" w:cs="Arial"/>
          <w:b/>
          <w:sz w:val="22"/>
          <w:szCs w:val="22"/>
        </w:rPr>
        <w:t>ally up</w:t>
      </w:r>
      <w:r>
        <w:rPr>
          <w:rFonts w:ascii="Arial" w:eastAsia="Arial" w:hAnsi="Arial" w:cs="Arial"/>
          <w:sz w:val="22"/>
          <w:szCs w:val="22"/>
        </w:rPr>
        <w:t xml:space="preserve"> in the end. This situation arises since the layout of the balance sheet of any business follows the well-known </w:t>
      </w:r>
      <w:r>
        <w:rPr>
          <w:rFonts w:ascii="Arial" w:eastAsia="Arial" w:hAnsi="Arial" w:cs="Arial"/>
          <w:b/>
          <w:sz w:val="22"/>
          <w:szCs w:val="22"/>
        </w:rPr>
        <w:t xml:space="preserve">“accounting </w:t>
      </w:r>
      <w:proofErr w:type="gramStart"/>
      <w:r>
        <w:rPr>
          <w:rFonts w:ascii="Arial" w:eastAsia="Arial" w:hAnsi="Arial" w:cs="Arial"/>
          <w:b/>
          <w:sz w:val="22"/>
          <w:szCs w:val="22"/>
        </w:rPr>
        <w:t>equation”</w:t>
      </w:r>
      <w:r>
        <w:rPr>
          <w:rFonts w:ascii="Arial" w:eastAsia="Arial" w:hAnsi="Arial" w:cs="Arial"/>
          <w:sz w:val="22"/>
          <w:szCs w:val="22"/>
        </w:rPr>
        <w:t>(</w:t>
      </w:r>
      <w:proofErr w:type="spellStart"/>
      <w:proofErr w:type="gramEnd"/>
      <w:r>
        <w:rPr>
          <w:rFonts w:ascii="Arial" w:eastAsia="Arial" w:hAnsi="Arial" w:cs="Arial"/>
          <w:sz w:val="22"/>
          <w:szCs w:val="22"/>
          <w:highlight w:val="white"/>
        </w:rPr>
        <w:t>Ostapiuk</w:t>
      </w:r>
      <w:proofErr w:type="spellEnd"/>
      <w:r>
        <w:rPr>
          <w:rFonts w:ascii="Arial" w:eastAsia="Arial" w:hAnsi="Arial" w:cs="Arial"/>
          <w:sz w:val="22"/>
          <w:szCs w:val="22"/>
          <w:highlight w:val="white"/>
        </w:rPr>
        <w:t>,</w:t>
      </w:r>
      <w:r>
        <w:rPr>
          <w:rFonts w:ascii="Arial" w:eastAsia="Arial" w:hAnsi="Arial" w:cs="Arial"/>
          <w:sz w:val="22"/>
          <w:szCs w:val="22"/>
        </w:rPr>
        <w:t xml:space="preserve"> et. al., </w:t>
      </w:r>
      <w:r>
        <w:rPr>
          <w:rFonts w:ascii="Arial" w:eastAsia="Arial" w:hAnsi="Arial" w:cs="Arial"/>
          <w:sz w:val="22"/>
          <w:szCs w:val="22"/>
          <w:highlight w:val="white"/>
        </w:rPr>
        <w:t>2018</w:t>
      </w:r>
      <w:r>
        <w:rPr>
          <w:rFonts w:ascii="Arial" w:eastAsia="Arial" w:hAnsi="Arial" w:cs="Arial"/>
          <w:sz w:val="22"/>
          <w:szCs w:val="22"/>
        </w:rPr>
        <w:t>). The accounting equation states that the quantity of assets is a complete summation of the</w:t>
      </w:r>
      <w:r>
        <w:rPr>
          <w:rFonts w:ascii="Arial" w:eastAsia="Arial" w:hAnsi="Arial" w:cs="Arial"/>
          <w:sz w:val="22"/>
          <w:szCs w:val="22"/>
        </w:rPr>
        <w:t xml:space="preserve"> book values of equities and that of liabilities. Furthermore, this principle states that the financial transactions need to </w:t>
      </w:r>
      <w:r>
        <w:rPr>
          <w:rFonts w:ascii="Arial" w:eastAsia="Arial" w:hAnsi="Arial" w:cs="Arial"/>
          <w:b/>
          <w:sz w:val="22"/>
          <w:szCs w:val="22"/>
        </w:rPr>
        <w:t>match the time</w:t>
      </w:r>
      <w:r>
        <w:rPr>
          <w:rFonts w:ascii="Arial" w:eastAsia="Arial" w:hAnsi="Arial" w:cs="Arial"/>
          <w:sz w:val="22"/>
          <w:szCs w:val="22"/>
        </w:rPr>
        <w:t xml:space="preserve"> of their respective </w:t>
      </w:r>
      <w:r>
        <w:rPr>
          <w:rFonts w:ascii="Arial" w:eastAsia="Arial" w:hAnsi="Arial" w:cs="Arial"/>
          <w:b/>
          <w:sz w:val="22"/>
          <w:szCs w:val="22"/>
        </w:rPr>
        <w:t>occurrences</w:t>
      </w:r>
      <w:r>
        <w:rPr>
          <w:rFonts w:ascii="Arial" w:eastAsia="Arial" w:hAnsi="Arial" w:cs="Arial"/>
          <w:sz w:val="22"/>
          <w:szCs w:val="22"/>
        </w:rPr>
        <w:t>. Similarly, if the business incurs a commission on sales on a specific date or month</w:t>
      </w:r>
      <w:r>
        <w:rPr>
          <w:rFonts w:ascii="Arial" w:eastAsia="Arial" w:hAnsi="Arial" w:cs="Arial"/>
          <w:sz w:val="22"/>
          <w:szCs w:val="22"/>
        </w:rPr>
        <w:t>, it will need to make the same stated entry in the same time period.</w:t>
      </w:r>
    </w:p>
    <w:p w14:paraId="079BC1C3" w14:textId="77777777" w:rsidR="00F51FE3" w:rsidRDefault="00C3249C">
      <w:pPr>
        <w:rPr>
          <w:rFonts w:ascii="Arial" w:eastAsia="Arial" w:hAnsi="Arial" w:cs="Arial"/>
          <w:sz w:val="22"/>
          <w:szCs w:val="22"/>
        </w:rPr>
      </w:pPr>
      <w:r>
        <w:rPr>
          <w:rFonts w:ascii="Arial" w:eastAsia="Arial" w:hAnsi="Arial" w:cs="Arial"/>
          <w:sz w:val="22"/>
          <w:szCs w:val="22"/>
        </w:rPr>
        <w:t xml:space="preserve">Another extremely significant accounting principle is the </w:t>
      </w:r>
      <w:r>
        <w:rPr>
          <w:rFonts w:ascii="Arial" w:eastAsia="Arial" w:hAnsi="Arial" w:cs="Arial"/>
          <w:b/>
          <w:sz w:val="22"/>
          <w:szCs w:val="22"/>
        </w:rPr>
        <w:t>“full disclosure”</w:t>
      </w:r>
      <w:r>
        <w:rPr>
          <w:rFonts w:ascii="Arial" w:eastAsia="Arial" w:hAnsi="Arial" w:cs="Arial"/>
          <w:sz w:val="22"/>
          <w:szCs w:val="22"/>
        </w:rPr>
        <w:t xml:space="preserve"> approach or concept. This approach clearly signifies the need to complete and entirely reveal every </w:t>
      </w:r>
      <w:r>
        <w:rPr>
          <w:rFonts w:ascii="Arial" w:eastAsia="Arial" w:hAnsi="Arial" w:cs="Arial"/>
          <w:b/>
          <w:sz w:val="22"/>
          <w:szCs w:val="22"/>
        </w:rPr>
        <w:t>circumstan</w:t>
      </w:r>
      <w:r>
        <w:rPr>
          <w:rFonts w:ascii="Arial" w:eastAsia="Arial" w:hAnsi="Arial" w:cs="Arial"/>
          <w:b/>
          <w:sz w:val="22"/>
          <w:szCs w:val="22"/>
        </w:rPr>
        <w:t>tial evidence</w:t>
      </w:r>
      <w:r>
        <w:rPr>
          <w:rFonts w:ascii="Arial" w:eastAsia="Arial" w:hAnsi="Arial" w:cs="Arial"/>
          <w:sz w:val="22"/>
          <w:szCs w:val="22"/>
        </w:rPr>
        <w:t xml:space="preserve">, facts, details and information to the public through the business’s financial statements and reports. The reason for this is that the interested investors, shareholders and the public will need to have </w:t>
      </w:r>
      <w:r>
        <w:rPr>
          <w:rFonts w:ascii="Arial" w:eastAsia="Arial" w:hAnsi="Arial" w:cs="Arial"/>
          <w:b/>
          <w:sz w:val="22"/>
          <w:szCs w:val="22"/>
        </w:rPr>
        <w:t>complete access and knowledge</w:t>
      </w:r>
      <w:r>
        <w:rPr>
          <w:rFonts w:ascii="Arial" w:eastAsia="Arial" w:hAnsi="Arial" w:cs="Arial"/>
          <w:sz w:val="22"/>
          <w:szCs w:val="22"/>
        </w:rPr>
        <w:t xml:space="preserve"> of all th</w:t>
      </w:r>
      <w:r>
        <w:rPr>
          <w:rFonts w:ascii="Arial" w:eastAsia="Arial" w:hAnsi="Arial" w:cs="Arial"/>
          <w:sz w:val="22"/>
          <w:szCs w:val="22"/>
        </w:rPr>
        <w:t xml:space="preserve">e needful accounting details and information to make informed decisions. Any kind of decision that is made without having access to complete information might cause the investors to </w:t>
      </w:r>
      <w:r>
        <w:rPr>
          <w:rFonts w:ascii="Arial" w:eastAsia="Arial" w:hAnsi="Arial" w:cs="Arial"/>
          <w:b/>
          <w:sz w:val="22"/>
          <w:szCs w:val="22"/>
        </w:rPr>
        <w:t>lose money</w:t>
      </w:r>
      <w:r>
        <w:rPr>
          <w:rFonts w:ascii="Arial" w:eastAsia="Arial" w:hAnsi="Arial" w:cs="Arial"/>
          <w:sz w:val="22"/>
          <w:szCs w:val="22"/>
        </w:rPr>
        <w:t>. From the perspective of the business General Supplies Ltd., th</w:t>
      </w:r>
      <w:r>
        <w:rPr>
          <w:rFonts w:ascii="Arial" w:eastAsia="Arial" w:hAnsi="Arial" w:cs="Arial"/>
          <w:sz w:val="22"/>
          <w:szCs w:val="22"/>
        </w:rPr>
        <w:t xml:space="preserve">e financial statements and reports are required to fully reveal every material information in order to </w:t>
      </w:r>
      <w:r>
        <w:rPr>
          <w:rFonts w:ascii="Arial" w:eastAsia="Arial" w:hAnsi="Arial" w:cs="Arial"/>
          <w:b/>
          <w:sz w:val="22"/>
          <w:szCs w:val="22"/>
        </w:rPr>
        <w:t>gain the confidence</w:t>
      </w:r>
      <w:r>
        <w:rPr>
          <w:rFonts w:ascii="Arial" w:eastAsia="Arial" w:hAnsi="Arial" w:cs="Arial"/>
          <w:sz w:val="22"/>
          <w:szCs w:val="22"/>
        </w:rPr>
        <w:t xml:space="preserve"> of the government and investing public. If this is not done, the business might end up losing its competitive position in the market </w:t>
      </w:r>
      <w:r>
        <w:rPr>
          <w:rFonts w:ascii="Arial" w:eastAsia="Arial" w:hAnsi="Arial" w:cs="Arial"/>
          <w:sz w:val="22"/>
          <w:szCs w:val="22"/>
        </w:rPr>
        <w:t xml:space="preserve">and might be entirely </w:t>
      </w:r>
      <w:r>
        <w:rPr>
          <w:rFonts w:ascii="Arial" w:eastAsia="Arial" w:hAnsi="Arial" w:cs="Arial"/>
          <w:b/>
          <w:sz w:val="22"/>
          <w:szCs w:val="22"/>
        </w:rPr>
        <w:t>prohibited</w:t>
      </w:r>
      <w:r>
        <w:rPr>
          <w:rFonts w:ascii="Arial" w:eastAsia="Arial" w:hAnsi="Arial" w:cs="Arial"/>
          <w:sz w:val="22"/>
          <w:szCs w:val="22"/>
        </w:rPr>
        <w:t xml:space="preserve"> by the government from carrying out any </w:t>
      </w:r>
      <w:r>
        <w:rPr>
          <w:rFonts w:ascii="Arial" w:eastAsia="Arial" w:hAnsi="Arial" w:cs="Arial"/>
          <w:b/>
          <w:sz w:val="22"/>
          <w:szCs w:val="22"/>
        </w:rPr>
        <w:t>future operations</w:t>
      </w:r>
      <w:r>
        <w:rPr>
          <w:rFonts w:ascii="Arial" w:eastAsia="Arial" w:hAnsi="Arial" w:cs="Arial"/>
          <w:sz w:val="22"/>
          <w:szCs w:val="22"/>
        </w:rPr>
        <w:t xml:space="preserve"> due to intentional fraud.</w:t>
      </w:r>
      <w:r>
        <w:br w:type="page"/>
      </w:r>
    </w:p>
    <w:p w14:paraId="7D650C02" w14:textId="77777777" w:rsidR="00F51FE3" w:rsidRDefault="00C3249C">
      <w:pPr>
        <w:pStyle w:val="Heading1"/>
        <w:rPr>
          <w:rFonts w:ascii="Arial" w:eastAsia="Arial" w:hAnsi="Arial" w:cs="Arial"/>
          <w:sz w:val="22"/>
          <w:szCs w:val="22"/>
        </w:rPr>
      </w:pPr>
      <w:r>
        <w:rPr>
          <w:rFonts w:ascii="Arial" w:eastAsia="Arial" w:hAnsi="Arial" w:cs="Arial"/>
          <w:sz w:val="22"/>
          <w:szCs w:val="22"/>
        </w:rPr>
        <w:lastRenderedPageBreak/>
        <w:t>Conclusion</w:t>
      </w:r>
    </w:p>
    <w:p w14:paraId="288AB572" w14:textId="77777777" w:rsidR="00F51FE3" w:rsidRDefault="00C3249C">
      <w:pPr>
        <w:rPr>
          <w:rFonts w:ascii="Arial" w:eastAsia="Arial" w:hAnsi="Arial" w:cs="Arial"/>
          <w:sz w:val="22"/>
          <w:szCs w:val="22"/>
        </w:rPr>
      </w:pPr>
      <w:r>
        <w:rPr>
          <w:rFonts w:ascii="Arial" w:eastAsia="Arial" w:hAnsi="Arial" w:cs="Arial"/>
          <w:sz w:val="22"/>
          <w:szCs w:val="22"/>
        </w:rPr>
        <w:t>This essay has been conducted on the fundamental accounting concepts. The prime functions of accountancy, that is bookkeeping t</w:t>
      </w:r>
      <w:r>
        <w:rPr>
          <w:rFonts w:ascii="Arial" w:eastAsia="Arial" w:hAnsi="Arial" w:cs="Arial"/>
          <w:sz w:val="22"/>
          <w:szCs w:val="22"/>
        </w:rPr>
        <w:t>echniques, have been critically conducted here. Furthermore, the business considered in this essay that is General Supplies Ltd. has also been critically analysed in terms of its final books of accounts. In addition to this, the different concepts, princip</w:t>
      </w:r>
      <w:r>
        <w:rPr>
          <w:rFonts w:ascii="Arial" w:eastAsia="Arial" w:hAnsi="Arial" w:cs="Arial"/>
          <w:sz w:val="22"/>
          <w:szCs w:val="22"/>
        </w:rPr>
        <w:t>les and approaches followed in the procedure of accounting have also been critically discussed within this essay. Here, their relevance, significance and need in the presentation of financial statements and reports have also been critically discussed.</w:t>
      </w:r>
      <w:r>
        <w:br w:type="page"/>
      </w:r>
    </w:p>
    <w:p w14:paraId="6C5F8EAF" w14:textId="77777777" w:rsidR="00F51FE3" w:rsidRDefault="00C3249C">
      <w:pPr>
        <w:pStyle w:val="Heading1"/>
        <w:rPr>
          <w:rFonts w:ascii="Arial" w:eastAsia="Arial" w:hAnsi="Arial" w:cs="Arial"/>
          <w:sz w:val="22"/>
          <w:szCs w:val="22"/>
        </w:rPr>
      </w:pPr>
      <w:r>
        <w:rPr>
          <w:rFonts w:ascii="Arial" w:eastAsia="Arial" w:hAnsi="Arial" w:cs="Arial"/>
          <w:sz w:val="22"/>
          <w:szCs w:val="22"/>
        </w:rPr>
        <w:lastRenderedPageBreak/>
        <w:t>Ref</w:t>
      </w:r>
      <w:r>
        <w:rPr>
          <w:rFonts w:ascii="Arial" w:eastAsia="Arial" w:hAnsi="Arial" w:cs="Arial"/>
          <w:sz w:val="22"/>
          <w:szCs w:val="22"/>
        </w:rPr>
        <w:t>erences</w:t>
      </w:r>
    </w:p>
    <w:p w14:paraId="28F1B93A" w14:textId="77777777" w:rsidR="00F51FE3" w:rsidRDefault="00F51FE3"/>
    <w:p w14:paraId="5C5B9E0A" w14:textId="77777777" w:rsidR="00F51FE3" w:rsidRDefault="00C3249C">
      <w:pPr>
        <w:rPr>
          <w:rFonts w:ascii="Arial" w:eastAsia="Arial" w:hAnsi="Arial" w:cs="Arial"/>
          <w:b/>
          <w:sz w:val="22"/>
          <w:szCs w:val="22"/>
        </w:rPr>
      </w:pPr>
      <w:r>
        <w:rPr>
          <w:rFonts w:ascii="Arial" w:eastAsia="Arial" w:hAnsi="Arial" w:cs="Arial"/>
          <w:b/>
          <w:sz w:val="22"/>
          <w:szCs w:val="22"/>
        </w:rPr>
        <w:t>Books and Journals</w:t>
      </w:r>
    </w:p>
    <w:p w14:paraId="41CAD9C6" w14:textId="77777777" w:rsidR="00F51FE3" w:rsidRDefault="00C3249C">
      <w:pPr>
        <w:rPr>
          <w:rFonts w:ascii="Arial" w:eastAsia="Arial" w:hAnsi="Arial" w:cs="Arial"/>
          <w:sz w:val="22"/>
          <w:szCs w:val="22"/>
        </w:rPr>
      </w:pPr>
      <w:proofErr w:type="spellStart"/>
      <w:r>
        <w:rPr>
          <w:rFonts w:ascii="Arial" w:eastAsia="Arial" w:hAnsi="Arial" w:cs="Arial"/>
          <w:sz w:val="22"/>
          <w:szCs w:val="22"/>
          <w:highlight w:val="white"/>
        </w:rPr>
        <w:t>Burchart</w:t>
      </w:r>
      <w:proofErr w:type="spellEnd"/>
      <w:r>
        <w:rPr>
          <w:rFonts w:ascii="Arial" w:eastAsia="Arial" w:hAnsi="Arial" w:cs="Arial"/>
          <w:sz w:val="22"/>
          <w:szCs w:val="22"/>
          <w:highlight w:val="white"/>
        </w:rPr>
        <w:t xml:space="preserve">, R. and de </w:t>
      </w:r>
      <w:proofErr w:type="spellStart"/>
      <w:r>
        <w:rPr>
          <w:rFonts w:ascii="Arial" w:eastAsia="Arial" w:hAnsi="Arial" w:cs="Arial"/>
          <w:sz w:val="22"/>
          <w:szCs w:val="22"/>
          <w:highlight w:val="white"/>
        </w:rPr>
        <w:t>Monteys</w:t>
      </w:r>
      <w:proofErr w:type="spellEnd"/>
      <w:r>
        <w:rPr>
          <w:rFonts w:ascii="Arial" w:eastAsia="Arial" w:hAnsi="Arial" w:cs="Arial"/>
          <w:sz w:val="22"/>
          <w:szCs w:val="22"/>
          <w:highlight w:val="white"/>
        </w:rPr>
        <w:t>, R.S., (2017). The Accounting Principles and Financial Reporting Rules in Polish and Spanish Regulations. </w:t>
      </w:r>
      <w:r>
        <w:rPr>
          <w:rFonts w:ascii="Arial" w:eastAsia="Arial" w:hAnsi="Arial" w:cs="Arial"/>
          <w:i/>
          <w:sz w:val="22"/>
          <w:szCs w:val="22"/>
          <w:highlight w:val="white"/>
        </w:rPr>
        <w:t>ECONOMIC</w:t>
      </w:r>
      <w:r>
        <w:rPr>
          <w:rFonts w:ascii="Arial" w:eastAsia="Arial" w:hAnsi="Arial" w:cs="Arial"/>
          <w:sz w:val="22"/>
          <w:szCs w:val="22"/>
          <w:highlight w:val="white"/>
        </w:rPr>
        <w:t>, p.371.</w:t>
      </w:r>
    </w:p>
    <w:p w14:paraId="1E11493D" w14:textId="77777777" w:rsidR="00F51FE3" w:rsidRDefault="00C3249C">
      <w:pPr>
        <w:rPr>
          <w:rFonts w:ascii="Arial" w:eastAsia="Arial" w:hAnsi="Arial" w:cs="Arial"/>
          <w:sz w:val="22"/>
          <w:szCs w:val="22"/>
          <w:highlight w:val="white"/>
        </w:rPr>
      </w:pPr>
      <w:r>
        <w:rPr>
          <w:rFonts w:ascii="Arial" w:eastAsia="Arial" w:hAnsi="Arial" w:cs="Arial"/>
          <w:sz w:val="22"/>
          <w:szCs w:val="22"/>
          <w:highlight w:val="white"/>
        </w:rPr>
        <w:t xml:space="preserve">Gheorghe, H., (2017). Economic Result Under </w:t>
      </w:r>
      <w:proofErr w:type="gramStart"/>
      <w:r>
        <w:rPr>
          <w:rFonts w:ascii="Arial" w:eastAsia="Arial" w:hAnsi="Arial" w:cs="Arial"/>
          <w:sz w:val="22"/>
          <w:szCs w:val="22"/>
          <w:highlight w:val="white"/>
        </w:rPr>
        <w:t>The</w:t>
      </w:r>
      <w:proofErr w:type="gramEnd"/>
      <w:r>
        <w:rPr>
          <w:rFonts w:ascii="Arial" w:eastAsia="Arial" w:hAnsi="Arial" w:cs="Arial"/>
          <w:sz w:val="22"/>
          <w:szCs w:val="22"/>
          <w:highlight w:val="white"/>
        </w:rPr>
        <w:t xml:space="preserve"> Influence Of Specific Accounting Principles. </w:t>
      </w:r>
      <w:r>
        <w:rPr>
          <w:rFonts w:ascii="Arial" w:eastAsia="Arial" w:hAnsi="Arial" w:cs="Arial"/>
          <w:i/>
          <w:sz w:val="22"/>
          <w:szCs w:val="22"/>
          <w:highlight w:val="white"/>
        </w:rPr>
        <w:t>Management S</w:t>
      </w:r>
      <w:r>
        <w:rPr>
          <w:rFonts w:ascii="Arial" w:eastAsia="Arial" w:hAnsi="Arial" w:cs="Arial"/>
          <w:i/>
          <w:sz w:val="22"/>
          <w:szCs w:val="22"/>
          <w:highlight w:val="white"/>
        </w:rPr>
        <w:t>trategies Journal</w:t>
      </w:r>
      <w:r>
        <w:rPr>
          <w:rFonts w:ascii="Arial" w:eastAsia="Arial" w:hAnsi="Arial" w:cs="Arial"/>
          <w:sz w:val="22"/>
          <w:szCs w:val="22"/>
          <w:highlight w:val="white"/>
        </w:rPr>
        <w:t>, </w:t>
      </w:r>
      <w:r>
        <w:rPr>
          <w:rFonts w:ascii="Arial" w:eastAsia="Arial" w:hAnsi="Arial" w:cs="Arial"/>
          <w:i/>
          <w:sz w:val="22"/>
          <w:szCs w:val="22"/>
          <w:highlight w:val="white"/>
        </w:rPr>
        <w:t>35</w:t>
      </w:r>
      <w:r>
        <w:rPr>
          <w:rFonts w:ascii="Arial" w:eastAsia="Arial" w:hAnsi="Arial" w:cs="Arial"/>
          <w:sz w:val="22"/>
          <w:szCs w:val="22"/>
          <w:highlight w:val="white"/>
        </w:rPr>
        <w:t>(1), pp.194-197.</w:t>
      </w:r>
    </w:p>
    <w:p w14:paraId="18336781" w14:textId="77777777" w:rsidR="00F51FE3" w:rsidRDefault="00C3249C">
      <w:pPr>
        <w:rPr>
          <w:rFonts w:ascii="Arial" w:eastAsia="Arial" w:hAnsi="Arial" w:cs="Arial"/>
          <w:sz w:val="22"/>
          <w:szCs w:val="22"/>
          <w:highlight w:val="white"/>
        </w:rPr>
      </w:pPr>
      <w:r>
        <w:rPr>
          <w:rFonts w:ascii="Arial" w:eastAsia="Arial" w:hAnsi="Arial" w:cs="Arial"/>
          <w:sz w:val="22"/>
          <w:szCs w:val="22"/>
          <w:highlight w:val="white"/>
        </w:rPr>
        <w:t xml:space="preserve">Marland, E., </w:t>
      </w:r>
      <w:proofErr w:type="spellStart"/>
      <w:r>
        <w:rPr>
          <w:rFonts w:ascii="Arial" w:eastAsia="Arial" w:hAnsi="Arial" w:cs="Arial"/>
          <w:sz w:val="22"/>
          <w:szCs w:val="22"/>
          <w:highlight w:val="white"/>
        </w:rPr>
        <w:t>Domke</w:t>
      </w:r>
      <w:proofErr w:type="spellEnd"/>
      <w:r>
        <w:rPr>
          <w:rFonts w:ascii="Arial" w:eastAsia="Arial" w:hAnsi="Arial" w:cs="Arial"/>
          <w:sz w:val="22"/>
          <w:szCs w:val="22"/>
          <w:highlight w:val="white"/>
        </w:rPr>
        <w:t xml:space="preserve">, G., Hoyle, J., Marland, G., Bates, L., Helms, A., Jones, B., Kowalczyk, T., </w:t>
      </w:r>
      <w:proofErr w:type="spellStart"/>
      <w:r>
        <w:rPr>
          <w:rFonts w:ascii="Arial" w:eastAsia="Arial" w:hAnsi="Arial" w:cs="Arial"/>
          <w:sz w:val="22"/>
          <w:szCs w:val="22"/>
          <w:highlight w:val="white"/>
        </w:rPr>
        <w:t>Ruseva</w:t>
      </w:r>
      <w:proofErr w:type="spellEnd"/>
      <w:r>
        <w:rPr>
          <w:rFonts w:ascii="Arial" w:eastAsia="Arial" w:hAnsi="Arial" w:cs="Arial"/>
          <w:sz w:val="22"/>
          <w:szCs w:val="22"/>
          <w:highlight w:val="white"/>
        </w:rPr>
        <w:t>, T.B. and Szymanski, C., (2017). Adherence to Accounting Principles. In </w:t>
      </w:r>
      <w:r>
        <w:rPr>
          <w:rFonts w:ascii="Arial" w:eastAsia="Arial" w:hAnsi="Arial" w:cs="Arial"/>
          <w:i/>
          <w:sz w:val="22"/>
          <w:szCs w:val="22"/>
          <w:highlight w:val="white"/>
        </w:rPr>
        <w:t xml:space="preserve">Understanding and Analysis: The California </w:t>
      </w:r>
      <w:r>
        <w:rPr>
          <w:rFonts w:ascii="Arial" w:eastAsia="Arial" w:hAnsi="Arial" w:cs="Arial"/>
          <w:i/>
          <w:sz w:val="22"/>
          <w:szCs w:val="22"/>
          <w:highlight w:val="white"/>
        </w:rPr>
        <w:t>Air Resources Board Forest Offset Protocol</w:t>
      </w:r>
      <w:r>
        <w:rPr>
          <w:rFonts w:ascii="Arial" w:eastAsia="Arial" w:hAnsi="Arial" w:cs="Arial"/>
          <w:sz w:val="22"/>
          <w:szCs w:val="22"/>
          <w:highlight w:val="white"/>
        </w:rPr>
        <w:t> (pp. 29-36). Springer, Cham.</w:t>
      </w:r>
    </w:p>
    <w:p w14:paraId="07167823" w14:textId="77777777" w:rsidR="00F51FE3" w:rsidRDefault="00C3249C">
      <w:pPr>
        <w:rPr>
          <w:rFonts w:ascii="Arial" w:eastAsia="Arial" w:hAnsi="Arial" w:cs="Arial"/>
          <w:sz w:val="22"/>
          <w:szCs w:val="22"/>
          <w:highlight w:val="white"/>
        </w:rPr>
      </w:pPr>
      <w:proofErr w:type="spellStart"/>
      <w:r>
        <w:rPr>
          <w:rFonts w:ascii="Arial" w:eastAsia="Arial" w:hAnsi="Arial" w:cs="Arial"/>
          <w:sz w:val="22"/>
          <w:szCs w:val="22"/>
          <w:highlight w:val="white"/>
        </w:rPr>
        <w:t>Ostapiuk</w:t>
      </w:r>
      <w:proofErr w:type="spellEnd"/>
      <w:r>
        <w:rPr>
          <w:rFonts w:ascii="Arial" w:eastAsia="Arial" w:hAnsi="Arial" w:cs="Arial"/>
          <w:sz w:val="22"/>
          <w:szCs w:val="22"/>
          <w:highlight w:val="white"/>
        </w:rPr>
        <w:t xml:space="preserve">, N., </w:t>
      </w:r>
      <w:proofErr w:type="spellStart"/>
      <w:r>
        <w:rPr>
          <w:rFonts w:ascii="Arial" w:eastAsia="Arial" w:hAnsi="Arial" w:cs="Arial"/>
          <w:sz w:val="22"/>
          <w:szCs w:val="22"/>
          <w:highlight w:val="white"/>
        </w:rPr>
        <w:t>Goncharenko</w:t>
      </w:r>
      <w:proofErr w:type="spellEnd"/>
      <w:r>
        <w:rPr>
          <w:rFonts w:ascii="Arial" w:eastAsia="Arial" w:hAnsi="Arial" w:cs="Arial"/>
          <w:sz w:val="22"/>
          <w:szCs w:val="22"/>
          <w:highlight w:val="white"/>
        </w:rPr>
        <w:t xml:space="preserve">, O. and </w:t>
      </w:r>
      <w:proofErr w:type="spellStart"/>
      <w:r>
        <w:rPr>
          <w:rFonts w:ascii="Arial" w:eastAsia="Arial" w:hAnsi="Arial" w:cs="Arial"/>
          <w:sz w:val="22"/>
          <w:szCs w:val="22"/>
          <w:highlight w:val="white"/>
        </w:rPr>
        <w:t>Lukianets</w:t>
      </w:r>
      <w:proofErr w:type="spellEnd"/>
      <w:r>
        <w:rPr>
          <w:rFonts w:ascii="Arial" w:eastAsia="Arial" w:hAnsi="Arial" w:cs="Arial"/>
          <w:sz w:val="22"/>
          <w:szCs w:val="22"/>
          <w:highlight w:val="white"/>
        </w:rPr>
        <w:t>, O., (2018). Constructiveness of accounting principles system.</w:t>
      </w:r>
    </w:p>
    <w:p w14:paraId="040B9A01" w14:textId="77777777" w:rsidR="00F51FE3" w:rsidRDefault="00C3249C">
      <w:pPr>
        <w:rPr>
          <w:rFonts w:ascii="Arial" w:eastAsia="Arial" w:hAnsi="Arial" w:cs="Arial"/>
          <w:sz w:val="22"/>
          <w:szCs w:val="22"/>
          <w:highlight w:val="white"/>
        </w:rPr>
      </w:pPr>
      <w:r>
        <w:rPr>
          <w:rFonts w:ascii="Arial" w:eastAsia="Arial" w:hAnsi="Arial" w:cs="Arial"/>
          <w:sz w:val="22"/>
          <w:szCs w:val="22"/>
          <w:highlight w:val="white"/>
        </w:rPr>
        <w:t>Ruppel, W., (2017). Wiley GAAP for Governments 2017: Interpretation and Appli</w:t>
      </w:r>
      <w:r>
        <w:rPr>
          <w:rFonts w:ascii="Arial" w:eastAsia="Arial" w:hAnsi="Arial" w:cs="Arial"/>
          <w:sz w:val="22"/>
          <w:szCs w:val="22"/>
          <w:highlight w:val="white"/>
        </w:rPr>
        <w:t>cation of Generally Accepted Accounting Principles for State and Local Governments. John Wiley &amp; Sons.</w:t>
      </w:r>
    </w:p>
    <w:p w14:paraId="4C1FD02F" w14:textId="77777777" w:rsidR="00F51FE3" w:rsidRDefault="00C3249C">
      <w:pPr>
        <w:rPr>
          <w:rFonts w:ascii="Arial" w:eastAsia="Arial" w:hAnsi="Arial" w:cs="Arial"/>
          <w:sz w:val="22"/>
          <w:szCs w:val="22"/>
          <w:highlight w:val="white"/>
        </w:rPr>
      </w:pPr>
      <w:r>
        <w:rPr>
          <w:rFonts w:ascii="Arial" w:eastAsia="Arial" w:hAnsi="Arial" w:cs="Arial"/>
          <w:sz w:val="22"/>
          <w:szCs w:val="22"/>
          <w:highlight w:val="white"/>
        </w:rPr>
        <w:t xml:space="preserve">Weygandt, J.J., </w:t>
      </w:r>
      <w:proofErr w:type="spellStart"/>
      <w:r>
        <w:rPr>
          <w:rFonts w:ascii="Arial" w:eastAsia="Arial" w:hAnsi="Arial" w:cs="Arial"/>
          <w:sz w:val="22"/>
          <w:szCs w:val="22"/>
          <w:highlight w:val="white"/>
        </w:rPr>
        <w:t>Kieso</w:t>
      </w:r>
      <w:proofErr w:type="spellEnd"/>
      <w:r>
        <w:rPr>
          <w:rFonts w:ascii="Arial" w:eastAsia="Arial" w:hAnsi="Arial" w:cs="Arial"/>
          <w:sz w:val="22"/>
          <w:szCs w:val="22"/>
          <w:highlight w:val="white"/>
        </w:rPr>
        <w:t>, D.E., Kimmel, P.D., Trenholm, B., Warren, V. and Novak, L., (2019). </w:t>
      </w:r>
      <w:r>
        <w:rPr>
          <w:rFonts w:ascii="Arial" w:eastAsia="Arial" w:hAnsi="Arial" w:cs="Arial"/>
          <w:i/>
          <w:sz w:val="22"/>
          <w:szCs w:val="22"/>
          <w:highlight w:val="white"/>
        </w:rPr>
        <w:t>Accounting Principles, Volume 2</w:t>
      </w:r>
      <w:r>
        <w:rPr>
          <w:rFonts w:ascii="Arial" w:eastAsia="Arial" w:hAnsi="Arial" w:cs="Arial"/>
          <w:sz w:val="22"/>
          <w:szCs w:val="22"/>
          <w:highlight w:val="white"/>
        </w:rPr>
        <w:t>. John Wiley &amp; Sons.</w:t>
      </w:r>
    </w:p>
    <w:p w14:paraId="7B828146" w14:textId="77777777" w:rsidR="00F51FE3" w:rsidRDefault="00F51FE3">
      <w:pPr>
        <w:rPr>
          <w:rFonts w:ascii="Arial" w:eastAsia="Arial" w:hAnsi="Arial" w:cs="Arial"/>
          <w:b/>
          <w:sz w:val="22"/>
          <w:szCs w:val="22"/>
          <w:highlight w:val="white"/>
        </w:rPr>
      </w:pPr>
    </w:p>
    <w:p w14:paraId="58A65157" w14:textId="77777777" w:rsidR="00F51FE3" w:rsidRDefault="00F51FE3">
      <w:pPr>
        <w:rPr>
          <w:rFonts w:ascii="Arial" w:eastAsia="Arial" w:hAnsi="Arial" w:cs="Arial"/>
          <w:b/>
          <w:sz w:val="22"/>
          <w:szCs w:val="22"/>
          <w:highlight w:val="white"/>
        </w:rPr>
      </w:pPr>
    </w:p>
    <w:p w14:paraId="0D61682E" w14:textId="77777777" w:rsidR="009A4CE1" w:rsidRDefault="009A4CE1">
      <w:pPr>
        <w:rPr>
          <w:rFonts w:ascii="Arial" w:eastAsia="Arial" w:hAnsi="Arial" w:cs="Arial"/>
          <w:b/>
          <w:sz w:val="22"/>
          <w:szCs w:val="22"/>
          <w:highlight w:val="white"/>
        </w:rPr>
      </w:pPr>
    </w:p>
    <w:p w14:paraId="5BD150F2" w14:textId="77777777" w:rsidR="009A4CE1" w:rsidRDefault="009A4CE1">
      <w:pPr>
        <w:rPr>
          <w:rFonts w:ascii="Arial" w:eastAsia="Arial" w:hAnsi="Arial" w:cs="Arial"/>
          <w:b/>
          <w:sz w:val="22"/>
          <w:szCs w:val="22"/>
          <w:highlight w:val="white"/>
        </w:rPr>
      </w:pPr>
    </w:p>
    <w:p w14:paraId="7F8B5AA2" w14:textId="6CE6582B" w:rsidR="00F51FE3" w:rsidRDefault="00C3249C">
      <w:pPr>
        <w:rPr>
          <w:rFonts w:ascii="Arial" w:eastAsia="Arial" w:hAnsi="Arial" w:cs="Arial"/>
          <w:b/>
          <w:sz w:val="22"/>
          <w:szCs w:val="22"/>
          <w:highlight w:val="white"/>
        </w:rPr>
      </w:pPr>
      <w:r>
        <w:rPr>
          <w:rFonts w:ascii="Arial" w:eastAsia="Arial" w:hAnsi="Arial" w:cs="Arial"/>
          <w:b/>
          <w:sz w:val="22"/>
          <w:szCs w:val="22"/>
          <w:highlight w:val="white"/>
        </w:rPr>
        <w:lastRenderedPageBreak/>
        <w:t>Websites</w:t>
      </w:r>
    </w:p>
    <w:p w14:paraId="2020E580" w14:textId="77777777" w:rsidR="00F51FE3" w:rsidRDefault="00C3249C">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 xml:space="preserve">Grigg, B. A., (2020). </w:t>
      </w:r>
      <w:r>
        <w:rPr>
          <w:rFonts w:ascii="Arial" w:eastAsia="Arial" w:hAnsi="Arial" w:cs="Arial"/>
          <w:i/>
          <w:color w:val="000000"/>
          <w:sz w:val="22"/>
          <w:szCs w:val="22"/>
        </w:rPr>
        <w:t xml:space="preserve">9 Basic Accounting Concepts Every Small-Business Owner Should Know. </w:t>
      </w:r>
      <w:r>
        <w:rPr>
          <w:rFonts w:ascii="Arial" w:eastAsia="Arial" w:hAnsi="Arial" w:cs="Arial"/>
          <w:color w:val="000000"/>
          <w:sz w:val="22"/>
          <w:szCs w:val="22"/>
        </w:rPr>
        <w:t xml:space="preserve">[Online] </w:t>
      </w:r>
      <w:r>
        <w:rPr>
          <w:rFonts w:ascii="Arial" w:eastAsia="Arial" w:hAnsi="Arial" w:cs="Arial"/>
          <w:color w:val="000000"/>
          <w:sz w:val="22"/>
          <w:szCs w:val="22"/>
        </w:rPr>
        <w:br/>
        <w:t xml:space="preserve">Available at: </w:t>
      </w:r>
      <w:r>
        <w:rPr>
          <w:rFonts w:ascii="Arial" w:eastAsia="Arial" w:hAnsi="Arial" w:cs="Arial"/>
          <w:color w:val="000000"/>
          <w:sz w:val="22"/>
          <w:szCs w:val="22"/>
          <w:u w:val="single"/>
        </w:rPr>
        <w:t>https://www.nerdwallet.com/article/small-business/basic-accounting-concepts</w:t>
      </w:r>
    </w:p>
    <w:p w14:paraId="291121AA" w14:textId="081B4057" w:rsidR="00F51FE3" w:rsidRDefault="00F51FE3">
      <w:pPr>
        <w:rPr>
          <w:rFonts w:ascii="Arial" w:eastAsia="Arial" w:hAnsi="Arial" w:cs="Arial"/>
          <w:sz w:val="22"/>
          <w:szCs w:val="22"/>
        </w:rPr>
      </w:pPr>
    </w:p>
    <w:p w14:paraId="187FF6B7" w14:textId="00288B4C" w:rsidR="009A4CE1" w:rsidRPr="009A4CE1" w:rsidRDefault="009A4CE1" w:rsidP="009A4CE1">
      <w:pPr>
        <w:rPr>
          <w:rFonts w:ascii="Arial" w:eastAsia="Arial" w:hAnsi="Arial" w:cs="Arial"/>
          <w:sz w:val="22"/>
          <w:szCs w:val="22"/>
        </w:rPr>
      </w:pPr>
    </w:p>
    <w:p w14:paraId="2E749AA8" w14:textId="4A5DF3C7" w:rsidR="009A4CE1" w:rsidRPr="009A4CE1" w:rsidRDefault="009A4CE1" w:rsidP="009A4CE1">
      <w:pPr>
        <w:rPr>
          <w:rFonts w:ascii="Arial" w:eastAsia="Arial" w:hAnsi="Arial" w:cs="Arial"/>
          <w:sz w:val="22"/>
          <w:szCs w:val="22"/>
        </w:rPr>
      </w:pPr>
    </w:p>
    <w:p w14:paraId="115DEBDE" w14:textId="5B2E5D91" w:rsidR="009A4CE1" w:rsidRPr="009A4CE1" w:rsidRDefault="009A4CE1" w:rsidP="009A4CE1">
      <w:pPr>
        <w:rPr>
          <w:rFonts w:ascii="Arial" w:eastAsia="Arial" w:hAnsi="Arial" w:cs="Arial"/>
          <w:sz w:val="22"/>
          <w:szCs w:val="22"/>
        </w:rPr>
      </w:pPr>
    </w:p>
    <w:p w14:paraId="1CC86D2D" w14:textId="50112798" w:rsidR="009A4CE1" w:rsidRPr="009A4CE1" w:rsidRDefault="009A4CE1" w:rsidP="009A4CE1">
      <w:pPr>
        <w:rPr>
          <w:rFonts w:ascii="Arial" w:eastAsia="Arial" w:hAnsi="Arial" w:cs="Arial"/>
          <w:sz w:val="22"/>
          <w:szCs w:val="22"/>
        </w:rPr>
      </w:pPr>
    </w:p>
    <w:p w14:paraId="3D28E0AA" w14:textId="643FA98E" w:rsidR="009A4CE1" w:rsidRPr="009A4CE1" w:rsidRDefault="009A4CE1" w:rsidP="009A4CE1">
      <w:pPr>
        <w:rPr>
          <w:rFonts w:ascii="Arial" w:eastAsia="Arial" w:hAnsi="Arial" w:cs="Arial"/>
          <w:sz w:val="22"/>
          <w:szCs w:val="22"/>
        </w:rPr>
      </w:pPr>
    </w:p>
    <w:p w14:paraId="79589795" w14:textId="56BC17A7" w:rsidR="009A4CE1" w:rsidRPr="009A4CE1" w:rsidRDefault="009A4CE1" w:rsidP="009A4CE1">
      <w:pPr>
        <w:rPr>
          <w:rFonts w:ascii="Arial" w:eastAsia="Arial" w:hAnsi="Arial" w:cs="Arial"/>
          <w:sz w:val="22"/>
          <w:szCs w:val="22"/>
        </w:rPr>
      </w:pPr>
    </w:p>
    <w:p w14:paraId="08E44A7F" w14:textId="390AA209" w:rsidR="009A4CE1" w:rsidRPr="009A4CE1" w:rsidRDefault="009A4CE1" w:rsidP="009A4CE1">
      <w:pPr>
        <w:rPr>
          <w:rFonts w:ascii="Arial" w:eastAsia="Arial" w:hAnsi="Arial" w:cs="Arial"/>
          <w:sz w:val="22"/>
          <w:szCs w:val="22"/>
        </w:rPr>
      </w:pPr>
    </w:p>
    <w:p w14:paraId="67F6FA13" w14:textId="08E49DB2" w:rsidR="009A4CE1" w:rsidRPr="009A4CE1" w:rsidRDefault="009A4CE1" w:rsidP="009A4CE1">
      <w:pPr>
        <w:rPr>
          <w:rFonts w:ascii="Arial" w:eastAsia="Arial" w:hAnsi="Arial" w:cs="Arial"/>
          <w:sz w:val="22"/>
          <w:szCs w:val="22"/>
        </w:rPr>
      </w:pPr>
    </w:p>
    <w:p w14:paraId="458273A1" w14:textId="389AC9A5" w:rsidR="009A4CE1" w:rsidRPr="009A4CE1" w:rsidRDefault="009A4CE1" w:rsidP="009A4CE1">
      <w:pPr>
        <w:rPr>
          <w:rFonts w:ascii="Arial" w:eastAsia="Arial" w:hAnsi="Arial" w:cs="Arial"/>
          <w:sz w:val="22"/>
          <w:szCs w:val="22"/>
        </w:rPr>
      </w:pPr>
    </w:p>
    <w:p w14:paraId="253696D6" w14:textId="3A4545B1" w:rsidR="009A4CE1" w:rsidRPr="009A4CE1" w:rsidRDefault="009A4CE1" w:rsidP="009A4CE1">
      <w:pPr>
        <w:rPr>
          <w:rFonts w:ascii="Arial" w:eastAsia="Arial" w:hAnsi="Arial" w:cs="Arial"/>
          <w:sz w:val="22"/>
          <w:szCs w:val="22"/>
        </w:rPr>
      </w:pPr>
    </w:p>
    <w:p w14:paraId="0E8F68C0" w14:textId="2EB2523C" w:rsidR="009A4CE1" w:rsidRPr="009A4CE1" w:rsidRDefault="009A4CE1" w:rsidP="009A4CE1">
      <w:pPr>
        <w:rPr>
          <w:rFonts w:ascii="Arial" w:eastAsia="Arial" w:hAnsi="Arial" w:cs="Arial"/>
          <w:sz w:val="22"/>
          <w:szCs w:val="22"/>
        </w:rPr>
      </w:pPr>
    </w:p>
    <w:p w14:paraId="0A09A264" w14:textId="2EA77A98" w:rsidR="009A4CE1" w:rsidRPr="009A4CE1" w:rsidRDefault="009A4CE1" w:rsidP="009A4CE1">
      <w:pPr>
        <w:rPr>
          <w:rFonts w:ascii="Arial" w:eastAsia="Arial" w:hAnsi="Arial" w:cs="Arial"/>
          <w:sz w:val="22"/>
          <w:szCs w:val="22"/>
        </w:rPr>
      </w:pPr>
    </w:p>
    <w:p w14:paraId="6A16EFC2" w14:textId="0CF8DDD1" w:rsidR="009A4CE1" w:rsidRPr="009A4CE1" w:rsidRDefault="009A4CE1" w:rsidP="009A4CE1">
      <w:pPr>
        <w:rPr>
          <w:rFonts w:ascii="Arial" w:eastAsia="Arial" w:hAnsi="Arial" w:cs="Arial"/>
          <w:sz w:val="22"/>
          <w:szCs w:val="22"/>
        </w:rPr>
      </w:pPr>
    </w:p>
    <w:p w14:paraId="42624376" w14:textId="77777777" w:rsidR="009A4CE1" w:rsidRPr="009A4CE1" w:rsidRDefault="009A4CE1" w:rsidP="009A4CE1">
      <w:pPr>
        <w:jc w:val="right"/>
        <w:rPr>
          <w:rFonts w:ascii="Arial" w:eastAsia="Arial" w:hAnsi="Arial" w:cs="Arial"/>
          <w:sz w:val="22"/>
          <w:szCs w:val="22"/>
        </w:rPr>
      </w:pPr>
    </w:p>
    <w:sectPr w:rsidR="009A4CE1" w:rsidRPr="009A4CE1">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44320D" w14:textId="77777777" w:rsidR="00C3249C" w:rsidRDefault="00C3249C">
      <w:pPr>
        <w:spacing w:after="0" w:line="240" w:lineRule="auto"/>
      </w:pPr>
      <w:r>
        <w:separator/>
      </w:r>
    </w:p>
  </w:endnote>
  <w:endnote w:type="continuationSeparator" w:id="0">
    <w:p w14:paraId="3BDE33E4" w14:textId="77777777" w:rsidR="00C3249C" w:rsidRDefault="00C32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F9601" w14:textId="30612CA5" w:rsidR="00F51FE3" w:rsidRDefault="00C3249C">
    <w:pPr>
      <w:pBdr>
        <w:top w:val="nil"/>
        <w:left w:val="nil"/>
        <w:bottom w:val="nil"/>
        <w:right w:val="nil"/>
        <w:between w:val="nil"/>
      </w:pBdr>
      <w:tabs>
        <w:tab w:val="center" w:pos="4680"/>
        <w:tab w:val="right" w:pos="9360"/>
      </w:tabs>
      <w:spacing w:after="0" w:line="240" w:lineRule="auto"/>
      <w:jc w:val="right"/>
      <w:rPr>
        <w:b/>
        <w:sz w:val="28"/>
        <w:szCs w:val="28"/>
      </w:rPr>
    </w:pPr>
    <w:r>
      <w:rPr>
        <w:color w:val="000000"/>
      </w:rPr>
      <w:t xml:space="preserve">Page </w:t>
    </w:r>
    <w:r>
      <w:rPr>
        <w:b/>
        <w:color w:val="000000"/>
      </w:rPr>
      <w:fldChar w:fldCharType="begin"/>
    </w:r>
    <w:r>
      <w:rPr>
        <w:b/>
        <w:color w:val="000000"/>
      </w:rPr>
      <w:instrText>PAGE</w:instrText>
    </w:r>
    <w:r>
      <w:rPr>
        <w:b/>
        <w:color w:val="000000"/>
      </w:rPr>
      <w:fldChar w:fldCharType="separate"/>
    </w:r>
    <w:r w:rsidR="009A4CE1">
      <w:rPr>
        <w:b/>
        <w:noProof/>
        <w:color w:val="000000"/>
      </w:rPr>
      <w:t>1</w:t>
    </w:r>
    <w:r>
      <w:rPr>
        <w:b/>
        <w:color w:val="000000"/>
      </w:rPr>
      <w:fldChar w:fldCharType="end"/>
    </w:r>
    <w:r>
      <w:rPr>
        <w:color w:val="000000"/>
      </w:rPr>
      <w:t xml:space="preserve"> of </w:t>
    </w:r>
    <w:r>
      <w:rPr>
        <w:b/>
      </w:rPr>
      <w:t>1</w:t>
    </w:r>
    <w:r w:rsidR="009A4CE1">
      <w:rPr>
        <w:b/>
      </w:rPr>
      <w:t>3</w:t>
    </w:r>
  </w:p>
  <w:p w14:paraId="676A6673" w14:textId="77777777" w:rsidR="00F51FE3" w:rsidRDefault="00F51FE3">
    <w:pPr>
      <w:pBdr>
        <w:top w:val="nil"/>
        <w:left w:val="nil"/>
        <w:bottom w:val="nil"/>
        <w:right w:val="nil"/>
        <w:between w:val="nil"/>
      </w:pBdr>
      <w:tabs>
        <w:tab w:val="center" w:pos="4680"/>
        <w:tab w:val="right" w:pos="9360"/>
      </w:tabs>
      <w:spacing w:after="0" w:line="240" w:lineRule="auto"/>
      <w:jc w:val="right"/>
      <w:rPr>
        <w:b/>
        <w:sz w:val="28"/>
        <w:szCs w:val="28"/>
      </w:rPr>
    </w:pPr>
  </w:p>
  <w:p w14:paraId="77E92B8E" w14:textId="77777777" w:rsidR="00F51FE3" w:rsidRDefault="00F51FE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07650F" w14:textId="77777777" w:rsidR="00C3249C" w:rsidRDefault="00C3249C">
      <w:pPr>
        <w:spacing w:after="0" w:line="240" w:lineRule="auto"/>
      </w:pPr>
      <w:r>
        <w:separator/>
      </w:r>
    </w:p>
  </w:footnote>
  <w:footnote w:type="continuationSeparator" w:id="0">
    <w:p w14:paraId="580E3D0C" w14:textId="77777777" w:rsidR="00C3249C" w:rsidRDefault="00C324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1FE3"/>
    <w:rsid w:val="009A4CE1"/>
    <w:rsid w:val="00C3249C"/>
    <w:rsid w:val="00F51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26B4"/>
  <w15:docId w15:val="{7B8694DD-533C-483F-9005-7542E6BAA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after="16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191E"/>
  </w:style>
  <w:style w:type="paragraph" w:styleId="Heading1">
    <w:name w:val="heading 1"/>
    <w:basedOn w:val="Normal"/>
    <w:next w:val="Normal"/>
    <w:link w:val="Heading1Char"/>
    <w:uiPriority w:val="9"/>
    <w:qFormat/>
    <w:rsid w:val="00153163"/>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EE314C"/>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0125E4"/>
    <w:pPr>
      <w:keepNext/>
      <w:keepLines/>
      <w:spacing w:before="40" w:after="0"/>
      <w:outlineLvl w:val="2"/>
    </w:pPr>
    <w:rPr>
      <w:rFonts w:eastAsiaTheme="majorEastAsia" w:cstheme="majorBidi"/>
      <w:i/>
      <w:u w:val="single"/>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53163"/>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EE314C"/>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8"/>
    <w:rsid w:val="000125E4"/>
    <w:rPr>
      <w:rFonts w:ascii="Times New Roman" w:eastAsiaTheme="majorEastAsia" w:hAnsi="Times New Roman" w:cstheme="majorBidi"/>
      <w:i/>
      <w:sz w:val="24"/>
      <w:szCs w:val="24"/>
      <w:u w:val="single"/>
    </w:rPr>
  </w:style>
  <w:style w:type="paragraph" w:styleId="Header">
    <w:name w:val="header"/>
    <w:basedOn w:val="Normal"/>
    <w:link w:val="HeaderChar"/>
    <w:uiPriority w:val="99"/>
    <w:unhideWhenUsed/>
    <w:rsid w:val="00B82E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2E80"/>
    <w:rPr>
      <w:rFonts w:ascii="Times New Roman" w:hAnsi="Times New Roman"/>
      <w:sz w:val="24"/>
      <w:lang w:val="en-GB"/>
    </w:rPr>
  </w:style>
  <w:style w:type="paragraph" w:styleId="Footer">
    <w:name w:val="footer"/>
    <w:basedOn w:val="Normal"/>
    <w:link w:val="FooterChar"/>
    <w:uiPriority w:val="99"/>
    <w:unhideWhenUsed/>
    <w:rsid w:val="00B82E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2E80"/>
    <w:rPr>
      <w:rFonts w:ascii="Times New Roman" w:hAnsi="Times New Roman"/>
      <w:sz w:val="24"/>
      <w:lang w:val="en-GB"/>
    </w:rPr>
  </w:style>
  <w:style w:type="paragraph" w:styleId="ListParagraph">
    <w:name w:val="List Paragraph"/>
    <w:basedOn w:val="Normal"/>
    <w:uiPriority w:val="34"/>
    <w:qFormat/>
    <w:rsid w:val="00C473DB"/>
    <w:pPr>
      <w:ind w:left="720"/>
      <w:contextualSpacing/>
    </w:pPr>
  </w:style>
  <w:style w:type="paragraph" w:styleId="Bibliography">
    <w:name w:val="Bibliography"/>
    <w:basedOn w:val="Normal"/>
    <w:next w:val="Normal"/>
    <w:uiPriority w:val="37"/>
    <w:unhideWhenUsed/>
    <w:rsid w:val="007F3CD5"/>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ET6Dc/lqwCiLMS4MIfi7GTHom1Q==">AMUW2mW3trhXJSy5EWNvv8WXfEUYVsTzOUJOJGec8U2ut4OxyRmax69ga5jh28oReaTrZtc43kgq0T7KhymYDHB+NlRNCwNP3I+sa4neeg9z++gu6B1mBWk9jRpmNITgwEtIq6DR2fE4zXGnh9aDcDQ4TaOcFvsrIwzWlXnEUIWCPDo2B1FxsLjb7nA04zy93tPRp9GS/YFIzgeBMEw/G+ZDYhCYmDKKfg==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2600</Words>
  <Characters>14823</Characters>
  <Application>Microsoft Office Word</Application>
  <DocSecurity>0</DocSecurity>
  <Lines>123</Lines>
  <Paragraphs>34</Paragraphs>
  <ScaleCrop>false</ScaleCrop>
  <Company/>
  <LinksUpToDate>false</LinksUpToDate>
  <CharactersWithSpaces>17389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Antara Ray</dc:creator>
  <cp:lastModifiedBy>Ileana Gabriela Juganaru (2106753)</cp:lastModifiedBy>
  <cp:revision>2</cp:revision>
  <dcterms:created xsi:type="dcterms:W3CDTF">2022-03-04T10:17:00Z</dcterms:created>
  <dcterms:modified xsi:type="dcterms:W3CDTF">2022-03-04T23:38:00Z</dcterms:modified>
</cp:coreProperties>
</file>