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AFEAB5" w14:textId="32F827C3" w:rsidR="00A06744" w:rsidRPr="00945C5F" w:rsidRDefault="00945C5F">
      <w:pPr>
        <w:rPr>
          <w:u w:val="single"/>
          <w:lang w:val="en-US"/>
        </w:rPr>
      </w:pPr>
      <w:r w:rsidRPr="00945C5F">
        <w:rPr>
          <w:u w:val="single"/>
          <w:lang w:val="en-US"/>
        </w:rPr>
        <w:t xml:space="preserve">Chart how Hitler removed political boundaries in his rise to power </w:t>
      </w:r>
    </w:p>
    <w:p w14:paraId="06A6CB59" w14:textId="77777777" w:rsidR="00945C5F" w:rsidRDefault="00945C5F">
      <w:pPr>
        <w:rPr>
          <w:lang w:val="en-US"/>
        </w:rPr>
      </w:pPr>
    </w:p>
    <w:p w14:paraId="229D80F1" w14:textId="7237EDF1" w:rsidR="00945C5F" w:rsidRDefault="00945C5F">
      <w:pPr>
        <w:rPr>
          <w:lang w:val="en-US"/>
        </w:rPr>
      </w:pPr>
      <w:r>
        <w:rPr>
          <w:lang w:val="en-US"/>
        </w:rPr>
        <w:t xml:space="preserve">This essay will be discussing how Hitler removed political boundaries in his rise to power. This essay will argue weather Hitler removed political boundaries peacefully and democratically. The time period for this essay will be from the end of 1932 to President Hindenburg’s death in 1934. </w:t>
      </w:r>
    </w:p>
    <w:p w14:paraId="0F14F42D" w14:textId="692742FC" w:rsidR="00945C5F" w:rsidRDefault="006902F3">
      <w:pPr>
        <w:rPr>
          <w:lang w:val="en-US"/>
        </w:rPr>
      </w:pPr>
      <w:r>
        <w:rPr>
          <w:lang w:val="en-US"/>
        </w:rPr>
        <w:t xml:space="preserve">The first major political boundary that Hitler needed to overcome was chancellorship. </w:t>
      </w:r>
      <w:r w:rsidR="00DB04A9">
        <w:rPr>
          <w:lang w:val="en-US"/>
        </w:rPr>
        <w:t xml:space="preserve">Due to the </w:t>
      </w:r>
      <w:r w:rsidR="00EB2F31">
        <w:rPr>
          <w:lang w:val="en-US"/>
        </w:rPr>
        <w:t>Wall Street Crash in 1929, Germany went into a great depression causing mass unemployment</w:t>
      </w:r>
      <w:r w:rsidR="00627036">
        <w:rPr>
          <w:rStyle w:val="FootnoteReference"/>
          <w:lang w:val="en-US"/>
        </w:rPr>
        <w:footnoteReference w:id="1"/>
      </w:r>
      <w:r w:rsidR="00EB2F31">
        <w:rPr>
          <w:lang w:val="en-US"/>
        </w:rPr>
        <w:t>. This mass unemployment and dissatisfaction of the German people was used to the advantage of the Nazi party in elections</w:t>
      </w:r>
      <w:r w:rsidR="00442AAA">
        <w:rPr>
          <w:rStyle w:val="FootnoteReference"/>
          <w:lang w:val="en-US"/>
        </w:rPr>
        <w:footnoteReference w:id="2"/>
      </w:r>
      <w:r w:rsidR="00EB2F31">
        <w:rPr>
          <w:lang w:val="en-US"/>
        </w:rPr>
        <w:t xml:space="preserve">. This exploitation allowed the Nazi Party to grow exponentially, </w:t>
      </w:r>
      <w:r w:rsidR="00477ED9">
        <w:rPr>
          <w:lang w:val="en-US"/>
        </w:rPr>
        <w:t>whereby</w:t>
      </w:r>
      <w:r w:rsidR="00EB2F31">
        <w:rPr>
          <w:lang w:val="en-US"/>
        </w:rPr>
        <w:t xml:space="preserve"> in 1932 the Nazis became the largest party in the Reichstag with thirty eight percent of the vote</w:t>
      </w:r>
      <w:r w:rsidR="003E1AF5">
        <w:rPr>
          <w:rStyle w:val="FootnoteReference"/>
          <w:lang w:val="en-US"/>
        </w:rPr>
        <w:footnoteReference w:id="3"/>
      </w:r>
      <w:r w:rsidR="00EB2F31">
        <w:rPr>
          <w:lang w:val="en-US"/>
        </w:rPr>
        <w:t>.</w:t>
      </w:r>
      <w:r w:rsidR="002C1BC9">
        <w:rPr>
          <w:lang w:val="en-US"/>
        </w:rPr>
        <w:t xml:space="preserve"> With the support of the people Hitler only needed the support of President Hindenburg. This was given when Franz von Papen, the leader of the Catholic Center Party, persuaded Hindenburg to put Hitler in the coalition government</w:t>
      </w:r>
      <w:r w:rsidR="00602FED">
        <w:rPr>
          <w:lang w:val="en-US"/>
        </w:rPr>
        <w:t>, with the assurance that Hitler could be controlled when in government</w:t>
      </w:r>
      <w:r w:rsidR="00C111D8">
        <w:rPr>
          <w:rStyle w:val="FootnoteReference"/>
          <w:lang w:val="en-US"/>
        </w:rPr>
        <w:footnoteReference w:id="4"/>
      </w:r>
      <w:r w:rsidR="00602FED">
        <w:rPr>
          <w:lang w:val="en-US"/>
        </w:rPr>
        <w:t>. On January 30</w:t>
      </w:r>
      <w:r w:rsidR="00602FED" w:rsidRPr="00602FED">
        <w:rPr>
          <w:vertAlign w:val="superscript"/>
          <w:lang w:val="en-US"/>
        </w:rPr>
        <w:t>th</w:t>
      </w:r>
      <w:r w:rsidR="00602FED">
        <w:rPr>
          <w:lang w:val="en-US"/>
        </w:rPr>
        <w:t xml:space="preserve"> 1933 Hitler was given chancellorship, thus removing the first political boundary in Hitlers rise to power</w:t>
      </w:r>
      <w:r w:rsidR="000D6D5B">
        <w:rPr>
          <w:rStyle w:val="FootnoteReference"/>
          <w:lang w:val="en-US"/>
        </w:rPr>
        <w:footnoteReference w:id="5"/>
      </w:r>
      <w:r w:rsidR="00602FED">
        <w:rPr>
          <w:lang w:val="en-US"/>
        </w:rPr>
        <w:t xml:space="preserve">. </w:t>
      </w:r>
      <w:r w:rsidR="003B6EEF">
        <w:rPr>
          <w:lang w:val="en-US"/>
        </w:rPr>
        <w:t>Hitler being chancellor allows him to use his power</w:t>
      </w:r>
      <w:r w:rsidR="003F59A0">
        <w:rPr>
          <w:lang w:val="en-US"/>
        </w:rPr>
        <w:t xml:space="preserve"> to his advantage</w:t>
      </w:r>
      <w:r w:rsidR="003B6EEF">
        <w:rPr>
          <w:lang w:val="en-US"/>
        </w:rPr>
        <w:t xml:space="preserve">. </w:t>
      </w:r>
      <w:r w:rsidR="002C1BC9">
        <w:rPr>
          <w:lang w:val="en-US"/>
        </w:rPr>
        <w:t xml:space="preserve"> </w:t>
      </w:r>
    </w:p>
    <w:p w14:paraId="47A97990" w14:textId="19558FED" w:rsidR="00616EFC" w:rsidRDefault="005B250F">
      <w:pPr>
        <w:rPr>
          <w:lang w:val="en-US"/>
        </w:rPr>
      </w:pPr>
      <w:r>
        <w:rPr>
          <w:lang w:val="en-US"/>
        </w:rPr>
        <w:t xml:space="preserve">The </w:t>
      </w:r>
      <w:r w:rsidR="003B53EF">
        <w:rPr>
          <w:lang w:val="en-US"/>
        </w:rPr>
        <w:t>E</w:t>
      </w:r>
      <w:r>
        <w:rPr>
          <w:lang w:val="en-US"/>
        </w:rPr>
        <w:t xml:space="preserve">nabling Act is another political boundary that Hitler needs to overcome to rise to power. </w:t>
      </w:r>
      <w:r w:rsidR="00E71FF8">
        <w:rPr>
          <w:lang w:val="en-US"/>
        </w:rPr>
        <w:t>The Enabling Act is a piece of legislation that allows Hitler to create and pass his own legislation without the use of the Reichstag or President Hindenburg</w:t>
      </w:r>
      <w:r w:rsidR="006A33F4">
        <w:rPr>
          <w:rStyle w:val="FootnoteReference"/>
          <w:lang w:val="en-US"/>
        </w:rPr>
        <w:footnoteReference w:id="6"/>
      </w:r>
      <w:r w:rsidR="00E71FF8">
        <w:rPr>
          <w:lang w:val="en-US"/>
        </w:rPr>
        <w:t xml:space="preserve">. </w:t>
      </w:r>
      <w:r w:rsidR="004430FD">
        <w:rPr>
          <w:lang w:val="en-US"/>
        </w:rPr>
        <w:t>Temporary Emergency Powers were given to Hitler after a fire in the Reichstag. Hitler persuaded Hindenburg to grant him these Emergency Powers on the pretext of a communist plot</w:t>
      </w:r>
      <w:r w:rsidR="00E41BD0">
        <w:rPr>
          <w:rStyle w:val="FootnoteReference"/>
          <w:lang w:val="en-US"/>
        </w:rPr>
        <w:footnoteReference w:id="7"/>
      </w:r>
      <w:r w:rsidR="004430FD">
        <w:rPr>
          <w:lang w:val="en-US"/>
        </w:rPr>
        <w:t xml:space="preserve">. </w:t>
      </w:r>
      <w:r w:rsidR="00A9301D">
        <w:rPr>
          <w:lang w:val="en-US"/>
        </w:rPr>
        <w:t>H</w:t>
      </w:r>
      <w:r w:rsidR="00E41BD0">
        <w:rPr>
          <w:lang w:val="en-US"/>
        </w:rPr>
        <w:t>i</w:t>
      </w:r>
      <w:r w:rsidR="00A9301D">
        <w:rPr>
          <w:lang w:val="en-US"/>
        </w:rPr>
        <w:t>tler now needed to pass the Enabling Act, to do this he needed a two thirds majority in the Reichstag</w:t>
      </w:r>
      <w:r w:rsidR="00E41BD0">
        <w:rPr>
          <w:rStyle w:val="FootnoteReference"/>
          <w:lang w:val="en-US"/>
        </w:rPr>
        <w:footnoteReference w:id="8"/>
      </w:r>
      <w:r w:rsidR="00A9301D">
        <w:rPr>
          <w:lang w:val="en-US"/>
        </w:rPr>
        <w:t xml:space="preserve">. </w:t>
      </w:r>
      <w:r w:rsidR="002A202B">
        <w:rPr>
          <w:lang w:val="en-US"/>
        </w:rPr>
        <w:t>On the day of the vote for the Enabling Act the communists were excluded from attending, the Catholic Center Party voted for the Enabling Act due to assurances made by the Nazi Party, and the Social Democrats were the only party that opposed the passing of the Enabling Act</w:t>
      </w:r>
      <w:r w:rsidR="00E41BD0">
        <w:rPr>
          <w:rStyle w:val="FootnoteReference"/>
          <w:lang w:val="en-US"/>
        </w:rPr>
        <w:footnoteReference w:id="9"/>
      </w:r>
      <w:r w:rsidR="002A202B">
        <w:rPr>
          <w:lang w:val="en-US"/>
        </w:rPr>
        <w:t>. This allowed the Act to pass 441-94</w:t>
      </w:r>
      <w:r w:rsidR="00E41BD0">
        <w:rPr>
          <w:rStyle w:val="FootnoteReference"/>
          <w:lang w:val="en-US"/>
        </w:rPr>
        <w:footnoteReference w:id="10"/>
      </w:r>
      <w:r w:rsidR="002A202B">
        <w:rPr>
          <w:lang w:val="en-US"/>
        </w:rPr>
        <w:t>.</w:t>
      </w:r>
      <w:r w:rsidR="001463CD">
        <w:rPr>
          <w:lang w:val="en-US"/>
        </w:rPr>
        <w:t xml:space="preserve"> The removal of this political boundary shows how Hitler abused the democratic system and allowed him to rise to power further as a dictator</w:t>
      </w:r>
      <w:r w:rsidR="002222FF">
        <w:rPr>
          <w:lang w:val="en-US"/>
        </w:rPr>
        <w:t>.</w:t>
      </w:r>
    </w:p>
    <w:p w14:paraId="323E4CCD" w14:textId="77777777" w:rsidR="00E41BD0" w:rsidRDefault="00E41BD0">
      <w:pPr>
        <w:rPr>
          <w:lang w:val="en-US"/>
        </w:rPr>
      </w:pPr>
    </w:p>
    <w:p w14:paraId="1B38A500" w14:textId="77777777" w:rsidR="00520DA4" w:rsidRDefault="00520DA4">
      <w:pPr>
        <w:rPr>
          <w:u w:val="single"/>
          <w:lang w:val="en-US"/>
        </w:rPr>
      </w:pPr>
    </w:p>
    <w:p w14:paraId="1F47DA98" w14:textId="77777777" w:rsidR="00520DA4" w:rsidRDefault="00520DA4">
      <w:pPr>
        <w:rPr>
          <w:u w:val="single"/>
          <w:lang w:val="en-US"/>
        </w:rPr>
      </w:pPr>
    </w:p>
    <w:p w14:paraId="018AC067" w14:textId="77777777" w:rsidR="00520DA4" w:rsidRDefault="00520DA4">
      <w:pPr>
        <w:rPr>
          <w:u w:val="single"/>
          <w:lang w:val="en-US"/>
        </w:rPr>
      </w:pPr>
    </w:p>
    <w:p w14:paraId="164288E0" w14:textId="2299CE44" w:rsidR="00E41BD0" w:rsidRDefault="00E41BD0">
      <w:pPr>
        <w:rPr>
          <w:u w:val="single"/>
          <w:lang w:val="en-US"/>
        </w:rPr>
      </w:pPr>
      <w:r w:rsidRPr="00E41BD0">
        <w:rPr>
          <w:u w:val="single"/>
          <w:lang w:val="en-US"/>
        </w:rPr>
        <w:lastRenderedPageBreak/>
        <w:t>Bibliography</w:t>
      </w:r>
      <w:r>
        <w:rPr>
          <w:u w:val="single"/>
          <w:lang w:val="en-US"/>
        </w:rPr>
        <w:t xml:space="preserve"> </w:t>
      </w:r>
    </w:p>
    <w:p w14:paraId="14E9F70F" w14:textId="50CFDA5B" w:rsidR="00520DA4" w:rsidRPr="00B913D4" w:rsidRDefault="00520DA4" w:rsidP="00B913D4">
      <w:pPr>
        <w:pStyle w:val="ListParagraph"/>
        <w:numPr>
          <w:ilvl w:val="0"/>
          <w:numId w:val="2"/>
        </w:numPr>
        <w:rPr>
          <w:rFonts w:cs="Calibri"/>
        </w:rPr>
      </w:pPr>
      <w:r w:rsidRPr="00520DA4">
        <w:rPr>
          <w:rFonts w:cs="Calibri"/>
          <w:i/>
          <w:iCs/>
        </w:rPr>
        <w:t>Encyclopedia Britannica</w:t>
      </w:r>
      <w:r w:rsidRPr="00520DA4">
        <w:rPr>
          <w:rFonts w:cs="Calibri"/>
        </w:rPr>
        <w:t>, April 26, 2024, ‘Enabling Act’. Available: </w:t>
      </w:r>
      <w:hyperlink r:id="rId8" w:tgtFrame="_blank" w:history="1">
        <w:r w:rsidRPr="00520DA4">
          <w:rPr>
            <w:rStyle w:val="Hyperlink"/>
            <w:rFonts w:cs="Calibri"/>
          </w:rPr>
          <w:t>https://www.britannica.com/topic/Enabling-Act</w:t>
        </w:r>
      </w:hyperlink>
      <w:r w:rsidRPr="00520DA4">
        <w:rPr>
          <w:rFonts w:cs="Calibri"/>
        </w:rPr>
        <w:t xml:space="preserve">. Accessed: </w:t>
      </w:r>
      <w:r w:rsidR="00B913D4">
        <w:rPr>
          <w:rFonts w:cs="Calibri"/>
        </w:rPr>
        <w:t xml:space="preserve">15 </w:t>
      </w:r>
      <w:r w:rsidRPr="00520DA4">
        <w:rPr>
          <w:rFonts w:cs="Calibri"/>
        </w:rPr>
        <w:t>November 2024.</w:t>
      </w:r>
    </w:p>
    <w:p w14:paraId="66F3E2DB" w14:textId="77A39C8C" w:rsidR="00B913D4" w:rsidRDefault="00B913D4" w:rsidP="00B913D4">
      <w:pPr>
        <w:pStyle w:val="ListParagraph"/>
        <w:numPr>
          <w:ilvl w:val="0"/>
          <w:numId w:val="2"/>
        </w:numPr>
        <w:rPr>
          <w:rFonts w:cs="Calibri"/>
        </w:rPr>
      </w:pPr>
      <w:r w:rsidRPr="00B913D4">
        <w:rPr>
          <w:rFonts w:cs="Calibri"/>
          <w:i/>
          <w:iCs/>
        </w:rPr>
        <w:t>Encyclopedia Britannica</w:t>
      </w:r>
      <w:r w:rsidRPr="00B913D4">
        <w:rPr>
          <w:rFonts w:cs="Calibri"/>
        </w:rPr>
        <w:t>, October 23, 2024, ‘The Nazi Party and Hitlers Rise to Power’. Available: </w:t>
      </w:r>
      <w:hyperlink r:id="rId9" w:tgtFrame="_blank" w:history="1">
        <w:r w:rsidRPr="00B913D4">
          <w:rPr>
            <w:rStyle w:val="Hyperlink"/>
            <w:rFonts w:cs="Calibri"/>
          </w:rPr>
          <w:t>https://www.britannica.com/topic/Nazi-Party/The-Nazi-Party-and-Hitlers-rise-to-power</w:t>
        </w:r>
      </w:hyperlink>
      <w:r w:rsidRPr="00B913D4">
        <w:rPr>
          <w:rFonts w:cs="Calibri"/>
        </w:rPr>
        <w:t xml:space="preserve">. Accessed: </w:t>
      </w:r>
      <w:r>
        <w:rPr>
          <w:rFonts w:cs="Calibri"/>
        </w:rPr>
        <w:t>15</w:t>
      </w:r>
      <w:r w:rsidRPr="00B913D4">
        <w:rPr>
          <w:rFonts w:cs="Calibri"/>
        </w:rPr>
        <w:t xml:space="preserve"> November 2024.</w:t>
      </w:r>
      <w:r w:rsidR="007160E8">
        <w:rPr>
          <w:rFonts w:cs="Calibri"/>
        </w:rPr>
        <w:t xml:space="preserve"> </w:t>
      </w:r>
    </w:p>
    <w:p w14:paraId="6CC0C33A" w14:textId="5AB108C3" w:rsidR="007160E8" w:rsidRPr="007160E8" w:rsidRDefault="007160E8" w:rsidP="007160E8">
      <w:pPr>
        <w:pStyle w:val="ListParagraph"/>
        <w:numPr>
          <w:ilvl w:val="0"/>
          <w:numId w:val="2"/>
        </w:numPr>
        <w:rPr>
          <w:rFonts w:cs="Calibri"/>
        </w:rPr>
      </w:pPr>
      <w:r w:rsidRPr="007160E8">
        <w:rPr>
          <w:rFonts w:cs="Calibri"/>
          <w:i/>
          <w:iCs/>
        </w:rPr>
        <w:t>Gellately, R</w:t>
      </w:r>
      <w:r w:rsidRPr="007160E8">
        <w:rPr>
          <w:rFonts w:cs="Calibri"/>
        </w:rPr>
        <w:t>., 2023. ‘The Oxford history of the third Reich’</w:t>
      </w:r>
      <w:r w:rsidRPr="007160E8">
        <w:rPr>
          <w:rFonts w:cs="Calibri"/>
          <w:i/>
          <w:iCs/>
        </w:rPr>
        <w:t>. </w:t>
      </w:r>
      <w:r w:rsidRPr="007160E8">
        <w:rPr>
          <w:rFonts w:cs="Calibri"/>
        </w:rPr>
        <w:t xml:space="preserve">Oxford, UK: Oxford University Press. pp. </w:t>
      </w:r>
      <w:r>
        <w:rPr>
          <w:rFonts w:cs="Calibri"/>
        </w:rPr>
        <w:t>1-</w:t>
      </w:r>
      <w:r w:rsidRPr="007160E8">
        <w:rPr>
          <w:rFonts w:cs="Calibri"/>
        </w:rPr>
        <w:t xml:space="preserve">51. Accessed: </w:t>
      </w:r>
      <w:r>
        <w:rPr>
          <w:rFonts w:cs="Calibri"/>
        </w:rPr>
        <w:t>15</w:t>
      </w:r>
      <w:r w:rsidRPr="007160E8">
        <w:rPr>
          <w:rFonts w:cs="Calibri"/>
        </w:rPr>
        <w:t xml:space="preserve"> November 2024.</w:t>
      </w:r>
    </w:p>
    <w:p w14:paraId="1BC72B1E" w14:textId="06DAC4CC" w:rsidR="007160E8" w:rsidRPr="007160E8" w:rsidRDefault="007160E8" w:rsidP="007160E8">
      <w:pPr>
        <w:pStyle w:val="ListParagraph"/>
        <w:numPr>
          <w:ilvl w:val="0"/>
          <w:numId w:val="2"/>
        </w:numPr>
        <w:rPr>
          <w:rFonts w:cs="Calibri"/>
        </w:rPr>
      </w:pPr>
      <w:r w:rsidRPr="007160E8">
        <w:rPr>
          <w:rFonts w:cs="Calibri"/>
          <w:i/>
          <w:iCs/>
        </w:rPr>
        <w:t>Gellately, R</w:t>
      </w:r>
      <w:r w:rsidRPr="007160E8">
        <w:rPr>
          <w:rFonts w:cs="Calibri"/>
        </w:rPr>
        <w:t>., 2023. ‘The Oxford history of the third Reich’</w:t>
      </w:r>
      <w:r w:rsidRPr="007160E8">
        <w:rPr>
          <w:rFonts w:cs="Calibri"/>
          <w:i/>
          <w:iCs/>
        </w:rPr>
        <w:t>. </w:t>
      </w:r>
      <w:r w:rsidRPr="007160E8">
        <w:rPr>
          <w:rFonts w:cs="Calibri"/>
        </w:rPr>
        <w:t xml:space="preserve">Oxford, UK: Oxford University Press. pp. 51-81. Accessed: </w:t>
      </w:r>
      <w:r>
        <w:rPr>
          <w:rFonts w:cs="Calibri"/>
        </w:rPr>
        <w:t>15</w:t>
      </w:r>
      <w:r w:rsidRPr="007160E8">
        <w:rPr>
          <w:rFonts w:cs="Calibri"/>
        </w:rPr>
        <w:t xml:space="preserve"> November 2024.</w:t>
      </w:r>
    </w:p>
    <w:p w14:paraId="1E930742" w14:textId="0FAEC66F" w:rsidR="00E41BD0" w:rsidRPr="00520DA4" w:rsidRDefault="00E41BD0" w:rsidP="00520DA4">
      <w:pPr>
        <w:rPr>
          <w:lang w:val="en-US"/>
        </w:rPr>
      </w:pPr>
    </w:p>
    <w:sectPr w:rsidR="00E41BD0" w:rsidRPr="00520D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7D1CDB" w14:textId="77777777" w:rsidR="00B411BA" w:rsidRDefault="00B411BA" w:rsidP="00627036">
      <w:pPr>
        <w:spacing w:after="0" w:line="240" w:lineRule="auto"/>
      </w:pPr>
      <w:r>
        <w:separator/>
      </w:r>
    </w:p>
  </w:endnote>
  <w:endnote w:type="continuationSeparator" w:id="0">
    <w:p w14:paraId="132AE1B3" w14:textId="77777777" w:rsidR="00B411BA" w:rsidRDefault="00B411BA" w:rsidP="00627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B29943" w14:textId="77777777" w:rsidR="00B411BA" w:rsidRDefault="00B411BA" w:rsidP="00627036">
      <w:pPr>
        <w:spacing w:after="0" w:line="240" w:lineRule="auto"/>
      </w:pPr>
      <w:r>
        <w:separator/>
      </w:r>
    </w:p>
  </w:footnote>
  <w:footnote w:type="continuationSeparator" w:id="0">
    <w:p w14:paraId="5B2D1C44" w14:textId="77777777" w:rsidR="00B411BA" w:rsidRDefault="00B411BA" w:rsidP="00627036">
      <w:pPr>
        <w:spacing w:after="0" w:line="240" w:lineRule="auto"/>
      </w:pPr>
      <w:r>
        <w:continuationSeparator/>
      </w:r>
    </w:p>
  </w:footnote>
  <w:footnote w:id="1">
    <w:p w14:paraId="13C1A74F" w14:textId="16929911" w:rsidR="00627036" w:rsidRPr="00627036" w:rsidRDefault="00627036">
      <w:pPr>
        <w:pStyle w:val="FootnoteText"/>
        <w:rPr>
          <w:lang w:val="en-US"/>
        </w:rPr>
      </w:pPr>
      <w:r>
        <w:rPr>
          <w:rStyle w:val="FootnoteReference"/>
        </w:rPr>
        <w:footnoteRef/>
      </w:r>
      <w:r>
        <w:t xml:space="preserve"> </w:t>
      </w:r>
      <w:r>
        <w:rPr>
          <w:i/>
          <w:iCs/>
          <w:lang w:val="en-US"/>
        </w:rPr>
        <w:t xml:space="preserve">Encyclopedia Britannica, </w:t>
      </w:r>
      <w:r>
        <w:rPr>
          <w:lang w:val="en-US"/>
        </w:rPr>
        <w:t>‘The Nazi Party and Hitler’s Rise to Power’, (Accessed: 15</w:t>
      </w:r>
      <w:r w:rsidRPr="00627036">
        <w:rPr>
          <w:vertAlign w:val="superscript"/>
          <w:lang w:val="en-US"/>
        </w:rPr>
        <w:t>th</w:t>
      </w:r>
      <w:r>
        <w:rPr>
          <w:lang w:val="en-US"/>
        </w:rPr>
        <w:t xml:space="preserve"> November 2024</w:t>
      </w:r>
      <w:r w:rsidR="00442AAA">
        <w:rPr>
          <w:lang w:val="en-US"/>
        </w:rPr>
        <w:t>)</w:t>
      </w:r>
    </w:p>
  </w:footnote>
  <w:footnote w:id="2">
    <w:p w14:paraId="63CC2855" w14:textId="73EE4323" w:rsidR="00442AAA" w:rsidRPr="00442AAA" w:rsidRDefault="00442AAA">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‘The Nazi Party and Hitler’s Rise to Power’, (Accessed: 15</w:t>
      </w:r>
      <w:r w:rsidRPr="00627036">
        <w:rPr>
          <w:vertAlign w:val="superscript"/>
          <w:lang w:val="en-US"/>
        </w:rPr>
        <w:t>th</w:t>
      </w:r>
      <w:r>
        <w:rPr>
          <w:lang w:val="en-US"/>
        </w:rPr>
        <w:t xml:space="preserve"> November 2024</w:t>
      </w:r>
      <w:r>
        <w:rPr>
          <w:lang w:val="en-US"/>
        </w:rPr>
        <w:t>)</w:t>
      </w:r>
    </w:p>
  </w:footnote>
  <w:footnote w:id="3">
    <w:p w14:paraId="2DE2EACB" w14:textId="4E96BE60" w:rsidR="003E1AF5" w:rsidRPr="003E1AF5" w:rsidRDefault="003E1AF5">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‘The Nazi Party and Hitler’s Rise to Power’, (Accessed: 15</w:t>
      </w:r>
      <w:r w:rsidRPr="00627036">
        <w:rPr>
          <w:vertAlign w:val="superscript"/>
          <w:lang w:val="en-US"/>
        </w:rPr>
        <w:t>th</w:t>
      </w:r>
      <w:r>
        <w:rPr>
          <w:lang w:val="en-US"/>
        </w:rPr>
        <w:t xml:space="preserve"> November 2024</w:t>
      </w:r>
      <w:r>
        <w:rPr>
          <w:lang w:val="en-US"/>
        </w:rPr>
        <w:t>)</w:t>
      </w:r>
    </w:p>
  </w:footnote>
  <w:footnote w:id="4">
    <w:p w14:paraId="424B9427" w14:textId="44C70273" w:rsidR="00C111D8" w:rsidRPr="00C111D8" w:rsidRDefault="00C111D8">
      <w:pPr>
        <w:pStyle w:val="FootnoteText"/>
        <w:rPr>
          <w:lang w:val="en-US"/>
        </w:rPr>
      </w:pPr>
      <w:r>
        <w:rPr>
          <w:rStyle w:val="FootnoteReference"/>
        </w:rPr>
        <w:footnoteRef/>
      </w:r>
      <w:r>
        <w:t xml:space="preserve"> </w:t>
      </w:r>
      <w:r w:rsidRPr="00135FC3">
        <w:rPr>
          <w:rFonts w:cs="Calibri"/>
          <w:i/>
          <w:iCs/>
        </w:rPr>
        <w:t>Gellately, R</w:t>
      </w:r>
      <w:r w:rsidRPr="00135FC3">
        <w:rPr>
          <w:rFonts w:cs="Calibri"/>
        </w:rPr>
        <w:t>.</w:t>
      </w:r>
      <w:r>
        <w:rPr>
          <w:rFonts w:cs="Calibri"/>
        </w:rPr>
        <w:t>, ‘The Oxford History of the Third Reich’, (Accessed: 15</w:t>
      </w:r>
      <w:r w:rsidRPr="00C111D8">
        <w:rPr>
          <w:rFonts w:cs="Calibri"/>
          <w:vertAlign w:val="superscript"/>
        </w:rPr>
        <w:t>th</w:t>
      </w:r>
      <w:r>
        <w:rPr>
          <w:rFonts w:cs="Calibri"/>
        </w:rPr>
        <w:t xml:space="preserve"> November 2024)</w:t>
      </w:r>
    </w:p>
  </w:footnote>
  <w:footnote w:id="5">
    <w:p w14:paraId="1F19C1FB" w14:textId="7A8F2B12" w:rsidR="000D6D5B" w:rsidRPr="000D6D5B" w:rsidRDefault="000D6D5B">
      <w:pPr>
        <w:pStyle w:val="FootnoteText"/>
        <w:rPr>
          <w:lang w:val="en-US"/>
        </w:rPr>
      </w:pPr>
      <w:r>
        <w:rPr>
          <w:rStyle w:val="FootnoteReference"/>
        </w:rPr>
        <w:footnoteRef/>
      </w:r>
      <w:r>
        <w:t xml:space="preserve"> </w:t>
      </w:r>
      <w:r>
        <w:rPr>
          <w:lang w:val="en-US"/>
        </w:rPr>
        <w:t xml:space="preserve">Ibid: </w:t>
      </w:r>
      <w:r w:rsidRPr="00135FC3">
        <w:rPr>
          <w:rFonts w:cs="Calibri"/>
          <w:i/>
          <w:iCs/>
        </w:rPr>
        <w:t>Gellately, R</w:t>
      </w:r>
      <w:r w:rsidRPr="00135FC3">
        <w:rPr>
          <w:rFonts w:cs="Calibri"/>
        </w:rPr>
        <w:t>.</w:t>
      </w:r>
      <w:r>
        <w:rPr>
          <w:rFonts w:cs="Calibri"/>
        </w:rPr>
        <w:t>, ‘The Oxford History of the Third Reich’, (Accessed: 15</w:t>
      </w:r>
      <w:r w:rsidRPr="00C111D8">
        <w:rPr>
          <w:rFonts w:cs="Calibri"/>
          <w:vertAlign w:val="superscript"/>
        </w:rPr>
        <w:t>th</w:t>
      </w:r>
      <w:r>
        <w:rPr>
          <w:rFonts w:cs="Calibri"/>
        </w:rPr>
        <w:t xml:space="preserve"> November 2024)</w:t>
      </w:r>
    </w:p>
  </w:footnote>
  <w:footnote w:id="6">
    <w:p w14:paraId="21352F35" w14:textId="5ACF746D" w:rsidR="006A33F4" w:rsidRPr="006A33F4" w:rsidRDefault="006A33F4">
      <w:pPr>
        <w:pStyle w:val="FootnoteText"/>
        <w:rPr>
          <w:lang w:val="en-US"/>
        </w:rPr>
      </w:pPr>
      <w:r>
        <w:rPr>
          <w:rStyle w:val="FootnoteReference"/>
        </w:rPr>
        <w:footnoteRef/>
      </w:r>
      <w:r>
        <w:t xml:space="preserve"> </w:t>
      </w:r>
      <w:r>
        <w:rPr>
          <w:i/>
          <w:iCs/>
          <w:lang w:val="en-US"/>
        </w:rPr>
        <w:t xml:space="preserve">Encyclopedia Britannica, </w:t>
      </w:r>
      <w:r>
        <w:rPr>
          <w:lang w:val="en-US"/>
        </w:rPr>
        <w:t>‘Enabling Act’, (Accessed: 15</w:t>
      </w:r>
      <w:r w:rsidRPr="006A33F4">
        <w:rPr>
          <w:vertAlign w:val="superscript"/>
          <w:lang w:val="en-US"/>
        </w:rPr>
        <w:t>th</w:t>
      </w:r>
      <w:r>
        <w:rPr>
          <w:lang w:val="en-US"/>
        </w:rPr>
        <w:t xml:space="preserve"> November 2024)</w:t>
      </w:r>
    </w:p>
  </w:footnote>
  <w:footnote w:id="7">
    <w:p w14:paraId="345215B6" w14:textId="481AFA63" w:rsidR="00E41BD0" w:rsidRPr="00E41BD0" w:rsidRDefault="00E41BD0">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‘Enabling Act’, (Accessed: 15</w:t>
      </w:r>
      <w:r w:rsidRPr="006A33F4">
        <w:rPr>
          <w:vertAlign w:val="superscript"/>
          <w:lang w:val="en-US"/>
        </w:rPr>
        <w:t>th</w:t>
      </w:r>
      <w:r>
        <w:rPr>
          <w:lang w:val="en-US"/>
        </w:rPr>
        <w:t xml:space="preserve"> November 2024)</w:t>
      </w:r>
    </w:p>
  </w:footnote>
  <w:footnote w:id="8">
    <w:p w14:paraId="7739936C" w14:textId="4A6E864B" w:rsidR="00E41BD0" w:rsidRPr="00E41BD0" w:rsidRDefault="00E41BD0">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‘Enabling Act’, (Accessed: 15</w:t>
      </w:r>
      <w:r w:rsidRPr="006A33F4">
        <w:rPr>
          <w:vertAlign w:val="superscript"/>
          <w:lang w:val="en-US"/>
        </w:rPr>
        <w:t>th</w:t>
      </w:r>
      <w:r>
        <w:rPr>
          <w:lang w:val="en-US"/>
        </w:rPr>
        <w:t xml:space="preserve"> November 2024)</w:t>
      </w:r>
    </w:p>
  </w:footnote>
  <w:footnote w:id="9">
    <w:p w14:paraId="0CEC4C44" w14:textId="3B647E7F" w:rsidR="00E41BD0" w:rsidRPr="00E41BD0" w:rsidRDefault="00E41BD0">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‘Enabling Act’, (Accessed: 15</w:t>
      </w:r>
      <w:r w:rsidRPr="006A33F4">
        <w:rPr>
          <w:vertAlign w:val="superscript"/>
          <w:lang w:val="en-US"/>
        </w:rPr>
        <w:t>th</w:t>
      </w:r>
      <w:r>
        <w:rPr>
          <w:lang w:val="en-US"/>
        </w:rPr>
        <w:t xml:space="preserve"> November 2024)</w:t>
      </w:r>
    </w:p>
  </w:footnote>
  <w:footnote w:id="10">
    <w:p w14:paraId="027F3D03" w14:textId="742752D2" w:rsidR="00E41BD0" w:rsidRPr="00E41BD0" w:rsidRDefault="00E41BD0">
      <w:pPr>
        <w:pStyle w:val="FootnoteText"/>
        <w:rPr>
          <w:lang w:val="en-US"/>
        </w:rPr>
      </w:pPr>
      <w:r>
        <w:rPr>
          <w:rStyle w:val="FootnoteReference"/>
        </w:rPr>
        <w:footnoteRef/>
      </w:r>
      <w:r>
        <w:t xml:space="preserve"> </w:t>
      </w:r>
      <w:r>
        <w:rPr>
          <w:lang w:val="en-US"/>
        </w:rPr>
        <w:t xml:space="preserve">Ibid: </w:t>
      </w:r>
      <w:r>
        <w:rPr>
          <w:i/>
          <w:iCs/>
          <w:lang w:val="en-US"/>
        </w:rPr>
        <w:t xml:space="preserve">Encyclopedia Britannica, </w:t>
      </w:r>
      <w:r>
        <w:rPr>
          <w:lang w:val="en-US"/>
        </w:rPr>
        <w:t>‘Enabling Act’, (Accessed: 15</w:t>
      </w:r>
      <w:r w:rsidRPr="006A33F4">
        <w:rPr>
          <w:vertAlign w:val="superscript"/>
          <w:lang w:val="en-US"/>
        </w:rPr>
        <w:t>th</w:t>
      </w:r>
      <w:r>
        <w:rPr>
          <w:lang w:val="en-US"/>
        </w:rPr>
        <w:t xml:space="preserve"> November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DE3BC5"/>
    <w:multiLevelType w:val="hybridMultilevel"/>
    <w:tmpl w:val="5686B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A0286"/>
    <w:multiLevelType w:val="hybridMultilevel"/>
    <w:tmpl w:val="4DCAA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416450">
    <w:abstractNumId w:val="1"/>
  </w:num>
  <w:num w:numId="2" w16cid:durableId="1370687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C5F"/>
    <w:rsid w:val="000D6D5B"/>
    <w:rsid w:val="001463CD"/>
    <w:rsid w:val="001D7B14"/>
    <w:rsid w:val="002222FF"/>
    <w:rsid w:val="002A202B"/>
    <w:rsid w:val="002C1BC9"/>
    <w:rsid w:val="003B53EF"/>
    <w:rsid w:val="003B6EEF"/>
    <w:rsid w:val="003E1AF5"/>
    <w:rsid w:val="003F59A0"/>
    <w:rsid w:val="00442AAA"/>
    <w:rsid w:val="004430FD"/>
    <w:rsid w:val="00477ED9"/>
    <w:rsid w:val="00520DA4"/>
    <w:rsid w:val="005B250F"/>
    <w:rsid w:val="00602FED"/>
    <w:rsid w:val="00616EFC"/>
    <w:rsid w:val="00627036"/>
    <w:rsid w:val="006902F3"/>
    <w:rsid w:val="006A33F4"/>
    <w:rsid w:val="007160E8"/>
    <w:rsid w:val="007B6A97"/>
    <w:rsid w:val="00945C5F"/>
    <w:rsid w:val="00A06744"/>
    <w:rsid w:val="00A9301D"/>
    <w:rsid w:val="00B212ED"/>
    <w:rsid w:val="00B411BA"/>
    <w:rsid w:val="00B913D4"/>
    <w:rsid w:val="00C111D8"/>
    <w:rsid w:val="00DB04A9"/>
    <w:rsid w:val="00E41BD0"/>
    <w:rsid w:val="00E71FF8"/>
    <w:rsid w:val="00EB2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E21C6"/>
  <w15:chartTrackingRefBased/>
  <w15:docId w15:val="{618BB58F-83D6-4E7E-BED7-19664062A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C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5C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5C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5C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5C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5C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C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C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C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C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5C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5C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5C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5C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5C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C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C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C5F"/>
    <w:rPr>
      <w:rFonts w:eastAsiaTheme="majorEastAsia" w:cstheme="majorBidi"/>
      <w:color w:val="272727" w:themeColor="text1" w:themeTint="D8"/>
    </w:rPr>
  </w:style>
  <w:style w:type="paragraph" w:styleId="Title">
    <w:name w:val="Title"/>
    <w:basedOn w:val="Normal"/>
    <w:next w:val="Normal"/>
    <w:link w:val="TitleChar"/>
    <w:uiPriority w:val="10"/>
    <w:qFormat/>
    <w:rsid w:val="00945C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C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C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C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C5F"/>
    <w:pPr>
      <w:spacing w:before="160"/>
      <w:jc w:val="center"/>
    </w:pPr>
    <w:rPr>
      <w:i/>
      <w:iCs/>
      <w:color w:val="404040" w:themeColor="text1" w:themeTint="BF"/>
    </w:rPr>
  </w:style>
  <w:style w:type="character" w:customStyle="1" w:styleId="QuoteChar">
    <w:name w:val="Quote Char"/>
    <w:basedOn w:val="DefaultParagraphFont"/>
    <w:link w:val="Quote"/>
    <w:uiPriority w:val="29"/>
    <w:rsid w:val="00945C5F"/>
    <w:rPr>
      <w:i/>
      <w:iCs/>
      <w:color w:val="404040" w:themeColor="text1" w:themeTint="BF"/>
    </w:rPr>
  </w:style>
  <w:style w:type="paragraph" w:styleId="ListParagraph">
    <w:name w:val="List Paragraph"/>
    <w:basedOn w:val="Normal"/>
    <w:uiPriority w:val="34"/>
    <w:qFormat/>
    <w:rsid w:val="00945C5F"/>
    <w:pPr>
      <w:ind w:left="720"/>
      <w:contextualSpacing/>
    </w:pPr>
  </w:style>
  <w:style w:type="character" w:styleId="IntenseEmphasis">
    <w:name w:val="Intense Emphasis"/>
    <w:basedOn w:val="DefaultParagraphFont"/>
    <w:uiPriority w:val="21"/>
    <w:qFormat/>
    <w:rsid w:val="00945C5F"/>
    <w:rPr>
      <w:i/>
      <w:iCs/>
      <w:color w:val="0F4761" w:themeColor="accent1" w:themeShade="BF"/>
    </w:rPr>
  </w:style>
  <w:style w:type="paragraph" w:styleId="IntenseQuote">
    <w:name w:val="Intense Quote"/>
    <w:basedOn w:val="Normal"/>
    <w:next w:val="Normal"/>
    <w:link w:val="IntenseQuoteChar"/>
    <w:uiPriority w:val="30"/>
    <w:qFormat/>
    <w:rsid w:val="00945C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5C5F"/>
    <w:rPr>
      <w:i/>
      <w:iCs/>
      <w:color w:val="0F4761" w:themeColor="accent1" w:themeShade="BF"/>
    </w:rPr>
  </w:style>
  <w:style w:type="character" w:styleId="IntenseReference">
    <w:name w:val="Intense Reference"/>
    <w:basedOn w:val="DefaultParagraphFont"/>
    <w:uiPriority w:val="32"/>
    <w:qFormat/>
    <w:rsid w:val="00945C5F"/>
    <w:rPr>
      <w:b/>
      <w:bCs/>
      <w:smallCaps/>
      <w:color w:val="0F4761" w:themeColor="accent1" w:themeShade="BF"/>
      <w:spacing w:val="5"/>
    </w:rPr>
  </w:style>
  <w:style w:type="paragraph" w:styleId="FootnoteText">
    <w:name w:val="footnote text"/>
    <w:basedOn w:val="Normal"/>
    <w:link w:val="FootnoteTextChar"/>
    <w:uiPriority w:val="99"/>
    <w:semiHidden/>
    <w:unhideWhenUsed/>
    <w:rsid w:val="006270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7036"/>
    <w:rPr>
      <w:sz w:val="20"/>
      <w:szCs w:val="20"/>
    </w:rPr>
  </w:style>
  <w:style w:type="character" w:styleId="FootnoteReference">
    <w:name w:val="footnote reference"/>
    <w:basedOn w:val="DefaultParagraphFont"/>
    <w:uiPriority w:val="99"/>
    <w:semiHidden/>
    <w:unhideWhenUsed/>
    <w:rsid w:val="00627036"/>
    <w:rPr>
      <w:vertAlign w:val="superscript"/>
    </w:rPr>
  </w:style>
  <w:style w:type="character" w:styleId="Hyperlink">
    <w:name w:val="Hyperlink"/>
    <w:basedOn w:val="DefaultParagraphFont"/>
    <w:uiPriority w:val="99"/>
    <w:unhideWhenUsed/>
    <w:rsid w:val="00520DA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Enabling-Ac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tannica.com/topic/Nazi-Party/The-Nazi-Party-and-Hitlers-rise-to-pow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36878-F6F7-441D-A011-62D888E18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2</Pages>
  <Words>473</Words>
  <Characters>2699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26</cp:revision>
  <dcterms:created xsi:type="dcterms:W3CDTF">2024-11-15T10:07:00Z</dcterms:created>
  <dcterms:modified xsi:type="dcterms:W3CDTF">2024-11-15T20:48:00Z</dcterms:modified>
</cp:coreProperties>
</file>