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528C3" w14:textId="198B5F5E" w:rsidR="00F12BF2" w:rsidRDefault="00F12BF2" w:rsidP="00F12BF2">
      <w:pPr>
        <w:widowControl w:val="0"/>
        <w:tabs>
          <w:tab w:val="left" w:pos="392"/>
        </w:tabs>
        <w:autoSpaceDE w:val="0"/>
        <w:autoSpaceDN w:val="0"/>
        <w:ind w:right="473"/>
        <w:jc w:val="center"/>
        <w:rPr>
          <w:rFonts w:cs="Arial"/>
          <w:b/>
        </w:rPr>
      </w:pPr>
    </w:p>
    <w:p w14:paraId="669B132C" w14:textId="77777777" w:rsidR="002879D4" w:rsidRDefault="00F12BF2" w:rsidP="002879D4">
      <w:pPr>
        <w:widowControl w:val="0"/>
        <w:tabs>
          <w:tab w:val="left" w:pos="392"/>
        </w:tabs>
        <w:autoSpaceDE w:val="0"/>
        <w:autoSpaceDN w:val="0"/>
        <w:ind w:right="473"/>
        <w:jc w:val="center"/>
        <w:rPr>
          <w:rFonts w:cs="Arial"/>
          <w:b/>
          <w:sz w:val="44"/>
          <w:szCs w:val="44"/>
        </w:rPr>
      </w:pPr>
      <w:r w:rsidRPr="002879D4">
        <w:rPr>
          <w:rFonts w:cs="Arial"/>
          <w:b/>
          <w:sz w:val="44"/>
          <w:szCs w:val="44"/>
        </w:rPr>
        <w:t>Esther Uyi Okhi</w:t>
      </w:r>
      <w:r w:rsidR="002879D4">
        <w:rPr>
          <w:rFonts w:cs="Arial"/>
          <w:b/>
          <w:sz w:val="44"/>
          <w:szCs w:val="44"/>
        </w:rPr>
        <w:t>lu</w:t>
      </w:r>
    </w:p>
    <w:p w14:paraId="68FEC2D7" w14:textId="462189E7" w:rsidR="00F12BF2" w:rsidRDefault="00F12BF2" w:rsidP="002879D4">
      <w:pPr>
        <w:widowControl w:val="0"/>
        <w:tabs>
          <w:tab w:val="left" w:pos="392"/>
        </w:tabs>
        <w:autoSpaceDE w:val="0"/>
        <w:autoSpaceDN w:val="0"/>
        <w:ind w:right="473"/>
        <w:jc w:val="center"/>
        <w:rPr>
          <w:rFonts w:cs="Arial"/>
          <w:b/>
          <w:sz w:val="44"/>
          <w:szCs w:val="44"/>
        </w:rPr>
      </w:pPr>
      <w:r w:rsidRPr="002879D4">
        <w:rPr>
          <w:rFonts w:cs="Arial"/>
          <w:b/>
          <w:sz w:val="44"/>
          <w:szCs w:val="44"/>
        </w:rPr>
        <w:t>2433459</w:t>
      </w:r>
    </w:p>
    <w:p w14:paraId="1199DC7C" w14:textId="77777777" w:rsidR="002879D4" w:rsidRPr="002879D4" w:rsidRDefault="002879D4" w:rsidP="002879D4">
      <w:pPr>
        <w:widowControl w:val="0"/>
        <w:tabs>
          <w:tab w:val="left" w:pos="392"/>
        </w:tabs>
        <w:autoSpaceDE w:val="0"/>
        <w:autoSpaceDN w:val="0"/>
        <w:ind w:right="473"/>
        <w:jc w:val="center"/>
        <w:rPr>
          <w:rFonts w:cs="Arial"/>
          <w:b/>
          <w:sz w:val="44"/>
          <w:szCs w:val="44"/>
        </w:rPr>
      </w:pPr>
    </w:p>
    <w:p w14:paraId="79445B7C" w14:textId="710DC3C7" w:rsidR="00F12BF2" w:rsidRDefault="00F12BF2" w:rsidP="002879D4">
      <w:pPr>
        <w:widowControl w:val="0"/>
        <w:tabs>
          <w:tab w:val="left" w:pos="392"/>
        </w:tabs>
        <w:autoSpaceDE w:val="0"/>
        <w:autoSpaceDN w:val="0"/>
        <w:ind w:right="473"/>
        <w:jc w:val="center"/>
        <w:rPr>
          <w:rFonts w:cs="Arial"/>
          <w:b/>
          <w:sz w:val="44"/>
          <w:szCs w:val="44"/>
        </w:rPr>
      </w:pPr>
      <w:r w:rsidRPr="002879D4">
        <w:rPr>
          <w:rFonts w:cs="Arial"/>
          <w:b/>
          <w:sz w:val="44"/>
          <w:szCs w:val="44"/>
        </w:rPr>
        <w:t>LCHS 4003</w:t>
      </w:r>
    </w:p>
    <w:p w14:paraId="2AB20476" w14:textId="77777777" w:rsidR="002879D4" w:rsidRPr="002879D4" w:rsidRDefault="002879D4" w:rsidP="002879D4">
      <w:pPr>
        <w:widowControl w:val="0"/>
        <w:tabs>
          <w:tab w:val="left" w:pos="392"/>
        </w:tabs>
        <w:autoSpaceDE w:val="0"/>
        <w:autoSpaceDN w:val="0"/>
        <w:ind w:right="473"/>
        <w:jc w:val="center"/>
        <w:rPr>
          <w:rFonts w:cs="Arial"/>
          <w:b/>
          <w:sz w:val="44"/>
          <w:szCs w:val="44"/>
        </w:rPr>
      </w:pPr>
    </w:p>
    <w:p w14:paraId="37290A15" w14:textId="25E39937" w:rsidR="00F12BF2" w:rsidRDefault="002879D4" w:rsidP="002879D4">
      <w:pPr>
        <w:widowControl w:val="0"/>
        <w:tabs>
          <w:tab w:val="left" w:pos="392"/>
        </w:tabs>
        <w:autoSpaceDE w:val="0"/>
        <w:autoSpaceDN w:val="0"/>
        <w:ind w:right="473"/>
        <w:jc w:val="center"/>
        <w:rPr>
          <w:rFonts w:cs="Arial"/>
          <w:b/>
          <w:sz w:val="44"/>
          <w:szCs w:val="44"/>
        </w:rPr>
      </w:pPr>
      <w:r>
        <w:rPr>
          <w:rFonts w:cs="Arial"/>
          <w:b/>
          <w:sz w:val="44"/>
          <w:szCs w:val="44"/>
        </w:rPr>
        <w:t xml:space="preserve">   </w:t>
      </w:r>
      <w:r w:rsidR="00F12BF2" w:rsidRPr="002879D4">
        <w:rPr>
          <w:rFonts w:cs="Arial"/>
          <w:b/>
          <w:sz w:val="44"/>
          <w:szCs w:val="44"/>
        </w:rPr>
        <w:t>Introduction to Health and Social Care</w:t>
      </w:r>
    </w:p>
    <w:p w14:paraId="7DAEF696" w14:textId="77777777" w:rsidR="002879D4" w:rsidRPr="002879D4" w:rsidRDefault="002879D4" w:rsidP="002879D4">
      <w:pPr>
        <w:widowControl w:val="0"/>
        <w:tabs>
          <w:tab w:val="left" w:pos="392"/>
        </w:tabs>
        <w:autoSpaceDE w:val="0"/>
        <w:autoSpaceDN w:val="0"/>
        <w:ind w:right="473"/>
        <w:jc w:val="center"/>
        <w:rPr>
          <w:rFonts w:cs="Arial"/>
          <w:b/>
          <w:sz w:val="44"/>
          <w:szCs w:val="44"/>
        </w:rPr>
      </w:pPr>
    </w:p>
    <w:p w14:paraId="56A1EB6B" w14:textId="77777777" w:rsidR="002879D4" w:rsidRDefault="002879D4" w:rsidP="002879D4">
      <w:pPr>
        <w:widowControl w:val="0"/>
        <w:tabs>
          <w:tab w:val="left" w:pos="392"/>
        </w:tabs>
        <w:autoSpaceDE w:val="0"/>
        <w:autoSpaceDN w:val="0"/>
        <w:ind w:right="473"/>
        <w:jc w:val="center"/>
        <w:rPr>
          <w:rFonts w:cs="Arial"/>
          <w:b/>
          <w:sz w:val="44"/>
          <w:szCs w:val="44"/>
        </w:rPr>
      </w:pPr>
      <w:proofErr w:type="spellStart"/>
      <w:r w:rsidRPr="002879D4">
        <w:rPr>
          <w:rFonts w:cs="Arial"/>
          <w:b/>
          <w:sz w:val="44"/>
          <w:szCs w:val="44"/>
        </w:rPr>
        <w:t>Azidal</w:t>
      </w:r>
      <w:proofErr w:type="spellEnd"/>
      <w:r w:rsidRPr="002879D4">
        <w:rPr>
          <w:rFonts w:cs="Arial"/>
          <w:b/>
          <w:sz w:val="44"/>
          <w:szCs w:val="44"/>
        </w:rPr>
        <w:t xml:space="preserve"> Zainol</w:t>
      </w:r>
    </w:p>
    <w:p w14:paraId="0F0A817B" w14:textId="77777777" w:rsidR="001733C2" w:rsidRDefault="001733C2" w:rsidP="002879D4">
      <w:pPr>
        <w:widowControl w:val="0"/>
        <w:tabs>
          <w:tab w:val="left" w:pos="392"/>
        </w:tabs>
        <w:autoSpaceDE w:val="0"/>
        <w:autoSpaceDN w:val="0"/>
        <w:ind w:right="473"/>
        <w:jc w:val="center"/>
        <w:rPr>
          <w:rFonts w:cs="Arial"/>
          <w:b/>
          <w:sz w:val="44"/>
          <w:szCs w:val="44"/>
        </w:rPr>
      </w:pPr>
    </w:p>
    <w:p w14:paraId="661E0037" w14:textId="27462237" w:rsidR="001733C2" w:rsidRDefault="001733C2" w:rsidP="002879D4">
      <w:pPr>
        <w:widowControl w:val="0"/>
        <w:tabs>
          <w:tab w:val="left" w:pos="392"/>
        </w:tabs>
        <w:autoSpaceDE w:val="0"/>
        <w:autoSpaceDN w:val="0"/>
        <w:ind w:right="473"/>
        <w:jc w:val="center"/>
        <w:rPr>
          <w:rFonts w:cs="Arial"/>
          <w:b/>
          <w:sz w:val="44"/>
          <w:szCs w:val="44"/>
        </w:rPr>
      </w:pPr>
      <w:r>
        <w:rPr>
          <w:rFonts w:cs="Arial"/>
          <w:b/>
          <w:sz w:val="44"/>
          <w:szCs w:val="44"/>
        </w:rPr>
        <w:t>Component 1</w:t>
      </w:r>
    </w:p>
    <w:p w14:paraId="0FF720C3" w14:textId="77777777" w:rsidR="00F12BF2" w:rsidRDefault="00F12BF2"/>
    <w:p w14:paraId="457FB4FE" w14:textId="0474CD5D" w:rsidR="008108A3" w:rsidRDefault="00F12BF2">
      <w:r>
        <w:rPr>
          <w:noProof/>
        </w:rPr>
        <w:lastRenderedPageBreak/>
        <w:drawing>
          <wp:inline distT="0" distB="0" distL="0" distR="0" wp14:anchorId="5277F498" wp14:editId="6544951D">
            <wp:extent cx="5943600" cy="4592955"/>
            <wp:effectExtent l="0" t="0" r="0" b="0"/>
            <wp:docPr id="1877427931" name="Picture 2" descr="A close-up of a pharmacy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427931" name="Picture 2" descr="A close-up of a pharmacy servi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4592955"/>
                    </a:xfrm>
                    <a:prstGeom prst="rect">
                      <a:avLst/>
                    </a:prstGeom>
                  </pic:spPr>
                </pic:pic>
              </a:graphicData>
            </a:graphic>
          </wp:inline>
        </w:drawing>
      </w:r>
    </w:p>
    <w:p w14:paraId="7F35AB12" w14:textId="77777777" w:rsidR="00E151C6" w:rsidRDefault="00E151C6"/>
    <w:p w14:paraId="5A26D248" w14:textId="77777777" w:rsidR="00E151C6" w:rsidRDefault="00E151C6"/>
    <w:p w14:paraId="18B610D0" w14:textId="77777777" w:rsidR="00E151C6" w:rsidRDefault="00E151C6"/>
    <w:p w14:paraId="41E8959E" w14:textId="77777777" w:rsidR="00E151C6" w:rsidRDefault="00E151C6"/>
    <w:p w14:paraId="05368FFF" w14:textId="77777777" w:rsidR="00E151C6" w:rsidRDefault="00E151C6"/>
    <w:p w14:paraId="1E8CB27D" w14:textId="77777777" w:rsidR="00E151C6" w:rsidRDefault="00E151C6"/>
    <w:p w14:paraId="4E787877" w14:textId="77777777" w:rsidR="00E151C6" w:rsidRDefault="00E151C6"/>
    <w:p w14:paraId="1AB6142F" w14:textId="77777777" w:rsidR="00E151C6" w:rsidRDefault="00E151C6"/>
    <w:p w14:paraId="34550934" w14:textId="77777777" w:rsidR="00E151C6" w:rsidRDefault="00E151C6"/>
    <w:p w14:paraId="139DE852" w14:textId="77777777" w:rsidR="00E151C6" w:rsidRDefault="00E151C6"/>
    <w:p w14:paraId="3DB0FFB8" w14:textId="77777777" w:rsidR="00E151C6" w:rsidRDefault="00E151C6"/>
    <w:p w14:paraId="542554BF" w14:textId="77777777" w:rsidR="00E151C6" w:rsidRDefault="00E151C6"/>
    <w:p w14:paraId="0471CFCC" w14:textId="25732733" w:rsidR="002879D4" w:rsidRPr="002879D4" w:rsidRDefault="002879D4" w:rsidP="005167BC">
      <w:pPr>
        <w:spacing w:after="0" w:line="360" w:lineRule="auto"/>
        <w:rPr>
          <w:rFonts w:ascii="Arial" w:eastAsia="Times New Roman" w:hAnsi="Arial" w:cs="Arial"/>
          <w:b/>
          <w:bCs/>
          <w:kern w:val="0"/>
          <w:sz w:val="28"/>
          <w:szCs w:val="28"/>
          <w14:ligatures w14:val="none"/>
        </w:rPr>
      </w:pPr>
      <w:r>
        <w:rPr>
          <w:rFonts w:ascii="Arial" w:eastAsia="Times New Roman" w:hAnsi="Arial" w:cs="Arial"/>
          <w:kern w:val="0"/>
          <w14:ligatures w14:val="none"/>
        </w:rPr>
        <w:lastRenderedPageBreak/>
        <w:t xml:space="preserve">                                          </w:t>
      </w:r>
      <w:r w:rsidRPr="002879D4">
        <w:rPr>
          <w:rFonts w:ascii="Arial" w:eastAsia="Times New Roman" w:hAnsi="Arial" w:cs="Arial"/>
          <w:b/>
          <w:bCs/>
          <w:kern w:val="0"/>
          <w:sz w:val="28"/>
          <w:szCs w:val="28"/>
          <w14:ligatures w14:val="none"/>
        </w:rPr>
        <w:t xml:space="preserve">  NHS</w:t>
      </w:r>
    </w:p>
    <w:p w14:paraId="58313C38" w14:textId="77777777" w:rsidR="002879D4" w:rsidRDefault="002879D4" w:rsidP="005167BC">
      <w:pPr>
        <w:spacing w:after="0" w:line="360" w:lineRule="auto"/>
        <w:rPr>
          <w:rFonts w:ascii="Arial" w:eastAsia="Times New Roman" w:hAnsi="Arial" w:cs="Arial"/>
          <w:kern w:val="0"/>
          <w14:ligatures w14:val="none"/>
        </w:rPr>
      </w:pPr>
    </w:p>
    <w:p w14:paraId="31B6EAB6" w14:textId="1D3D6AA7" w:rsidR="00A10658" w:rsidRPr="005167BC" w:rsidRDefault="00A10658" w:rsidP="005167BC">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t>One of the most significant developments in British social history is the National Health Service (NHS). It was founded in 1948 with the goal of giving everyone access to free healthcare at the point of need, irrespective of their financial circumstances. It was established with the intention of ensuring that no one would be denied care due to poverty, reflecting a post-war dedication to justice and equality. This essay examines the history of the NHS, the guiding ideals upon which it was established, and its current operations.</w:t>
      </w:r>
    </w:p>
    <w:p w14:paraId="75584556" w14:textId="77777777" w:rsidR="00A10658" w:rsidRPr="00A10658" w:rsidRDefault="00A10658" w:rsidP="005167BC">
      <w:pPr>
        <w:spacing w:after="0" w:line="360" w:lineRule="auto"/>
        <w:rPr>
          <w:rFonts w:ascii="Arial" w:eastAsia="Times New Roman" w:hAnsi="Arial" w:cs="Arial"/>
          <w:kern w:val="0"/>
          <w14:ligatures w14:val="none"/>
        </w:rPr>
      </w:pPr>
    </w:p>
    <w:p w14:paraId="2DBD3D3E" w14:textId="3CCB818B" w:rsidR="00A10658" w:rsidRPr="005167BC" w:rsidRDefault="00A10658" w:rsidP="005167BC">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t>The NHS was created during a period when healthcare in the UK was uneven and dispersed. Poorer areas frequently lacked access to basic healthcare because hospitals were primarily operated by nonprofits or voluntary organizations prior to 1948 and many patients had to pay for treatment privately (Baggott, 201</w:t>
      </w:r>
      <w:r w:rsidR="00EF6884">
        <w:rPr>
          <w:rFonts w:ascii="Arial" w:eastAsia="Times New Roman" w:hAnsi="Arial" w:cs="Arial"/>
          <w:kern w:val="0"/>
          <w14:ligatures w14:val="none"/>
        </w:rPr>
        <w:t>5</w:t>
      </w:r>
      <w:r w:rsidRPr="00A10658">
        <w:rPr>
          <w:rFonts w:ascii="Arial" w:eastAsia="Times New Roman" w:hAnsi="Arial" w:cs="Arial"/>
          <w:kern w:val="0"/>
          <w14:ligatures w14:val="none"/>
        </w:rPr>
        <w:t>; Timmins, 2018). These flaws were made clear by the Second World War, which also raised popular desire for a more just government. In order to address the "five giants" of society</w:t>
      </w:r>
      <w:r w:rsidR="005167BC" w:rsidRPr="005167BC">
        <w:rPr>
          <w:rFonts w:ascii="Arial" w:eastAsia="Times New Roman" w:hAnsi="Arial" w:cs="Arial"/>
          <w:kern w:val="0"/>
          <w14:ligatures w14:val="none"/>
        </w:rPr>
        <w:t xml:space="preserve">, </w:t>
      </w:r>
      <w:r w:rsidRPr="00A10658">
        <w:rPr>
          <w:rFonts w:ascii="Arial" w:eastAsia="Times New Roman" w:hAnsi="Arial" w:cs="Arial"/>
          <w:kern w:val="0"/>
          <w14:ligatures w14:val="none"/>
        </w:rPr>
        <w:t>want, disease, illiteracy, squalor, and idleness</w:t>
      </w:r>
      <w:r w:rsidR="005167BC" w:rsidRPr="005167BC">
        <w:rPr>
          <w:rFonts w:ascii="Arial" w:eastAsia="Times New Roman" w:hAnsi="Arial" w:cs="Arial"/>
          <w:kern w:val="0"/>
          <w14:ligatures w14:val="none"/>
        </w:rPr>
        <w:t xml:space="preserve"> </w:t>
      </w:r>
      <w:r w:rsidRPr="00A10658">
        <w:rPr>
          <w:rFonts w:ascii="Arial" w:eastAsia="Times New Roman" w:hAnsi="Arial" w:cs="Arial"/>
          <w:kern w:val="0"/>
          <w14:ligatures w14:val="none"/>
        </w:rPr>
        <w:t>a national health care was deemed necessary by the Beveridge Report of 1942 (Beveridge, 1942). The National Health Service Act of 1946, which was subsequently introduced by Health Minister Aneurin Bevan, went into operation on July 5, 1948 (Timmins, 2018).</w:t>
      </w:r>
    </w:p>
    <w:p w14:paraId="3364C4CD" w14:textId="77777777" w:rsidR="00A10658" w:rsidRPr="00A10658" w:rsidRDefault="00A10658" w:rsidP="005167BC">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t>Three fundamental tenets influenced the NHS's founding: it should be free at the point of delivery, fulfill everyone's needs, and be financed by taxes (Pollock, 2019). With their emphasis on equality and universality, these concepts represented a significant departure from the past.</w:t>
      </w:r>
    </w:p>
    <w:p w14:paraId="6BFBCC38" w14:textId="77777777" w:rsidR="00A10658" w:rsidRPr="005167BC" w:rsidRDefault="00A10658" w:rsidP="005167BC">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t>One of the biggest publicly funded health systems in the world today is the NHS. With separate organizations and governmental oversight, it functions in England, Scotland, Wales, and Northern Ireland (Baggott, 2019).</w:t>
      </w:r>
    </w:p>
    <w:p w14:paraId="006A740F" w14:textId="77777777" w:rsidR="00A10658" w:rsidRPr="005167BC" w:rsidRDefault="00A10658" w:rsidP="005167BC">
      <w:pPr>
        <w:spacing w:after="0" w:line="360" w:lineRule="auto"/>
        <w:rPr>
          <w:rFonts w:ascii="Arial" w:eastAsia="Times New Roman" w:hAnsi="Arial" w:cs="Arial"/>
          <w:kern w:val="0"/>
          <w14:ligatures w14:val="none"/>
        </w:rPr>
      </w:pPr>
    </w:p>
    <w:p w14:paraId="77EF3364" w14:textId="49C34C0B" w:rsidR="00A10658" w:rsidRPr="00A10658" w:rsidRDefault="00A10658" w:rsidP="005167BC">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t xml:space="preserve"> While Integrated Care Systems (ICSs), which were implemented in 2022, seek to integrate hospitals, general practitioners, community services, and social care, NHS England </w:t>
      </w:r>
      <w:r w:rsidR="005167BC" w:rsidRPr="005167BC">
        <w:rPr>
          <w:rFonts w:ascii="Arial" w:eastAsia="Times New Roman" w:hAnsi="Arial" w:cs="Arial"/>
          <w:kern w:val="0"/>
          <w14:ligatures w14:val="none"/>
        </w:rPr>
        <w:t>oversees</w:t>
      </w:r>
      <w:r w:rsidRPr="00A10658">
        <w:rPr>
          <w:rFonts w:ascii="Arial" w:eastAsia="Times New Roman" w:hAnsi="Arial" w:cs="Arial"/>
          <w:kern w:val="0"/>
          <w14:ligatures w14:val="none"/>
        </w:rPr>
        <w:t xml:space="preserve"> planning and commissioning in England (</w:t>
      </w:r>
      <w:r w:rsidR="00DE36F1">
        <w:rPr>
          <w:rFonts w:ascii="Arial" w:eastAsia="Times New Roman" w:hAnsi="Arial" w:cs="Arial"/>
          <w:kern w:val="0"/>
          <w14:ligatures w14:val="none"/>
        </w:rPr>
        <w:t>Briggs</w:t>
      </w:r>
      <w:r w:rsidRPr="00A10658">
        <w:rPr>
          <w:rFonts w:ascii="Arial" w:eastAsia="Times New Roman" w:hAnsi="Arial" w:cs="Arial"/>
          <w:kern w:val="0"/>
          <w14:ligatures w14:val="none"/>
        </w:rPr>
        <w:t>, 2020)</w:t>
      </w:r>
      <w:r w:rsidR="005167BC" w:rsidRPr="005167BC">
        <w:rPr>
          <w:rFonts w:ascii="Arial" w:eastAsia="Times New Roman" w:hAnsi="Arial" w:cs="Arial"/>
          <w:kern w:val="0"/>
          <w14:ligatures w14:val="none"/>
        </w:rPr>
        <w:t>, r</w:t>
      </w:r>
      <w:r w:rsidRPr="00A10658">
        <w:rPr>
          <w:rFonts w:ascii="Arial" w:eastAsia="Times New Roman" w:hAnsi="Arial" w:cs="Arial"/>
          <w:kern w:val="0"/>
          <w14:ligatures w14:val="none"/>
        </w:rPr>
        <w:t>educing fragmentation, promoting teamwork, and concentrating on patient needs are the objectives. A move toward more local, proactive treatment is seen in the increasing role that primary care and community pharmacy services play in managing chronic conditions, fostering health, and averting disease.</w:t>
      </w:r>
    </w:p>
    <w:p w14:paraId="10815DE5" w14:textId="36ABE338" w:rsidR="00A10658" w:rsidRPr="005167BC" w:rsidRDefault="00A10658" w:rsidP="005167BC">
      <w:pPr>
        <w:pStyle w:val="NormalWeb"/>
        <w:spacing w:line="360" w:lineRule="auto"/>
        <w:rPr>
          <w:rFonts w:ascii="Arial" w:hAnsi="Arial" w:cs="Arial"/>
          <w:sz w:val="22"/>
          <w:szCs w:val="22"/>
        </w:rPr>
      </w:pPr>
      <w:r w:rsidRPr="005167BC">
        <w:rPr>
          <w:rFonts w:ascii="Arial" w:hAnsi="Arial" w:cs="Arial"/>
          <w:sz w:val="22"/>
          <w:szCs w:val="22"/>
        </w:rPr>
        <w:t>.</w:t>
      </w:r>
    </w:p>
    <w:p w14:paraId="451843ED" w14:textId="1F497814" w:rsidR="00A10658" w:rsidRPr="00A10658" w:rsidRDefault="00A10658" w:rsidP="005167BC">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lastRenderedPageBreak/>
        <w:t>Notwithstanding its successes, the NHS still faces significant obstacles. An aging population, increased demand, and a shortage of workers have put strain on the system, leading to lengthy wait times and significant levels of stress for employees (</w:t>
      </w:r>
      <w:r w:rsidR="00DE36F1">
        <w:rPr>
          <w:rFonts w:ascii="Arial" w:eastAsia="Times New Roman" w:hAnsi="Arial" w:cs="Arial"/>
          <w:kern w:val="0"/>
          <w14:ligatures w14:val="none"/>
        </w:rPr>
        <w:t>Buchan, 2017</w:t>
      </w:r>
      <w:r w:rsidRPr="00A10658">
        <w:rPr>
          <w:rFonts w:ascii="Arial" w:eastAsia="Times New Roman" w:hAnsi="Arial" w:cs="Arial"/>
          <w:kern w:val="0"/>
          <w14:ligatures w14:val="none"/>
        </w:rPr>
        <w:t>). Financial limits add to the strain, with hospitals often at full capacity and community services struggling to keep up (</w:t>
      </w:r>
      <w:r w:rsidR="00101476">
        <w:rPr>
          <w:rFonts w:ascii="Arial" w:eastAsia="Times New Roman" w:hAnsi="Arial" w:cs="Arial"/>
          <w:kern w:val="0"/>
          <w14:ligatures w14:val="none"/>
        </w:rPr>
        <w:t>pencheon</w:t>
      </w:r>
      <w:r w:rsidRPr="00A10658">
        <w:rPr>
          <w:rFonts w:ascii="Arial" w:eastAsia="Times New Roman" w:hAnsi="Arial" w:cs="Arial"/>
          <w:kern w:val="0"/>
          <w14:ligatures w14:val="none"/>
        </w:rPr>
        <w:t>, 201</w:t>
      </w:r>
      <w:r w:rsidR="00101476">
        <w:rPr>
          <w:rFonts w:ascii="Arial" w:eastAsia="Times New Roman" w:hAnsi="Arial" w:cs="Arial"/>
          <w:kern w:val="0"/>
          <w14:ligatures w14:val="none"/>
        </w:rPr>
        <w:t>5</w:t>
      </w:r>
      <w:r w:rsidRPr="00A10658">
        <w:rPr>
          <w:rFonts w:ascii="Arial" w:eastAsia="Times New Roman" w:hAnsi="Arial" w:cs="Arial"/>
          <w:kern w:val="0"/>
          <w14:ligatures w14:val="none"/>
        </w:rPr>
        <w:t>). Hospitals and primary care are under more strain as a result of the rise in chronic diseases like diabetes and heart disease. Although ICSs provide a framework for improved efficiency and coordination, change at this size is difficult, and outcomes are still being seen (</w:t>
      </w:r>
      <w:r w:rsidR="00DE36F1">
        <w:rPr>
          <w:rFonts w:ascii="Arial" w:eastAsia="Times New Roman" w:hAnsi="Arial" w:cs="Arial"/>
          <w:kern w:val="0"/>
          <w14:ligatures w14:val="none"/>
        </w:rPr>
        <w:t>Briggs</w:t>
      </w:r>
      <w:r w:rsidRPr="00A10658">
        <w:rPr>
          <w:rFonts w:ascii="Arial" w:eastAsia="Times New Roman" w:hAnsi="Arial" w:cs="Arial"/>
          <w:kern w:val="0"/>
          <w14:ligatures w14:val="none"/>
        </w:rPr>
        <w:t>, 2020).</w:t>
      </w:r>
    </w:p>
    <w:p w14:paraId="654CEBDA" w14:textId="77777777" w:rsidR="00A10658" w:rsidRPr="005167BC" w:rsidRDefault="00A10658" w:rsidP="00A10658">
      <w:pPr>
        <w:pStyle w:val="NormalWeb"/>
        <w:rPr>
          <w:rFonts w:ascii="Arial" w:hAnsi="Arial" w:cs="Arial"/>
          <w:sz w:val="22"/>
          <w:szCs w:val="22"/>
        </w:rPr>
      </w:pPr>
    </w:p>
    <w:p w14:paraId="660D89DC" w14:textId="77777777" w:rsidR="00A10658" w:rsidRPr="005167BC" w:rsidRDefault="00A10658" w:rsidP="00A10658">
      <w:pPr>
        <w:pStyle w:val="NormalWeb"/>
        <w:rPr>
          <w:rFonts w:ascii="Arial" w:hAnsi="Arial" w:cs="Arial"/>
          <w:sz w:val="22"/>
          <w:szCs w:val="22"/>
        </w:rPr>
      </w:pPr>
    </w:p>
    <w:p w14:paraId="205AC8D4" w14:textId="77777777" w:rsidR="00A10658" w:rsidRPr="005167BC" w:rsidRDefault="00A10658" w:rsidP="00A10658">
      <w:pPr>
        <w:pStyle w:val="NormalWeb"/>
        <w:rPr>
          <w:rFonts w:ascii="Arial" w:hAnsi="Arial" w:cs="Arial"/>
          <w:sz w:val="22"/>
          <w:szCs w:val="22"/>
        </w:rPr>
      </w:pPr>
    </w:p>
    <w:p w14:paraId="66094D90" w14:textId="41D48BB4" w:rsidR="00A10658" w:rsidRPr="005167BC" w:rsidRDefault="00A10658" w:rsidP="00A10658">
      <w:pPr>
        <w:pStyle w:val="NormalWeb"/>
        <w:rPr>
          <w:rFonts w:ascii="Arial" w:hAnsi="Arial" w:cs="Arial"/>
          <w:b/>
          <w:bCs/>
          <w:sz w:val="22"/>
          <w:szCs w:val="22"/>
        </w:rPr>
      </w:pPr>
      <w:r w:rsidRPr="005167BC">
        <w:rPr>
          <w:rFonts w:ascii="Arial" w:hAnsi="Arial" w:cs="Arial"/>
          <w:sz w:val="22"/>
          <w:szCs w:val="22"/>
        </w:rPr>
        <w:t xml:space="preserve">                                   </w:t>
      </w:r>
      <w:r w:rsidRPr="005167BC">
        <w:rPr>
          <w:rFonts w:ascii="Arial" w:hAnsi="Arial" w:cs="Arial"/>
          <w:b/>
          <w:bCs/>
          <w:sz w:val="22"/>
          <w:szCs w:val="22"/>
        </w:rPr>
        <w:t xml:space="preserve">Conclusion </w:t>
      </w:r>
    </w:p>
    <w:p w14:paraId="6E751D16" w14:textId="57EC9393" w:rsidR="00A10658" w:rsidRPr="00A10658" w:rsidRDefault="00A10658" w:rsidP="00A10658">
      <w:pPr>
        <w:spacing w:after="0" w:line="360" w:lineRule="auto"/>
        <w:rPr>
          <w:rFonts w:ascii="Arial" w:eastAsia="Times New Roman" w:hAnsi="Arial" w:cs="Arial"/>
          <w:kern w:val="0"/>
          <w14:ligatures w14:val="none"/>
        </w:rPr>
      </w:pPr>
      <w:r w:rsidRPr="00A10658">
        <w:rPr>
          <w:rFonts w:ascii="Arial" w:eastAsia="Times New Roman" w:hAnsi="Arial" w:cs="Arial"/>
          <w:kern w:val="0"/>
          <w14:ligatures w14:val="none"/>
        </w:rPr>
        <w:t>A post</w:t>
      </w:r>
      <w:r w:rsidR="00EF6884">
        <w:rPr>
          <w:rFonts w:ascii="Arial" w:eastAsia="Times New Roman" w:hAnsi="Arial" w:cs="Arial"/>
          <w:kern w:val="0"/>
          <w14:ligatures w14:val="none"/>
        </w:rPr>
        <w:t xml:space="preserve"> </w:t>
      </w:r>
      <w:r w:rsidRPr="00A10658">
        <w:rPr>
          <w:rFonts w:ascii="Arial" w:eastAsia="Times New Roman" w:hAnsi="Arial" w:cs="Arial"/>
          <w:kern w:val="0"/>
          <w14:ligatures w14:val="none"/>
        </w:rPr>
        <w:t xml:space="preserve">war concept of justice and universal care gave rise to the NHS, which revolutionized health results throughout the United Kingdom. Its core </w:t>
      </w:r>
      <w:r w:rsidR="005167BC" w:rsidRPr="005167BC">
        <w:rPr>
          <w:rFonts w:ascii="Arial" w:eastAsia="Times New Roman" w:hAnsi="Arial" w:cs="Arial"/>
          <w:kern w:val="0"/>
          <w14:ligatures w14:val="none"/>
        </w:rPr>
        <w:t xml:space="preserve">principles, </w:t>
      </w:r>
      <w:r w:rsidRPr="00A10658">
        <w:rPr>
          <w:rFonts w:ascii="Arial" w:eastAsia="Times New Roman" w:hAnsi="Arial" w:cs="Arial"/>
          <w:kern w:val="0"/>
          <w14:ligatures w14:val="none"/>
        </w:rPr>
        <w:t>free care, tax</w:t>
      </w:r>
      <w:r w:rsidRPr="005167BC">
        <w:rPr>
          <w:rFonts w:ascii="Arial" w:eastAsia="Times New Roman" w:hAnsi="Arial" w:cs="Arial"/>
          <w:kern w:val="0"/>
          <w14:ligatures w14:val="none"/>
        </w:rPr>
        <w:t xml:space="preserve"> </w:t>
      </w:r>
      <w:r w:rsidRPr="00A10658">
        <w:rPr>
          <w:rFonts w:ascii="Arial" w:eastAsia="Times New Roman" w:hAnsi="Arial" w:cs="Arial"/>
          <w:kern w:val="0"/>
          <w14:ligatures w14:val="none"/>
        </w:rPr>
        <w:t>based funding, and attending to everyone's needs</w:t>
      </w:r>
      <w:r w:rsidRPr="005167BC">
        <w:rPr>
          <w:rFonts w:ascii="Arial" w:eastAsia="Times New Roman" w:hAnsi="Arial" w:cs="Arial"/>
          <w:kern w:val="0"/>
          <w14:ligatures w14:val="none"/>
        </w:rPr>
        <w:t xml:space="preserve"> </w:t>
      </w:r>
      <w:r w:rsidRPr="00A10658">
        <w:rPr>
          <w:rFonts w:ascii="Arial" w:eastAsia="Times New Roman" w:hAnsi="Arial" w:cs="Arial"/>
          <w:kern w:val="0"/>
          <w14:ligatures w14:val="none"/>
        </w:rPr>
        <w:t>remain intact. However, the NHS must keep changing due to contemporary factors such a lack of workers, budgetary limitations, and growing demand. Careful planning, efficient cross</w:t>
      </w:r>
      <w:r w:rsidR="00EF6884">
        <w:rPr>
          <w:rFonts w:ascii="Arial" w:eastAsia="Times New Roman" w:hAnsi="Arial" w:cs="Arial"/>
          <w:kern w:val="0"/>
          <w14:ligatures w14:val="none"/>
        </w:rPr>
        <w:t xml:space="preserve"> </w:t>
      </w:r>
      <w:r w:rsidRPr="00A10658">
        <w:rPr>
          <w:rFonts w:ascii="Arial" w:eastAsia="Times New Roman" w:hAnsi="Arial" w:cs="Arial"/>
          <w:kern w:val="0"/>
          <w14:ligatures w14:val="none"/>
        </w:rPr>
        <w:t>service collaboration, and a persistent dedication to the principles of equality and caring for everyone will be necessary for success. The NHS has a history of foresight, tenacity, and constant adaptability; its survival will rely on its capacity to uphold its original purpose in a world that is changing.</w:t>
      </w:r>
    </w:p>
    <w:p w14:paraId="1A828460" w14:textId="77777777" w:rsidR="00E151C6" w:rsidRDefault="00E151C6"/>
    <w:p w14:paraId="02F27E40" w14:textId="77777777" w:rsidR="00EF6884" w:rsidRDefault="00EF6884"/>
    <w:p w14:paraId="1AED7E25" w14:textId="77777777" w:rsidR="00EF6884" w:rsidRDefault="00EF6884"/>
    <w:p w14:paraId="2290DC66" w14:textId="77777777" w:rsidR="00EF6884" w:rsidRDefault="00EF6884"/>
    <w:p w14:paraId="58747D34" w14:textId="77777777" w:rsidR="00EF6884" w:rsidRDefault="00EF6884"/>
    <w:p w14:paraId="39BF6519" w14:textId="77777777" w:rsidR="00EF6884" w:rsidRDefault="00EF6884"/>
    <w:p w14:paraId="63547A4C" w14:textId="77777777" w:rsidR="00EF6884" w:rsidRDefault="00EF6884"/>
    <w:p w14:paraId="700C21AB" w14:textId="77777777" w:rsidR="00EF6884" w:rsidRDefault="00EF6884"/>
    <w:p w14:paraId="3D71712E" w14:textId="77777777" w:rsidR="00EF6884" w:rsidRDefault="00EF6884"/>
    <w:p w14:paraId="2CCFD418" w14:textId="77777777" w:rsidR="00EF6884" w:rsidRDefault="00EF6884"/>
    <w:p w14:paraId="2AA809E9" w14:textId="77777777" w:rsidR="00EF6884" w:rsidRDefault="00EF6884"/>
    <w:p w14:paraId="36E6DC71" w14:textId="77777777" w:rsidR="00EF6884" w:rsidRDefault="00EF6884"/>
    <w:p w14:paraId="20F5BE0E" w14:textId="72B99FE1" w:rsidR="00EF6884" w:rsidRDefault="00EF6884" w:rsidP="00EF6884">
      <w:pPr>
        <w:rPr>
          <w:b/>
          <w:bCs/>
          <w:sz w:val="32"/>
          <w:szCs w:val="32"/>
        </w:rPr>
      </w:pPr>
      <w:r>
        <w:t xml:space="preserve">                                                           </w:t>
      </w:r>
      <w:r w:rsidRPr="00EF6884">
        <w:rPr>
          <w:b/>
          <w:bCs/>
          <w:sz w:val="32"/>
          <w:szCs w:val="32"/>
        </w:rPr>
        <w:t>References</w:t>
      </w:r>
    </w:p>
    <w:p w14:paraId="286BCD33" w14:textId="77777777" w:rsidR="00EF6884" w:rsidRPr="008B0708" w:rsidRDefault="00EF6884" w:rsidP="00EF6884">
      <w:pPr>
        <w:rPr>
          <w:rFonts w:ascii="Arial" w:hAnsi="Arial" w:cs="Arial"/>
          <w:b/>
          <w:bCs/>
        </w:rPr>
      </w:pPr>
    </w:p>
    <w:tbl>
      <w:tblPr>
        <w:tblW w:w="6570" w:type="dxa"/>
        <w:shd w:val="clear" w:color="auto" w:fill="FFFFFF"/>
        <w:tblCellMar>
          <w:left w:w="0" w:type="dxa"/>
          <w:right w:w="0" w:type="dxa"/>
        </w:tblCellMar>
        <w:tblLook w:val="04A0" w:firstRow="1" w:lastRow="0" w:firstColumn="1" w:lastColumn="0" w:noHBand="0" w:noVBand="1"/>
      </w:tblPr>
      <w:tblGrid>
        <w:gridCol w:w="6570"/>
      </w:tblGrid>
      <w:tr w:rsidR="00EF6884" w:rsidRPr="00EF6884" w14:paraId="44FC489B" w14:textId="77777777" w:rsidTr="00EF6884">
        <w:tc>
          <w:tcPr>
            <w:tcW w:w="0" w:type="auto"/>
            <w:shd w:val="clear" w:color="auto" w:fill="FFFFFF"/>
            <w:tcMar>
              <w:top w:w="120" w:type="dxa"/>
              <w:left w:w="0" w:type="dxa"/>
              <w:bottom w:w="120" w:type="dxa"/>
              <w:right w:w="0" w:type="dxa"/>
            </w:tcMar>
            <w:hideMark/>
          </w:tcPr>
          <w:p w14:paraId="1214DA02" w14:textId="70813015" w:rsidR="00EF6884" w:rsidRPr="00EF6884" w:rsidRDefault="00EF6884" w:rsidP="00EF6884">
            <w:pPr>
              <w:spacing w:after="0" w:line="240" w:lineRule="auto"/>
              <w:rPr>
                <w:rFonts w:ascii="Arial" w:eastAsia="Times New Roman" w:hAnsi="Arial" w:cs="Arial"/>
                <w:color w:val="222222"/>
                <w:kern w:val="0"/>
                <w14:ligatures w14:val="none"/>
              </w:rPr>
            </w:pPr>
            <w:r w:rsidRPr="00EF6884">
              <w:rPr>
                <w:rFonts w:ascii="Arial" w:eastAsia="Times New Roman" w:hAnsi="Arial" w:cs="Arial"/>
                <w:color w:val="222222"/>
                <w:kern w:val="0"/>
                <w14:ligatures w14:val="none"/>
              </w:rPr>
              <w:t>Baggott, R., 2015. </w:t>
            </w:r>
            <w:r w:rsidRPr="00EF6884">
              <w:rPr>
                <w:rFonts w:ascii="Arial" w:eastAsia="Times New Roman" w:hAnsi="Arial" w:cs="Arial"/>
                <w:i/>
                <w:iCs/>
                <w:color w:val="222222"/>
                <w:kern w:val="0"/>
                <w14:ligatures w14:val="none"/>
              </w:rPr>
              <w:t>Understanding health policy</w:t>
            </w:r>
            <w:r w:rsidRPr="00EF6884">
              <w:rPr>
                <w:rFonts w:ascii="Arial" w:eastAsia="Times New Roman" w:hAnsi="Arial" w:cs="Arial"/>
                <w:color w:val="222222"/>
                <w:kern w:val="0"/>
                <w14:ligatures w14:val="none"/>
              </w:rPr>
              <w:t>. Policy pres</w:t>
            </w:r>
            <w:r w:rsidR="00101476" w:rsidRPr="008B0708">
              <w:rPr>
                <w:rFonts w:ascii="Arial" w:eastAsia="Times New Roman" w:hAnsi="Arial" w:cs="Arial"/>
                <w:color w:val="222222"/>
                <w:kern w:val="0"/>
                <w14:ligatures w14:val="none"/>
              </w:rPr>
              <w:t>s</w:t>
            </w:r>
            <w:r w:rsidRPr="00EF6884">
              <w:rPr>
                <w:rFonts w:ascii="Arial" w:eastAsia="Times New Roman" w:hAnsi="Arial" w:cs="Arial"/>
                <w:color w:val="222222"/>
                <w:kern w:val="0"/>
                <w14:ligatures w14:val="none"/>
              </w:rPr>
              <w:t>.</w:t>
            </w:r>
          </w:p>
        </w:tc>
      </w:tr>
    </w:tbl>
    <w:p w14:paraId="6D208583" w14:textId="4DB646D5" w:rsidR="00EF6884" w:rsidRPr="008B0708" w:rsidRDefault="00DA637F" w:rsidP="00EF6884">
      <w:pPr>
        <w:pStyle w:val="NormalWeb"/>
        <w:rPr>
          <w:rFonts w:ascii="Arial" w:hAnsi="Arial" w:cs="Arial"/>
          <w:sz w:val="22"/>
          <w:szCs w:val="22"/>
        </w:rPr>
      </w:pPr>
      <w:r w:rsidRPr="008B0708">
        <w:rPr>
          <w:rFonts w:ascii="Arial" w:hAnsi="Arial" w:cs="Arial"/>
          <w:sz w:val="22"/>
          <w:szCs w:val="22"/>
        </w:rPr>
        <w:t>Beveridge, W. (1942) Social Insurance and Allied Services. London: HMSO.</w:t>
      </w:r>
    </w:p>
    <w:p w14:paraId="38C3D699" w14:textId="77777777" w:rsidR="00173C06" w:rsidRPr="008B0708" w:rsidRDefault="00173C06" w:rsidP="00173C06">
      <w:pPr>
        <w:pStyle w:val="NormalWeb"/>
        <w:rPr>
          <w:rFonts w:ascii="Arial" w:hAnsi="Arial" w:cs="Arial"/>
          <w:color w:val="222222"/>
          <w:sz w:val="22"/>
          <w:szCs w:val="22"/>
          <w:shd w:val="clear" w:color="auto" w:fill="FFFFFF"/>
        </w:rPr>
      </w:pPr>
      <w:r w:rsidRPr="008B0708">
        <w:rPr>
          <w:rFonts w:ascii="Arial" w:hAnsi="Arial" w:cs="Arial"/>
          <w:color w:val="222222"/>
          <w:sz w:val="22"/>
          <w:szCs w:val="22"/>
          <w:shd w:val="clear" w:color="auto" w:fill="FFFFFF"/>
        </w:rPr>
        <w:t>Briggs, A.D., Göpfert, A., Thorlby, R., Allwood, D. and Alderwick, H., 2020. Integrated health and care systems in England: can they help prevent disease?. </w:t>
      </w:r>
      <w:r w:rsidRPr="008B0708">
        <w:rPr>
          <w:rFonts w:ascii="Arial" w:hAnsi="Arial" w:cs="Arial"/>
          <w:i/>
          <w:iCs/>
          <w:color w:val="222222"/>
          <w:sz w:val="22"/>
          <w:szCs w:val="22"/>
          <w:shd w:val="clear" w:color="auto" w:fill="FFFFFF"/>
        </w:rPr>
        <w:t>Integrated Healthcare Journal</w:t>
      </w:r>
      <w:r w:rsidRPr="008B0708">
        <w:rPr>
          <w:rFonts w:ascii="Arial" w:hAnsi="Arial" w:cs="Arial"/>
          <w:color w:val="222222"/>
          <w:sz w:val="22"/>
          <w:szCs w:val="22"/>
          <w:shd w:val="clear" w:color="auto" w:fill="FFFFFF"/>
        </w:rPr>
        <w:t>, </w:t>
      </w:r>
      <w:r w:rsidRPr="008B0708">
        <w:rPr>
          <w:rFonts w:ascii="Arial" w:hAnsi="Arial" w:cs="Arial"/>
          <w:i/>
          <w:iCs/>
          <w:color w:val="222222"/>
          <w:sz w:val="22"/>
          <w:szCs w:val="22"/>
          <w:shd w:val="clear" w:color="auto" w:fill="FFFFFF"/>
        </w:rPr>
        <w:t>2</w:t>
      </w:r>
      <w:r w:rsidRPr="008B0708">
        <w:rPr>
          <w:rFonts w:ascii="Arial" w:hAnsi="Arial" w:cs="Arial"/>
          <w:color w:val="222222"/>
          <w:sz w:val="22"/>
          <w:szCs w:val="22"/>
          <w:shd w:val="clear" w:color="auto" w:fill="FFFFFF"/>
        </w:rPr>
        <w:t>(1), p.e000013.</w:t>
      </w:r>
    </w:p>
    <w:p w14:paraId="571A0B9B" w14:textId="77777777" w:rsidR="00173C06" w:rsidRPr="008B0708" w:rsidRDefault="00173C06" w:rsidP="00173C06">
      <w:pPr>
        <w:pStyle w:val="NormalWeb"/>
        <w:rPr>
          <w:rFonts w:ascii="Arial" w:hAnsi="Arial" w:cs="Arial"/>
          <w:color w:val="222222"/>
          <w:sz w:val="22"/>
          <w:szCs w:val="22"/>
          <w:shd w:val="clear" w:color="auto" w:fill="FFFFFF"/>
        </w:rPr>
      </w:pPr>
      <w:r w:rsidRPr="008B0708">
        <w:rPr>
          <w:rFonts w:ascii="Arial" w:hAnsi="Arial" w:cs="Arial"/>
          <w:color w:val="222222"/>
          <w:sz w:val="22"/>
          <w:szCs w:val="22"/>
          <w:shd w:val="clear" w:color="auto" w:fill="FFFFFF"/>
        </w:rPr>
        <w:t>Buchan, J., Charlesworth, A., Gershlick, B. and Seccombe, I., 2017. Rising pressure: the NHS workforce challenge. </w:t>
      </w:r>
      <w:r w:rsidRPr="008B0708">
        <w:rPr>
          <w:rFonts w:ascii="Arial" w:hAnsi="Arial" w:cs="Arial"/>
          <w:i/>
          <w:iCs/>
          <w:color w:val="222222"/>
          <w:sz w:val="22"/>
          <w:szCs w:val="22"/>
          <w:shd w:val="clear" w:color="auto" w:fill="FFFFFF"/>
        </w:rPr>
        <w:t>Health Foundation</w:t>
      </w:r>
      <w:r w:rsidRPr="008B0708">
        <w:rPr>
          <w:rFonts w:ascii="Arial" w:hAnsi="Arial" w:cs="Arial"/>
          <w:color w:val="222222"/>
          <w:sz w:val="22"/>
          <w:szCs w:val="22"/>
          <w:shd w:val="clear" w:color="auto" w:fill="FFFFFF"/>
        </w:rPr>
        <w:t>, </w:t>
      </w:r>
      <w:r w:rsidRPr="008B0708">
        <w:rPr>
          <w:rFonts w:ascii="Arial" w:hAnsi="Arial" w:cs="Arial"/>
          <w:i/>
          <w:iCs/>
          <w:color w:val="222222"/>
          <w:sz w:val="22"/>
          <w:szCs w:val="22"/>
          <w:shd w:val="clear" w:color="auto" w:fill="FFFFFF"/>
        </w:rPr>
        <w:t>17</w:t>
      </w:r>
      <w:r w:rsidRPr="008B0708">
        <w:rPr>
          <w:rFonts w:ascii="Arial" w:hAnsi="Arial" w:cs="Arial"/>
          <w:color w:val="222222"/>
          <w:sz w:val="22"/>
          <w:szCs w:val="22"/>
          <w:shd w:val="clear" w:color="auto" w:fill="FFFFFF"/>
        </w:rPr>
        <w:t>.</w:t>
      </w:r>
    </w:p>
    <w:p w14:paraId="167B0EF5" w14:textId="09F99709" w:rsidR="008B0708" w:rsidRPr="008B0708" w:rsidRDefault="008B0708" w:rsidP="00173C06">
      <w:pPr>
        <w:pStyle w:val="NormalWeb"/>
        <w:rPr>
          <w:rFonts w:ascii="Arial" w:hAnsi="Arial" w:cs="Arial"/>
          <w:sz w:val="22"/>
          <w:szCs w:val="22"/>
        </w:rPr>
      </w:pPr>
      <w:r w:rsidRPr="008B0708">
        <w:rPr>
          <w:rFonts w:ascii="Arial" w:hAnsi="Arial" w:cs="Arial"/>
          <w:sz w:val="22"/>
          <w:szCs w:val="22"/>
        </w:rPr>
        <w:t>NHS Digital (2023) Electronic Prescription Service (EPS) data summary. Available at: https://digital.nhs.uk/ (Accessed: 13 October 2025).</w:t>
      </w:r>
    </w:p>
    <w:p w14:paraId="163EFB60" w14:textId="77777777" w:rsidR="00173C06" w:rsidRPr="008B0708" w:rsidRDefault="00173C06" w:rsidP="00173C06">
      <w:pPr>
        <w:rPr>
          <w:rFonts w:ascii="Arial" w:hAnsi="Arial" w:cs="Arial"/>
        </w:rPr>
      </w:pPr>
      <w:r w:rsidRPr="008B0708">
        <w:rPr>
          <w:rFonts w:ascii="Arial" w:hAnsi="Arial" w:cs="Arial"/>
        </w:rPr>
        <w:t xml:space="preserve">NHS England (2019) </w:t>
      </w:r>
      <w:r w:rsidRPr="008B0708">
        <w:rPr>
          <w:rStyle w:val="Emphasis"/>
          <w:rFonts w:ascii="Arial" w:hAnsi="Arial" w:cs="Arial"/>
        </w:rPr>
        <w:t>Community Pharmacy Contractual Framework 2019–2024</w:t>
      </w:r>
      <w:r w:rsidRPr="008B0708">
        <w:rPr>
          <w:rFonts w:ascii="Arial" w:hAnsi="Arial" w:cs="Arial"/>
        </w:rPr>
        <w:t xml:space="preserve">. Available at: </w:t>
      </w:r>
      <w:hyperlink r:id="rId8" w:tgtFrame="_new" w:history="1">
        <w:r w:rsidRPr="008B0708">
          <w:rPr>
            <w:rStyle w:val="Hyperlink"/>
            <w:rFonts w:ascii="Arial" w:hAnsi="Arial" w:cs="Arial"/>
          </w:rPr>
          <w:t>https://www.england.nhs.uk/primary-care/pharmacy/community-pharmacy-contractual-framework/</w:t>
        </w:r>
      </w:hyperlink>
      <w:r w:rsidRPr="008B0708">
        <w:rPr>
          <w:rFonts w:ascii="Arial" w:hAnsi="Arial" w:cs="Arial"/>
        </w:rPr>
        <w:t xml:space="preserve"> (Accessed: 15 October 2025).</w:t>
      </w:r>
    </w:p>
    <w:p w14:paraId="7CC24475" w14:textId="77777777" w:rsidR="00173C06" w:rsidRPr="008B0708" w:rsidRDefault="00173C06" w:rsidP="00173C06">
      <w:pPr>
        <w:pStyle w:val="NormalWeb"/>
        <w:rPr>
          <w:rFonts w:ascii="Arial" w:hAnsi="Arial" w:cs="Arial"/>
          <w:color w:val="222222"/>
          <w:sz w:val="22"/>
          <w:szCs w:val="22"/>
          <w:shd w:val="clear" w:color="auto" w:fill="FFFFFF"/>
        </w:rPr>
      </w:pPr>
      <w:r w:rsidRPr="008B0708">
        <w:rPr>
          <w:rFonts w:ascii="Arial" w:hAnsi="Arial" w:cs="Arial"/>
          <w:color w:val="222222"/>
          <w:sz w:val="22"/>
          <w:szCs w:val="22"/>
          <w:shd w:val="clear" w:color="auto" w:fill="FFFFFF"/>
        </w:rPr>
        <w:t>Pencheon, D., 2015. Making health care more sustainable: the case of the English NHS. </w:t>
      </w:r>
      <w:r w:rsidRPr="008B0708">
        <w:rPr>
          <w:rFonts w:ascii="Arial" w:hAnsi="Arial" w:cs="Arial"/>
          <w:i/>
          <w:iCs/>
          <w:color w:val="222222"/>
          <w:sz w:val="22"/>
          <w:szCs w:val="22"/>
          <w:shd w:val="clear" w:color="auto" w:fill="FFFFFF"/>
        </w:rPr>
        <w:t>Public Health</w:t>
      </w:r>
      <w:r w:rsidRPr="008B0708">
        <w:rPr>
          <w:rFonts w:ascii="Arial" w:hAnsi="Arial" w:cs="Arial"/>
          <w:color w:val="222222"/>
          <w:sz w:val="22"/>
          <w:szCs w:val="22"/>
          <w:shd w:val="clear" w:color="auto" w:fill="FFFFFF"/>
        </w:rPr>
        <w:t>, </w:t>
      </w:r>
      <w:r w:rsidRPr="008B0708">
        <w:rPr>
          <w:rFonts w:ascii="Arial" w:hAnsi="Arial" w:cs="Arial"/>
          <w:i/>
          <w:iCs/>
          <w:color w:val="222222"/>
          <w:sz w:val="22"/>
          <w:szCs w:val="22"/>
          <w:shd w:val="clear" w:color="auto" w:fill="FFFFFF"/>
        </w:rPr>
        <w:t>129</w:t>
      </w:r>
      <w:r w:rsidRPr="008B0708">
        <w:rPr>
          <w:rFonts w:ascii="Arial" w:hAnsi="Arial" w:cs="Arial"/>
          <w:color w:val="222222"/>
          <w:sz w:val="22"/>
          <w:szCs w:val="22"/>
          <w:shd w:val="clear" w:color="auto" w:fill="FFFFFF"/>
        </w:rPr>
        <w:t>(10), pp.1335-1343.</w:t>
      </w:r>
    </w:p>
    <w:p w14:paraId="0C289197" w14:textId="77777777" w:rsidR="00173C06" w:rsidRPr="008B0708" w:rsidRDefault="00173C06" w:rsidP="00173C06">
      <w:pPr>
        <w:pStyle w:val="NormalWeb"/>
        <w:rPr>
          <w:rFonts w:ascii="Arial" w:hAnsi="Arial" w:cs="Arial"/>
          <w:sz w:val="22"/>
          <w:szCs w:val="22"/>
        </w:rPr>
      </w:pPr>
      <w:r w:rsidRPr="008B0708">
        <w:rPr>
          <w:rFonts w:ascii="Arial" w:hAnsi="Arial" w:cs="Arial"/>
          <w:color w:val="222222"/>
          <w:sz w:val="22"/>
          <w:szCs w:val="22"/>
          <w:shd w:val="clear" w:color="auto" w:fill="FFFFFF"/>
        </w:rPr>
        <w:t>Pollock, A.M., 2004. NHS plc: the privatisation of our health care. </w:t>
      </w:r>
      <w:r w:rsidRPr="008B0708">
        <w:rPr>
          <w:rFonts w:ascii="Arial" w:hAnsi="Arial" w:cs="Arial"/>
          <w:i/>
          <w:iCs/>
          <w:color w:val="222222"/>
          <w:sz w:val="22"/>
          <w:szCs w:val="22"/>
          <w:shd w:val="clear" w:color="auto" w:fill="FFFFFF"/>
        </w:rPr>
        <w:t>BMJ</w:t>
      </w:r>
      <w:r w:rsidRPr="008B0708">
        <w:rPr>
          <w:rFonts w:ascii="Arial" w:hAnsi="Arial" w:cs="Arial"/>
          <w:color w:val="222222"/>
          <w:sz w:val="22"/>
          <w:szCs w:val="22"/>
          <w:shd w:val="clear" w:color="auto" w:fill="FFFFFF"/>
        </w:rPr>
        <w:t>, </w:t>
      </w:r>
      <w:r w:rsidRPr="008B0708">
        <w:rPr>
          <w:rFonts w:ascii="Arial" w:hAnsi="Arial" w:cs="Arial"/>
          <w:i/>
          <w:iCs/>
          <w:color w:val="222222"/>
          <w:sz w:val="22"/>
          <w:szCs w:val="22"/>
          <w:shd w:val="clear" w:color="auto" w:fill="FFFFFF"/>
        </w:rPr>
        <w:t>329</w:t>
      </w:r>
      <w:r w:rsidRPr="008B0708">
        <w:rPr>
          <w:rFonts w:ascii="Arial" w:hAnsi="Arial" w:cs="Arial"/>
          <w:color w:val="222222"/>
          <w:sz w:val="22"/>
          <w:szCs w:val="22"/>
          <w:shd w:val="clear" w:color="auto" w:fill="FFFFFF"/>
        </w:rPr>
        <w:t>, p.862.</w:t>
      </w:r>
      <w:r w:rsidRPr="008B0708">
        <w:rPr>
          <w:rFonts w:ascii="Arial" w:hAnsi="Arial" w:cs="Arial"/>
          <w:sz w:val="22"/>
          <w:szCs w:val="22"/>
        </w:rPr>
        <w:t>.</w:t>
      </w:r>
    </w:p>
    <w:p w14:paraId="0320B25E" w14:textId="77777777" w:rsidR="008B0708" w:rsidRPr="008B0708" w:rsidRDefault="008B0708" w:rsidP="008B0708">
      <w:pPr>
        <w:pStyle w:val="NormalWeb"/>
        <w:rPr>
          <w:rFonts w:ascii="Arial" w:hAnsi="Arial" w:cs="Arial"/>
          <w:sz w:val="22"/>
          <w:szCs w:val="22"/>
        </w:rPr>
      </w:pPr>
      <w:r w:rsidRPr="008B0708">
        <w:rPr>
          <w:rFonts w:ascii="Arial" w:hAnsi="Arial" w:cs="Arial"/>
          <w:sz w:val="22"/>
          <w:szCs w:val="22"/>
        </w:rPr>
        <w:t>Pharmaceutical Services Negotiating Committee (2024) 'Pharmacy Pressures Survey 2024: Funding and Sustainability Report'. Available at: https://cpe.org.uk/our-work/representation/pressuressurvey/ (Accessed: 14 October 2025).</w:t>
      </w:r>
    </w:p>
    <w:p w14:paraId="5F094ECB" w14:textId="098EED11" w:rsidR="008B0708" w:rsidRPr="008B0708" w:rsidRDefault="008B0708" w:rsidP="00173C06">
      <w:pPr>
        <w:pStyle w:val="NormalWeb"/>
        <w:rPr>
          <w:rFonts w:ascii="Arial" w:hAnsi="Arial" w:cs="Arial"/>
          <w:sz w:val="22"/>
          <w:szCs w:val="22"/>
        </w:rPr>
      </w:pPr>
      <w:r w:rsidRPr="008B0708">
        <w:rPr>
          <w:rFonts w:ascii="Arial" w:hAnsi="Arial" w:cs="Arial"/>
          <w:sz w:val="22"/>
          <w:szCs w:val="22"/>
        </w:rPr>
        <w:t>Royal Pharmaceutical Society (2023) The history of pharmacy. Available at: https://www.rpharms.com/about-us/history-of-the-society? (Accessed: 13 October 2025).</w:t>
      </w:r>
    </w:p>
    <w:p w14:paraId="3166331E" w14:textId="048DDF46" w:rsidR="00173C06" w:rsidRDefault="008B0708" w:rsidP="00EF6884">
      <w:pPr>
        <w:pStyle w:val="NormalWeb"/>
        <w:rPr>
          <w:rFonts w:ascii="Arial" w:hAnsi="Arial" w:cs="Arial"/>
          <w:color w:val="222222"/>
          <w:sz w:val="22"/>
          <w:szCs w:val="22"/>
          <w:shd w:val="clear" w:color="auto" w:fill="FFFFFF"/>
        </w:rPr>
      </w:pPr>
      <w:r w:rsidRPr="008B0708">
        <w:rPr>
          <w:rFonts w:ascii="Arial" w:hAnsi="Arial" w:cs="Arial"/>
          <w:color w:val="222222"/>
          <w:sz w:val="22"/>
          <w:szCs w:val="22"/>
          <w:shd w:val="clear" w:color="auto" w:fill="FFFFFF"/>
        </w:rPr>
        <w:t>Ryan, T.J., Grimes, T., Henman, M.C., Sheachnasaigh, E.N., O’Dwyer, M., Roche, C., Ryder, S.A., Sasse, A., Walsh, J.J. and D’Arcy, D.M., 2019. Design and implementation of an integrated competency-focused pharmacy programme: a case report. </w:t>
      </w:r>
      <w:r w:rsidRPr="008B0708">
        <w:rPr>
          <w:rFonts w:ascii="Arial" w:hAnsi="Arial" w:cs="Arial"/>
          <w:i/>
          <w:iCs/>
          <w:color w:val="222222"/>
          <w:sz w:val="22"/>
          <w:szCs w:val="22"/>
          <w:shd w:val="clear" w:color="auto" w:fill="FFFFFF"/>
        </w:rPr>
        <w:t>Pharmacy</w:t>
      </w:r>
      <w:r w:rsidRPr="008B0708">
        <w:rPr>
          <w:rFonts w:ascii="Arial" w:hAnsi="Arial" w:cs="Arial"/>
          <w:color w:val="222222"/>
          <w:sz w:val="22"/>
          <w:szCs w:val="22"/>
          <w:shd w:val="clear" w:color="auto" w:fill="FFFFFF"/>
        </w:rPr>
        <w:t>, </w:t>
      </w:r>
      <w:r w:rsidRPr="008B0708">
        <w:rPr>
          <w:rFonts w:ascii="Arial" w:hAnsi="Arial" w:cs="Arial"/>
          <w:i/>
          <w:iCs/>
          <w:color w:val="222222"/>
          <w:sz w:val="22"/>
          <w:szCs w:val="22"/>
          <w:shd w:val="clear" w:color="auto" w:fill="FFFFFF"/>
        </w:rPr>
        <w:t>7</w:t>
      </w:r>
      <w:r w:rsidRPr="008B0708">
        <w:rPr>
          <w:rFonts w:ascii="Arial" w:hAnsi="Arial" w:cs="Arial"/>
          <w:color w:val="222222"/>
          <w:sz w:val="22"/>
          <w:szCs w:val="22"/>
          <w:shd w:val="clear" w:color="auto" w:fill="FFFFFF"/>
        </w:rPr>
        <w:t>(3), p.121.</w:t>
      </w:r>
    </w:p>
    <w:p w14:paraId="2B99E06C" w14:textId="037BBB3E" w:rsidR="00F12BF2" w:rsidRPr="008B0708" w:rsidRDefault="00F12BF2" w:rsidP="00EF6884">
      <w:pPr>
        <w:pStyle w:val="NormalWeb"/>
        <w:rPr>
          <w:rFonts w:ascii="Arial" w:hAnsi="Arial" w:cs="Arial"/>
          <w:sz w:val="22"/>
          <w:szCs w:val="22"/>
        </w:rPr>
      </w:pPr>
      <w:r>
        <w:rPr>
          <w:rFonts w:ascii="Arial" w:hAnsi="Arial" w:cs="Arial"/>
          <w:color w:val="222222"/>
          <w:sz w:val="20"/>
          <w:szCs w:val="20"/>
          <w:shd w:val="clear" w:color="auto" w:fill="FFFFFF"/>
        </w:rPr>
        <w:t>Smith, A.J., Scahill, S.L., Harrison, J., Carroll, T. and Medlicott, N.J., 2018. Service provision in the wake of a new funding model for community pharmacy. </w:t>
      </w:r>
      <w:r>
        <w:rPr>
          <w:rFonts w:ascii="Arial" w:hAnsi="Arial" w:cs="Arial"/>
          <w:i/>
          <w:iCs/>
          <w:color w:val="222222"/>
          <w:sz w:val="20"/>
          <w:szCs w:val="20"/>
          <w:shd w:val="clear" w:color="auto" w:fill="FFFFFF"/>
        </w:rPr>
        <w:t>BMC health services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p.307.</w:t>
      </w:r>
    </w:p>
    <w:p w14:paraId="32E00607" w14:textId="1E603D68" w:rsidR="00EF6884" w:rsidRPr="008B0708" w:rsidRDefault="00EF6884" w:rsidP="00EF6884">
      <w:pPr>
        <w:pStyle w:val="NormalWeb"/>
        <w:rPr>
          <w:rFonts w:ascii="Arial" w:hAnsi="Arial" w:cs="Arial"/>
          <w:sz w:val="22"/>
          <w:szCs w:val="22"/>
        </w:rPr>
      </w:pPr>
      <w:r w:rsidRPr="008B0708">
        <w:rPr>
          <w:rFonts w:ascii="Arial" w:hAnsi="Arial" w:cs="Arial"/>
          <w:sz w:val="22"/>
          <w:szCs w:val="22"/>
        </w:rPr>
        <w:t xml:space="preserve">Timmins, N. (2018) </w:t>
      </w:r>
      <w:r w:rsidRPr="008B0708">
        <w:rPr>
          <w:rStyle w:val="Emphasis"/>
          <w:rFonts w:ascii="Arial" w:hAnsi="Arial" w:cs="Arial"/>
          <w:sz w:val="22"/>
          <w:szCs w:val="22"/>
        </w:rPr>
        <w:t>The Five Giants: A Biography of the Welfare State</w:t>
      </w:r>
      <w:r w:rsidRPr="008B0708">
        <w:rPr>
          <w:rFonts w:ascii="Arial" w:hAnsi="Arial" w:cs="Arial"/>
          <w:sz w:val="22"/>
          <w:szCs w:val="22"/>
        </w:rPr>
        <w:t>. 2nd ed. London: HarperCollins.</w:t>
      </w:r>
    </w:p>
    <w:p w14:paraId="54A35A77" w14:textId="4D2CB46E" w:rsidR="00386E98" w:rsidRPr="008B0708" w:rsidRDefault="00386E98" w:rsidP="00386E98">
      <w:pPr>
        <w:pStyle w:val="NormalWeb"/>
      </w:pPr>
    </w:p>
    <w:p w14:paraId="3980B8A3" w14:textId="77777777" w:rsidR="00EF6884" w:rsidRDefault="00EF6884">
      <w:pPr>
        <w:rPr>
          <w:b/>
          <w:bCs/>
          <w:sz w:val="32"/>
          <w:szCs w:val="32"/>
        </w:rPr>
      </w:pPr>
    </w:p>
    <w:p w14:paraId="75121902" w14:textId="77777777" w:rsidR="00EF6884" w:rsidRDefault="00EF6884">
      <w:pPr>
        <w:rPr>
          <w:b/>
          <w:bCs/>
          <w:sz w:val="32"/>
          <w:szCs w:val="32"/>
        </w:rPr>
      </w:pPr>
    </w:p>
    <w:p w14:paraId="53238562" w14:textId="77777777" w:rsidR="00EF6884" w:rsidRDefault="00EF6884">
      <w:pPr>
        <w:rPr>
          <w:b/>
          <w:bCs/>
          <w:sz w:val="32"/>
          <w:szCs w:val="32"/>
        </w:rPr>
      </w:pPr>
    </w:p>
    <w:p w14:paraId="456F13E3" w14:textId="77777777" w:rsidR="00EF6884" w:rsidRDefault="00EF6884">
      <w:pPr>
        <w:rPr>
          <w:b/>
          <w:bCs/>
          <w:sz w:val="32"/>
          <w:szCs w:val="32"/>
        </w:rPr>
      </w:pPr>
    </w:p>
    <w:p w14:paraId="220DF5FC" w14:textId="77777777" w:rsidR="00EF6884" w:rsidRPr="00EF6884" w:rsidRDefault="00EF6884">
      <w:pPr>
        <w:rPr>
          <w:b/>
          <w:bCs/>
          <w:sz w:val="32"/>
          <w:szCs w:val="32"/>
        </w:rPr>
      </w:pPr>
    </w:p>
    <w:sectPr w:rsidR="00EF6884" w:rsidRPr="00EF68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FD746" w14:textId="77777777" w:rsidR="00C11621" w:rsidRDefault="00C11621" w:rsidP="00F12BF2">
      <w:pPr>
        <w:spacing w:after="0" w:line="240" w:lineRule="auto"/>
      </w:pPr>
      <w:r>
        <w:separator/>
      </w:r>
    </w:p>
  </w:endnote>
  <w:endnote w:type="continuationSeparator" w:id="0">
    <w:p w14:paraId="03C5652B" w14:textId="77777777" w:rsidR="00C11621" w:rsidRDefault="00C11621" w:rsidP="00F12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DA4F9" w14:textId="77777777" w:rsidR="00C11621" w:rsidRDefault="00C11621" w:rsidP="00F12BF2">
      <w:pPr>
        <w:spacing w:after="0" w:line="240" w:lineRule="auto"/>
      </w:pPr>
      <w:r>
        <w:separator/>
      </w:r>
    </w:p>
  </w:footnote>
  <w:footnote w:type="continuationSeparator" w:id="0">
    <w:p w14:paraId="765DA2E9" w14:textId="77777777" w:rsidR="00C11621" w:rsidRDefault="00C11621" w:rsidP="00F12B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774E1"/>
    <w:multiLevelType w:val="hybridMultilevel"/>
    <w:tmpl w:val="21F07FF2"/>
    <w:lvl w:ilvl="0" w:tplc="069E54B6">
      <w:numFmt w:val="bullet"/>
      <w:lvlText w:val=""/>
      <w:lvlJc w:val="left"/>
      <w:pPr>
        <w:ind w:left="720" w:hanging="360"/>
      </w:pPr>
      <w:rPr>
        <w:rFonts w:ascii="Wingdings" w:eastAsia="Times New Roman" w:hAnsi="Wingdings" w:cs="Arial"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2984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1C6"/>
    <w:rsid w:val="00101476"/>
    <w:rsid w:val="001733C2"/>
    <w:rsid w:val="00173C06"/>
    <w:rsid w:val="002879D4"/>
    <w:rsid w:val="00386E98"/>
    <w:rsid w:val="003D4290"/>
    <w:rsid w:val="005167BC"/>
    <w:rsid w:val="005B5B50"/>
    <w:rsid w:val="008108A3"/>
    <w:rsid w:val="008B0708"/>
    <w:rsid w:val="00A10658"/>
    <w:rsid w:val="00C11621"/>
    <w:rsid w:val="00C26213"/>
    <w:rsid w:val="00DA637F"/>
    <w:rsid w:val="00DE36F1"/>
    <w:rsid w:val="00E151C6"/>
    <w:rsid w:val="00EF6884"/>
    <w:rsid w:val="00F12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84E6F"/>
  <w15:chartTrackingRefBased/>
  <w15:docId w15:val="{C42632D2-0D58-440B-A2F8-91CE4479A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51C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151C6"/>
    <w:rPr>
      <w:b/>
      <w:bCs/>
    </w:rPr>
  </w:style>
  <w:style w:type="character" w:styleId="Emphasis">
    <w:name w:val="Emphasis"/>
    <w:basedOn w:val="DefaultParagraphFont"/>
    <w:uiPriority w:val="20"/>
    <w:qFormat/>
    <w:rsid w:val="00EF6884"/>
    <w:rPr>
      <w:i/>
      <w:iCs/>
    </w:rPr>
  </w:style>
  <w:style w:type="character" w:styleId="Hyperlink">
    <w:name w:val="Hyperlink"/>
    <w:basedOn w:val="DefaultParagraphFont"/>
    <w:uiPriority w:val="99"/>
    <w:semiHidden/>
    <w:unhideWhenUsed/>
    <w:rsid w:val="00386E98"/>
    <w:rPr>
      <w:color w:val="0000FF"/>
      <w:u w:val="single"/>
    </w:rPr>
  </w:style>
  <w:style w:type="paragraph" w:styleId="Header">
    <w:name w:val="header"/>
    <w:basedOn w:val="Normal"/>
    <w:link w:val="HeaderChar"/>
    <w:uiPriority w:val="99"/>
    <w:unhideWhenUsed/>
    <w:rsid w:val="00F12B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BF2"/>
  </w:style>
  <w:style w:type="paragraph" w:styleId="Footer">
    <w:name w:val="footer"/>
    <w:basedOn w:val="Normal"/>
    <w:link w:val="FooterChar"/>
    <w:uiPriority w:val="99"/>
    <w:unhideWhenUsed/>
    <w:rsid w:val="00F12B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2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57675">
      <w:bodyDiv w:val="1"/>
      <w:marLeft w:val="0"/>
      <w:marRight w:val="0"/>
      <w:marTop w:val="0"/>
      <w:marBottom w:val="0"/>
      <w:divBdr>
        <w:top w:val="none" w:sz="0" w:space="0" w:color="auto"/>
        <w:left w:val="none" w:sz="0" w:space="0" w:color="auto"/>
        <w:bottom w:val="none" w:sz="0" w:space="0" w:color="auto"/>
        <w:right w:val="none" w:sz="0" w:space="0" w:color="auto"/>
      </w:divBdr>
    </w:div>
    <w:div w:id="132909946">
      <w:bodyDiv w:val="1"/>
      <w:marLeft w:val="0"/>
      <w:marRight w:val="0"/>
      <w:marTop w:val="0"/>
      <w:marBottom w:val="0"/>
      <w:divBdr>
        <w:top w:val="none" w:sz="0" w:space="0" w:color="auto"/>
        <w:left w:val="none" w:sz="0" w:space="0" w:color="auto"/>
        <w:bottom w:val="none" w:sz="0" w:space="0" w:color="auto"/>
        <w:right w:val="none" w:sz="0" w:space="0" w:color="auto"/>
      </w:divBdr>
    </w:div>
    <w:div w:id="237642036">
      <w:bodyDiv w:val="1"/>
      <w:marLeft w:val="0"/>
      <w:marRight w:val="0"/>
      <w:marTop w:val="0"/>
      <w:marBottom w:val="0"/>
      <w:divBdr>
        <w:top w:val="none" w:sz="0" w:space="0" w:color="auto"/>
        <w:left w:val="none" w:sz="0" w:space="0" w:color="auto"/>
        <w:bottom w:val="none" w:sz="0" w:space="0" w:color="auto"/>
        <w:right w:val="none" w:sz="0" w:space="0" w:color="auto"/>
      </w:divBdr>
    </w:div>
    <w:div w:id="380983129">
      <w:bodyDiv w:val="1"/>
      <w:marLeft w:val="0"/>
      <w:marRight w:val="0"/>
      <w:marTop w:val="0"/>
      <w:marBottom w:val="0"/>
      <w:divBdr>
        <w:top w:val="none" w:sz="0" w:space="0" w:color="auto"/>
        <w:left w:val="none" w:sz="0" w:space="0" w:color="auto"/>
        <w:bottom w:val="none" w:sz="0" w:space="0" w:color="auto"/>
        <w:right w:val="none" w:sz="0" w:space="0" w:color="auto"/>
      </w:divBdr>
    </w:div>
    <w:div w:id="421412638">
      <w:bodyDiv w:val="1"/>
      <w:marLeft w:val="0"/>
      <w:marRight w:val="0"/>
      <w:marTop w:val="0"/>
      <w:marBottom w:val="0"/>
      <w:divBdr>
        <w:top w:val="none" w:sz="0" w:space="0" w:color="auto"/>
        <w:left w:val="none" w:sz="0" w:space="0" w:color="auto"/>
        <w:bottom w:val="none" w:sz="0" w:space="0" w:color="auto"/>
        <w:right w:val="none" w:sz="0" w:space="0" w:color="auto"/>
      </w:divBdr>
    </w:div>
    <w:div w:id="457573627">
      <w:bodyDiv w:val="1"/>
      <w:marLeft w:val="0"/>
      <w:marRight w:val="0"/>
      <w:marTop w:val="0"/>
      <w:marBottom w:val="0"/>
      <w:divBdr>
        <w:top w:val="none" w:sz="0" w:space="0" w:color="auto"/>
        <w:left w:val="none" w:sz="0" w:space="0" w:color="auto"/>
        <w:bottom w:val="none" w:sz="0" w:space="0" w:color="auto"/>
        <w:right w:val="none" w:sz="0" w:space="0" w:color="auto"/>
      </w:divBdr>
    </w:div>
    <w:div w:id="465973450">
      <w:bodyDiv w:val="1"/>
      <w:marLeft w:val="0"/>
      <w:marRight w:val="0"/>
      <w:marTop w:val="0"/>
      <w:marBottom w:val="0"/>
      <w:divBdr>
        <w:top w:val="none" w:sz="0" w:space="0" w:color="auto"/>
        <w:left w:val="none" w:sz="0" w:space="0" w:color="auto"/>
        <w:bottom w:val="none" w:sz="0" w:space="0" w:color="auto"/>
        <w:right w:val="none" w:sz="0" w:space="0" w:color="auto"/>
      </w:divBdr>
    </w:div>
    <w:div w:id="809439046">
      <w:bodyDiv w:val="1"/>
      <w:marLeft w:val="0"/>
      <w:marRight w:val="0"/>
      <w:marTop w:val="0"/>
      <w:marBottom w:val="0"/>
      <w:divBdr>
        <w:top w:val="none" w:sz="0" w:space="0" w:color="auto"/>
        <w:left w:val="none" w:sz="0" w:space="0" w:color="auto"/>
        <w:bottom w:val="none" w:sz="0" w:space="0" w:color="auto"/>
        <w:right w:val="none" w:sz="0" w:space="0" w:color="auto"/>
      </w:divBdr>
    </w:div>
    <w:div w:id="959726274">
      <w:bodyDiv w:val="1"/>
      <w:marLeft w:val="0"/>
      <w:marRight w:val="0"/>
      <w:marTop w:val="0"/>
      <w:marBottom w:val="0"/>
      <w:divBdr>
        <w:top w:val="none" w:sz="0" w:space="0" w:color="auto"/>
        <w:left w:val="none" w:sz="0" w:space="0" w:color="auto"/>
        <w:bottom w:val="none" w:sz="0" w:space="0" w:color="auto"/>
        <w:right w:val="none" w:sz="0" w:space="0" w:color="auto"/>
      </w:divBdr>
    </w:div>
    <w:div w:id="964122889">
      <w:bodyDiv w:val="1"/>
      <w:marLeft w:val="0"/>
      <w:marRight w:val="0"/>
      <w:marTop w:val="0"/>
      <w:marBottom w:val="0"/>
      <w:divBdr>
        <w:top w:val="none" w:sz="0" w:space="0" w:color="auto"/>
        <w:left w:val="none" w:sz="0" w:space="0" w:color="auto"/>
        <w:bottom w:val="none" w:sz="0" w:space="0" w:color="auto"/>
        <w:right w:val="none" w:sz="0" w:space="0" w:color="auto"/>
      </w:divBdr>
      <w:divsChild>
        <w:div w:id="32048176">
          <w:marLeft w:val="0"/>
          <w:marRight w:val="0"/>
          <w:marTop w:val="0"/>
          <w:marBottom w:val="0"/>
          <w:divBdr>
            <w:top w:val="none" w:sz="0" w:space="0" w:color="auto"/>
            <w:left w:val="none" w:sz="0" w:space="0" w:color="auto"/>
            <w:bottom w:val="none" w:sz="0" w:space="0" w:color="auto"/>
            <w:right w:val="none" w:sz="0" w:space="0" w:color="auto"/>
          </w:divBdr>
        </w:div>
      </w:divsChild>
    </w:div>
    <w:div w:id="1015308532">
      <w:bodyDiv w:val="1"/>
      <w:marLeft w:val="0"/>
      <w:marRight w:val="0"/>
      <w:marTop w:val="0"/>
      <w:marBottom w:val="0"/>
      <w:divBdr>
        <w:top w:val="none" w:sz="0" w:space="0" w:color="auto"/>
        <w:left w:val="none" w:sz="0" w:space="0" w:color="auto"/>
        <w:bottom w:val="none" w:sz="0" w:space="0" w:color="auto"/>
        <w:right w:val="none" w:sz="0" w:space="0" w:color="auto"/>
      </w:divBdr>
    </w:div>
    <w:div w:id="1320383051">
      <w:bodyDiv w:val="1"/>
      <w:marLeft w:val="0"/>
      <w:marRight w:val="0"/>
      <w:marTop w:val="0"/>
      <w:marBottom w:val="0"/>
      <w:divBdr>
        <w:top w:val="none" w:sz="0" w:space="0" w:color="auto"/>
        <w:left w:val="none" w:sz="0" w:space="0" w:color="auto"/>
        <w:bottom w:val="none" w:sz="0" w:space="0" w:color="auto"/>
        <w:right w:val="none" w:sz="0" w:space="0" w:color="auto"/>
      </w:divBdr>
    </w:div>
    <w:div w:id="1662465412">
      <w:bodyDiv w:val="1"/>
      <w:marLeft w:val="0"/>
      <w:marRight w:val="0"/>
      <w:marTop w:val="0"/>
      <w:marBottom w:val="0"/>
      <w:divBdr>
        <w:top w:val="none" w:sz="0" w:space="0" w:color="auto"/>
        <w:left w:val="none" w:sz="0" w:space="0" w:color="auto"/>
        <w:bottom w:val="none" w:sz="0" w:space="0" w:color="auto"/>
        <w:right w:val="none" w:sz="0" w:space="0" w:color="auto"/>
      </w:divBdr>
    </w:div>
    <w:div w:id="1764758788">
      <w:bodyDiv w:val="1"/>
      <w:marLeft w:val="0"/>
      <w:marRight w:val="0"/>
      <w:marTop w:val="0"/>
      <w:marBottom w:val="0"/>
      <w:divBdr>
        <w:top w:val="none" w:sz="0" w:space="0" w:color="auto"/>
        <w:left w:val="none" w:sz="0" w:space="0" w:color="auto"/>
        <w:bottom w:val="none" w:sz="0" w:space="0" w:color="auto"/>
        <w:right w:val="none" w:sz="0" w:space="0" w:color="auto"/>
      </w:divBdr>
    </w:div>
    <w:div w:id="1804342701">
      <w:bodyDiv w:val="1"/>
      <w:marLeft w:val="0"/>
      <w:marRight w:val="0"/>
      <w:marTop w:val="0"/>
      <w:marBottom w:val="0"/>
      <w:divBdr>
        <w:top w:val="none" w:sz="0" w:space="0" w:color="auto"/>
        <w:left w:val="none" w:sz="0" w:space="0" w:color="auto"/>
        <w:bottom w:val="none" w:sz="0" w:space="0" w:color="auto"/>
        <w:right w:val="none" w:sz="0" w:space="0" w:color="auto"/>
      </w:divBdr>
    </w:div>
    <w:div w:id="201309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rimary-care/pharmacy/community-pharmacy-contractual-framework/?utm_source=chatgpt.com"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Omoregie Famous</dc:creator>
  <cp:keywords/>
  <dc:description/>
  <cp:lastModifiedBy>Esther Uyi Okhilu (2433459)</cp:lastModifiedBy>
  <cp:revision>2</cp:revision>
  <dcterms:created xsi:type="dcterms:W3CDTF">2025-10-19T16:53:00Z</dcterms:created>
  <dcterms:modified xsi:type="dcterms:W3CDTF">2025-10-19T16:53:00Z</dcterms:modified>
</cp:coreProperties>
</file>