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4BE8E" w14:textId="77777777" w:rsidR="000E0274" w:rsidRDefault="000E0274"/>
    <w:p w14:paraId="30EF00FD" w14:textId="77777777" w:rsidR="000E0274" w:rsidRDefault="000E0274"/>
    <w:p w14:paraId="5C05B49D" w14:textId="77777777" w:rsidR="000E0274" w:rsidRPr="00674E36" w:rsidRDefault="00A67AA0">
      <w:pPr>
        <w:pStyle w:val="Title"/>
        <w:spacing w:after="0"/>
        <w:rPr>
          <w:sz w:val="36"/>
          <w:szCs w:val="36"/>
        </w:rPr>
      </w:pPr>
      <w:r w:rsidRPr="00674E36">
        <w:rPr>
          <w:sz w:val="36"/>
          <w:szCs w:val="36"/>
        </w:rPr>
        <w:t xml:space="preserve">EAEE6006: Media and digital literacy </w:t>
      </w:r>
    </w:p>
    <w:p w14:paraId="61EEC88B" w14:textId="77777777" w:rsidR="000E0274" w:rsidRPr="00674E36" w:rsidRDefault="000E0274">
      <w:pPr>
        <w:pStyle w:val="Title"/>
        <w:spacing w:before="0" w:after="0"/>
      </w:pPr>
    </w:p>
    <w:p w14:paraId="209070B6" w14:textId="77777777" w:rsidR="000E0274" w:rsidRPr="00674E36" w:rsidRDefault="000E0274">
      <w:pPr>
        <w:pStyle w:val="Title"/>
        <w:spacing w:before="0" w:after="0"/>
      </w:pPr>
    </w:p>
    <w:p w14:paraId="6040C564" w14:textId="77777777" w:rsidR="000E0274" w:rsidRPr="00674E36" w:rsidRDefault="000E0274">
      <w:pPr>
        <w:pStyle w:val="Title"/>
        <w:spacing w:before="0" w:after="0"/>
      </w:pPr>
    </w:p>
    <w:p w14:paraId="2FE16DE9" w14:textId="77777777" w:rsidR="000E0274" w:rsidRPr="00674E36" w:rsidRDefault="000E0274">
      <w:pPr>
        <w:pStyle w:val="Title"/>
        <w:spacing w:before="0" w:after="0"/>
      </w:pPr>
    </w:p>
    <w:p w14:paraId="764262A7" w14:textId="77777777" w:rsidR="000E0274" w:rsidRPr="00674E36" w:rsidRDefault="000E0274">
      <w:pPr>
        <w:pStyle w:val="Title"/>
        <w:spacing w:before="0" w:after="0"/>
      </w:pPr>
    </w:p>
    <w:p w14:paraId="6BCF86CB" w14:textId="77777777" w:rsidR="000E0274" w:rsidRPr="00674E36" w:rsidRDefault="000E0274">
      <w:pPr>
        <w:pStyle w:val="Title"/>
        <w:spacing w:before="0" w:after="0"/>
      </w:pPr>
    </w:p>
    <w:p w14:paraId="137309C4" w14:textId="77777777" w:rsidR="000E0274" w:rsidRPr="00674E36" w:rsidRDefault="000E0274">
      <w:pPr>
        <w:pStyle w:val="Title"/>
        <w:spacing w:before="0" w:after="0"/>
      </w:pPr>
    </w:p>
    <w:p w14:paraId="3F4A6CF5" w14:textId="77777777" w:rsidR="000E0274" w:rsidRPr="00674E36" w:rsidRDefault="000E0274">
      <w:pPr>
        <w:pStyle w:val="Title"/>
        <w:spacing w:before="0" w:after="0" w:line="360" w:lineRule="auto"/>
      </w:pPr>
    </w:p>
    <w:p w14:paraId="2542DB28" w14:textId="77777777" w:rsidR="000E0274" w:rsidRPr="00674E36" w:rsidRDefault="00A67AA0">
      <w:pPr>
        <w:pStyle w:val="Title"/>
        <w:spacing w:before="0" w:after="0" w:line="360" w:lineRule="auto"/>
        <w:jc w:val="left"/>
      </w:pPr>
      <w:r w:rsidRPr="00674E36">
        <w:t xml:space="preserve">Student Name: </w:t>
      </w:r>
    </w:p>
    <w:p w14:paraId="10DE5371" w14:textId="77777777" w:rsidR="000E0274" w:rsidRPr="00674E36" w:rsidRDefault="00A67AA0">
      <w:pPr>
        <w:pStyle w:val="Title"/>
        <w:spacing w:before="0" w:after="0" w:line="360" w:lineRule="auto"/>
        <w:jc w:val="left"/>
      </w:pPr>
      <w:r w:rsidRPr="00674E36">
        <w:t>Student ID:</w:t>
      </w:r>
      <w:r w:rsidRPr="00674E36">
        <w:br w:type="page"/>
      </w:r>
    </w:p>
    <w:p w14:paraId="3C33DB96" w14:textId="77777777" w:rsidR="000E0274" w:rsidRPr="00674E36" w:rsidRDefault="00A67AA0">
      <w:pPr>
        <w:pStyle w:val="Title"/>
        <w:spacing w:before="0"/>
      </w:pPr>
      <w:r w:rsidRPr="00674E36">
        <w:lastRenderedPageBreak/>
        <w:t>Contents</w:t>
      </w:r>
    </w:p>
    <w:bookmarkStart w:id="0" w:name="_heading=h.gjdgxs" w:colFirst="0" w:colLast="0" w:displacedByCustomXml="next"/>
    <w:bookmarkEnd w:id="0" w:displacedByCustomXml="next"/>
    <w:sdt>
      <w:sdtPr>
        <w:id w:val="-1922476185"/>
        <w:docPartObj>
          <w:docPartGallery w:val="Table of Contents"/>
          <w:docPartUnique/>
        </w:docPartObj>
      </w:sdtPr>
      <w:sdtEndPr/>
      <w:sdtContent>
        <w:p w14:paraId="2C7BD28C" w14:textId="77777777" w:rsidR="002C5317" w:rsidRPr="00674E36" w:rsidRDefault="00A67AA0">
          <w:pPr>
            <w:pStyle w:val="TOC1"/>
            <w:tabs>
              <w:tab w:val="right" w:pos="9016"/>
            </w:tabs>
            <w:rPr>
              <w:rFonts w:asciiTheme="minorHAnsi" w:eastAsiaTheme="minorEastAsia" w:hAnsiTheme="minorHAnsi" w:cstheme="minorBidi"/>
              <w:noProof/>
              <w:lang w:bidi="ar-SA"/>
            </w:rPr>
          </w:pPr>
          <w:r w:rsidRPr="00674E36">
            <w:fldChar w:fldCharType="begin"/>
          </w:r>
          <w:r w:rsidRPr="00674E36">
            <w:instrText xml:space="preserve"> TOC \h \u \z </w:instrText>
          </w:r>
          <w:r w:rsidRPr="00674E36">
            <w:fldChar w:fldCharType="separate"/>
          </w:r>
          <w:hyperlink w:anchor="_Toc72492501" w:history="1">
            <w:r w:rsidR="002C5317" w:rsidRPr="00674E36">
              <w:rPr>
                <w:rStyle w:val="Hyperlink"/>
                <w:noProof/>
              </w:rPr>
              <w:t>A critical evaluation of the effectiveness of digital services used by young children</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_Toc72492501 \h </w:instrText>
            </w:r>
            <w:r w:rsidR="002C5317" w:rsidRPr="00674E36">
              <w:rPr>
                <w:noProof/>
                <w:webHidden/>
              </w:rPr>
            </w:r>
            <w:r w:rsidR="002C5317" w:rsidRPr="00674E36">
              <w:rPr>
                <w:noProof/>
                <w:webHidden/>
              </w:rPr>
              <w:fldChar w:fldCharType="separate"/>
            </w:r>
            <w:r w:rsidR="002C5317" w:rsidRPr="00674E36">
              <w:rPr>
                <w:noProof/>
                <w:webHidden/>
              </w:rPr>
              <w:t>1</w:t>
            </w:r>
            <w:r w:rsidR="002C5317" w:rsidRPr="00674E36">
              <w:rPr>
                <w:noProof/>
                <w:webHidden/>
              </w:rPr>
              <w:fldChar w:fldCharType="end"/>
            </w:r>
          </w:hyperlink>
        </w:p>
        <w:p w14:paraId="25492286" w14:textId="77777777" w:rsidR="002C5317" w:rsidRPr="00674E36" w:rsidRDefault="004E411F">
          <w:pPr>
            <w:pStyle w:val="TOC1"/>
            <w:tabs>
              <w:tab w:val="right" w:pos="9016"/>
            </w:tabs>
            <w:rPr>
              <w:rFonts w:asciiTheme="minorHAnsi" w:eastAsiaTheme="minorEastAsia" w:hAnsiTheme="minorHAnsi" w:cstheme="minorBidi"/>
              <w:noProof/>
              <w:lang w:bidi="ar-SA"/>
            </w:rPr>
          </w:pPr>
          <w:hyperlink w:anchor="_Toc72492502" w:history="1">
            <w:r w:rsidR="002C5317" w:rsidRPr="00674E36">
              <w:rPr>
                <w:rStyle w:val="Hyperlink"/>
                <w:noProof/>
              </w:rPr>
              <w:t>Information Leaflet</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_Toc72492502 \h </w:instrText>
            </w:r>
            <w:r w:rsidR="002C5317" w:rsidRPr="00674E36">
              <w:rPr>
                <w:noProof/>
                <w:webHidden/>
              </w:rPr>
            </w:r>
            <w:r w:rsidR="002C5317" w:rsidRPr="00674E36">
              <w:rPr>
                <w:noProof/>
                <w:webHidden/>
              </w:rPr>
              <w:fldChar w:fldCharType="separate"/>
            </w:r>
            <w:r w:rsidR="002C5317" w:rsidRPr="00674E36">
              <w:rPr>
                <w:noProof/>
                <w:webHidden/>
              </w:rPr>
              <w:t>6</w:t>
            </w:r>
            <w:r w:rsidR="002C5317" w:rsidRPr="00674E36">
              <w:rPr>
                <w:noProof/>
                <w:webHidden/>
              </w:rPr>
              <w:fldChar w:fldCharType="end"/>
            </w:r>
          </w:hyperlink>
        </w:p>
        <w:p w14:paraId="01BE241C" w14:textId="77777777" w:rsidR="002C5317" w:rsidRPr="00674E36" w:rsidRDefault="004E411F">
          <w:pPr>
            <w:pStyle w:val="TOC2"/>
            <w:tabs>
              <w:tab w:val="right" w:pos="9016"/>
            </w:tabs>
            <w:rPr>
              <w:rFonts w:asciiTheme="minorHAnsi" w:eastAsiaTheme="minorEastAsia" w:hAnsiTheme="minorHAnsi" w:cstheme="minorBidi"/>
              <w:noProof/>
              <w:lang w:bidi="ar-SA"/>
            </w:rPr>
          </w:pPr>
          <w:hyperlink w:anchor="_Toc72492503" w:history="1">
            <w:r w:rsidR="002C5317" w:rsidRPr="00674E36">
              <w:rPr>
                <w:rStyle w:val="Hyperlink"/>
                <w:noProof/>
              </w:rPr>
              <w:t>ICT access for early year children</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_Toc72492503 \h </w:instrText>
            </w:r>
            <w:r w:rsidR="002C5317" w:rsidRPr="00674E36">
              <w:rPr>
                <w:noProof/>
                <w:webHidden/>
              </w:rPr>
            </w:r>
            <w:r w:rsidR="002C5317" w:rsidRPr="00674E36">
              <w:rPr>
                <w:noProof/>
                <w:webHidden/>
              </w:rPr>
              <w:fldChar w:fldCharType="separate"/>
            </w:r>
            <w:r w:rsidR="002C5317" w:rsidRPr="00674E36">
              <w:rPr>
                <w:noProof/>
                <w:webHidden/>
              </w:rPr>
              <w:t>6</w:t>
            </w:r>
            <w:r w:rsidR="002C5317" w:rsidRPr="00674E36">
              <w:rPr>
                <w:noProof/>
                <w:webHidden/>
              </w:rPr>
              <w:fldChar w:fldCharType="end"/>
            </w:r>
          </w:hyperlink>
        </w:p>
        <w:p w14:paraId="767BE6D6" w14:textId="77777777" w:rsidR="002C5317" w:rsidRPr="00674E36" w:rsidRDefault="004E411F">
          <w:pPr>
            <w:pStyle w:val="TOC2"/>
            <w:tabs>
              <w:tab w:val="right" w:pos="9016"/>
            </w:tabs>
            <w:rPr>
              <w:rFonts w:asciiTheme="minorHAnsi" w:eastAsiaTheme="minorEastAsia" w:hAnsiTheme="minorHAnsi" w:cstheme="minorBidi"/>
              <w:noProof/>
              <w:lang w:bidi="ar-SA"/>
            </w:rPr>
          </w:pPr>
          <w:hyperlink w:anchor="_Toc72492504" w:history="1">
            <w:r w:rsidR="002C5317" w:rsidRPr="00674E36">
              <w:rPr>
                <w:rStyle w:val="Hyperlink"/>
                <w:noProof/>
              </w:rPr>
              <w:t>Safeguarding children in ICT engagement</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_Toc72492504 \h </w:instrText>
            </w:r>
            <w:r w:rsidR="002C5317" w:rsidRPr="00674E36">
              <w:rPr>
                <w:noProof/>
                <w:webHidden/>
              </w:rPr>
            </w:r>
            <w:r w:rsidR="002C5317" w:rsidRPr="00674E36">
              <w:rPr>
                <w:noProof/>
                <w:webHidden/>
              </w:rPr>
              <w:fldChar w:fldCharType="separate"/>
            </w:r>
            <w:r w:rsidR="002C5317" w:rsidRPr="00674E36">
              <w:rPr>
                <w:noProof/>
                <w:webHidden/>
              </w:rPr>
              <w:t>6</w:t>
            </w:r>
            <w:r w:rsidR="002C5317" w:rsidRPr="00674E36">
              <w:rPr>
                <w:noProof/>
                <w:webHidden/>
              </w:rPr>
              <w:fldChar w:fldCharType="end"/>
            </w:r>
          </w:hyperlink>
        </w:p>
        <w:p w14:paraId="0A53A771" w14:textId="77777777" w:rsidR="002C5317" w:rsidRPr="00674E36" w:rsidRDefault="004E411F">
          <w:pPr>
            <w:pStyle w:val="TOC2"/>
            <w:tabs>
              <w:tab w:val="right" w:pos="9016"/>
            </w:tabs>
            <w:rPr>
              <w:rFonts w:asciiTheme="minorHAnsi" w:eastAsiaTheme="minorEastAsia" w:hAnsiTheme="minorHAnsi" w:cstheme="minorBidi"/>
              <w:noProof/>
              <w:lang w:bidi="ar-SA"/>
            </w:rPr>
          </w:pPr>
          <w:hyperlink w:anchor="_Toc72492505" w:history="1">
            <w:r w:rsidR="002C5317" w:rsidRPr="00674E36">
              <w:rPr>
                <w:rStyle w:val="Hyperlink"/>
                <w:noProof/>
              </w:rPr>
              <w:t>Policies and Legislations</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_Toc72492505 \h </w:instrText>
            </w:r>
            <w:r w:rsidR="002C5317" w:rsidRPr="00674E36">
              <w:rPr>
                <w:noProof/>
                <w:webHidden/>
              </w:rPr>
            </w:r>
            <w:r w:rsidR="002C5317" w:rsidRPr="00674E36">
              <w:rPr>
                <w:noProof/>
                <w:webHidden/>
              </w:rPr>
              <w:fldChar w:fldCharType="separate"/>
            </w:r>
            <w:r w:rsidR="002C5317" w:rsidRPr="00674E36">
              <w:rPr>
                <w:noProof/>
                <w:webHidden/>
              </w:rPr>
              <w:t>7</w:t>
            </w:r>
            <w:r w:rsidR="002C5317" w:rsidRPr="00674E36">
              <w:rPr>
                <w:noProof/>
                <w:webHidden/>
              </w:rPr>
              <w:fldChar w:fldCharType="end"/>
            </w:r>
          </w:hyperlink>
        </w:p>
        <w:p w14:paraId="464B62A8" w14:textId="77777777" w:rsidR="002C5317" w:rsidRPr="00674E36" w:rsidRDefault="004E411F">
          <w:pPr>
            <w:pStyle w:val="TOC1"/>
            <w:tabs>
              <w:tab w:val="right" w:pos="9016"/>
            </w:tabs>
            <w:rPr>
              <w:rFonts w:asciiTheme="minorHAnsi" w:eastAsiaTheme="minorEastAsia" w:hAnsiTheme="minorHAnsi" w:cstheme="minorBidi"/>
              <w:noProof/>
              <w:lang w:bidi="ar-SA"/>
            </w:rPr>
          </w:pPr>
          <w:hyperlink w:anchor="_Toc72492506" w:history="1">
            <w:r w:rsidR="002C5317" w:rsidRPr="00674E36">
              <w:rPr>
                <w:rStyle w:val="Hyperlink"/>
                <w:noProof/>
              </w:rPr>
              <w:t>Planning on activity to promote digital literacy of the children</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_Toc72492506 \h </w:instrText>
            </w:r>
            <w:r w:rsidR="002C5317" w:rsidRPr="00674E36">
              <w:rPr>
                <w:noProof/>
                <w:webHidden/>
              </w:rPr>
            </w:r>
            <w:r w:rsidR="002C5317" w:rsidRPr="00674E36">
              <w:rPr>
                <w:noProof/>
                <w:webHidden/>
              </w:rPr>
              <w:fldChar w:fldCharType="separate"/>
            </w:r>
            <w:r w:rsidR="002C5317" w:rsidRPr="00674E36">
              <w:rPr>
                <w:noProof/>
                <w:webHidden/>
              </w:rPr>
              <w:t>8</w:t>
            </w:r>
            <w:r w:rsidR="002C5317" w:rsidRPr="00674E36">
              <w:rPr>
                <w:noProof/>
                <w:webHidden/>
              </w:rPr>
              <w:fldChar w:fldCharType="end"/>
            </w:r>
          </w:hyperlink>
        </w:p>
        <w:p w14:paraId="5514A13E" w14:textId="77777777" w:rsidR="002C5317" w:rsidRPr="00674E36" w:rsidRDefault="004E411F">
          <w:pPr>
            <w:pStyle w:val="TOC1"/>
            <w:tabs>
              <w:tab w:val="right" w:pos="9016"/>
            </w:tabs>
            <w:rPr>
              <w:rFonts w:asciiTheme="minorHAnsi" w:eastAsiaTheme="minorEastAsia" w:hAnsiTheme="minorHAnsi" w:cstheme="minorBidi"/>
              <w:noProof/>
              <w:lang w:bidi="ar-SA"/>
            </w:rPr>
          </w:pPr>
          <w:hyperlink w:anchor="_Toc72492507" w:history="1">
            <w:r w:rsidR="002C5317" w:rsidRPr="00674E36">
              <w:rPr>
                <w:rStyle w:val="Hyperlink"/>
                <w:noProof/>
              </w:rPr>
              <w:t>Critical evaluation of the proposed activity for digital literacy</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_Toc72492507 \h </w:instrText>
            </w:r>
            <w:r w:rsidR="002C5317" w:rsidRPr="00674E36">
              <w:rPr>
                <w:noProof/>
                <w:webHidden/>
              </w:rPr>
            </w:r>
            <w:r w:rsidR="002C5317" w:rsidRPr="00674E36">
              <w:rPr>
                <w:noProof/>
                <w:webHidden/>
              </w:rPr>
              <w:fldChar w:fldCharType="separate"/>
            </w:r>
            <w:r w:rsidR="002C5317" w:rsidRPr="00674E36">
              <w:rPr>
                <w:noProof/>
                <w:webHidden/>
              </w:rPr>
              <w:t>10</w:t>
            </w:r>
            <w:r w:rsidR="002C5317" w:rsidRPr="00674E36">
              <w:rPr>
                <w:noProof/>
                <w:webHidden/>
              </w:rPr>
              <w:fldChar w:fldCharType="end"/>
            </w:r>
          </w:hyperlink>
        </w:p>
        <w:p w14:paraId="137ABC0A" w14:textId="77777777" w:rsidR="002C5317" w:rsidRPr="00674E36" w:rsidRDefault="004E411F">
          <w:pPr>
            <w:pStyle w:val="TOC2"/>
            <w:tabs>
              <w:tab w:val="right" w:pos="9016"/>
            </w:tabs>
            <w:rPr>
              <w:rFonts w:asciiTheme="minorHAnsi" w:eastAsiaTheme="minorEastAsia" w:hAnsiTheme="minorHAnsi" w:cstheme="minorBidi"/>
              <w:noProof/>
              <w:lang w:bidi="ar-SA"/>
            </w:rPr>
          </w:pPr>
          <w:hyperlink w:anchor="_Toc72492508" w:history="1">
            <w:r w:rsidR="002C5317" w:rsidRPr="00674E36">
              <w:rPr>
                <w:rStyle w:val="Hyperlink"/>
                <w:noProof/>
              </w:rPr>
              <w:t>References</w:t>
            </w:r>
            <w:r w:rsidR="002C5317" w:rsidRPr="00674E36">
              <w:rPr>
                <w:noProof/>
                <w:webHidden/>
              </w:rPr>
              <w:tab/>
            </w:r>
            <w:r w:rsidR="002C5317" w:rsidRPr="00674E36">
              <w:rPr>
                <w:noProof/>
                <w:webHidden/>
              </w:rPr>
              <w:fldChar w:fldCharType="begin"/>
            </w:r>
            <w:r w:rsidR="002C5317" w:rsidRPr="00674E36">
              <w:rPr>
                <w:noProof/>
                <w:webHidden/>
              </w:rPr>
              <w:instrText xml:space="preserve"> PAGEREF _Toc72492508 \h </w:instrText>
            </w:r>
            <w:r w:rsidR="002C5317" w:rsidRPr="00674E36">
              <w:rPr>
                <w:noProof/>
                <w:webHidden/>
              </w:rPr>
            </w:r>
            <w:r w:rsidR="002C5317" w:rsidRPr="00674E36">
              <w:rPr>
                <w:noProof/>
                <w:webHidden/>
              </w:rPr>
              <w:fldChar w:fldCharType="separate"/>
            </w:r>
            <w:r w:rsidR="002C5317" w:rsidRPr="00674E36">
              <w:rPr>
                <w:noProof/>
                <w:webHidden/>
              </w:rPr>
              <w:t>14</w:t>
            </w:r>
            <w:r w:rsidR="002C5317" w:rsidRPr="00674E36">
              <w:rPr>
                <w:noProof/>
                <w:webHidden/>
              </w:rPr>
              <w:fldChar w:fldCharType="end"/>
            </w:r>
          </w:hyperlink>
        </w:p>
        <w:p w14:paraId="668C906A" w14:textId="77777777" w:rsidR="000E0274" w:rsidRPr="00674E36" w:rsidRDefault="00A67AA0">
          <w:r w:rsidRPr="00674E36">
            <w:fldChar w:fldCharType="end"/>
          </w:r>
        </w:p>
      </w:sdtContent>
    </w:sdt>
    <w:p w14:paraId="398D28F8" w14:textId="77777777" w:rsidR="000E0274" w:rsidRPr="00674E36" w:rsidRDefault="00A67AA0">
      <w:pPr>
        <w:spacing w:before="0" w:after="160" w:line="259" w:lineRule="auto"/>
        <w:jc w:val="left"/>
        <w:rPr>
          <w:rFonts w:ascii="ArialMJ" w:eastAsia="ArialMJ" w:hAnsi="ArialMJ" w:cs="ArialMJ"/>
        </w:rPr>
        <w:sectPr w:rsidR="000E0274" w:rsidRPr="00674E36">
          <w:headerReference w:type="default" r:id="rId8"/>
          <w:footerReference w:type="default" r:id="rId9"/>
          <w:pgSz w:w="11906" w:h="16838"/>
          <w:pgMar w:top="1440" w:right="1440" w:bottom="1440" w:left="1440" w:header="720" w:footer="720" w:gutter="0"/>
          <w:pgNumType w:start="1"/>
          <w:cols w:space="720"/>
        </w:sectPr>
      </w:pPr>
      <w:r w:rsidRPr="00674E36">
        <w:br w:type="page"/>
      </w:r>
    </w:p>
    <w:p w14:paraId="77699299" w14:textId="77777777" w:rsidR="000E0274" w:rsidRPr="00674E36" w:rsidRDefault="00A67AA0">
      <w:pPr>
        <w:pStyle w:val="Title"/>
      </w:pPr>
      <w:r w:rsidRPr="00674E36">
        <w:lastRenderedPageBreak/>
        <w:t>Evaluation and analyse the use of ICT and digital media as a means of promoting and supporting young children’s holistic development</w:t>
      </w:r>
    </w:p>
    <w:p w14:paraId="2829F5FD" w14:textId="77777777" w:rsidR="000E0274" w:rsidRPr="00674E36" w:rsidRDefault="00A67AA0">
      <w:pPr>
        <w:pStyle w:val="Heading1"/>
        <w:ind w:firstLine="360"/>
      </w:pPr>
      <w:bookmarkStart w:id="1" w:name="_Toc72492501"/>
      <w:r w:rsidRPr="00674E36">
        <w:t>A critical evaluation of the effectiveness of digital services used by young children</w:t>
      </w:r>
      <w:bookmarkEnd w:id="1"/>
    </w:p>
    <w:p w14:paraId="6CCEAEDE" w14:textId="77777777" w:rsidR="000E0274" w:rsidRPr="00674E36" w:rsidRDefault="00A67AA0">
      <w:r w:rsidRPr="00674E36">
        <w:t xml:space="preserve">In today’s world, adolescents and children both are engaged and immersed within the world of digital media. Different digital services significantly influence the contexts of children development. Contributing to the aspects of digital media and children engagement, different aspects of the positive and negative influence can be assessed. Different technological impacts have significantly influenced the management of children’s development process. This assessment reflects on the effectiveness of different digital devices on young children's development. Different aspects of negative and positive implications of accessing digital media will also be discussed in this report. </w:t>
      </w:r>
    </w:p>
    <w:p w14:paraId="5017712F" w14:textId="77777777" w:rsidR="000E0274" w:rsidRPr="00674E36" w:rsidRDefault="00A67AA0">
      <w:r w:rsidRPr="00674E36">
        <w:t xml:space="preserve">Modern technological advancements and the connecting paradigm have influenced increased access to digital media. People are becoming more and more connected with different digital devices (Hill et al. 2016). Everyday existence has an increasingly significant role in the use of new technology. If this is good or worse, but, the presence of new media has effects in today's society. As the technology has improved (Chia et al. 2019), it has made our lives simpler, but at the same time it has also had a detrimental effect on our well-being. The growth of new media needs those who know how to utilise it but to begin with, children would have to be supported by their parents (Chia et al. 2019). Credibility of children is increased such that they have confidence with their parents, so parents can build faith, and the purpose of communicating is met. This study employs descriptive methodology. The objective of this research is to discover how parents talk to their children about using media to pick, enable them to use, and recognise its advantages and disadvantages (Chia et al. 2019). Because infants, toddlers, and preschoolers are now getting used to living in a technologically complex world, their attention spans are rising in proportion to the exposure. While there has been great faith in the education-giving ability of digital technology for young children, current studies in this field have been few in numbers (Chassiakos et al. 2016). This policy statement looks at how recording and mobile/interactive devices have an educational value, as well as how to provide for the wellbeing of the very young (0 to 5 years of age). In addition, paediatric clinicians may assist families in setting boundaries and encouraging participatory practises when it comes to media use. Engaging with the developmental strategies to secure a safe environment for the media practices can be effectively maintained for effective management </w:t>
      </w:r>
      <w:r w:rsidRPr="00674E36">
        <w:lastRenderedPageBreak/>
        <w:t>of the strategic aspects. Parenting styles and growth strategies have also impacted on the child’s development through technological processes. In this way, the challenging roles and prospects for children development can be addressed for greater stability and management criteria (Ahmadzadeh et al. 2020). Advances of technological advances have completely changed the way babies and young children experience in the media. For younger children, 0 to 5-year-year-olds, more advanced media, such as interactive and mobile phones are in use, and focused on building social and emotional skills. Usage and access to uncontrolled digital media has both negative and positive impacts on the child’s development.</w:t>
      </w:r>
    </w:p>
    <w:p w14:paraId="2E5DFFB4" w14:textId="77777777" w:rsidR="000E0274" w:rsidRPr="00674E36" w:rsidRDefault="00A67AA0">
      <w:r w:rsidRPr="00674E36">
        <w:rPr>
          <w:noProof/>
          <w:lang w:bidi="ar-SA"/>
        </w:rPr>
        <w:drawing>
          <wp:inline distT="0" distB="0" distL="0" distR="0" wp14:anchorId="467E11AB" wp14:editId="6D78B9D7">
            <wp:extent cx="5731510" cy="416369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4163695"/>
                    </a:xfrm>
                    <a:prstGeom prst="rect">
                      <a:avLst/>
                    </a:prstGeom>
                    <a:ln/>
                  </pic:spPr>
                </pic:pic>
              </a:graphicData>
            </a:graphic>
          </wp:inline>
        </w:drawing>
      </w:r>
    </w:p>
    <w:p w14:paraId="672757E2" w14:textId="77777777" w:rsidR="000E0274" w:rsidRPr="00674E36" w:rsidRDefault="00A67AA0">
      <w:pPr>
        <w:pBdr>
          <w:top w:val="single" w:sz="4" w:space="10" w:color="4472C4"/>
          <w:left w:val="nil"/>
          <w:bottom w:val="single" w:sz="4" w:space="10" w:color="4472C4"/>
          <w:right w:val="nil"/>
          <w:between w:val="nil"/>
        </w:pBdr>
        <w:spacing w:before="360" w:after="360"/>
        <w:ind w:left="864" w:right="864"/>
        <w:jc w:val="center"/>
        <w:rPr>
          <w:i/>
          <w:color w:val="4472C4"/>
        </w:rPr>
      </w:pPr>
      <w:r w:rsidRPr="00674E36">
        <w:rPr>
          <w:i/>
          <w:color w:val="4472C4"/>
        </w:rPr>
        <w:t>Figure: Access to digital media (TV online and on-demand: children’s changing viewing habits in the digital age, 2021)</w:t>
      </w:r>
    </w:p>
    <w:p w14:paraId="6B635B7B" w14:textId="77777777" w:rsidR="000E0274" w:rsidRPr="00674E36" w:rsidRDefault="00A67AA0">
      <w:r w:rsidRPr="00674E36">
        <w:t xml:space="preserve">Children learn from different guided interactions and engagement with tools and objectives. Engagement with technology and tools influence the development of learning behaviour of the children to support the psychological understanding of the children in terms of ensuring engagement with the tool (Turner et al. 2017). Children cannot learn by simply absorbing material from the object or atmosphere. While learning happens outside of the person that </w:t>
      </w:r>
      <w:r w:rsidRPr="00674E36">
        <w:lastRenderedPageBreak/>
        <w:t xml:space="preserve">seeks it out, it is never individual, rather it occurs and is encouraged by guidance by others in Vygotsky’s learning model. Lydia Plowman in terms of 'Television, machines, and interactive toys.' While he didn't concentrate on babies and toddlers, the experiments provide a relevant philosophical framework for analysing language development. Plowman and Stephen (2007) examines a collection of study cases that take into account the connection that preschoolers have with interactive technology to highlight the distinction between distal and proximal. Distal interaction includes preparing, supervising, keeping an eye on, supplying things with, and providing services. The core of these researchers believe that learning largely takes place by social contact, and they believe that social interaction is of equal value to previous approaches (Rahmat 2018). In light of these two dominant theoretical methods, and their influence on the advancement of child research, we suggest that future studies use or make reference to technology. A great deal of current investigation on children's interest in new technologies is compelled by need and worries about the current situation (Chia et al. 2019). Usually, the emphasis of video testing is on already pre-recorded materials under a laboratory setting, whereas the focus of TV experiments is the content that is aired on TV and viewed in the house. Studies centred on children and all events that take place on tablet and mobile touchscreens, but not on TV use are excluded from the scope of this project (Browne et al. 2019). These findings have concluded that children younger than two years have difficulties transferring knowledge from 2D to 3D and that learning occurs more quickly in the actual world (Chia et al. 2019). Few video research reported on acquisition of new skills if the skills of a child could not do it on their own. That is not easily observable in natural settings. Although a movie may be claimed to have more long-term benefits than only being instructional for children, this has not been shown in population-based studies. From these studies, the learning behaviour and engagement of the children can be assessed for enhanced understanding of children’s engagement opportunities with digital media. </w:t>
      </w:r>
    </w:p>
    <w:p w14:paraId="5DB96A7A" w14:textId="77777777" w:rsidR="000E0274" w:rsidRPr="00674E36" w:rsidRDefault="00A67AA0">
      <w:r w:rsidRPr="00674E36">
        <w:t xml:space="preserve">Long time exposure to digital media can influence the sleep duration, children development, different aspects of health and behavioural practices (Bruggeman et al. 2019), parental media usage behaviour etc. in different perspectives (Hill et al. 2016). Practices and realistic approaches to the children to deal with the developmental prospects for media engagement, can be analysed from evaluating the real time impact on the child’s development. This is necessary for the engagement and interactive opportunity for the children so that they can learn and grow in their early years. In previous research, health effects and viewership length and quality have been shown to associate with detrimental impacts on society. In the last decade, the usage of digital technology has been prevalent (Sadílková 2021), and researchers are seeing both positive and harmful effects on the well-being of teens. If interactive and social networking activities continue to grow in popularity, there can be many evidence-based </w:t>
      </w:r>
      <w:r w:rsidRPr="00674E36">
        <w:lastRenderedPageBreak/>
        <w:t xml:space="preserve">benefits, such as: discovering new concepts and content, increasing the amount of interaction with other children, and being more open to new opportunities. Many of the media will negatively affect your wellbeing in a number of ways, such as contributing to obesity and depression (Chia et al. 2019). Exposure to incorrect, unsuitable, unhealthy, or non-existent material and contacts this examines the research relevant to these possibilities and dangers for babies through the lens of issues pertaining to clinical practise (Nelissen &amp; Van den Bulck 2018). It is important to keep children and teenagers active, consume well-balanced meals, get enough rest, and have proper sleep, as well as encourage mental and emotional wellbeing and well-being. One of the objectives of the healthy family media use plan is to identify a reasonable balance between media use and various activities for each member of the family, thus promoting age-appropriate digital thinking and giving the child guidance and support he or adolescent needs (Nelissen &amp; Van den Bulck 2018). The other two goals are to prevent personal displays of information and encourage the child and adolescent to use proper digital communication and good rule adherence. First goal tries to minimize the negative impacts of the access to different digital media for the children. Second goal tries to ensure necessary development practices and ensure learning practices for the children in their practices (Vidal-Hall et al. 2020). Our generation's children and teenagers are influenced by digital culture. Television (TV), as well as other traditional methods, has been replaced by modern interactive and social methods and a convenient means of communication, allowing children to participate in activities, as well as giving them quick access to content and information; and given to teens who need more of both; and marketing (Hoge et al. 2017). Traditional media was designed and produced by an existing outlet, such as a film studio or TV network, and was passed along to customers for passive use. Newer media, on the other hand, comprise social and virtual media. If you have an app that shares a variety of content, share it on YouTube, a website, or a website in the form of a screenshot (vlogs). Today's emerging combination of both active and passive media is indistinct for kids and young people, particularly digital natives (Chia et al. 2019). Thanks to the availability of digital media, content can be shared through many media platforms, including text, images, and audio (Brito et al. 2017). The ability to simulate "worlds inside worlds" in video games has evolved to the point that the distinctions between social and digital media are being blurred. Players are often capable of collaboratively creating immersive environments together in video games. The convenience of new technology creates an interactive environment in which media interactions can be extremely customised for children and adolescents (Ponti et al. 2017). In the last decade, the transition from older to newer interactive media has changed the kinds of media consumption (Chia et al. 2019). Such similar statistics: In 1970, the average American child started to view television daily at four years of age, while currently, four-month-old infants have access to streaming media (Brito et al. 2018). The amount of time children spend in front of screens has also increased steadily </w:t>
      </w:r>
      <w:r w:rsidRPr="00674E36">
        <w:lastRenderedPageBreak/>
        <w:t>over the last two decades with the introduction of digital technology outlets and social media. There has been a tremendous increase in the usage of handheld electronics, such as smartphones and tablet computers in children of preschool age (Mićević-Karanović et al. 2020). It is also evident that more small children see a primary care nurse at any point during their visits to the paediatrician’s office visits because of mobile devices.</w:t>
      </w:r>
    </w:p>
    <w:p w14:paraId="2D36C0A2" w14:textId="77777777" w:rsidR="000E0274" w:rsidRPr="00674E36" w:rsidRDefault="00A67AA0">
      <w:r w:rsidRPr="00674E36">
        <w:t xml:space="preserve">From the above assessment, this is evident that children learn through interactive practices and engagement with different digital learning tools and strategies. Studies demonstrate that parents play an essential role in tracking and guiding their children in the use of interactive media concurrently. Those are only some of the parents' tasks for facilitating and following their children in their usage of new technology. Facilitating effective development and management facilities for the young adults, strategic development and processes for the aspects of strategic influence can be evaluated (Chassiakos et al. 2016). Parents need to guide the children for controlled usage and engagement with technological tools. </w:t>
      </w:r>
    </w:p>
    <w:p w14:paraId="2888D96D" w14:textId="77777777" w:rsidR="000E0274" w:rsidRPr="00674E36" w:rsidRDefault="00A67AA0">
      <w:pPr>
        <w:spacing w:before="0" w:after="160" w:line="259" w:lineRule="auto"/>
        <w:jc w:val="left"/>
      </w:pPr>
      <w:r w:rsidRPr="00674E36">
        <w:br w:type="page"/>
      </w:r>
    </w:p>
    <w:p w14:paraId="2509E485" w14:textId="77777777" w:rsidR="000E0274" w:rsidRPr="00674E36" w:rsidRDefault="00A67AA0">
      <w:pPr>
        <w:pStyle w:val="Heading1"/>
        <w:ind w:firstLine="360"/>
      </w:pPr>
      <w:bookmarkStart w:id="2" w:name="_Toc72492502"/>
      <w:r w:rsidRPr="00674E36">
        <w:lastRenderedPageBreak/>
        <w:t>Information Leaflet</w:t>
      </w:r>
      <w:bookmarkEnd w:id="2"/>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0E0274" w:rsidRPr="00674E36" w14:paraId="4E5C8363" w14:textId="77777777">
        <w:tc>
          <w:tcPr>
            <w:tcW w:w="9016" w:type="dxa"/>
          </w:tcPr>
          <w:p w14:paraId="07908575" w14:textId="77777777" w:rsidR="000E0274" w:rsidRPr="00674E36" w:rsidRDefault="00A67AA0">
            <w:pPr>
              <w:pStyle w:val="Heading2"/>
              <w:outlineLvl w:val="1"/>
            </w:pPr>
            <w:bookmarkStart w:id="3" w:name="_Toc72492503"/>
            <w:r w:rsidRPr="00674E36">
              <w:t>ICT access for early year children</w:t>
            </w:r>
            <w:bookmarkEnd w:id="3"/>
          </w:p>
        </w:tc>
      </w:tr>
      <w:tr w:rsidR="000E0274" w:rsidRPr="00674E36" w14:paraId="7CD8FA8C" w14:textId="77777777">
        <w:tc>
          <w:tcPr>
            <w:tcW w:w="9016" w:type="dxa"/>
          </w:tcPr>
          <w:p w14:paraId="4E295B69" w14:textId="77777777" w:rsidR="000E0274" w:rsidRPr="00674E36" w:rsidRDefault="00A67AA0">
            <w:pPr>
              <w:pBdr>
                <w:top w:val="nil"/>
                <w:left w:val="nil"/>
                <w:bottom w:val="nil"/>
                <w:right w:val="nil"/>
                <w:between w:val="nil"/>
              </w:pBdr>
              <w:spacing w:before="240" w:after="120"/>
              <w:rPr>
                <w:color w:val="000000"/>
              </w:rPr>
            </w:pPr>
            <w:r w:rsidRPr="00674E36">
              <w:rPr>
                <w:color w:val="000000"/>
              </w:rPr>
              <w:t xml:space="preserve">For parents and carers, this is important to address the issues relating to the early year usage of technological developments and digital devices to the children (Browne et al. 2019). There are several potential risks and </w:t>
            </w:r>
            <w:r w:rsidRPr="00674E36">
              <w:t>attributes relating</w:t>
            </w:r>
            <w:r w:rsidRPr="00674E36">
              <w:rPr>
                <w:color w:val="000000"/>
              </w:rPr>
              <w:t xml:space="preserve"> to the management of the usage of digital devices </w:t>
            </w:r>
            <w:r w:rsidRPr="00674E36">
              <w:t>for children</w:t>
            </w:r>
            <w:r w:rsidRPr="00674E36">
              <w:rPr>
                <w:color w:val="000000"/>
              </w:rPr>
              <w:t>. The issue for parents and people who make media choices about young children is how it could affect the child's ability to perceive technology.</w:t>
            </w:r>
          </w:p>
          <w:p w14:paraId="23A49AF2" w14:textId="77777777" w:rsidR="000E0274" w:rsidRPr="00674E36" w:rsidRDefault="00A67AA0">
            <w:pPr>
              <w:pBdr>
                <w:top w:val="nil"/>
                <w:left w:val="nil"/>
                <w:bottom w:val="nil"/>
                <w:right w:val="nil"/>
                <w:between w:val="nil"/>
              </w:pBdr>
              <w:spacing w:before="240" w:after="120"/>
              <w:rPr>
                <w:color w:val="000000"/>
              </w:rPr>
            </w:pPr>
            <w:r w:rsidRPr="00674E36">
              <w:rPr>
                <w:color w:val="000000"/>
              </w:rPr>
              <w:t>According to the contemporary school of thought, many caregivers feel they are being dragged by two opposite ideas, one that believes that technology has the potential to positively change children's development, play, and learning, and one that also believes that it has the capability to impede it, because of the propensity for replacing others and dulling originality (Browne et al. 2019). Personal theories, ideologies, traditions, past interactions, and biases, to a great degree, determine the level of influence a parent wields while making decisions (as well as the popular media, which often take advantage of this polarised topic). We think you should keep in mind the family's culture while making the choice to encourage the baby to use technology.</w:t>
            </w:r>
          </w:p>
        </w:tc>
      </w:tr>
      <w:tr w:rsidR="000E0274" w:rsidRPr="00674E36" w14:paraId="3B0B596D" w14:textId="77777777">
        <w:tc>
          <w:tcPr>
            <w:tcW w:w="9016" w:type="dxa"/>
          </w:tcPr>
          <w:p w14:paraId="2B10B563" w14:textId="77777777" w:rsidR="000E0274" w:rsidRPr="00674E36" w:rsidRDefault="00A67AA0">
            <w:pPr>
              <w:pStyle w:val="Heading2"/>
              <w:outlineLvl w:val="1"/>
            </w:pPr>
            <w:bookmarkStart w:id="4" w:name="_Toc72492504"/>
            <w:r w:rsidRPr="00674E36">
              <w:t>Safeguarding children in ICT engagement</w:t>
            </w:r>
            <w:bookmarkEnd w:id="4"/>
          </w:p>
        </w:tc>
      </w:tr>
      <w:tr w:rsidR="000E0274" w:rsidRPr="00674E36" w14:paraId="2FD0750F" w14:textId="77777777">
        <w:tc>
          <w:tcPr>
            <w:tcW w:w="9016" w:type="dxa"/>
          </w:tcPr>
          <w:p w14:paraId="3D7288DC" w14:textId="77777777" w:rsidR="000E0274" w:rsidRPr="00674E36" w:rsidRDefault="00A67AA0">
            <w:pPr>
              <w:pBdr>
                <w:top w:val="nil"/>
                <w:left w:val="nil"/>
                <w:bottom w:val="nil"/>
                <w:right w:val="nil"/>
                <w:between w:val="nil"/>
              </w:pBdr>
              <w:spacing w:before="240" w:after="120"/>
              <w:rPr>
                <w:color w:val="000000"/>
              </w:rPr>
            </w:pPr>
            <w:r w:rsidRPr="00674E36">
              <w:t>Caregivers</w:t>
            </w:r>
            <w:r w:rsidRPr="00674E36">
              <w:rPr>
                <w:color w:val="000000"/>
              </w:rPr>
              <w:t xml:space="preserve"> and parents need to secure necessary security, safety and safeguarding for the infants </w:t>
            </w:r>
            <w:r w:rsidRPr="00674E36">
              <w:t>who are</w:t>
            </w:r>
            <w:r w:rsidRPr="00674E36">
              <w:rPr>
                <w:color w:val="000000"/>
              </w:rPr>
              <w:t xml:space="preserve"> exposed to different digital devices (Hill et al. 2016). Considering the engagement level and interaction, the caregivers need to ensure secure practices for the ICT engagement for the children. </w:t>
            </w:r>
          </w:p>
          <w:p w14:paraId="6DF926BA" w14:textId="77777777" w:rsidR="000E0274" w:rsidRPr="00674E36" w:rsidRDefault="00A67AA0">
            <w:pPr>
              <w:pBdr>
                <w:top w:val="nil"/>
                <w:left w:val="nil"/>
                <w:bottom w:val="nil"/>
                <w:right w:val="nil"/>
                <w:between w:val="nil"/>
              </w:pBdr>
              <w:spacing w:before="240" w:after="120"/>
              <w:rPr>
                <w:color w:val="000000"/>
              </w:rPr>
            </w:pPr>
            <w:r w:rsidRPr="00674E36">
              <w:rPr>
                <w:color w:val="000000"/>
              </w:rPr>
              <w:t xml:space="preserve">Creative ICT usage in contemporary child protection represents management preferences as well as the interests of those of clients and influential members of the profession. ICT is </w:t>
            </w:r>
            <w:r w:rsidRPr="00674E36">
              <w:t>just barely</w:t>
            </w:r>
            <w:r w:rsidRPr="00674E36">
              <w:rPr>
                <w:color w:val="000000"/>
              </w:rPr>
              <w:t xml:space="preserve"> </w:t>
            </w:r>
            <w:r w:rsidRPr="00674E36">
              <w:t>providing</w:t>
            </w:r>
            <w:r w:rsidRPr="00674E36">
              <w:rPr>
                <w:color w:val="000000"/>
              </w:rPr>
              <w:t xml:space="preserve"> </w:t>
            </w:r>
            <w:r w:rsidRPr="00674E36">
              <w:t>services to consumers</w:t>
            </w:r>
            <w:r w:rsidRPr="00674E36">
              <w:rPr>
                <w:color w:val="000000"/>
              </w:rPr>
              <w:t xml:space="preserve"> with a benefit and experts are yet to take advantage of its power in the realm of communication. Other human services have not adopted too much of the new technologies (Ahmadzadeh et al. 2020). Whether there is greater balance, the client's presence and influence will decrease. </w:t>
            </w:r>
          </w:p>
          <w:p w14:paraId="0A4FA05D" w14:textId="77777777" w:rsidR="000E0274" w:rsidRPr="00674E36" w:rsidRDefault="00A67AA0">
            <w:pPr>
              <w:pBdr>
                <w:top w:val="nil"/>
                <w:left w:val="nil"/>
                <w:bottom w:val="nil"/>
                <w:right w:val="nil"/>
                <w:between w:val="nil"/>
              </w:pBdr>
              <w:spacing w:before="240" w:after="120"/>
              <w:rPr>
                <w:color w:val="000000"/>
              </w:rPr>
            </w:pPr>
            <w:r w:rsidRPr="00674E36">
              <w:rPr>
                <w:color w:val="000000"/>
              </w:rPr>
              <w:t xml:space="preserve">ICT has the capacity to improve the connection between households and social workers, the processes of forming relationships and facilitating the usage of language in social care, and the state of their delivery and use (Chassiakos et al. 2016). This would have a huge impact on how service customers are heard and on the policy and decisions that are made. A field of interest for child protection, though, is the abilities and shortcomings of computer-mediated communication. We ought to see the potential of ICT for those who are both in the social care field and work field to work together to overcome the division. Carers need to provide safe practices applicable for the effective management of the secured ICT usage and capable assessment (Chassiakos et al. 2016). In this way, the carers can monitor and maintain the development and engagement for the children with different digital devices and media. </w:t>
            </w:r>
          </w:p>
          <w:p w14:paraId="2BC7CDC1" w14:textId="77777777" w:rsidR="000E0274" w:rsidRPr="00674E36" w:rsidRDefault="00A67AA0">
            <w:pPr>
              <w:pBdr>
                <w:top w:val="nil"/>
                <w:left w:val="nil"/>
                <w:bottom w:val="nil"/>
                <w:right w:val="nil"/>
                <w:between w:val="nil"/>
              </w:pBdr>
              <w:spacing w:before="240" w:after="120"/>
              <w:rPr>
                <w:color w:val="000000"/>
              </w:rPr>
            </w:pPr>
            <w:r w:rsidRPr="00674E36">
              <w:rPr>
                <w:color w:val="000000"/>
              </w:rPr>
              <w:t xml:space="preserve">Safe and secured practices for the digital engagement of the children need to be analysed for effective management of the learning behaviours. Different assessment and </w:t>
            </w:r>
            <w:r w:rsidRPr="00674E36">
              <w:rPr>
                <w:color w:val="000000"/>
              </w:rPr>
              <w:lastRenderedPageBreak/>
              <w:t xml:space="preserve">engagement opportunities for the children with the digital media needs to be ensured in this regard. </w:t>
            </w:r>
          </w:p>
          <w:p w14:paraId="2B2D20E8" w14:textId="77777777" w:rsidR="000E0274" w:rsidRPr="00674E36" w:rsidRDefault="00A67AA0">
            <w:pPr>
              <w:pBdr>
                <w:top w:val="nil"/>
                <w:left w:val="nil"/>
                <w:bottom w:val="nil"/>
                <w:right w:val="nil"/>
                <w:between w:val="nil"/>
              </w:pBdr>
              <w:spacing w:before="240" w:after="120"/>
              <w:jc w:val="center"/>
              <w:rPr>
                <w:color w:val="000000"/>
              </w:rPr>
            </w:pPr>
            <w:r w:rsidRPr="00674E36">
              <w:rPr>
                <w:noProof/>
                <w:color w:val="000000"/>
                <w:lang w:bidi="ar-SA"/>
              </w:rPr>
              <w:drawing>
                <wp:inline distT="0" distB="0" distL="0" distR="0" wp14:anchorId="4B7E5C73" wp14:editId="49AD7E9E">
                  <wp:extent cx="4634193" cy="2549679"/>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34193" cy="2549679"/>
                          </a:xfrm>
                          <a:prstGeom prst="rect">
                            <a:avLst/>
                          </a:prstGeom>
                          <a:ln/>
                        </pic:spPr>
                      </pic:pic>
                    </a:graphicData>
                  </a:graphic>
                </wp:inline>
              </w:drawing>
            </w:r>
          </w:p>
          <w:p w14:paraId="7D543C2B" w14:textId="77777777" w:rsidR="000E0274" w:rsidRPr="00674E36" w:rsidRDefault="00A67AA0">
            <w:pPr>
              <w:pBdr>
                <w:top w:val="nil"/>
                <w:left w:val="nil"/>
                <w:bottom w:val="nil"/>
                <w:right w:val="nil"/>
                <w:between w:val="nil"/>
              </w:pBdr>
              <w:spacing w:before="240" w:after="120"/>
              <w:jc w:val="center"/>
              <w:rPr>
                <w:color w:val="000000"/>
              </w:rPr>
            </w:pPr>
            <w:r w:rsidRPr="00674E36">
              <w:rPr>
                <w:color w:val="000000"/>
              </w:rPr>
              <w:t>Figure: Children learn by interaction and engagement</w:t>
            </w:r>
          </w:p>
          <w:p w14:paraId="2395404C" w14:textId="77777777" w:rsidR="000E0274" w:rsidRPr="00674E36" w:rsidRDefault="00A67AA0">
            <w:pPr>
              <w:pBdr>
                <w:top w:val="nil"/>
                <w:left w:val="nil"/>
                <w:bottom w:val="nil"/>
                <w:right w:val="nil"/>
                <w:between w:val="nil"/>
              </w:pBdr>
              <w:spacing w:before="240" w:after="120"/>
              <w:rPr>
                <w:color w:val="000000"/>
              </w:rPr>
            </w:pPr>
            <w:r w:rsidRPr="00674E36">
              <w:rPr>
                <w:color w:val="000000"/>
              </w:rPr>
              <w:t xml:space="preserve">Children use newspapers, which are located in their daily surroundings, for two key purposes: to seek out new information, and when they're discovered, because they're in the context. For the vast majority of children, television fans, entertainment and a bunch of peers in close proximity are primary motivations. Observational learning uses media for various reasons, such as DVDs, videos, and television programmes, but one specific way in </w:t>
            </w:r>
            <w:r w:rsidRPr="00674E36">
              <w:t>which all</w:t>
            </w:r>
            <w:r w:rsidRPr="00674E36">
              <w:rPr>
                <w:color w:val="000000"/>
              </w:rPr>
              <w:t xml:space="preserve"> these media may use is as a means of getting people to communicate with others is by interfaces like smartphones and the Internet. Including newspapers, television, radio, and magazines, the media encourage children to investigate various issues, and cover the complex problems such as violence and sexuality, making it more likely that they can find out more about it for themselves and ask questions about them and understand more about the subjects through their behaviour. There are occasions where the media will be a challenge, an interrupt, and then there are other times where they are imposed on us. The context media can be detrimental to the growth of the child. Background audience consumption may be more constructive, such as seeing programmes that provide non-violent educational images.</w:t>
            </w:r>
          </w:p>
        </w:tc>
      </w:tr>
      <w:tr w:rsidR="000E0274" w:rsidRPr="00674E36" w14:paraId="66239F69" w14:textId="77777777">
        <w:tc>
          <w:tcPr>
            <w:tcW w:w="9016" w:type="dxa"/>
          </w:tcPr>
          <w:p w14:paraId="6B2784EE" w14:textId="77777777" w:rsidR="000E0274" w:rsidRPr="00674E36" w:rsidRDefault="00A67AA0">
            <w:pPr>
              <w:pStyle w:val="Heading2"/>
              <w:outlineLvl w:val="1"/>
            </w:pPr>
            <w:bookmarkStart w:id="5" w:name="_Toc72492505"/>
            <w:r w:rsidRPr="00674E36">
              <w:lastRenderedPageBreak/>
              <w:t>Policies and Legislations</w:t>
            </w:r>
            <w:bookmarkEnd w:id="5"/>
          </w:p>
        </w:tc>
      </w:tr>
      <w:tr w:rsidR="000E0274" w:rsidRPr="00674E36" w14:paraId="7633B0D6" w14:textId="77777777">
        <w:tc>
          <w:tcPr>
            <w:tcW w:w="9016" w:type="dxa"/>
          </w:tcPr>
          <w:p w14:paraId="7FA77035" w14:textId="77777777" w:rsidR="000E0274" w:rsidRPr="00674E36" w:rsidRDefault="00A67AA0">
            <w:r w:rsidRPr="00674E36">
              <w:t xml:space="preserve">UK Council for Children Internet Safety (UKCCIS) has provided essential guidelines for safe online experience for the children in the UK. However, there are instances when the children at early age may experience negative aspects of society, addiction, pornography etc. The safe online bill proposes essential guidelines for the children so that they can get better online opportunities to practice their skill and knowledge (Rahmat 2018). Safe online for children is essential to secure the required level of engagement and management of the children’s rights and regulations. </w:t>
            </w:r>
          </w:p>
          <w:p w14:paraId="5588A520" w14:textId="77777777" w:rsidR="000E0274" w:rsidRPr="00674E36" w:rsidRDefault="00A67AA0">
            <w:r w:rsidRPr="00674E36">
              <w:t xml:space="preserve">Modern day carers and parents are becoming more and more concerned about the safe online practices. In this regard, continuing essential policy practices for the government is necessary so that this becomes possible for the parents to monitor. </w:t>
            </w:r>
          </w:p>
        </w:tc>
      </w:tr>
    </w:tbl>
    <w:p w14:paraId="3813F761" w14:textId="77777777" w:rsidR="000E0274" w:rsidRPr="00674E36" w:rsidRDefault="000E0274"/>
    <w:p w14:paraId="710624F8" w14:textId="77777777" w:rsidR="000E0274" w:rsidRPr="00674E36" w:rsidRDefault="00A67AA0">
      <w:pPr>
        <w:pStyle w:val="Heading1"/>
        <w:ind w:firstLine="360"/>
      </w:pPr>
      <w:bookmarkStart w:id="6" w:name="_Toc72492506"/>
      <w:r w:rsidRPr="00674E36">
        <w:lastRenderedPageBreak/>
        <w:t>Planning on activity to promote digital literacy of the children</w:t>
      </w:r>
      <w:bookmarkEnd w:id="6"/>
    </w:p>
    <w:p w14:paraId="13C52B0B" w14:textId="77777777" w:rsidR="000E0274" w:rsidRPr="00674E36" w:rsidRDefault="00A67AA0">
      <w:r w:rsidRPr="00674E36">
        <w:t xml:space="preserve">Proposed plan to promote digital literacy of the children as well as the parents, include detailed evaluation and strategic development of the campaigns. This campaign is titled as </w:t>
      </w:r>
      <w:r w:rsidRPr="00674E36">
        <w:rPr>
          <w:b/>
          <w:i/>
        </w:rPr>
        <w:t>“Open up your digital world”.</w:t>
      </w:r>
      <w:r w:rsidRPr="00674E36">
        <w:t xml:space="preserve"> This campaign targets to promote digital literacy and engagement of the children with digital devices and media in a much safer and interactive way. </w:t>
      </w:r>
    </w:p>
    <w:p w14:paraId="0E10FCAC" w14:textId="77777777" w:rsidR="000E0274" w:rsidRPr="00674E36" w:rsidRDefault="00A67AA0">
      <w:r w:rsidRPr="00674E36">
        <w:t xml:space="preserve">This campaign will include both the children and the parents, as this is vital to engage them in the learning session. </w:t>
      </w:r>
    </w:p>
    <w:p w14:paraId="3CBA0463" w14:textId="77777777" w:rsidR="000E0274" w:rsidRPr="00674E36" w:rsidRDefault="00A67AA0">
      <w:pPr>
        <w:numPr>
          <w:ilvl w:val="0"/>
          <w:numId w:val="1"/>
        </w:numPr>
      </w:pPr>
      <w:r w:rsidRPr="00674E36">
        <w:t xml:space="preserve">Different aspects of safe practice in the digital world will be explored. </w:t>
      </w:r>
    </w:p>
    <w:p w14:paraId="474722C1" w14:textId="77777777" w:rsidR="000E0274" w:rsidRPr="00674E36" w:rsidRDefault="00A67AA0">
      <w:pPr>
        <w:numPr>
          <w:ilvl w:val="0"/>
          <w:numId w:val="1"/>
        </w:numPr>
      </w:pPr>
      <w:r w:rsidRPr="00674E36">
        <w:t xml:space="preserve">Engaging sessions with the parents to explore the safety practice in digital platforms will be ensured. </w:t>
      </w:r>
    </w:p>
    <w:p w14:paraId="0F0D2952" w14:textId="77777777" w:rsidR="000E0274" w:rsidRPr="00674E36" w:rsidRDefault="00A67AA0">
      <w:pPr>
        <w:numPr>
          <w:ilvl w:val="0"/>
          <w:numId w:val="1"/>
        </w:numPr>
      </w:pPr>
      <w:r w:rsidRPr="00674E36">
        <w:t xml:space="preserve">Necessary policies and guidelines will also be discussed for safe practices in the digital world. </w:t>
      </w:r>
    </w:p>
    <w:p w14:paraId="06F6F527" w14:textId="77777777" w:rsidR="00BF657A" w:rsidRPr="00674E36" w:rsidRDefault="00BF657A" w:rsidP="00BF657A">
      <w:r w:rsidRPr="00674E36">
        <w:rPr>
          <w:noProof/>
          <w:lang w:bidi="ar-SA"/>
        </w:rPr>
        <w:drawing>
          <wp:inline distT="0" distB="0" distL="0" distR="0" wp14:anchorId="1FDF613F" wp14:editId="57A26C4D">
            <wp:extent cx="5670550" cy="2413000"/>
            <wp:effectExtent l="0" t="0" r="1905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B277BC9" w14:textId="77777777" w:rsidR="00BF657A" w:rsidRPr="00674E36" w:rsidRDefault="00BF657A" w:rsidP="00BF657A">
      <w:pPr>
        <w:pStyle w:val="Quote"/>
      </w:pPr>
      <w:r w:rsidRPr="00674E36">
        <w:t>Figure: Digital Literacy Activity for Children</w:t>
      </w:r>
    </w:p>
    <w:p w14:paraId="44C4A4B6" w14:textId="77777777" w:rsidR="00BF657A" w:rsidRPr="00674E36" w:rsidRDefault="00F16F18">
      <w:r w:rsidRPr="00674E36">
        <w:rPr>
          <w:noProof/>
          <w:lang w:bidi="ar-SA"/>
        </w:rPr>
        <w:t xml:space="preserve">In this activity, the children will be given laptop and tablet computers. Experts will guide the children on how to use them. For example, YouTube Kids will be installed on those devices to promote safety and wellbeing of the online experience. </w:t>
      </w:r>
      <w:r w:rsidR="00A67AA0" w:rsidRPr="00674E36">
        <w:t xml:space="preserve">Addressing the challenges and risks of uncontrolled online exposure of the children is vital for the parents. In this regard, essential management of the components is necessary for allocating the resources and capabilities. Considering the growth and management processes for the professionals needs to be </w:t>
      </w:r>
      <w:r w:rsidR="00A67AA0" w:rsidRPr="00674E36">
        <w:lastRenderedPageBreak/>
        <w:t>acknowledged in this regard. There are different aspects of positive impacts of the di</w:t>
      </w:r>
      <w:r w:rsidR="00BF657A" w:rsidRPr="00674E36">
        <w:t>gital world</w:t>
      </w:r>
      <w:r w:rsidR="00A67AA0" w:rsidRPr="00674E36">
        <w:t xml:space="preserve">. This is fundamentally important for the parents to ensure proper management and support management for the kid’s </w:t>
      </w:r>
      <w:r w:rsidR="00BF657A" w:rsidRPr="00674E36">
        <w:t>safe and secure online presence</w:t>
      </w:r>
      <w:r w:rsidR="00A67AA0" w:rsidRPr="00674E36">
        <w:t>. Good parenting styles and management capability should be aligned with the necessary management protocols and supportive aspects of the online presence.</w:t>
      </w:r>
      <w:r w:rsidR="00BF657A" w:rsidRPr="00674E36">
        <w:t xml:space="preserve"> In this session, the parents will also be included on controlling their children’s online experience.</w:t>
      </w:r>
    </w:p>
    <w:p w14:paraId="46EFBA06" w14:textId="77777777" w:rsidR="000E0274" w:rsidRPr="00674E36" w:rsidRDefault="00A67AA0">
      <w:r w:rsidRPr="00674E36">
        <w:t xml:space="preserve"> As the contexts of online presence for the children is critical for different parenting styles, this is important for the assessment criteria to handle these aspects (Rahmat 2018). UKCCIS (United Kingdom Council for Children internet Safety) has outlined necessary guidelines and processes needed for the safe and secure online presence of the children. Using specialized filter and screening methods for the safe and secure internet usage, can be conducted. In this way, effective management of the components needed for the safe practices can be ensured. </w:t>
      </w:r>
    </w:p>
    <w:p w14:paraId="75C06533" w14:textId="77777777" w:rsidR="000E0274" w:rsidRPr="00674E36" w:rsidRDefault="00A67AA0">
      <w:r w:rsidRPr="00674E36">
        <w:t xml:space="preserve">Parents need to be engaged with the teachers and carers, to know about the latest understanding of the technological safe practice. Only monitoring and safe practices are not effective to secure a proper environment for the children. In this way, the parents can engage with the children and know their needs (Núñez-Gómez et al. 2020). Providing essential criteria and assessment processes for the safe practices, the carers can secure a proper environment for the children (Chassiakos et al. 2016). In this manner, essential management of the wellbeing and secure online presence can be ensured. Providing necessary management and online presence security, necessary challenges and prospects can be addressed. </w:t>
      </w:r>
    </w:p>
    <w:p w14:paraId="70F73A61" w14:textId="77777777" w:rsidR="000E0274" w:rsidRPr="00674E36" w:rsidRDefault="00A67AA0">
      <w:r w:rsidRPr="00674E36">
        <w:rPr>
          <w:i/>
        </w:rPr>
        <w:t xml:space="preserve">In Conclusion, </w:t>
      </w:r>
      <w:r w:rsidRPr="00674E36">
        <w:t xml:space="preserve">the open up your digital world campaign will highlight digital literacy and safe practices while dealing with the online presence of children. Considering these aspects, the viewpoints of the children, teachers, carers and parents will be unified in this campaign. </w:t>
      </w:r>
    </w:p>
    <w:p w14:paraId="578787F5" w14:textId="77777777" w:rsidR="000E0274" w:rsidRPr="00674E36" w:rsidRDefault="00A67AA0">
      <w:pPr>
        <w:spacing w:before="0" w:after="160" w:line="259" w:lineRule="auto"/>
        <w:jc w:val="left"/>
      </w:pPr>
      <w:r w:rsidRPr="00674E36">
        <w:br w:type="page"/>
      </w:r>
    </w:p>
    <w:p w14:paraId="0577B16D" w14:textId="77777777" w:rsidR="000E0274" w:rsidRPr="00674E36" w:rsidRDefault="00A67AA0" w:rsidP="006A1D5A">
      <w:pPr>
        <w:pStyle w:val="Heading1"/>
      </w:pPr>
      <w:bookmarkStart w:id="7" w:name="_Toc72492507"/>
      <w:r w:rsidRPr="00674E36">
        <w:lastRenderedPageBreak/>
        <w:t>Critical evaluation of the proposed activity for digital literacy</w:t>
      </w:r>
      <w:bookmarkEnd w:id="7"/>
    </w:p>
    <w:p w14:paraId="5BDE59E5" w14:textId="77777777" w:rsidR="000E0274" w:rsidRPr="00674E36" w:rsidRDefault="00A67AA0">
      <w:r w:rsidRPr="00674E36">
        <w:t>Digital literacy for everyone, is important to ensure proper engagement of the individuals with the recent technological advancements (Ahmadzadeh et al. 2020). In recent years, the introduction of digital media has profoundly affected both children's quality of life and their rights. Children's rights are analysed in the context of the UN Convention on the Rights of the Child (Strouse et al. 2019). Different considerations have been provided to the same kinds of privileges. The field of children and digital media mostly deals with the notion of “protection”, but there is increasing understanding of the dissonance between it and the legal term “participation. Concepts like "provisions" are seldom stressed, even when it comes to school. Online and offline children's freedom, though, should be sponsored, respected, and cultivated equally. Policymakers, parents, educators, business enterprises, social services, and children's welfare organisations must all embrace their obligation to uplift children's digital freedoms while acknowledging and heeding children's opinions.</w:t>
      </w:r>
    </w:p>
    <w:p w14:paraId="7C2B81FA" w14:textId="77777777" w:rsidR="000E0274" w:rsidRPr="00674E36" w:rsidRDefault="00A67AA0">
      <w:r w:rsidRPr="00674E36">
        <w:t xml:space="preserve">Proposed campaign is based on the engagement and interactive processes relating to the parents and the children. This is necessary for the parents to analyse and process the identified approaches needed for safe practices in this regard. About three-quarters of the world's population utilise the internet, with 1.4 billion children as a demographic (Ihmeideh &amp; Alkhawaldeh 2017). This population distribution between countries is certainly going to be more skewed towards the developing world. Protection for children and the needy adults must be better understood while also protecting their potential for learning, engagement, development, and overall well-being. </w:t>
      </w:r>
    </w:p>
    <w:p w14:paraId="2C264138" w14:textId="77777777" w:rsidR="000E0274" w:rsidRPr="00674E36" w:rsidRDefault="00A67AA0">
      <w:r w:rsidRPr="00674E36">
        <w:t xml:space="preserve">A crucial aspect in the form of creating and implementing policies that regulate young people's usage of digital technologies is to understand their thoughts and feelings, and the way they can see and view the technology (Mourgela &amp; Pacurar 2018). As of now, data is lacking in several places around the world, making it impossible to take a strategic approach. To methodically study the impacts of emerging technology, it is crucial to establish child-friendly methodologies. Global Kids Online is involved in the production of multi-country information about the harms that children may face in a digital age, and Disrupting Harm aims to change the prospects for future health. </w:t>
      </w:r>
    </w:p>
    <w:p w14:paraId="52A0BC50" w14:textId="77777777" w:rsidR="000E0274" w:rsidRPr="00674E36" w:rsidRDefault="00A67AA0">
      <w:r w:rsidRPr="00674E36">
        <w:t xml:space="preserve">Additionally, UNICEF works with key partners to include children in the conversation around internet governance and use. We write papers on national and foreign internet-related policies that can have impact on the child and also assist UNICEF office in regional and global work </w:t>
      </w:r>
      <w:r w:rsidRPr="00674E36">
        <w:lastRenderedPageBreak/>
        <w:t>successfully engage in current conversations about video games, inappropriate internet usage, new media, and sexual harassment (Drotner 2020). The proposed intervention targets to ensure proper digital literacy and engagement with the individuals at personal level. The United Nations Convention on the Rights of the Child secures to expand its guidelines and impact on the digital usability and digital engagement of the children to support the development process (Chassiakos et al. 2016).</w:t>
      </w:r>
    </w:p>
    <w:p w14:paraId="7B652106" w14:textId="77777777" w:rsidR="000E0274" w:rsidRPr="00674E36" w:rsidRDefault="00A67AA0">
      <w:r w:rsidRPr="00674E36">
        <w:rPr>
          <w:noProof/>
          <w:lang w:bidi="ar-SA"/>
        </w:rPr>
        <mc:AlternateContent>
          <mc:Choice Requires="wpg">
            <w:drawing>
              <wp:inline distT="0" distB="0" distL="0" distR="0" wp14:anchorId="0D21AB94" wp14:editId="5FC00BEE">
                <wp:extent cx="5486400" cy="4861560"/>
                <wp:effectExtent l="0" t="0" r="0" b="0"/>
                <wp:docPr id="4" name="Group 4"/>
                <wp:cNvGraphicFramePr/>
                <a:graphic xmlns:a="http://schemas.openxmlformats.org/drawingml/2006/main">
                  <a:graphicData uri="http://schemas.microsoft.com/office/word/2010/wordprocessingGroup">
                    <wpg:wgp>
                      <wpg:cNvGrpSpPr/>
                      <wpg:grpSpPr>
                        <a:xfrm>
                          <a:off x="0" y="0"/>
                          <a:ext cx="5486400" cy="4861560"/>
                          <a:chOff x="0" y="-37507"/>
                          <a:chExt cx="5486400" cy="4936573"/>
                        </a:xfrm>
                      </wpg:grpSpPr>
                      <wpg:grpSp>
                        <wpg:cNvPr id="1" name="Group 1"/>
                        <wpg:cNvGrpSpPr/>
                        <wpg:grpSpPr>
                          <a:xfrm>
                            <a:off x="0" y="-37507"/>
                            <a:ext cx="5486400" cy="4936573"/>
                            <a:chOff x="0" y="-37507"/>
                            <a:chExt cx="5486400" cy="4936573"/>
                          </a:xfrm>
                        </wpg:grpSpPr>
                        <wps:wsp>
                          <wps:cNvPr id="2" name="Rectangle 2"/>
                          <wps:cNvSpPr/>
                          <wps:spPr>
                            <a:xfrm>
                              <a:off x="0" y="0"/>
                              <a:ext cx="5486400" cy="4861550"/>
                            </a:xfrm>
                            <a:prstGeom prst="rect">
                              <a:avLst/>
                            </a:prstGeom>
                            <a:noFill/>
                            <a:ln>
                              <a:noFill/>
                            </a:ln>
                          </wps:spPr>
                          <wps:txbx>
                            <w:txbxContent>
                              <w:p w14:paraId="20CB9450"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3" name="Bent Up Arrow 3"/>
                          <wps:cNvSpPr/>
                          <wps:spPr>
                            <a:xfrm rot="5400000">
                              <a:off x="168683" y="664372"/>
                              <a:ext cx="633168" cy="720840"/>
                            </a:xfrm>
                            <a:prstGeom prst="bentUpArrow">
                              <a:avLst>
                                <a:gd name="adj1" fmla="val 32840"/>
                                <a:gd name="adj2" fmla="val 25000"/>
                                <a:gd name="adj3" fmla="val 35780"/>
                              </a:avLst>
                            </a:prstGeom>
                            <a:solidFill>
                              <a:srgbClr val="CCD3EA"/>
                            </a:solidFill>
                            <a:ln w="12700" cap="flat" cmpd="sng">
                              <a:solidFill>
                                <a:srgbClr val="3A66B1"/>
                              </a:solidFill>
                              <a:prstDash val="solid"/>
                              <a:miter lim="800000"/>
                              <a:headEnd type="none" w="sm" len="sm"/>
                              <a:tailEnd type="none" w="sm" len="sm"/>
                            </a:ln>
                          </wps:spPr>
                          <wps:txbx>
                            <w:txbxContent>
                              <w:p w14:paraId="19CF9035"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7" name="Rounded Rectangle 7"/>
                          <wps:cNvSpPr/>
                          <wps:spPr>
                            <a:xfrm>
                              <a:off x="932" y="-37507"/>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74035332"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8" name="Text Box 8"/>
                          <wps:cNvSpPr txBox="1"/>
                          <wps:spPr>
                            <a:xfrm>
                              <a:off x="37359" y="-1080"/>
                              <a:ext cx="993029" cy="673229"/>
                            </a:xfrm>
                            <a:prstGeom prst="rect">
                              <a:avLst/>
                            </a:prstGeom>
                            <a:noFill/>
                            <a:ln>
                              <a:noFill/>
                            </a:ln>
                          </wps:spPr>
                          <wps:txbx>
                            <w:txbxContent>
                              <w:p w14:paraId="742C7894" w14:textId="77777777" w:rsidR="000E0274" w:rsidRDefault="00A67AA0">
                                <w:pPr>
                                  <w:spacing w:before="0" w:after="0" w:line="215" w:lineRule="auto"/>
                                  <w:jc w:val="center"/>
                                  <w:textDirection w:val="btLr"/>
                                </w:pPr>
                                <w:r>
                                  <w:rPr>
                                    <w:rFonts w:ascii="Calibri" w:eastAsia="Calibri" w:hAnsi="Calibri" w:cs="Calibri"/>
                                    <w:color w:val="000000"/>
                                  </w:rPr>
                                  <w:t>Digital Literacy session in classroom</w:t>
                                </w:r>
                              </w:p>
                            </w:txbxContent>
                          </wps:txbx>
                          <wps:bodyPr spcFirstLastPara="1" wrap="square" lIns="41900" tIns="41900" rIns="41900" bIns="41900" anchor="ctr" anchorCtr="0">
                            <a:noAutofit/>
                          </wps:bodyPr>
                        </wps:wsp>
                        <wps:wsp>
                          <wps:cNvPr id="9" name="Rectangle 9"/>
                          <wps:cNvSpPr/>
                          <wps:spPr>
                            <a:xfrm>
                              <a:off x="1066815" y="33648"/>
                              <a:ext cx="775221" cy="603017"/>
                            </a:xfrm>
                            <a:prstGeom prst="rect">
                              <a:avLst/>
                            </a:prstGeom>
                            <a:noFill/>
                            <a:ln>
                              <a:noFill/>
                            </a:ln>
                          </wps:spPr>
                          <wps:txbx>
                            <w:txbxContent>
                              <w:p w14:paraId="4354AAFA"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0" name="Bent Up Arrow 10"/>
                          <wps:cNvSpPr/>
                          <wps:spPr>
                            <a:xfrm rot="5400000">
                              <a:off x="1052413" y="1502471"/>
                              <a:ext cx="633168" cy="720840"/>
                            </a:xfrm>
                            <a:prstGeom prst="bentUpArrow">
                              <a:avLst>
                                <a:gd name="adj1" fmla="val 32840"/>
                                <a:gd name="adj2" fmla="val 25000"/>
                                <a:gd name="adj3" fmla="val 35780"/>
                              </a:avLst>
                            </a:prstGeom>
                            <a:solidFill>
                              <a:srgbClr val="CCD3EA"/>
                            </a:solidFill>
                            <a:ln w="12700" cap="flat" cmpd="sng">
                              <a:solidFill>
                                <a:srgbClr val="3A66B1"/>
                              </a:solidFill>
                              <a:prstDash val="solid"/>
                              <a:miter lim="800000"/>
                              <a:headEnd type="none" w="sm" len="sm"/>
                              <a:tailEnd type="none" w="sm" len="sm"/>
                            </a:ln>
                          </wps:spPr>
                          <wps:txbx>
                            <w:txbxContent>
                              <w:p w14:paraId="27CA6045"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1" name="Rounded Rectangle 11"/>
                          <wps:cNvSpPr/>
                          <wps:spPr>
                            <a:xfrm>
                              <a:off x="884662" y="800590"/>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2656F5EF"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2" name="Text Box 12"/>
                          <wps:cNvSpPr txBox="1"/>
                          <wps:spPr>
                            <a:xfrm>
                              <a:off x="921089" y="837017"/>
                              <a:ext cx="993029" cy="673229"/>
                            </a:xfrm>
                            <a:prstGeom prst="rect">
                              <a:avLst/>
                            </a:prstGeom>
                            <a:noFill/>
                            <a:ln>
                              <a:noFill/>
                            </a:ln>
                          </wps:spPr>
                          <wps:txbx>
                            <w:txbxContent>
                              <w:p w14:paraId="4C4E94E8" w14:textId="77777777" w:rsidR="000E0274" w:rsidRDefault="00A67AA0">
                                <w:pPr>
                                  <w:spacing w:before="0" w:after="0" w:line="215" w:lineRule="auto"/>
                                  <w:jc w:val="center"/>
                                  <w:textDirection w:val="btLr"/>
                                </w:pPr>
                                <w:r>
                                  <w:rPr>
                                    <w:rFonts w:ascii="Calibri" w:eastAsia="Calibri" w:hAnsi="Calibri" w:cs="Calibri"/>
                                    <w:color w:val="000000"/>
                                  </w:rPr>
                                  <w:t xml:space="preserve">Digital world </w:t>
                                </w:r>
                              </w:p>
                            </w:txbxContent>
                          </wps:txbx>
                          <wps:bodyPr spcFirstLastPara="1" wrap="square" lIns="41900" tIns="41900" rIns="41900" bIns="41900" anchor="ctr" anchorCtr="0">
                            <a:noAutofit/>
                          </wps:bodyPr>
                        </wps:wsp>
                        <wps:wsp>
                          <wps:cNvPr id="13" name="Rectangle 13"/>
                          <wps:cNvSpPr/>
                          <wps:spPr>
                            <a:xfrm>
                              <a:off x="1950545" y="871747"/>
                              <a:ext cx="775221" cy="603017"/>
                            </a:xfrm>
                            <a:prstGeom prst="rect">
                              <a:avLst/>
                            </a:prstGeom>
                            <a:noFill/>
                            <a:ln>
                              <a:noFill/>
                            </a:ln>
                          </wps:spPr>
                          <wps:txbx>
                            <w:txbxContent>
                              <w:p w14:paraId="6401E55D"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4" name="Bent Up Arrow 14"/>
                          <wps:cNvSpPr/>
                          <wps:spPr>
                            <a:xfrm rot="5400000">
                              <a:off x="1936144" y="2340569"/>
                              <a:ext cx="633168" cy="720840"/>
                            </a:xfrm>
                            <a:prstGeom prst="bentUpArrow">
                              <a:avLst>
                                <a:gd name="adj1" fmla="val 32840"/>
                                <a:gd name="adj2" fmla="val 25000"/>
                                <a:gd name="adj3" fmla="val 35780"/>
                              </a:avLst>
                            </a:prstGeom>
                            <a:solidFill>
                              <a:srgbClr val="CCD3EA"/>
                            </a:solidFill>
                            <a:ln w="12700" cap="flat" cmpd="sng">
                              <a:solidFill>
                                <a:srgbClr val="3A66B1"/>
                              </a:solidFill>
                              <a:prstDash val="solid"/>
                              <a:miter lim="800000"/>
                              <a:headEnd type="none" w="sm" len="sm"/>
                              <a:tailEnd type="none" w="sm" len="sm"/>
                            </a:ln>
                          </wps:spPr>
                          <wps:txbx>
                            <w:txbxContent>
                              <w:p w14:paraId="39C9DE2B"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5" name="Rounded Rectangle 15"/>
                          <wps:cNvSpPr/>
                          <wps:spPr>
                            <a:xfrm>
                              <a:off x="1768393" y="1638689"/>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5971447C"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6" name="Text Box 16"/>
                          <wps:cNvSpPr txBox="1"/>
                          <wps:spPr>
                            <a:xfrm>
                              <a:off x="1804820" y="1675116"/>
                              <a:ext cx="993029" cy="673229"/>
                            </a:xfrm>
                            <a:prstGeom prst="rect">
                              <a:avLst/>
                            </a:prstGeom>
                            <a:noFill/>
                            <a:ln>
                              <a:noFill/>
                            </a:ln>
                          </wps:spPr>
                          <wps:txbx>
                            <w:txbxContent>
                              <w:p w14:paraId="37C21119" w14:textId="77777777" w:rsidR="000E0274" w:rsidRDefault="00A67AA0">
                                <w:pPr>
                                  <w:spacing w:before="0" w:after="0" w:line="215" w:lineRule="auto"/>
                                  <w:jc w:val="center"/>
                                  <w:textDirection w:val="btLr"/>
                                </w:pPr>
                                <w:r>
                                  <w:rPr>
                                    <w:rFonts w:ascii="Calibri" w:eastAsia="Calibri" w:hAnsi="Calibri" w:cs="Calibri"/>
                                    <w:color w:val="000000"/>
                                  </w:rPr>
                                  <w:t>Internet Safety measures</w:t>
                                </w:r>
                              </w:p>
                            </w:txbxContent>
                          </wps:txbx>
                          <wps:bodyPr spcFirstLastPara="1" wrap="square" lIns="41900" tIns="41900" rIns="41900" bIns="41900" anchor="ctr" anchorCtr="0">
                            <a:noAutofit/>
                          </wps:bodyPr>
                        </wps:wsp>
                        <wps:wsp>
                          <wps:cNvPr id="17" name="Rectangle 17"/>
                          <wps:cNvSpPr/>
                          <wps:spPr>
                            <a:xfrm>
                              <a:off x="2834276" y="1709845"/>
                              <a:ext cx="775221" cy="603017"/>
                            </a:xfrm>
                            <a:prstGeom prst="rect">
                              <a:avLst/>
                            </a:prstGeom>
                            <a:noFill/>
                            <a:ln>
                              <a:noFill/>
                            </a:ln>
                          </wps:spPr>
                          <wps:txbx>
                            <w:txbxContent>
                              <w:p w14:paraId="24E472B3"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8" name="Bent Up Arrow 18"/>
                          <wps:cNvSpPr/>
                          <wps:spPr>
                            <a:xfrm rot="5400000">
                              <a:off x="2819874" y="3178667"/>
                              <a:ext cx="633168" cy="720840"/>
                            </a:xfrm>
                            <a:prstGeom prst="bentUpArrow">
                              <a:avLst>
                                <a:gd name="adj1" fmla="val 32840"/>
                                <a:gd name="adj2" fmla="val 25000"/>
                                <a:gd name="adj3" fmla="val 35780"/>
                              </a:avLst>
                            </a:prstGeom>
                            <a:solidFill>
                              <a:srgbClr val="CCD3EA"/>
                            </a:solidFill>
                            <a:ln w="12700" cap="flat" cmpd="sng">
                              <a:solidFill>
                                <a:srgbClr val="3A66B1"/>
                              </a:solidFill>
                              <a:prstDash val="solid"/>
                              <a:miter lim="800000"/>
                              <a:headEnd type="none" w="sm" len="sm"/>
                              <a:tailEnd type="none" w="sm" len="sm"/>
                            </a:ln>
                          </wps:spPr>
                          <wps:txbx>
                            <w:txbxContent>
                              <w:p w14:paraId="075CAEB5"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19" name="Rounded Rectangle 19"/>
                          <wps:cNvSpPr/>
                          <wps:spPr>
                            <a:xfrm>
                              <a:off x="2652123" y="2476787"/>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678FF450"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0" name="Text Box 20"/>
                          <wps:cNvSpPr txBox="1"/>
                          <wps:spPr>
                            <a:xfrm>
                              <a:off x="2688550" y="2513214"/>
                              <a:ext cx="993029" cy="673229"/>
                            </a:xfrm>
                            <a:prstGeom prst="rect">
                              <a:avLst/>
                            </a:prstGeom>
                            <a:noFill/>
                            <a:ln>
                              <a:noFill/>
                            </a:ln>
                          </wps:spPr>
                          <wps:txbx>
                            <w:txbxContent>
                              <w:p w14:paraId="46F87805" w14:textId="77777777" w:rsidR="000E0274" w:rsidRDefault="00A67AA0">
                                <w:pPr>
                                  <w:spacing w:before="0" w:after="0" w:line="215" w:lineRule="auto"/>
                                  <w:jc w:val="center"/>
                                  <w:textDirection w:val="btLr"/>
                                </w:pPr>
                                <w:r>
                                  <w:rPr>
                                    <w:rFonts w:ascii="Calibri" w:eastAsia="Calibri" w:hAnsi="Calibri" w:cs="Calibri"/>
                                    <w:color w:val="000000"/>
                                  </w:rPr>
                                  <w:t>Cyberbullying</w:t>
                                </w:r>
                              </w:p>
                            </w:txbxContent>
                          </wps:txbx>
                          <wps:bodyPr spcFirstLastPara="1" wrap="square" lIns="41900" tIns="41900" rIns="41900" bIns="41900" anchor="ctr" anchorCtr="0">
                            <a:noAutofit/>
                          </wps:bodyPr>
                        </wps:wsp>
                        <wps:wsp>
                          <wps:cNvPr id="21" name="Rectangle 21"/>
                          <wps:cNvSpPr/>
                          <wps:spPr>
                            <a:xfrm>
                              <a:off x="3718006" y="2547943"/>
                              <a:ext cx="775221" cy="603017"/>
                            </a:xfrm>
                            <a:prstGeom prst="rect">
                              <a:avLst/>
                            </a:prstGeom>
                            <a:noFill/>
                            <a:ln>
                              <a:noFill/>
                            </a:ln>
                          </wps:spPr>
                          <wps:txbx>
                            <w:txbxContent>
                              <w:p w14:paraId="25B4491E"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2" name="Bent Up Arrow 22"/>
                          <wps:cNvSpPr/>
                          <wps:spPr>
                            <a:xfrm rot="5400000">
                              <a:off x="3703605" y="4016765"/>
                              <a:ext cx="633168" cy="720840"/>
                            </a:xfrm>
                            <a:prstGeom prst="bentUpArrow">
                              <a:avLst>
                                <a:gd name="adj1" fmla="val 32840"/>
                                <a:gd name="adj2" fmla="val 25000"/>
                                <a:gd name="adj3" fmla="val 35780"/>
                              </a:avLst>
                            </a:prstGeom>
                            <a:solidFill>
                              <a:srgbClr val="CCD3EA"/>
                            </a:solidFill>
                            <a:ln w="12700" cap="flat" cmpd="sng">
                              <a:solidFill>
                                <a:srgbClr val="3A66B1"/>
                              </a:solidFill>
                              <a:prstDash val="solid"/>
                              <a:miter lim="800000"/>
                              <a:headEnd type="none" w="sm" len="sm"/>
                              <a:tailEnd type="none" w="sm" len="sm"/>
                            </a:ln>
                          </wps:spPr>
                          <wps:txbx>
                            <w:txbxContent>
                              <w:p w14:paraId="2E0CB7F0"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3" name="Rounded Rectangle 23"/>
                          <wps:cNvSpPr/>
                          <wps:spPr>
                            <a:xfrm>
                              <a:off x="3535854" y="3314885"/>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4DBB87AA"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4" name="Text Box 24"/>
                          <wps:cNvSpPr txBox="1"/>
                          <wps:spPr>
                            <a:xfrm>
                              <a:off x="3572281" y="3351312"/>
                              <a:ext cx="993029" cy="673229"/>
                            </a:xfrm>
                            <a:prstGeom prst="rect">
                              <a:avLst/>
                            </a:prstGeom>
                            <a:noFill/>
                            <a:ln>
                              <a:noFill/>
                            </a:ln>
                          </wps:spPr>
                          <wps:txbx>
                            <w:txbxContent>
                              <w:p w14:paraId="5D359AA6" w14:textId="77777777" w:rsidR="000E0274" w:rsidRDefault="00A67AA0">
                                <w:pPr>
                                  <w:spacing w:before="0" w:after="0" w:line="215" w:lineRule="auto"/>
                                  <w:jc w:val="center"/>
                                  <w:textDirection w:val="btLr"/>
                                </w:pPr>
                                <w:r>
                                  <w:rPr>
                                    <w:rFonts w:ascii="Calibri" w:eastAsia="Calibri" w:hAnsi="Calibri" w:cs="Calibri"/>
                                    <w:color w:val="000000"/>
                                  </w:rPr>
                                  <w:t>Know Limitations</w:t>
                                </w:r>
                              </w:p>
                            </w:txbxContent>
                          </wps:txbx>
                          <wps:bodyPr spcFirstLastPara="1" wrap="square" lIns="41900" tIns="41900" rIns="41900" bIns="41900" anchor="ctr" anchorCtr="0">
                            <a:noAutofit/>
                          </wps:bodyPr>
                        </wps:wsp>
                        <wps:wsp>
                          <wps:cNvPr id="25" name="Rectangle 25"/>
                          <wps:cNvSpPr/>
                          <wps:spPr>
                            <a:xfrm>
                              <a:off x="4601737" y="3386041"/>
                              <a:ext cx="775221" cy="603017"/>
                            </a:xfrm>
                            <a:prstGeom prst="rect">
                              <a:avLst/>
                            </a:prstGeom>
                            <a:noFill/>
                            <a:ln>
                              <a:noFill/>
                            </a:ln>
                          </wps:spPr>
                          <wps:txbx>
                            <w:txbxContent>
                              <w:p w14:paraId="3A334D37"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6" name="Rounded Rectangle 26"/>
                          <wps:cNvSpPr/>
                          <wps:spPr>
                            <a:xfrm>
                              <a:off x="4419584" y="4152983"/>
                              <a:ext cx="1065883" cy="746083"/>
                            </a:xfrm>
                            <a:prstGeom prst="roundRect">
                              <a:avLst>
                                <a:gd name="adj" fmla="val 16670"/>
                              </a:avLst>
                            </a:prstGeom>
                            <a:solidFill>
                              <a:schemeClr val="lt1"/>
                            </a:solidFill>
                            <a:ln w="12700" cap="flat" cmpd="sng">
                              <a:solidFill>
                                <a:srgbClr val="3A66B1"/>
                              </a:solidFill>
                              <a:prstDash val="solid"/>
                              <a:miter lim="800000"/>
                              <a:headEnd type="none" w="sm" len="sm"/>
                              <a:tailEnd type="none" w="sm" len="sm"/>
                            </a:ln>
                          </wps:spPr>
                          <wps:txbx>
                            <w:txbxContent>
                              <w:p w14:paraId="190112B9" w14:textId="77777777" w:rsidR="000E0274" w:rsidRDefault="000E0274">
                                <w:pPr>
                                  <w:spacing w:before="0" w:after="0" w:line="240" w:lineRule="auto"/>
                                  <w:jc w:val="left"/>
                                  <w:textDirection w:val="btLr"/>
                                </w:pPr>
                              </w:p>
                            </w:txbxContent>
                          </wps:txbx>
                          <wps:bodyPr spcFirstLastPara="1" wrap="square" lIns="91425" tIns="91425" rIns="91425" bIns="91425" anchor="ctr" anchorCtr="0">
                            <a:noAutofit/>
                          </wps:bodyPr>
                        </wps:wsp>
                        <wps:wsp>
                          <wps:cNvPr id="27" name="Text Box 27"/>
                          <wps:cNvSpPr txBox="1"/>
                          <wps:spPr>
                            <a:xfrm>
                              <a:off x="4456011" y="4189410"/>
                              <a:ext cx="993029" cy="673229"/>
                            </a:xfrm>
                            <a:prstGeom prst="rect">
                              <a:avLst/>
                            </a:prstGeom>
                            <a:noFill/>
                            <a:ln>
                              <a:noFill/>
                            </a:ln>
                          </wps:spPr>
                          <wps:txbx>
                            <w:txbxContent>
                              <w:p w14:paraId="52D72B0E" w14:textId="77777777" w:rsidR="000E0274" w:rsidRDefault="00A67AA0">
                                <w:pPr>
                                  <w:spacing w:before="0" w:after="0" w:line="215" w:lineRule="auto"/>
                                  <w:jc w:val="center"/>
                                  <w:textDirection w:val="btLr"/>
                                </w:pPr>
                                <w:r>
                                  <w:rPr>
                                    <w:rFonts w:ascii="Calibri" w:eastAsia="Calibri" w:hAnsi="Calibri" w:cs="Calibri"/>
                                    <w:color w:val="000000"/>
                                  </w:rPr>
                                  <w:t>Diversifying Digital Products</w:t>
                                </w:r>
                              </w:p>
                            </w:txbxContent>
                          </wps:txbx>
                          <wps:bodyPr spcFirstLastPara="1" wrap="square" lIns="41900" tIns="41900" rIns="41900" bIns="41900" anchor="ctr" anchorCtr="0">
                            <a:noAutofit/>
                          </wps:bodyPr>
                        </wps:wsp>
                      </wpg:grpSp>
                    </wpg:wgp>
                  </a:graphicData>
                </a:graphic>
              </wp:inline>
            </w:drawing>
          </mc:Choice>
          <mc:Fallback>
            <w:pict>
              <v:group id="Group 4" o:spid="_x0000_s1026" style="width:6in;height:382.8pt;mso-position-horizontal-relative:char;mso-position-vertical-relative:line" coordorigin=",-375" coordsize="54864,49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">
                <v:group id="Group 1" o:spid="_x0000_s1027" style="position:absolute;top:-375;width:54864;height:49365" coordorigin=",-375" coordsize="54864,4936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rect id="Rectangle 2" o:spid="_x0000_s1028" style="position:absolute;width:54864;height:486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0E0274" w:rsidRDefault="000E0274">
                          <w:pPr>
                            <w:spacing w:before="0" w:after="0" w:line="240" w:lineRule="auto"/>
                            <w:jc w:val="left"/>
                            <w:textDirection w:val="btLr"/>
                          </w:pPr>
                        </w:p>
                      </w:txbxContent>
                    </v:textbox>
                  </v:rect>
                  <v:shape id="Bent Up Arrow 3" o:spid="_x0000_s1029" style="position:absolute;left:1686;top:6644;width:6331;height:7208;rotation:90;visibility:visible;mso-wrap-style:square;v-text-anchor:middle" coordsize="633168,72084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6bQ8IA&#10;AADaAAAADwAAAGRycy9kb3ducmV2LnhtbESPQYvCMBSE74L/ITzBm6bqKlIbRYQFhQW1eujx0Tzb&#10;YvNSmmyt/36zsLDHYWa+YZJdb2rRUesqywpm0wgEcW51xYWC++1zsgbhPLLG2jIpeJOD3XY4SDDW&#10;9sVX6lJfiABhF6OC0vsmltLlJRl0U9sQB+9hW4M+yLaQusVXgJtazqNoJQ1WHBZKbOhQUv5Mv42C&#10;Wp+z/JKdT2uOPr7mtH833TJVajzq9xsQnnr/H/5rH7WCBfxeCTdAb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XptDwgAAANoAAAAPAAAAAAAAAAAAAAAAAJgCAABkcnMvZG93&#10;bnJldi54bWxQSwUGAAAAAAQABAD1AAAAhwMAAAAA&#10;" adj="-11796480,,5400" path="m,512908r370910,l370910,226548r-54326,l474876,,633168,226548r-54326,l578842,720840,,720840,,512908xe" fillcolor="#ccd3ea" strokecolor="#3a66b1" strokeweight="1pt">
                    <v:stroke startarrowwidth="narrow" startarrowlength="short" endarrowwidth="narrow" endarrowlength="short" joinstyle="miter"/>
                    <v:formulas/>
                    <v:path arrowok="t" o:connecttype="custom" o:connectlocs="0,512908;370910,512908;370910,226548;316584,226548;474876,0;633168,226548;578842,226548;578842,720840;0,720840;0,512908" o:connectangles="0,0,0,0,0,0,0,0,0,0" textboxrect="0,0,633168,720840"/>
                    <v:textbox inset="2.53958mm,2.53958mm,2.53958mm,2.53958mm">
                      <w:txbxContent>
                        <w:p w:rsidR="000E0274" w:rsidRDefault="000E0274">
                          <w:pPr>
                            <w:spacing w:before="0" w:after="0" w:line="240" w:lineRule="auto"/>
                            <w:jc w:val="left"/>
                            <w:textDirection w:val="btLr"/>
                          </w:pPr>
                        </w:p>
                      </w:txbxContent>
                    </v:textbox>
                  </v:shape>
                  <v:roundrect id="Rounded Rectangle 7" o:spid="_x0000_s1030" style="position:absolute;left:9;top:-375;width:10659;height:7460;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cpBcMA&#10;AADaAAAADwAAAGRycy9kb3ducmV2LnhtbESPQWsCMRSE7wX/Q3hCb5pVSi2rWZFWUWgv3fbi7bF5&#10;u1ncvCybqNFf3xQKPQ4z8w2zWkfbiQsNvnWsYDbNQBBXTrfcKPj+2k1eQPiArLFzTApu5GFdjB5W&#10;mGt35U+6lKERCcI+RwUmhD6X0leGLPqp64mTV7vBYkhyaKQe8JrgtpPzLHuWFltOCwZ7ejVUncqz&#10;VRC7p1qbuLFHjvpjd36/b/fyTanHcdwsQQSK4T/81z5oBQv4vZJugC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McpBcMAAADaAAAADwAAAAAAAAAAAAAAAACYAgAAZHJzL2Rv&#10;d25yZXYueG1sUEsFBgAAAAAEAAQA9QAAAIgDA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type id="_x0000_t202" coordsize="21600,21600" o:spt="202" path="m,l,21600r21600,l21600,xe">
                    <v:stroke joinstyle="miter"/>
                    <v:path gradientshapeok="t" o:connecttype="rect"/>
                  </v:shapetype>
                  <v:shape id="Text Box 8" o:spid="_x0000_s1031" type="#_x0000_t202" style="position:absolute;left:373;top:-10;width:9930;height:67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QAOWMEA&#10;AADaAAAADwAAAGRycy9kb3ducmV2LnhtbERPTWvCQBC9F/wPywi9iO4qtpTUVUpRWigFa6XnITsm&#10;wexszE5j9Nd3D0KPj/e9WPW+Vh21sQpsYToxoIjz4CouLOy/N+MnUFGQHdaBycKFIqyWg7sFZi6c&#10;+Yu6nRQqhXDM0EIp0mRax7wkj3ESGuLEHULrURJsC+1aPKdwX+uZMY/aY8WpocSGXkvKj7tfb0H7&#10;USdrefiMbz8f13o7NfPT3Fh7P+xfnkEJ9fIvvrnfnYW0NV1JN0A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kADljBAAAA2gAAAA8AAAAAAAAAAAAAAAAAmAIAAGRycy9kb3du&#10;cmV2LnhtbFBLBQYAAAAABAAEAPUAAACGAw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Digital Literacy session in classroom</w:t>
                          </w:r>
                        </w:p>
                      </w:txbxContent>
                    </v:textbox>
                  </v:shape>
                  <v:rect id="Rectangle 9" o:spid="_x0000_s1032" style="position:absolute;left:10668;top:336;width:7752;height:60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cGBMIA&#10;AADaAAAADwAAAGRycy9kb3ducmV2LnhtbESP0WrCQBRE34X+w3IF33RjKFJTV2nFgvrUJn7ANXub&#10;Dc3ejdlV49+7gtDHYWbOMItVbxtxoc7XjhVMJwkI4tLpmisFh+Jr/AbCB2SNjWNScCMPq+XLYIGZ&#10;dlf+oUseKhEh7DNUYEJoMyl9aciin7iWOHq/rrMYouwqqTu8RrhtZJokM2mx5rhgsKW1ofIvP1sF&#10;36+O0k3qP/PKzk1/LPa7E86UGg37j3cQgfrwH362t1rBHB5X4g2Qy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JwYEwgAAANoAAAAPAAAAAAAAAAAAAAAAAJgCAABkcnMvZG93&#10;bnJldi54bWxQSwUGAAAAAAQABAD1AAAAhwMAAAAA&#10;" filled="f" stroked="f">
                    <v:textbox inset="2.53958mm,2.53958mm,2.53958mm,2.53958mm">
                      <w:txbxContent>
                        <w:p w:rsidR="000E0274" w:rsidRDefault="000E0274">
                          <w:pPr>
                            <w:spacing w:before="0" w:after="0" w:line="240" w:lineRule="auto"/>
                            <w:jc w:val="left"/>
                            <w:textDirection w:val="btLr"/>
                          </w:pPr>
                        </w:p>
                      </w:txbxContent>
                    </v:textbox>
                  </v:rect>
                  <v:shape id="Bent Up Arrow 10" o:spid="_x0000_s1033" style="position:absolute;left:10524;top:15024;width:6331;height:7209;rotation:90;visibility:visible;mso-wrap-style:square;v-text-anchor:middle" coordsize="633168,72084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8jmsQA&#10;AADbAAAADwAAAGRycy9kb3ducmV2LnhtbESPT2vDMAzF74N+B6PBbquzso2S1i2lMGhh0DbtoUcR&#10;a0mYLYfYy59vPx0Gu0m8p/d+Wm9H71RPXWwCG3iZZ6CIy2Abrgzcrh/PS1AxIVt0gcnARBG2m9nD&#10;GnMbBr5QX6RKSQjHHA3UKbW51rGsyWOch5ZYtK/QeUyydpW2HQ4S7p1eZNm79tiwNNTY0r6m8rv4&#10;8QacPd3L8/10XHL2+rmg3dT2b4UxT4/jbgUq0Zj+zX/XByv4Qi+/yAB6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I5rEAAAA2wAAAA8AAAAAAAAAAAAAAAAAmAIAAGRycy9k&#10;b3ducmV2LnhtbFBLBQYAAAAABAAEAPUAAACJAwAAAAA=&#10;" adj="-11796480,,5400" path="m,512908r370910,l370910,226548r-54326,l474876,,633168,226548r-54326,l578842,720840,,720840,,512908xe" fillcolor="#ccd3ea" strokecolor="#3a66b1" strokeweight="1pt">
                    <v:stroke startarrowwidth="narrow" startarrowlength="short" endarrowwidth="narrow" endarrowlength="short" joinstyle="miter"/>
                    <v:formulas/>
                    <v:path arrowok="t" o:connecttype="custom" o:connectlocs="0,512908;370910,512908;370910,226548;316584,226548;474876,0;633168,226548;578842,226548;578842,720840;0,720840;0,512908" o:connectangles="0,0,0,0,0,0,0,0,0,0" textboxrect="0,0,633168,720840"/>
                    <v:textbox inset="2.53958mm,2.53958mm,2.53958mm,2.53958mm">
                      <w:txbxContent>
                        <w:p w:rsidR="000E0274" w:rsidRDefault="000E0274">
                          <w:pPr>
                            <w:spacing w:before="0" w:after="0" w:line="240" w:lineRule="auto"/>
                            <w:jc w:val="left"/>
                            <w:textDirection w:val="btLr"/>
                          </w:pPr>
                        </w:p>
                      </w:txbxContent>
                    </v:textbox>
                  </v:shape>
                  <v:roundrect id="Rounded Rectangle 11" o:spid="_x0000_s1034" style="position:absolute;left:8846;top:8005;width:10659;height:7461;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3UcTsAA&#10;AADbAAAADwAAAGRycy9kb3ducmV2LnhtbERPTYvCMBC9C/6HMII3TRUR6RpFVkVBL7p72dvQjE3Z&#10;ZlKaqNFfb4SFvc3jfc58GW0tbtT6yrGC0TADQVw4XXGp4PtrO5iB8AFZY+2YFDzIw3LR7cwx1+7O&#10;J7qdQylSCPscFZgQmlxKXxiy6IeuIU7cxbUWQ4JtKXWL9xRuaznOsqm0WHFqMNjQp6Hi93y1CmI9&#10;uWgTV/aHoz5ur4fnZifXSvV7cfUBIlAM/+I/916n+SN4/5IOkIs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3UcTsAAAADbAAAADwAAAAAAAAAAAAAAAACYAgAAZHJzL2Rvd25y&#10;ZXYueG1sUEsFBgAAAAAEAAQA9QAAAIUDA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 id="Text Box 12" o:spid="_x0000_s1035" type="#_x0000_t202" style="position:absolute;left:9210;top:8370;width:9931;height:67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AlwW8IA&#10;AADbAAAADwAAAGRycy9kb3ducmV2LnhtbERP30sCQRB+D/wflhF6kdxVLOJylQgjQQKz6Hm4He8O&#10;b2fP2+k8/evbQOhtPr6fM1/2vlYdtbEKbGEyNqCI8+AqLix8fb7ePYKKguywDkwWzhRhuRjczDFz&#10;4cQf1O2kUCmEY4YWSpEm0zrmJXmM49AQJ24fWo+SYFto1+IphftaT4150B4rTg0lNvRSUn7Y/XgL&#10;2o86Wcn9e3z73lzq7cTMjjNj7e2wf34CJdTLv/jqXrs0fwp/v6QD9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CXBbwgAAANsAAAAPAAAAAAAAAAAAAAAAAJgCAABkcnMvZG93&#10;bnJldi54bWxQSwUGAAAAAAQABAD1AAAAhwM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 xml:space="preserve">Digital world </w:t>
                          </w:r>
                        </w:p>
                      </w:txbxContent>
                    </v:textbox>
                  </v:shape>
                  <v:rect id="Rectangle 13" o:spid="_x0000_s1036" style="position:absolute;left:19505;top:8717;width:7752;height:60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7QT1MAA&#10;AADbAAAADwAAAGRycy9kb3ducmV2LnhtbERPzWrCQBC+C77DMoI33RiLaOoqWiy0njT2AabZaTaY&#10;nU2zq6Zv3xUEb/Px/c5y3dlaXKn1lWMFk3ECgrhwuuJSwdfpfTQH4QOyxtoxKfgjD+tVv7fETLsb&#10;H+mah1LEEPYZKjAhNJmUvjBk0Y9dQxy5H9daDBG2pdQt3mK4rWWaJDNpseLYYLChN0PFOb9YBYcX&#10;R+ku9du8tAvTfZ/2n784U2o46DavIAJ14Sl+uD90nD+F+y/xALn6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7QT1MAAAADbAAAADwAAAAAAAAAAAAAAAACYAgAAZHJzL2Rvd25y&#10;ZXYueG1sUEsFBgAAAAAEAAQA9QAAAIUDAAAAAA==&#10;" filled="f" stroked="f">
                    <v:textbox inset="2.53958mm,2.53958mm,2.53958mm,2.53958mm">
                      <w:txbxContent>
                        <w:p w:rsidR="000E0274" w:rsidRDefault="000E0274">
                          <w:pPr>
                            <w:spacing w:before="0" w:after="0" w:line="240" w:lineRule="auto"/>
                            <w:jc w:val="left"/>
                            <w:textDirection w:val="btLr"/>
                          </w:pPr>
                        </w:p>
                      </w:txbxContent>
                    </v:textbox>
                  </v:rect>
                  <v:shape id="Bent Up Arrow 14" o:spid="_x0000_s1037" style="position:absolute;left:19361;top:23406;width:6331;height:7208;rotation:90;visibility:visible;mso-wrap-style:square;v-text-anchor:middle" coordsize="633168,72084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0QlmcAA&#10;AADbAAAADwAAAGRycy9kb3ducmV2LnhtbERPTYvCMBC9L/gfwgh7W1PFFanGUgRBYUGtHjwOzdgW&#10;m0lpYq3/fiMI3ubxPmeZ9KYWHbWusqxgPIpAEOdWV1woOJ82P3MQziNrrC2Tgic5SFaDryXG2j74&#10;SF3mCxFC2MWooPS+iaV0eUkG3cg2xIG72tagD7AtpG7xEcJNLSdRNJMGKw4NJTa0Lim/ZXejoNb7&#10;S3647HdzjqZ/E0qfTfebKfU97NMFCE+9/4jf7q0O86fw+iUcIF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0QlmcAAAADbAAAADwAAAAAAAAAAAAAAAACYAgAAZHJzL2Rvd25y&#10;ZXYueG1sUEsFBgAAAAAEAAQA9QAAAIUDAAAAAA==&#10;" adj="-11796480,,5400" path="m,512908r370910,l370910,226548r-54326,l474876,,633168,226548r-54326,l578842,720840,,720840,,512908xe" fillcolor="#ccd3ea" strokecolor="#3a66b1" strokeweight="1pt">
                    <v:stroke startarrowwidth="narrow" startarrowlength="short" endarrowwidth="narrow" endarrowlength="short" joinstyle="miter"/>
                    <v:formulas/>
                    <v:path arrowok="t" o:connecttype="custom" o:connectlocs="0,512908;370910,512908;370910,226548;316584,226548;474876,0;633168,226548;578842,226548;578842,720840;0,720840;0,512908" o:connectangles="0,0,0,0,0,0,0,0,0,0" textboxrect="0,0,633168,720840"/>
                    <v:textbox inset="2.53958mm,2.53958mm,2.53958mm,2.53958mm">
                      <w:txbxContent>
                        <w:p w:rsidR="000E0274" w:rsidRDefault="000E0274">
                          <w:pPr>
                            <w:spacing w:before="0" w:after="0" w:line="240" w:lineRule="auto"/>
                            <w:jc w:val="left"/>
                            <w:textDirection w:val="btLr"/>
                          </w:pPr>
                        </w:p>
                      </w:txbxContent>
                    </v:textbox>
                  </v:shape>
                  <v:roundrect id="Rounded Rectangle 15" o:spid="_x0000_s1038" style="position:absolute;left:17683;top:16386;width:10659;height:7461;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4aTcEA&#10;AADbAAAADwAAAGRycy9kb3ducmV2LnhtbERPTWsCMRC9C/6HMEJvmq1UKVujSKso6KXbXnobNuNm&#10;6WaybKJGf70RBG/zeJ8zW0TbiBN1vnas4HWUgSAuna65UvD7sx6+g/ABWWPjmBRcyMNi3u/NMNfu&#10;zN90KkIlUgj7HBWYENpcSl8asuhHriVO3MF1FkOCXSV1h+cUbhs5zrKptFhzajDY0qeh8r84WgWx&#10;eTtoE5f2j6Per4+762ojv5R6GcTlB4hAMTzFD/dWp/kTuP+SDpDzG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OGk3BAAAA2wAAAA8AAAAAAAAAAAAAAAAAmAIAAGRycy9kb3du&#10;cmV2LnhtbFBLBQYAAAAABAAEAPUAAACGAw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 id="Text Box 16" o:spid="_x0000_s1039" type="#_x0000_t202" style="position:absolute;left:18048;top:16751;width:9930;height:67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J2WMIA&#10;AADbAAAADwAAAGRycy9kb3ducmV2LnhtbERP30sCQRB+F/wflhF6Ed01VOJylYiiIAQz6Xm4He8O&#10;b2ev2+m8+utbQehtPr6fs9r0vlYdtbEKbGE2NaCI8+AqLiwcPp4nd6CiIDusA5OFH4qwWQ8HK8xc&#10;OPM7dXspVArhmKGFUqTJtI55SR7jNDTEiTuG1qMk2BbatXhO4b7Wt8YstceKU0OJDT2WlJ/2396C&#10;9uNOnmSxjS+fb7/1bmbmX3Nj7c2of7gHJdTLv/jqfnVp/hIuv6QD9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MnZYwgAAANsAAAAPAAAAAAAAAAAAAAAAAJgCAABkcnMvZG93&#10;bnJldi54bWxQSwUGAAAAAAQABAD1AAAAhwM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Internet Safety measures</w:t>
                          </w:r>
                        </w:p>
                      </w:txbxContent>
                    </v:textbox>
                  </v:shape>
                  <v:rect id="Rectangle 17" o:spid="_x0000_s1040" style="position:absolute;left:28342;top:17098;width:7752;height:60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8V18AA&#10;AADbAAAADwAAAGRycy9kb3ducmV2LnhtbERPS27CMBDdI3EHa5C6A4cI8UkxCCoqtawg9ADTeBpH&#10;xOM0diHcHldCYjdP7zvLdWdrcaHWV44VjEcJCOLC6YpLBV+n9+EchA/IGmvHpOBGHtarfm+JmXZX&#10;PtIlD6WIIewzVGBCaDIpfWHIoh+5hjhyP661GCJsS6lbvMZwW8s0SabSYsWxwWBDb4aKc/5nFRwm&#10;jtJd6rd5aRem+z7tP39xqtTLoNu8ggjUhaf44f7Qcf4M/n+JB8jV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I8V18AAAADbAAAADwAAAAAAAAAAAAAAAACYAgAAZHJzL2Rvd25y&#10;ZXYueG1sUEsFBgAAAAAEAAQA9QAAAIUDAAAAAA==&#10;" filled="f" stroked="f">
                    <v:textbox inset="2.53958mm,2.53958mm,2.53958mm,2.53958mm">
                      <w:txbxContent>
                        <w:p w:rsidR="000E0274" w:rsidRDefault="000E0274">
                          <w:pPr>
                            <w:spacing w:before="0" w:after="0" w:line="240" w:lineRule="auto"/>
                            <w:jc w:val="left"/>
                            <w:textDirection w:val="btLr"/>
                          </w:pPr>
                        </w:p>
                      </w:txbxContent>
                    </v:textbox>
                  </v:rect>
                  <v:shape id="Bent Up Arrow 18" o:spid="_x0000_s1041" style="position:absolute;left:28198;top:31787;width:6331;height:7208;rotation:90;visibility:visible;mso-wrap-style:square;v-text-anchor:middle" coordsize="633168,72084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vnMQA&#10;AADbAAAADwAAAGRycy9kb3ducmV2LnhtbESPT2vDMAzF74N+B6PBbquzso2S1i2lMGhh0DbtoUcR&#10;a0mYLYfYy59vPx0Gu0m8p/d+Wm9H71RPXWwCG3iZZ6CIy2Abrgzcrh/PS1AxIVt0gcnARBG2m9nD&#10;GnMbBr5QX6RKSQjHHA3UKbW51rGsyWOch5ZYtK/QeUyydpW2HQ4S7p1eZNm79tiwNNTY0r6m8rv4&#10;8QacPd3L8/10XHL2+rmg3dT2b4UxT4/jbgUq0Zj+zX/XByv4Aiu/yAB6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oJL5zEAAAA2wAAAA8AAAAAAAAAAAAAAAAAmAIAAGRycy9k&#10;b3ducmV2LnhtbFBLBQYAAAAABAAEAPUAAACJAwAAAAA=&#10;" adj="-11796480,,5400" path="m,512908r370910,l370910,226548r-54326,l474876,,633168,226548r-54326,l578842,720840,,720840,,512908xe" fillcolor="#ccd3ea" strokecolor="#3a66b1" strokeweight="1pt">
                    <v:stroke startarrowwidth="narrow" startarrowlength="short" endarrowwidth="narrow" endarrowlength="short" joinstyle="miter"/>
                    <v:formulas/>
                    <v:path arrowok="t" o:connecttype="custom" o:connectlocs="0,512908;370910,512908;370910,226548;316584,226548;474876,0;633168,226548;578842,226548;578842,720840;0,720840;0,512908" o:connectangles="0,0,0,0,0,0,0,0,0,0" textboxrect="0,0,633168,720840"/>
                    <v:textbox inset="2.53958mm,2.53958mm,2.53958mm,2.53958mm">
                      <w:txbxContent>
                        <w:p w:rsidR="000E0274" w:rsidRDefault="000E0274">
                          <w:pPr>
                            <w:spacing w:before="0" w:after="0" w:line="240" w:lineRule="auto"/>
                            <w:jc w:val="left"/>
                            <w:textDirection w:val="btLr"/>
                          </w:pPr>
                        </w:p>
                      </w:txbxContent>
                    </v:textbox>
                  </v:shape>
                  <v:roundrect id="Rounded Rectangle 19" o:spid="_x0000_s1042" style="position:absolute;left:26521;top:24767;width:10659;height:7461;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QMQSMEA&#10;AADbAAAADwAAAGRycy9kb3ducmV2LnhtbERPTWsCMRC9C/6HMEJvmq0UsVujSKso6KXbXnobNuNm&#10;6WaybKJGf70RBG/zeJ8zW0TbiBN1vnas4HWUgSAuna65UvD7sx5OQfiArLFxTAou5GEx7/dmmGt3&#10;5m86FaESKYR9jgpMCG0upS8NWfQj1xIn7uA6iyHBrpK6w3MKt40cZ9lEWqw5NRhs6dNQ+V8crYLY&#10;vB20iUv7x1Hv18fddbWRX0q9DOLyA0SgGJ7ih3ur0/x3uP+SDpDzG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UDEEjBAAAA2wAAAA8AAAAAAAAAAAAAAAAAmAIAAGRycy9kb3du&#10;cmV2LnhtbFBLBQYAAAAABAAEAPUAAACGAw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 id="Text Box 20" o:spid="_x0000_s1043" type="#_x0000_t202" style="position:absolute;left:26885;top:25132;width:9930;height:67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uBCsIA&#10;AADbAAAADwAAAGRycy9kb3ducmV2LnhtbERPTWvCQBC9F/wPyxS8SN1VbCmpq0hRFKTQWvE8ZKdJ&#10;aHY2zY4x7a93D0KPj/c9X/a+Vh21sQpsYTI2oIjz4CouLBw/Nw/PoKIgO6wDk4VfirBcDO7mmLlw&#10;4Q/qDlKoFMIxQwulSJNpHfOSPMZxaIgT9xVaj5JgW2jX4iWF+1pPjXnSHitODSU29FpS/n04ewva&#10;jzpZy+Nb3J72f/X7xMx+Zsba4X2/egEl1Mu/+ObeOQvTtD59ST9AL6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4EKwgAAANsAAAAPAAAAAAAAAAAAAAAAAJgCAABkcnMvZG93&#10;bnJldi54bWxQSwUGAAAAAAQABAD1AAAAhwM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Cyberbullying</w:t>
                          </w:r>
                        </w:p>
                      </w:txbxContent>
                    </v:textbox>
                  </v:shape>
                  <v:rect id="Rectangle 21" o:spid="_x0000_s1044" style="position:absolute;left:37180;top:25479;width:7752;height:60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bihcMA&#10;AADbAAAADwAAAGRycy9kb3ducmV2LnhtbESP0WrCQBRE3wv+w3KFvtWNoUiNboKKQtunGv2Aa/aa&#10;DWbvxuyq6d93C4U+DjNzhlkWg23FnXrfOFYwnSQgiCunG64VHA+7lzcQPiBrbB2Tgm/yUOSjpyVm&#10;2j14T/cy1CJC2GeowITQZVL6ypBFP3EdcfTOrrcYouxrqXt8RLhtZZokM2mx4bhgsKONoepS3qyC&#10;r1dH6Tb167K2czOcDp8fV5wp9TweVgsQgYbwH/5rv2sF6RR+v8QfIPM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kbihcMAAADbAAAADwAAAAAAAAAAAAAAAACYAgAAZHJzL2Rv&#10;d25yZXYueG1sUEsFBgAAAAAEAAQA9QAAAIgDAAAAAA==&#10;" filled="f" stroked="f">
                    <v:textbox inset="2.53958mm,2.53958mm,2.53958mm,2.53958mm">
                      <w:txbxContent>
                        <w:p w:rsidR="000E0274" w:rsidRDefault="000E0274">
                          <w:pPr>
                            <w:spacing w:before="0" w:after="0" w:line="240" w:lineRule="auto"/>
                            <w:jc w:val="left"/>
                            <w:textDirection w:val="btLr"/>
                          </w:pPr>
                        </w:p>
                      </w:txbxContent>
                    </v:textbox>
                  </v:rect>
                  <v:shape id="Bent Up Arrow 22" o:spid="_x0000_s1045" style="position:absolute;left:37036;top:40167;width:6331;height:7209;rotation:90;visibility:visible;mso-wrap-style:square;v-text-anchor:middle" coordsize="633168,72084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3Sy8IA&#10;AADbAAAADwAAAGRycy9kb3ducmV2LnhtbESPQYvCMBSE7wv+h/AEb2tq0UWqaRFBUBB0u3vw+Gie&#10;bbF5KU2s9d+bhQWPw8x8w6yzwTSip87VlhXMphEI4sLqmksFvz+7zyUI55E1NpZJwZMcZOnoY42J&#10;tg/+pj73pQgQdgkqqLxvEyldUZFBN7UtcfCutjPog+xKqTt8BLhpZBxFX9JgzWGhwpa2FRW3/G4U&#10;NPp0Kc6X02HJ0fwY0+bZ9otcqcl42KxAeBr8O/zf3msFcQx/X8IPkOk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jdLLwgAAANsAAAAPAAAAAAAAAAAAAAAAAJgCAABkcnMvZG93&#10;bnJldi54bWxQSwUGAAAAAAQABAD1AAAAhwMAAAAA&#10;" adj="-11796480,,5400" path="m,512908r370910,l370910,226548r-54326,l474876,,633168,226548r-54326,l578842,720840,,720840,,512908xe" fillcolor="#ccd3ea" strokecolor="#3a66b1" strokeweight="1pt">
                    <v:stroke startarrowwidth="narrow" startarrowlength="short" endarrowwidth="narrow" endarrowlength="short" joinstyle="miter"/>
                    <v:formulas/>
                    <v:path arrowok="t" o:connecttype="custom" o:connectlocs="0,512908;370910,512908;370910,226548;316584,226548;474876,0;633168,226548;578842,226548;578842,720840;0,720840;0,512908" o:connectangles="0,0,0,0,0,0,0,0,0,0" textboxrect="0,0,633168,720840"/>
                    <v:textbox inset="2.53958mm,2.53958mm,2.53958mm,2.53958mm">
                      <w:txbxContent>
                        <w:p w:rsidR="000E0274" w:rsidRDefault="000E0274">
                          <w:pPr>
                            <w:spacing w:before="0" w:after="0" w:line="240" w:lineRule="auto"/>
                            <w:jc w:val="left"/>
                            <w:textDirection w:val="btLr"/>
                          </w:pPr>
                        </w:p>
                      </w:txbxContent>
                    </v:textbox>
                  </v:shape>
                  <v:roundrect id="Rounded Rectangle 23" o:spid="_x0000_s1046" style="position:absolute;left:35358;top:33148;width:10659;height:7461;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oftH8QA&#10;AADbAAAADwAAAGRycy9kb3ducmV2LnhtbESPQWsCMRSE70L/Q3iF3jRbW6SsxmWpSoV6cdtLb4/N&#10;c7O4eVk2UVN/fVMQPA4z8w2zKKLtxJkG3zpW8DzJQBDXTrfcKPj+2ozfQPiArLFzTAp+yUOxfBgt&#10;MNfuwns6V6ERCcI+RwUmhD6X0teGLPqJ64mTd3CDxZDk0Eg94CXBbSenWTaTFltOCwZ7ejdUH6uT&#10;VRC714M2sbQ/HPVuc/q8rj/kSqmnx1jOQQSK4R6+tbdawfQF/r+kH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qH7R/EAAAA2wAAAA8AAAAAAAAAAAAAAAAAmAIAAGRycy9k&#10;b3ducmV2LnhtbFBLBQYAAAAABAAEAPUAAACJAw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 id="Text Box 24" o:spid="_x0000_s1047" type="#_x0000_t202" style="position:absolute;left:35722;top:33513;width:9931;height:67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CHCcUA&#10;AADbAAAADwAAAGRycy9kb3ducmV2LnhtbESPUUvDQBCE3wX/w7FCX6S9a0mLpL0WEYuCCG0tfV5y&#10;axLM7cXcmkZ/vVcQfBxm5htmtRl8o3rqYh3YwnRiQBEXwdVcWji+bcd3oKIgO2wCk4VvirBZX1+t&#10;MHfhzHvqD1KqBOGYo4VKpM21jkVFHuMktMTJew+dR0myK7Xr8JzgvtEzYxbaY81pocKWHioqPg5f&#10;3oL2t708yvw1Pp1efprd1GSfmbF2dDPcL0EJDfIf/ms/OwuzDC5f0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wIcJxQAAANsAAAAPAAAAAAAAAAAAAAAAAJgCAABkcnMv&#10;ZG93bnJldi54bWxQSwUGAAAAAAQABAD1AAAAigM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Know Limitations</w:t>
                          </w:r>
                        </w:p>
                      </w:txbxContent>
                    </v:textbox>
                  </v:shape>
                  <v:rect id="Rectangle 25" o:spid="_x0000_s1048" style="position:absolute;left:46017;top:33860;width:7752;height:603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3khsMA&#10;AADbAAAADwAAAGRycy9kb3ducmV2LnhtbESPwW7CMBBE75X4B2uReitOo4LaEAcBKhL01AY+YImX&#10;OGq8DrEL4e9xpUo9jmbmjSZfDLYVF+p941jB8yQBQVw53XCt4LDfPL2C8AFZY+uYFNzIw6IYPeSY&#10;aXflL7qUoRYRwj5DBSaELpPSV4Ys+onriKN3cr3FEGVfS93jNcJtK9MkmUmLDccFgx2tDVXf5Y9V&#10;8PniKH1P/aqs7ZsZjvuP3RlnSj2Oh+UcRKAh/If/2lutIJ3C75f4A2Rx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X3khsMAAADbAAAADwAAAAAAAAAAAAAAAACYAgAAZHJzL2Rv&#10;d25yZXYueG1sUEsFBgAAAAAEAAQA9QAAAIgDAAAAAA==&#10;" filled="f" stroked="f">
                    <v:textbox inset="2.53958mm,2.53958mm,2.53958mm,2.53958mm">
                      <w:txbxContent>
                        <w:p w:rsidR="000E0274" w:rsidRDefault="000E0274">
                          <w:pPr>
                            <w:spacing w:before="0" w:after="0" w:line="240" w:lineRule="auto"/>
                            <w:jc w:val="left"/>
                            <w:textDirection w:val="btLr"/>
                          </w:pPr>
                        </w:p>
                      </w:txbxContent>
                    </v:textbox>
                  </v:rect>
                  <v:roundrect id="Rounded Rectangle 26" o:spid="_x0000_s1049" style="position:absolute;left:44195;top:41529;width:10659;height:7461;visibility:visible;mso-wrap-style:square;v-text-anchor:middle" arcsize="10926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vBOh8QA&#10;AADbAAAADwAAAGRycy9kb3ducmV2LnhtbESPQWvCQBSE7wX/w/KE3urGUKREVxE1tNBeql68PbLP&#10;bDD7NmTXZNtf3y0Uehxm5htmtYm2FQP1vnGsYD7LQBBXTjdcKzifyqcXED4ga2wdk4Iv8rBZTx5W&#10;WGg38icNx1CLBGFfoAITQldI6StDFv3MdcTJu7reYkiyr6XucUxw28o8yxbSYsNpwWBHO0PV7Xi3&#10;CmL7fNUmbu2Fo/4o7+/fh1e5V+pxGrdLEIFi+A//td+0gnwBv1/SD5Dr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rwTofEAAAA2wAAAA8AAAAAAAAAAAAAAAAAmAIAAGRycy9k&#10;b3ducmV2LnhtbFBLBQYAAAAABAAEAPUAAACJAwAAAAA=&#10;" fillcolor="white [3201]" strokecolor="#3a66b1" strokeweight="1pt">
                    <v:stroke startarrowwidth="narrow" startarrowlength="short" endarrowwidth="narrow" endarrowlength="short" joinstyle="miter"/>
                    <v:textbox inset="2.53958mm,2.53958mm,2.53958mm,2.53958mm">
                      <w:txbxContent>
                        <w:p w:rsidR="000E0274" w:rsidRDefault="000E0274">
                          <w:pPr>
                            <w:spacing w:before="0" w:after="0" w:line="240" w:lineRule="auto"/>
                            <w:jc w:val="left"/>
                            <w:textDirection w:val="btLr"/>
                          </w:pPr>
                        </w:p>
                      </w:txbxContent>
                    </v:textbox>
                  </v:roundrect>
                  <v:shape id="Text Box 27" o:spid="_x0000_s1050" type="#_x0000_t202" style="position:absolute;left:44560;top:41894;width:9930;height:67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IZfsUA&#10;AADbAAAADwAAAGRycy9kb3ducmV2LnhtbESPUUvDQBCE3wv9D8cKvoi9a6lVYq+liKUFEWwVn5fc&#10;mgRzezG3TdP+ek8Q+jjMzDfMfNn7WnXUxiqwhfHIgCLOg6u4sPDxvr59ABUF2WEdmCycKMJyMRzM&#10;MXPhyDvq9lKoBOGYoYVSpMm0jnlJHuMoNMTJ+wqtR0myLbRr8ZjgvtYTY2baY8VpocSGnkrKv/cH&#10;b0H7m06e5e41bj5fzvXb2Ex/psba66t+9QhKqJdL+L+9dRYm9/D3Jf0Av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Ehl+xQAAANsAAAAPAAAAAAAAAAAAAAAAAJgCAABkcnMv&#10;ZG93bnJldi54bWxQSwUGAAAAAAQABAD1AAAAigMAAAAA&#10;" filled="f" stroked="f">
                    <v:textbox inset="1.1639mm,1.1639mm,1.1639mm,1.1639mm">
                      <w:txbxContent>
                        <w:p w:rsidR="000E0274" w:rsidRDefault="00A67AA0">
                          <w:pPr>
                            <w:spacing w:before="0" w:after="0" w:line="215" w:lineRule="auto"/>
                            <w:jc w:val="center"/>
                            <w:textDirection w:val="btLr"/>
                          </w:pPr>
                          <w:r>
                            <w:rPr>
                              <w:rFonts w:ascii="Calibri" w:eastAsia="Calibri" w:hAnsi="Calibri" w:cs="Calibri"/>
                              <w:color w:val="000000"/>
                            </w:rPr>
                            <w:t>Diversifying Digital Products</w:t>
                          </w:r>
                        </w:p>
                      </w:txbxContent>
                    </v:textbox>
                  </v:shape>
                </v:group>
                <w10:anchorlock/>
              </v:group>
            </w:pict>
          </mc:Fallback>
        </mc:AlternateContent>
      </w:r>
    </w:p>
    <w:p w14:paraId="71B0ECD2" w14:textId="77777777" w:rsidR="000E0274" w:rsidRPr="00674E36" w:rsidRDefault="00A67AA0">
      <w:pPr>
        <w:pBdr>
          <w:top w:val="single" w:sz="4" w:space="10" w:color="4472C4"/>
          <w:left w:val="nil"/>
          <w:bottom w:val="single" w:sz="4" w:space="10" w:color="4472C4"/>
          <w:right w:val="nil"/>
          <w:between w:val="nil"/>
        </w:pBdr>
        <w:spacing w:before="360" w:after="360"/>
        <w:ind w:left="864" w:right="864"/>
        <w:jc w:val="center"/>
        <w:rPr>
          <w:i/>
          <w:color w:val="4472C4"/>
        </w:rPr>
      </w:pPr>
      <w:r w:rsidRPr="00674E36">
        <w:rPr>
          <w:i/>
          <w:color w:val="4472C4"/>
        </w:rPr>
        <w:t>Figure: Topics covered in the Digital Literacy session</w:t>
      </w:r>
    </w:p>
    <w:p w14:paraId="2B7A280E" w14:textId="77777777" w:rsidR="000E0274" w:rsidRPr="00674E36" w:rsidRDefault="00A67AA0">
      <w:r w:rsidRPr="00674E36">
        <w:t xml:space="preserve">Considering the engagement and management processes for the children is vital to ensure secure practices in this regard. The role of government is to regulate activities, and usually to promulgate legislation and administration, respectively. While it's known that governance and legislation concern a broad sector of society, it is less well accepted that it reaches all of the way through control systems (Rahmat 2018). Internationally, industry best practices is to </w:t>
      </w:r>
      <w:r w:rsidRPr="00674E36">
        <w:lastRenderedPageBreak/>
        <w:t>establish an autonomous agency to help in the dynamic liberalisation of the main areas of the telecommunications networks and electronic marketplace. Regulatory institutions need more skills and funding must be provided to advance with developed nations, which find it challenging to meet these needs (Chassiakos et al. 2016). Additionally, regulatory capacity building is essential in developmental projects, such as training and exchanges with other nation-states. For this purpose of comparison, it is possible to think of non-government bodies such as trade and civil society working either in a legislative or advisory capacity (Abel &amp; Grace 2020). Involuntary co-regulation attempts to provide order, for example, which includes business to help govern and impose regulations on their members (Chassiakos et al. 2016). We must also realise that there are many national and foreign ways to govern our society's interaction with the Information Economy. Use of competition is associated with the philosophy of self-regulation, which applies to business and government partners. More and more governments are trusting on self-regulated markets in general because of the ever-increasing complexity of trade, and reducing the expense to governments (Krishnan et al. 2021). These drivers are furthermore supplemented by the fact that the Internet and its related networks have only recently grown to their present state of power, effective non-regulation.</w:t>
      </w:r>
    </w:p>
    <w:p w14:paraId="085F6CFE" w14:textId="77777777" w:rsidR="000E0274" w:rsidRPr="00674E36" w:rsidRDefault="00A67AA0">
      <w:r w:rsidRPr="00674E36">
        <w:t xml:space="preserve">The targets and processes for the engagement of the children with the safe online presence, needs to be aligned with the goals of the strategic processes of the safe and secure online presence of the children. Monitoring and engaging with necessary support roles for the children's development can be associated with this (Sadílková 2021). Considering the needs and challenges relating to the safe management of the children’s presence online, supportive strategies need to be delivered. ICT policy and strategic contribution need to be analysed for enhanced experience (Abel &amp; Grace 2020). In this campaign, the strategic evaluation and contribution to the management aspects have been considered. Ensuring effective management capability and progressing aspects for the online presence of children, necessary aspects for change need to be engaged (Chassiakos et al. 2016). This intervention targets appropriate management and behavioural contexts for the online presence for the children at greater extent. Questions on the extent of a marketer's impact on children and young people using digital media have been posed by the Internet's increasing popularity and spending in marketers' ads (Ahmadzadeh et al. 2020). This essay seeks to talk about the teens' visibility opportunity, real, and how they view online ads. These teens had their eye motions recorded whilst on the Internet for fifteen minutes. Thus, the findings show that 10% of all ads reach teens, but they have not learned about this reality. Studies showed that the effect of food ads was more pronounced in this sample. Evidence further shows that there are considerable gender disparities in response to marketing. People of all ages are subjected to [in newspapers, magazines, gambling, lifestyle, and entertainment advertisements for boys </w:t>
      </w:r>
      <w:r w:rsidRPr="00674E36">
        <w:lastRenderedPageBreak/>
        <w:t xml:space="preserve">that range from 30% to 60% higher than the population in general. This strategic paper aims to analyse the contexts of online access and presence of the children and safeguard the aspect by ensuring necessary supervision and protective behaviours. </w:t>
      </w:r>
    </w:p>
    <w:p w14:paraId="4FE4FFD3" w14:textId="77777777" w:rsidR="000E0274" w:rsidRPr="00674E36" w:rsidRDefault="00A67AA0">
      <w:r w:rsidRPr="00674E36">
        <w:t xml:space="preserve">The intervention broadly targets to enhance general understanding of the parents and carers of the children about the online presence and securing online participation. The campaign includes exchanging views and understanding of the context by providing necessary aspects for the management of the children online. To address this issue, necessary evaluation and strategic aspects relating to the developmental aspects for the child’s presence online needs to be analysed (Chassiakos et al. 2016). This intervention has improved the generalized understanding and prospects needed to evaluate the roles and engagement of the children with the digital devices and improved the engagement in this regard. Parents need to work closely with other carers about securing safe online exposure of the children. UKCCIS has proposed the guidelines for ensuring safe practices for the children and interaction of the parenting roles in this regard. </w:t>
      </w:r>
    </w:p>
    <w:p w14:paraId="1F371A4B" w14:textId="77777777" w:rsidR="000E0274" w:rsidRPr="00674E36" w:rsidRDefault="00A67AA0">
      <w:r w:rsidRPr="00674E36">
        <w:br w:type="page"/>
      </w:r>
    </w:p>
    <w:p w14:paraId="1FF88484" w14:textId="77777777" w:rsidR="000E0274" w:rsidRPr="00674E36" w:rsidRDefault="00A67AA0">
      <w:pPr>
        <w:pStyle w:val="Heading2"/>
      </w:pPr>
      <w:bookmarkStart w:id="8" w:name="_Toc72492508"/>
      <w:r w:rsidRPr="00674E36">
        <w:lastRenderedPageBreak/>
        <w:t>References</w:t>
      </w:r>
      <w:bookmarkEnd w:id="8"/>
    </w:p>
    <w:p w14:paraId="1C008A8E" w14:textId="77777777" w:rsidR="000E0274" w:rsidRPr="00674E36" w:rsidRDefault="00A67AA0">
      <w:pPr>
        <w:widowControl w:val="0"/>
        <w:ind w:left="480" w:hanging="480"/>
      </w:pPr>
      <w:r w:rsidRPr="00674E36">
        <w:t xml:space="preserve">Abel, C.A. &amp; Grace, T.D., 2020. Designing dyadic caregiver-child personas for interactive digital media use. In </w:t>
      </w:r>
      <w:r w:rsidRPr="00674E36">
        <w:rPr>
          <w:i/>
        </w:rPr>
        <w:t>Proceedings of the Interaction Design and Children Conference, IDC 2020</w:t>
      </w:r>
      <w:r w:rsidRPr="00674E36">
        <w:t>. pp. 198–204.</w:t>
      </w:r>
    </w:p>
    <w:p w14:paraId="5BD031D1" w14:textId="77777777" w:rsidR="000E0274" w:rsidRPr="00674E36" w:rsidRDefault="00A67AA0">
      <w:pPr>
        <w:widowControl w:val="0"/>
        <w:ind w:left="480" w:hanging="480"/>
      </w:pPr>
      <w:r w:rsidRPr="00674E36">
        <w:t xml:space="preserve">Ahmadzadeh, Y.I. et al., 2020. The Parent Play Questionnaire: Development of a parent questionnaire to assess parent–child play and digital media use. </w:t>
      </w:r>
      <w:r w:rsidRPr="00674E36">
        <w:rPr>
          <w:i/>
        </w:rPr>
        <w:t>Social Development</w:t>
      </w:r>
      <w:r w:rsidRPr="00674E36">
        <w:t>, 29(4), pp.945–963.</w:t>
      </w:r>
    </w:p>
    <w:p w14:paraId="5D13FCA9" w14:textId="77777777" w:rsidR="000E0274" w:rsidRPr="00674E36" w:rsidRDefault="00A67AA0">
      <w:pPr>
        <w:widowControl w:val="0"/>
        <w:ind w:left="480" w:hanging="480"/>
      </w:pPr>
      <w:r w:rsidRPr="00674E36">
        <w:t xml:space="preserve">Brito, R. et al., 2017. Family Dynamics in Digital Homes: The Role Played by Parental Mediation in Young Children’s Digital Practices Around 14 European Countries. </w:t>
      </w:r>
      <w:r w:rsidRPr="00674E36">
        <w:rPr>
          <w:i/>
        </w:rPr>
        <w:t>Contemporary Family Therapy</w:t>
      </w:r>
      <w:r w:rsidRPr="00674E36">
        <w:t>, 39(4), pp.271–280.</w:t>
      </w:r>
    </w:p>
    <w:p w14:paraId="62D0C226" w14:textId="77777777" w:rsidR="000E0274" w:rsidRPr="00674E36" w:rsidRDefault="00A67AA0">
      <w:pPr>
        <w:widowControl w:val="0"/>
        <w:ind w:left="480" w:hanging="480"/>
      </w:pPr>
      <w:r w:rsidRPr="00674E36">
        <w:t xml:space="preserve">Brito, R., Dias, P. &amp; Oliveira, G., 2018. Young children, digital media and smart toys: How perceptions shape adoption and domestication. </w:t>
      </w:r>
      <w:r w:rsidRPr="00674E36">
        <w:rPr>
          <w:i/>
        </w:rPr>
        <w:t>British Journal of Educational Technology</w:t>
      </w:r>
      <w:r w:rsidRPr="00674E36">
        <w:t>, 49(5), pp.807–820.</w:t>
      </w:r>
    </w:p>
    <w:p w14:paraId="7DB51513" w14:textId="77777777" w:rsidR="000E0274" w:rsidRPr="00674E36" w:rsidRDefault="00A67AA0">
      <w:pPr>
        <w:widowControl w:val="0"/>
        <w:ind w:left="480" w:hanging="480"/>
      </w:pPr>
      <w:r w:rsidRPr="00674E36">
        <w:t xml:space="preserve">Browne, Di.T. et al., 2019. From “screen time” to the digital level of analysis: Protocol for a scoping review of digital media use in children and adolescents. </w:t>
      </w:r>
      <w:r w:rsidRPr="00674E36">
        <w:rPr>
          <w:i/>
        </w:rPr>
        <w:t>BMJ Open</w:t>
      </w:r>
      <w:r w:rsidRPr="00674E36">
        <w:t>, 9(11).</w:t>
      </w:r>
    </w:p>
    <w:p w14:paraId="26F681F9" w14:textId="77777777" w:rsidR="000E0274" w:rsidRPr="00674E36" w:rsidRDefault="00A67AA0">
      <w:pPr>
        <w:widowControl w:val="0"/>
        <w:ind w:left="480" w:hanging="480"/>
      </w:pPr>
      <w:r w:rsidRPr="00674E36">
        <w:t xml:space="preserve">Bruggeman, H. et al., 2019. Does the use of digital media affect psychological well-being? An empirical test among children aged 9 to 12. </w:t>
      </w:r>
      <w:r w:rsidRPr="00674E36">
        <w:rPr>
          <w:i/>
        </w:rPr>
        <w:t>Computers in Human Behavior</w:t>
      </w:r>
      <w:r w:rsidRPr="00674E36">
        <w:t>, 101, pp.104–113.</w:t>
      </w:r>
    </w:p>
    <w:p w14:paraId="59E501E6" w14:textId="77777777" w:rsidR="000E0274" w:rsidRPr="00674E36" w:rsidRDefault="00A67AA0">
      <w:pPr>
        <w:widowControl w:val="0"/>
        <w:ind w:left="480" w:hanging="480"/>
      </w:pPr>
      <w:r w:rsidRPr="00674E36">
        <w:t xml:space="preserve">Chassiakos, Y.R. et al., 2016. Children and adolescents and digital media. </w:t>
      </w:r>
      <w:r w:rsidRPr="00674E36">
        <w:rPr>
          <w:i/>
        </w:rPr>
        <w:t>Pediatrics</w:t>
      </w:r>
      <w:r w:rsidRPr="00674E36">
        <w:t>, 138(5).</w:t>
      </w:r>
    </w:p>
    <w:p w14:paraId="4186C998" w14:textId="77777777" w:rsidR="000E0274" w:rsidRPr="00674E36" w:rsidRDefault="00A67AA0">
      <w:pPr>
        <w:widowControl w:val="0"/>
        <w:ind w:left="480" w:hanging="480"/>
      </w:pPr>
      <w:r w:rsidRPr="00674E36">
        <w:t>Chia, M.Y.H., Tay, L.Y. &amp; Chua, T.B.K., 2019. The development of an online surveillance of digital media use in early childhood questionnaire- SMALLQ</w:t>
      </w:r>
      <w:r w:rsidRPr="00674E36">
        <w:rPr>
          <w:vertAlign w:val="superscript"/>
        </w:rPr>
        <w:t>TM</w:t>
      </w:r>
      <w:r w:rsidRPr="00674E36">
        <w:t xml:space="preserve">- For Singapore. </w:t>
      </w:r>
      <w:r w:rsidRPr="00674E36">
        <w:rPr>
          <w:i/>
        </w:rPr>
        <w:t>Montenegrin Journal of Sports Science and Medicine</w:t>
      </w:r>
      <w:r w:rsidRPr="00674E36">
        <w:t>, 8(2), pp.77–80.</w:t>
      </w:r>
    </w:p>
    <w:p w14:paraId="6AF09B6A" w14:textId="77777777" w:rsidR="000E0274" w:rsidRPr="00674E36" w:rsidRDefault="00A67AA0">
      <w:pPr>
        <w:widowControl w:val="0"/>
        <w:ind w:left="480" w:hanging="480"/>
      </w:pPr>
      <w:r w:rsidRPr="00674E36">
        <w:t xml:space="preserve">Drotner, K., 2020. Children’s digital content creation: Towards a processual understanding of media production among Danish children. </w:t>
      </w:r>
      <w:r w:rsidRPr="00674E36">
        <w:rPr>
          <w:i/>
        </w:rPr>
        <w:t>Journal of Children and Media</w:t>
      </w:r>
      <w:r w:rsidRPr="00674E36">
        <w:t>, 14(2), pp.221–236.</w:t>
      </w:r>
    </w:p>
    <w:p w14:paraId="2B87317D" w14:textId="77777777" w:rsidR="000E0274" w:rsidRPr="00674E36" w:rsidRDefault="00A67AA0">
      <w:pPr>
        <w:widowControl w:val="0"/>
        <w:ind w:left="480" w:hanging="480"/>
      </w:pPr>
      <w:r w:rsidRPr="00674E36">
        <w:t xml:space="preserve">Hill, D. et al., 2016. Media and young minds. </w:t>
      </w:r>
      <w:r w:rsidRPr="00674E36">
        <w:rPr>
          <w:i/>
        </w:rPr>
        <w:t>Pediatrics</w:t>
      </w:r>
      <w:r w:rsidRPr="00674E36">
        <w:t>, 138(5).</w:t>
      </w:r>
    </w:p>
    <w:p w14:paraId="7C82452C" w14:textId="77777777" w:rsidR="000E0274" w:rsidRPr="00674E36" w:rsidRDefault="00A67AA0">
      <w:pPr>
        <w:widowControl w:val="0"/>
        <w:ind w:left="480" w:hanging="480"/>
      </w:pPr>
      <w:r w:rsidRPr="00674E36">
        <w:t xml:space="preserve">Hoge, E., Bickham, D. &amp; Cantor, J., 2017. Digital media, anxiety, and depression in children. </w:t>
      </w:r>
      <w:r w:rsidRPr="00674E36">
        <w:rPr>
          <w:i/>
        </w:rPr>
        <w:t>Pediatrics</w:t>
      </w:r>
      <w:r w:rsidRPr="00674E36">
        <w:t>, 140, pp.S76–S80.</w:t>
      </w:r>
    </w:p>
    <w:p w14:paraId="2CA4B51A" w14:textId="77777777" w:rsidR="000E0274" w:rsidRPr="00674E36" w:rsidRDefault="00A67AA0">
      <w:pPr>
        <w:widowControl w:val="0"/>
        <w:ind w:left="480" w:hanging="480"/>
      </w:pPr>
      <w:r w:rsidRPr="00674E36">
        <w:lastRenderedPageBreak/>
        <w:t xml:space="preserve">Ihmeideh, F. &amp; Alkhawaldeh, M., 2017. Teachers’ and parents’ perceptions of the role of technology and digital media in developing child culture in the early years. </w:t>
      </w:r>
      <w:r w:rsidRPr="00674E36">
        <w:rPr>
          <w:i/>
        </w:rPr>
        <w:t>Children and Youth Services Review</w:t>
      </w:r>
      <w:r w:rsidRPr="00674E36">
        <w:t>, 77, pp.139–146.</w:t>
      </w:r>
    </w:p>
    <w:p w14:paraId="45C473B2" w14:textId="77777777" w:rsidR="000E0274" w:rsidRPr="00674E36" w:rsidRDefault="00A67AA0">
      <w:pPr>
        <w:widowControl w:val="0"/>
        <w:ind w:left="480" w:hanging="480"/>
      </w:pPr>
      <w:r w:rsidRPr="00674E36">
        <w:t xml:space="preserve">Krishnan, V. et al., 2021. Early Social Experience and Digital-Media Exposure in Children with Autism Spectrum Disorder. </w:t>
      </w:r>
      <w:r w:rsidRPr="00674E36">
        <w:rPr>
          <w:i/>
        </w:rPr>
        <w:t>Indian Journal of Pediatrics</w:t>
      </w:r>
      <w:r w:rsidRPr="00674E36">
        <w:t>.</w:t>
      </w:r>
    </w:p>
    <w:p w14:paraId="1C9757EC" w14:textId="77777777" w:rsidR="000E0274" w:rsidRPr="00674E36" w:rsidRDefault="00A67AA0">
      <w:pPr>
        <w:widowControl w:val="0"/>
        <w:ind w:left="480" w:hanging="480"/>
      </w:pPr>
      <w:r w:rsidRPr="00674E36">
        <w:t xml:space="preserve">Mićević-Karanović, J. et al., 2020. Negative effects of digital media on the psychophysical development of preschool-aged children. </w:t>
      </w:r>
      <w:r w:rsidRPr="00674E36">
        <w:rPr>
          <w:i/>
        </w:rPr>
        <w:t>Sinteze</w:t>
      </w:r>
      <w:r w:rsidRPr="00674E36">
        <w:t>, (18), pp.33–53.</w:t>
      </w:r>
    </w:p>
    <w:p w14:paraId="7514AD8E" w14:textId="77777777" w:rsidR="000E0274" w:rsidRPr="00674E36" w:rsidRDefault="00A67AA0">
      <w:pPr>
        <w:widowControl w:val="0"/>
        <w:ind w:left="480" w:hanging="480"/>
      </w:pPr>
      <w:r w:rsidRPr="00674E36">
        <w:t xml:space="preserve">Mourgela, V. &amp; Pacurar, E., 2018. Children, Extracurricular Activities, and Digital Media: The Process of Displacement and School Performance. </w:t>
      </w:r>
      <w:r w:rsidRPr="00674E36">
        <w:rPr>
          <w:i/>
        </w:rPr>
        <w:t>Journal of Educational Computing Research</w:t>
      </w:r>
      <w:r w:rsidRPr="00674E36">
        <w:t>, 56(2), pp.202–225.</w:t>
      </w:r>
    </w:p>
    <w:p w14:paraId="355322F6" w14:textId="77777777" w:rsidR="000E0274" w:rsidRPr="00674E36" w:rsidRDefault="00A67AA0">
      <w:pPr>
        <w:widowControl w:val="0"/>
        <w:ind w:left="480" w:hanging="480"/>
      </w:pPr>
      <w:r w:rsidRPr="00674E36">
        <w:t xml:space="preserve">Nelissen, S. &amp; Van den Bulck, J., 2018. When digital natives instruct digital immigrants: active guidance of parental media use by children and conflict in the family. </w:t>
      </w:r>
      <w:r w:rsidRPr="00674E36">
        <w:rPr>
          <w:i/>
        </w:rPr>
        <w:t>Information Communication and Society</w:t>
      </w:r>
      <w:r w:rsidRPr="00674E36">
        <w:t>, 21(3), pp.375–387.</w:t>
      </w:r>
    </w:p>
    <w:p w14:paraId="5171134E" w14:textId="77777777" w:rsidR="000E0274" w:rsidRPr="00674E36" w:rsidRDefault="00A67AA0">
      <w:pPr>
        <w:widowControl w:val="0"/>
        <w:ind w:left="480" w:hanging="480"/>
      </w:pPr>
      <w:r w:rsidRPr="00674E36">
        <w:t xml:space="preserve">Núñez-Gómez, P., Sánchez-Herrera, J. &amp; Pintado-Blanco, T., 2020. Children’s engagement with brands: From social media consumption to brand preference and loyalty. </w:t>
      </w:r>
      <w:r w:rsidRPr="00674E36">
        <w:rPr>
          <w:i/>
        </w:rPr>
        <w:t>Sustainability (Switzerland)</w:t>
      </w:r>
      <w:r w:rsidRPr="00674E36">
        <w:t>, 12(22), pp.1–16.</w:t>
      </w:r>
    </w:p>
    <w:p w14:paraId="79FE6C4D" w14:textId="77777777" w:rsidR="000E0274" w:rsidRPr="00674E36" w:rsidRDefault="00A67AA0">
      <w:pPr>
        <w:widowControl w:val="0"/>
        <w:ind w:left="480" w:hanging="480"/>
      </w:pPr>
      <w:r w:rsidRPr="00674E36">
        <w:t>Parenting for a Digital Future. 2021. </w:t>
      </w:r>
      <w:r w:rsidRPr="00674E36">
        <w:rPr>
          <w:i/>
        </w:rPr>
        <w:t>TV online and on-demand: children’s changing viewing habits in the digital age</w:t>
      </w:r>
      <w:r w:rsidRPr="00674E36">
        <w:t>. [online] Available at: &lt;https://blogs.lse.ac.uk/parenting4digitalfuture/2019/05/08/tv-online-and-on-demand-childrens-changing-viewing-habits-in-the-digital-age/&gt; [Accessed 18 May 2021].</w:t>
      </w:r>
    </w:p>
    <w:p w14:paraId="308DC56D" w14:textId="77777777" w:rsidR="000E0274" w:rsidRPr="00674E36" w:rsidRDefault="00A67AA0">
      <w:pPr>
        <w:widowControl w:val="0"/>
        <w:ind w:left="480" w:hanging="480"/>
      </w:pPr>
      <w:r w:rsidRPr="00674E36">
        <w:t xml:space="preserve">Ponti, M. et al., 2017. Screen time and young children: Promoting health and development in a digital world. </w:t>
      </w:r>
      <w:r w:rsidRPr="00674E36">
        <w:rPr>
          <w:i/>
        </w:rPr>
        <w:t>Paediatrics and Child Health (Canada)</w:t>
      </w:r>
      <w:r w:rsidRPr="00674E36">
        <w:t>, 22(8), pp.461–477.</w:t>
      </w:r>
    </w:p>
    <w:p w14:paraId="49DBBF63" w14:textId="77777777" w:rsidR="000E0274" w:rsidRPr="00674E36" w:rsidRDefault="00A67AA0">
      <w:pPr>
        <w:widowControl w:val="0"/>
        <w:ind w:left="480" w:hanging="480"/>
      </w:pPr>
      <w:r w:rsidRPr="00674E36">
        <w:t xml:space="preserve">Rahmat, S.T., 2018. Pola Asuh yang Efektif dalam Mendidik Anak di Era Digital. </w:t>
      </w:r>
      <w:r w:rsidRPr="00674E36">
        <w:rPr>
          <w:i/>
        </w:rPr>
        <w:t>Journal education and culture Missio</w:t>
      </w:r>
      <w:r w:rsidRPr="00674E36">
        <w:t>, 10(2), p.143. Available at: https://repasitory.stikipsantupaulus.ac.id/122/1/Artikel-jurnal-missio.</w:t>
      </w:r>
    </w:p>
    <w:p w14:paraId="0E4A1C2C" w14:textId="77777777" w:rsidR="000E0274" w:rsidRPr="00674E36" w:rsidRDefault="00A67AA0">
      <w:pPr>
        <w:widowControl w:val="0"/>
        <w:ind w:left="480" w:hanging="480"/>
      </w:pPr>
      <w:r w:rsidRPr="00674E36">
        <w:t xml:space="preserve">Sadílková, Z., 2021. Children and digital media. </w:t>
      </w:r>
      <w:r w:rsidRPr="00674E36">
        <w:rPr>
          <w:i/>
        </w:rPr>
        <w:t>Pediatrie pro Praxi</w:t>
      </w:r>
      <w:r w:rsidRPr="00674E36">
        <w:t>, 21(6), pp.391–394.</w:t>
      </w:r>
    </w:p>
    <w:p w14:paraId="4C278A57" w14:textId="77777777" w:rsidR="000E0274" w:rsidRPr="00674E36" w:rsidRDefault="00A67AA0">
      <w:pPr>
        <w:widowControl w:val="0"/>
        <w:ind w:left="480" w:hanging="480"/>
      </w:pPr>
      <w:r w:rsidRPr="00674E36">
        <w:t xml:space="preserve">Strouse, G.A., Newland, L.A. &amp; Mourlam, D.J., 2019. Educational and Fun? Parent Versus Preschooler Perceptions and Co-Use of Digital and Print Media. </w:t>
      </w:r>
      <w:r w:rsidRPr="00674E36">
        <w:rPr>
          <w:i/>
        </w:rPr>
        <w:t>AERA Open</w:t>
      </w:r>
      <w:r w:rsidRPr="00674E36">
        <w:t>, 5(3), p.233285841986108.</w:t>
      </w:r>
    </w:p>
    <w:p w14:paraId="23F31AF3" w14:textId="77777777" w:rsidR="000E0274" w:rsidRPr="00674E36" w:rsidRDefault="00A67AA0">
      <w:pPr>
        <w:widowControl w:val="0"/>
        <w:ind w:left="480" w:hanging="480"/>
      </w:pPr>
      <w:r w:rsidRPr="00674E36">
        <w:lastRenderedPageBreak/>
        <w:t xml:space="preserve">Turner, K.H. et al., 2017. Developing digital and media literacies in children and adolescents. </w:t>
      </w:r>
      <w:r w:rsidRPr="00674E36">
        <w:rPr>
          <w:i/>
        </w:rPr>
        <w:t>Pediatrics</w:t>
      </w:r>
      <w:r w:rsidRPr="00674E36">
        <w:t>, 140, pp.S122–S126.</w:t>
      </w:r>
    </w:p>
    <w:p w14:paraId="405DB2F8" w14:textId="77777777" w:rsidR="000E0274" w:rsidRPr="00674E36" w:rsidRDefault="00A67AA0">
      <w:pPr>
        <w:widowControl w:val="0"/>
        <w:ind w:left="480" w:hanging="480"/>
        <w:rPr>
          <w:color w:val="000000" w:themeColor="text1"/>
        </w:rPr>
      </w:pPr>
      <w:r w:rsidRPr="00674E36">
        <w:t xml:space="preserve">Vidal-Hall, C., Flewitt, R. &amp; Wyse, D., 2020. Early childhood practitioner beliefs about digital media: integrating technology into a child-centred classroom environment. </w:t>
      </w:r>
      <w:r w:rsidRPr="00674E36">
        <w:rPr>
          <w:i/>
        </w:rPr>
        <w:t>European Early Childhood Education Research Journal</w:t>
      </w:r>
      <w:r w:rsidRPr="00674E36">
        <w:t>, 28(2), pp.167–181.</w:t>
      </w:r>
    </w:p>
    <w:p w14:paraId="65A7B400" w14:textId="77777777" w:rsidR="000E0274" w:rsidRDefault="000E0274"/>
    <w:p w14:paraId="6DB15105" w14:textId="77777777" w:rsidR="000E0274" w:rsidRDefault="000E0274">
      <w:pPr>
        <w:pBdr>
          <w:top w:val="nil"/>
          <w:left w:val="nil"/>
          <w:bottom w:val="nil"/>
          <w:right w:val="nil"/>
          <w:between w:val="nil"/>
        </w:pBdr>
        <w:spacing w:before="240" w:after="120"/>
        <w:rPr>
          <w:color w:val="000000"/>
        </w:rPr>
      </w:pPr>
    </w:p>
    <w:sectPr w:rsidR="000E0274">
      <w:type w:val="continuous"/>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18E5F" w14:textId="77777777" w:rsidR="004E411F" w:rsidRDefault="004E411F">
      <w:pPr>
        <w:spacing w:before="0" w:after="0" w:line="240" w:lineRule="auto"/>
      </w:pPr>
      <w:r>
        <w:separator/>
      </w:r>
    </w:p>
  </w:endnote>
  <w:endnote w:type="continuationSeparator" w:id="0">
    <w:p w14:paraId="2AF6DBE7" w14:textId="77777777" w:rsidR="004E411F" w:rsidRDefault="004E41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604020202020204"/>
    <w:charset w:val="00"/>
    <w:family w:val="swiss"/>
    <w:pitch w:val="variable"/>
    <w:sig w:usb0="00010003" w:usb1="00000000" w:usb2="00000000" w:usb3="00000000" w:csb0="00000001" w:csb1="00000000"/>
  </w:font>
  <w:font w:name="Garamond">
    <w:panose1 w:val="02020404030301010803"/>
    <w:charset w:val="00"/>
    <w:family w:val="roman"/>
    <w:pitch w:val="variable"/>
    <w:sig w:usb0="00000287" w:usb1="00000002" w:usb2="00000000" w:usb3="00000000" w:csb0="0000009F" w:csb1="00000000"/>
  </w:font>
  <w:font w:name="ArialMJ">
    <w:altName w:val="Arial"/>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D67778" w14:textId="77777777" w:rsidR="000E0274" w:rsidRDefault="00A67AA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2C5317">
      <w:rPr>
        <w:noProof/>
        <w:color w:val="000000"/>
      </w:rPr>
      <w:t>2</w:t>
    </w:r>
    <w:r>
      <w:rPr>
        <w:color w:val="000000"/>
      </w:rPr>
      <w:fldChar w:fldCharType="end"/>
    </w:r>
  </w:p>
  <w:p w14:paraId="4FB20412" w14:textId="77777777" w:rsidR="000E0274" w:rsidRDefault="000E0274">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A71A7" w14:textId="77777777" w:rsidR="004E411F" w:rsidRDefault="004E411F">
      <w:pPr>
        <w:spacing w:before="0" w:after="0" w:line="240" w:lineRule="auto"/>
      </w:pPr>
      <w:r>
        <w:separator/>
      </w:r>
    </w:p>
  </w:footnote>
  <w:footnote w:type="continuationSeparator" w:id="0">
    <w:p w14:paraId="20E2CBB9" w14:textId="77777777" w:rsidR="004E411F" w:rsidRDefault="004E411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DDD1D" w14:textId="77777777" w:rsidR="00F16F18" w:rsidRDefault="00F16F18">
    <w:pPr>
      <w:pStyle w:val="Header"/>
    </w:pPr>
  </w:p>
  <w:p w14:paraId="3CB87B3A" w14:textId="77777777" w:rsidR="00F16F18" w:rsidRDefault="00F16F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883A3C"/>
    <w:multiLevelType w:val="multilevel"/>
    <w:tmpl w:val="B6D817C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274"/>
    <w:rsid w:val="000E0274"/>
    <w:rsid w:val="002C5317"/>
    <w:rsid w:val="003B7BD1"/>
    <w:rsid w:val="004E411F"/>
    <w:rsid w:val="00674E36"/>
    <w:rsid w:val="006A1D5A"/>
    <w:rsid w:val="00A67AA0"/>
    <w:rsid w:val="00BF657A"/>
    <w:rsid w:val="00D0780B"/>
    <w:rsid w:val="00F16F1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77D4C"/>
  <w15:docId w15:val="{455E5102-EB6D-D54F-9F80-F60E4C501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bn-IN"/>
      </w:rPr>
    </w:rPrDefault>
    <w:pPrDefault>
      <w:pPr>
        <w:spacing w:before="120" w:after="2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2C7"/>
  </w:style>
  <w:style w:type="paragraph" w:styleId="Heading1">
    <w:name w:val="heading 1"/>
    <w:basedOn w:val="Normal"/>
    <w:next w:val="Normal"/>
    <w:link w:val="Heading1Char"/>
    <w:uiPriority w:val="9"/>
    <w:qFormat/>
    <w:rsid w:val="00AB7935"/>
    <w:pPr>
      <w:spacing w:before="360" w:after="360" w:line="240" w:lineRule="auto"/>
      <w:ind w:left="360"/>
      <w:outlineLvl w:val="0"/>
    </w:pPr>
    <w:rPr>
      <w:rFonts w:ascii="Cambria" w:hAnsi="Cambria"/>
      <w:b/>
      <w:sz w:val="32"/>
      <w:szCs w:val="24"/>
    </w:rPr>
  </w:style>
  <w:style w:type="paragraph" w:styleId="Heading2">
    <w:name w:val="heading 2"/>
    <w:basedOn w:val="Heading1"/>
    <w:next w:val="Normal"/>
    <w:link w:val="Heading2Char"/>
    <w:uiPriority w:val="9"/>
    <w:unhideWhenUsed/>
    <w:qFormat/>
    <w:rsid w:val="003C32C2"/>
    <w:pPr>
      <w:ind w:left="0"/>
      <w:outlineLvl w:val="1"/>
    </w:pPr>
    <w:rPr>
      <w:sz w:val="28"/>
      <w:szCs w:val="28"/>
    </w:rPr>
  </w:style>
  <w:style w:type="paragraph" w:styleId="Heading3">
    <w:name w:val="heading 3"/>
    <w:basedOn w:val="Heading2"/>
    <w:next w:val="Normal"/>
    <w:link w:val="Heading3Char"/>
    <w:uiPriority w:val="9"/>
    <w:semiHidden/>
    <w:unhideWhenUsed/>
    <w:qFormat/>
    <w:rsid w:val="00955E21"/>
    <w:pPr>
      <w:outlineLvl w:val="2"/>
    </w:pPr>
    <w:rPr>
      <w:sz w:val="26"/>
      <w:szCs w:val="22"/>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731C"/>
    <w:pPr>
      <w:spacing w:before="360" w:after="360" w:line="240" w:lineRule="auto"/>
      <w:contextualSpacing/>
      <w:jc w:val="center"/>
    </w:pPr>
    <w:rPr>
      <w:rFonts w:ascii="Cambria" w:eastAsiaTheme="majorEastAsia" w:hAnsi="Cambria" w:cstheme="majorBidi"/>
      <w:b/>
      <w:spacing w:val="-10"/>
      <w:kern w:val="28"/>
      <w:sz w:val="32"/>
      <w:szCs w:val="40"/>
    </w:rPr>
  </w:style>
  <w:style w:type="character" w:customStyle="1" w:styleId="TitleChar">
    <w:name w:val="Title Char"/>
    <w:basedOn w:val="DefaultParagraphFont"/>
    <w:link w:val="Title"/>
    <w:uiPriority w:val="10"/>
    <w:rsid w:val="000B731C"/>
    <w:rPr>
      <w:rFonts w:ascii="Cambria" w:eastAsiaTheme="majorEastAsia" w:hAnsi="Cambria" w:cstheme="majorBidi"/>
      <w:b/>
      <w:spacing w:val="-10"/>
      <w:kern w:val="28"/>
      <w:sz w:val="32"/>
      <w:szCs w:val="40"/>
    </w:rPr>
  </w:style>
  <w:style w:type="character" w:customStyle="1" w:styleId="Heading1Char">
    <w:name w:val="Heading 1 Char"/>
    <w:basedOn w:val="DefaultParagraphFont"/>
    <w:link w:val="Heading1"/>
    <w:uiPriority w:val="9"/>
    <w:rsid w:val="00AB7935"/>
    <w:rPr>
      <w:rFonts w:ascii="Cambria" w:hAnsi="Cambria"/>
      <w:b/>
      <w:sz w:val="32"/>
      <w:szCs w:val="24"/>
    </w:rPr>
  </w:style>
  <w:style w:type="character" w:customStyle="1" w:styleId="Heading2Char">
    <w:name w:val="Heading 2 Char"/>
    <w:basedOn w:val="DefaultParagraphFont"/>
    <w:link w:val="Heading2"/>
    <w:uiPriority w:val="9"/>
    <w:rsid w:val="003C32C2"/>
    <w:rPr>
      <w:rFonts w:ascii="Cambria" w:hAnsi="Cambria" w:cs="Arial"/>
      <w:b/>
      <w:sz w:val="28"/>
      <w:szCs w:val="28"/>
    </w:rPr>
  </w:style>
  <w:style w:type="character" w:customStyle="1" w:styleId="Heading3Char">
    <w:name w:val="Heading 3 Char"/>
    <w:basedOn w:val="DefaultParagraphFont"/>
    <w:link w:val="Heading3"/>
    <w:uiPriority w:val="9"/>
    <w:rsid w:val="00955E21"/>
    <w:rPr>
      <w:rFonts w:ascii="Garamond" w:hAnsi="Garamond" w:cs="Arial"/>
      <w:b/>
      <w:sz w:val="26"/>
    </w:rPr>
  </w:style>
  <w:style w:type="paragraph" w:customStyle="1" w:styleId="ParaTitle">
    <w:name w:val="Para Title"/>
    <w:basedOn w:val="Normal"/>
    <w:next w:val="Normal"/>
    <w:link w:val="ParaTitleChar"/>
    <w:qFormat/>
    <w:rsid w:val="00955E21"/>
    <w:pPr>
      <w:spacing w:before="0" w:after="40"/>
    </w:pPr>
    <w:rPr>
      <w:rFonts w:ascii="Garamond" w:hAnsi="Garamond"/>
      <w:b/>
      <w:sz w:val="28"/>
      <w:szCs w:val="24"/>
    </w:rPr>
  </w:style>
  <w:style w:type="paragraph" w:styleId="Quote">
    <w:name w:val="Quote"/>
    <w:basedOn w:val="Normal"/>
    <w:next w:val="Normal"/>
    <w:link w:val="QuoteChar"/>
    <w:uiPriority w:val="29"/>
    <w:qFormat/>
    <w:rsid w:val="00B73F02"/>
    <w:pPr>
      <w:spacing w:before="320"/>
      <w:ind w:left="864" w:right="864"/>
      <w:jc w:val="center"/>
    </w:pPr>
    <w:rPr>
      <w:rFonts w:ascii="ArialMJ" w:hAnsi="ArialMJ"/>
      <w:iCs/>
      <w:color w:val="404040" w:themeColor="text1" w:themeTint="BF"/>
    </w:rPr>
  </w:style>
  <w:style w:type="character" w:customStyle="1" w:styleId="ParaTitleChar">
    <w:name w:val="Para Title Char"/>
    <w:basedOn w:val="DefaultParagraphFont"/>
    <w:link w:val="ParaTitle"/>
    <w:rsid w:val="00955E21"/>
    <w:rPr>
      <w:rFonts w:ascii="Garamond" w:hAnsi="Garamond"/>
      <w:b/>
      <w:sz w:val="28"/>
      <w:szCs w:val="24"/>
    </w:rPr>
  </w:style>
  <w:style w:type="character" w:customStyle="1" w:styleId="QuoteChar">
    <w:name w:val="Quote Char"/>
    <w:basedOn w:val="DefaultParagraphFont"/>
    <w:link w:val="Quote"/>
    <w:uiPriority w:val="29"/>
    <w:rsid w:val="00B73F02"/>
    <w:rPr>
      <w:rFonts w:ascii="ArialMJ" w:hAnsi="ArialMJ"/>
      <w:iCs/>
      <w:color w:val="404040" w:themeColor="text1" w:themeTint="BF"/>
    </w:rPr>
  </w:style>
  <w:style w:type="paragraph" w:styleId="NoSpacing">
    <w:name w:val="No Spacing"/>
    <w:aliases w:val="References"/>
    <w:basedOn w:val="Normal"/>
    <w:uiPriority w:val="1"/>
    <w:qFormat/>
    <w:rsid w:val="00B1328B"/>
    <w:pPr>
      <w:spacing w:before="240" w:after="120"/>
    </w:pPr>
  </w:style>
  <w:style w:type="paragraph" w:styleId="TOCHeading">
    <w:name w:val="TOC Heading"/>
    <w:basedOn w:val="Heading1"/>
    <w:next w:val="Normal"/>
    <w:uiPriority w:val="39"/>
    <w:unhideWhenUsed/>
    <w:qFormat/>
    <w:rsid w:val="009765CA"/>
    <w:pPr>
      <w:keepNext/>
      <w:keepLines/>
      <w:spacing w:after="0" w:line="259" w:lineRule="auto"/>
      <w:jc w:val="left"/>
      <w:outlineLvl w:val="9"/>
    </w:pPr>
    <w:rPr>
      <w:rFonts w:eastAsiaTheme="majorEastAsia" w:cstheme="majorBidi"/>
      <w:color w:val="2F5496" w:themeColor="accent1" w:themeShade="BF"/>
      <w:szCs w:val="32"/>
      <w:lang w:val="en-US"/>
    </w:rPr>
  </w:style>
  <w:style w:type="paragraph" w:styleId="TOC2">
    <w:name w:val="toc 2"/>
    <w:basedOn w:val="Normal"/>
    <w:next w:val="Normal"/>
    <w:autoRedefine/>
    <w:uiPriority w:val="39"/>
    <w:unhideWhenUsed/>
    <w:rsid w:val="009765CA"/>
    <w:pPr>
      <w:spacing w:after="100"/>
      <w:ind w:left="220"/>
    </w:pPr>
  </w:style>
  <w:style w:type="character" w:styleId="Hyperlink">
    <w:name w:val="Hyperlink"/>
    <w:basedOn w:val="DefaultParagraphFont"/>
    <w:uiPriority w:val="99"/>
    <w:unhideWhenUsed/>
    <w:rsid w:val="009765CA"/>
    <w:rPr>
      <w:color w:val="0563C1" w:themeColor="hyperlink"/>
      <w:u w:val="single"/>
    </w:rPr>
  </w:style>
  <w:style w:type="paragraph" w:styleId="Subtitle">
    <w:name w:val="Subtitle"/>
    <w:basedOn w:val="Normal"/>
    <w:next w:val="Normal"/>
    <w:link w:val="SubtitleChar"/>
    <w:uiPriority w:val="11"/>
    <w:qFormat/>
    <w:pPr>
      <w:spacing w:after="160"/>
      <w:jc w:val="center"/>
    </w:pPr>
    <w:rPr>
      <w:rFonts w:ascii="Garamond" w:eastAsia="Garamond" w:hAnsi="Garamond" w:cs="Garamond"/>
      <w:b/>
      <w:sz w:val="36"/>
      <w:szCs w:val="36"/>
    </w:rPr>
  </w:style>
  <w:style w:type="character" w:customStyle="1" w:styleId="SubtitleChar">
    <w:name w:val="Subtitle Char"/>
    <w:basedOn w:val="DefaultParagraphFont"/>
    <w:link w:val="Subtitle"/>
    <w:uiPriority w:val="11"/>
    <w:rsid w:val="00955E21"/>
    <w:rPr>
      <w:rFonts w:ascii="Garamond" w:eastAsiaTheme="minorEastAsia" w:hAnsi="Garamond"/>
      <w:b/>
      <w:spacing w:val="15"/>
      <w:sz w:val="36"/>
    </w:rPr>
  </w:style>
  <w:style w:type="paragraph" w:styleId="Header">
    <w:name w:val="header"/>
    <w:basedOn w:val="Normal"/>
    <w:link w:val="HeaderChar"/>
    <w:uiPriority w:val="99"/>
    <w:unhideWhenUsed/>
    <w:rsid w:val="00054A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4A31"/>
    <w:rPr>
      <w:rFonts w:ascii="Arial" w:hAnsi="Arial"/>
    </w:rPr>
  </w:style>
  <w:style w:type="paragraph" w:styleId="Footer">
    <w:name w:val="footer"/>
    <w:basedOn w:val="Normal"/>
    <w:link w:val="FooterChar"/>
    <w:uiPriority w:val="99"/>
    <w:unhideWhenUsed/>
    <w:rsid w:val="00054A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4A31"/>
    <w:rPr>
      <w:rFonts w:ascii="Arial" w:hAnsi="Arial"/>
    </w:rPr>
  </w:style>
  <w:style w:type="paragraph" w:styleId="TOC1">
    <w:name w:val="toc 1"/>
    <w:basedOn w:val="Normal"/>
    <w:next w:val="Normal"/>
    <w:autoRedefine/>
    <w:uiPriority w:val="39"/>
    <w:unhideWhenUsed/>
    <w:rsid w:val="007B28AB"/>
    <w:pPr>
      <w:spacing w:after="100"/>
    </w:pPr>
  </w:style>
  <w:style w:type="table" w:styleId="TableGrid">
    <w:name w:val="Table Grid"/>
    <w:basedOn w:val="TableNormal"/>
    <w:uiPriority w:val="39"/>
    <w:rsid w:val="00B132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567EB"/>
    <w:pPr>
      <w:spacing w:before="0" w:after="200" w:line="240" w:lineRule="auto"/>
    </w:pPr>
    <w:rPr>
      <w:i/>
      <w:iCs/>
      <w:color w:val="44546A" w:themeColor="text2"/>
      <w:sz w:val="18"/>
      <w:szCs w:val="18"/>
    </w:rPr>
  </w:style>
  <w:style w:type="table" w:customStyle="1" w:styleId="a">
    <w:basedOn w:val="TableNormal"/>
    <w:pPr>
      <w:spacing w:after="0" w:line="240" w:lineRule="auto"/>
    </w:pPr>
    <w:tblPr>
      <w:tblStyleRowBandSize w:val="1"/>
      <w:tblStyleColBandSize w:val="1"/>
    </w:tblPr>
  </w:style>
  <w:style w:type="paragraph" w:styleId="IntenseQuote">
    <w:name w:val="Intense Quote"/>
    <w:basedOn w:val="Normal"/>
    <w:next w:val="Normal"/>
    <w:link w:val="IntenseQuoteChar"/>
    <w:uiPriority w:val="30"/>
    <w:qFormat/>
    <w:rsid w:val="00351F96"/>
    <w:pPr>
      <w:pBdr>
        <w:top w:val="single" w:sz="4" w:space="10" w:color="4472C4" w:themeColor="accent1"/>
        <w:bottom w:val="single" w:sz="4" w:space="10" w:color="4472C4" w:themeColor="accent1"/>
      </w:pBdr>
      <w:spacing w:before="360" w:after="360"/>
      <w:ind w:left="864" w:right="864"/>
      <w:jc w:val="center"/>
    </w:pPr>
    <w:rPr>
      <w:i/>
      <w:iCs/>
      <w:color w:val="4472C4" w:themeColor="accent1"/>
      <w:szCs w:val="28"/>
    </w:rPr>
  </w:style>
  <w:style w:type="character" w:customStyle="1" w:styleId="IntenseQuoteChar">
    <w:name w:val="Intense Quote Char"/>
    <w:basedOn w:val="DefaultParagraphFont"/>
    <w:link w:val="IntenseQuote"/>
    <w:uiPriority w:val="30"/>
    <w:rsid w:val="00351F96"/>
    <w:rPr>
      <w:i/>
      <w:iCs/>
      <w:color w:val="4472C4" w:themeColor="accent1"/>
      <w:szCs w:val="28"/>
    </w:r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F9556D-A8EF-4572-A716-1945E2472A9F}" type="doc">
      <dgm:prSet loTypeId="urn:microsoft.com/office/officeart/2005/8/layout/hProcess9" loCatId="process" qsTypeId="urn:microsoft.com/office/officeart/2005/8/quickstyle/simple1" qsCatId="simple" csTypeId="urn:microsoft.com/office/officeart/2005/8/colors/accent1_1" csCatId="accent1" phldr="1"/>
      <dgm:spPr/>
    </dgm:pt>
    <dgm:pt modelId="{38E028BA-1FE4-4AFF-8149-2B22CCBF8BF2}">
      <dgm:prSet phldrT="[Text]"/>
      <dgm:spPr/>
      <dgm:t>
        <a:bodyPr/>
        <a:lstStyle/>
        <a:p>
          <a:r>
            <a:rPr lang="en-GB"/>
            <a:t>Basic guide on using tablets and laptops</a:t>
          </a:r>
        </a:p>
      </dgm:t>
    </dgm:pt>
    <dgm:pt modelId="{7F03AB92-3DFB-47BD-907F-3F2BE1C145E5}" type="parTrans" cxnId="{A1924043-E451-47FC-A697-52FF6EE0575C}">
      <dgm:prSet/>
      <dgm:spPr/>
      <dgm:t>
        <a:bodyPr/>
        <a:lstStyle/>
        <a:p>
          <a:endParaRPr lang="en-GB"/>
        </a:p>
      </dgm:t>
    </dgm:pt>
    <dgm:pt modelId="{75D856BB-1B8C-4AD5-8B72-FD04BC87CAAF}" type="sibTrans" cxnId="{A1924043-E451-47FC-A697-52FF6EE0575C}">
      <dgm:prSet/>
      <dgm:spPr/>
      <dgm:t>
        <a:bodyPr/>
        <a:lstStyle/>
        <a:p>
          <a:endParaRPr lang="en-GB"/>
        </a:p>
      </dgm:t>
    </dgm:pt>
    <dgm:pt modelId="{89BB8BD6-7DA6-45CB-9BA6-6326EF1A86D3}">
      <dgm:prSet phldrT="[Text]"/>
      <dgm:spPr/>
      <dgm:t>
        <a:bodyPr/>
        <a:lstStyle/>
        <a:p>
          <a:r>
            <a:rPr lang="en-GB"/>
            <a:t>Safe applications such as YouTube Kids</a:t>
          </a:r>
        </a:p>
      </dgm:t>
    </dgm:pt>
    <dgm:pt modelId="{3AADA7FA-C8E4-4C74-BCDD-F4D46187E4F0}" type="parTrans" cxnId="{3F61E9BA-81E8-4FCB-8E67-89ED2BFA2BA9}">
      <dgm:prSet/>
      <dgm:spPr/>
      <dgm:t>
        <a:bodyPr/>
        <a:lstStyle/>
        <a:p>
          <a:endParaRPr lang="en-GB"/>
        </a:p>
      </dgm:t>
    </dgm:pt>
    <dgm:pt modelId="{DB3F76B9-C68F-48E7-B364-D9E8A0919FB6}" type="sibTrans" cxnId="{3F61E9BA-81E8-4FCB-8E67-89ED2BFA2BA9}">
      <dgm:prSet/>
      <dgm:spPr/>
      <dgm:t>
        <a:bodyPr/>
        <a:lstStyle/>
        <a:p>
          <a:endParaRPr lang="en-GB"/>
        </a:p>
      </dgm:t>
    </dgm:pt>
    <dgm:pt modelId="{540E35B5-2D7C-4138-8CAD-D4751CFFCAFA}">
      <dgm:prSet phldrT="[Text]"/>
      <dgm:spPr/>
      <dgm:t>
        <a:bodyPr/>
        <a:lstStyle/>
        <a:p>
          <a:r>
            <a:rPr lang="en-GB"/>
            <a:t>Both children and parents will be guided for the safe usage</a:t>
          </a:r>
        </a:p>
      </dgm:t>
    </dgm:pt>
    <dgm:pt modelId="{7A0CE47F-0015-4617-9A0B-A9B583589419}" type="parTrans" cxnId="{7FF56096-E169-4501-9503-6E6954E37C4F}">
      <dgm:prSet/>
      <dgm:spPr/>
      <dgm:t>
        <a:bodyPr/>
        <a:lstStyle/>
        <a:p>
          <a:endParaRPr lang="en-GB"/>
        </a:p>
      </dgm:t>
    </dgm:pt>
    <dgm:pt modelId="{5EDAC603-B376-4D94-AE05-6B608CB1D4D4}" type="sibTrans" cxnId="{7FF56096-E169-4501-9503-6E6954E37C4F}">
      <dgm:prSet/>
      <dgm:spPr/>
      <dgm:t>
        <a:bodyPr/>
        <a:lstStyle/>
        <a:p>
          <a:endParaRPr lang="en-GB"/>
        </a:p>
      </dgm:t>
    </dgm:pt>
    <dgm:pt modelId="{420350C3-779F-4FF5-9656-6C061180C074}">
      <dgm:prSet phldrT="[Text]"/>
      <dgm:spPr/>
      <dgm:t>
        <a:bodyPr/>
        <a:lstStyle/>
        <a:p>
          <a:r>
            <a:rPr lang="en-GB"/>
            <a:t>Feedback will be taken and addressed</a:t>
          </a:r>
        </a:p>
      </dgm:t>
    </dgm:pt>
    <dgm:pt modelId="{04A629ED-FBC0-431E-B37A-77E03C630640}" type="parTrans" cxnId="{4FAAD9E8-1041-4493-8756-C1959B57EFE0}">
      <dgm:prSet/>
      <dgm:spPr/>
      <dgm:t>
        <a:bodyPr/>
        <a:lstStyle/>
        <a:p>
          <a:endParaRPr lang="en-GB"/>
        </a:p>
      </dgm:t>
    </dgm:pt>
    <dgm:pt modelId="{915EB0B4-E1D0-4A22-944F-8F2C9810224A}" type="sibTrans" cxnId="{4FAAD9E8-1041-4493-8756-C1959B57EFE0}">
      <dgm:prSet/>
      <dgm:spPr/>
      <dgm:t>
        <a:bodyPr/>
        <a:lstStyle/>
        <a:p>
          <a:endParaRPr lang="en-GB"/>
        </a:p>
      </dgm:t>
    </dgm:pt>
    <dgm:pt modelId="{71C3A680-C25E-49F7-B737-CD225645EBA7}" type="pres">
      <dgm:prSet presAssocID="{F7F9556D-A8EF-4572-A716-1945E2472A9F}" presName="CompostProcess" presStyleCnt="0">
        <dgm:presLayoutVars>
          <dgm:dir/>
          <dgm:resizeHandles val="exact"/>
        </dgm:presLayoutVars>
      </dgm:prSet>
      <dgm:spPr/>
    </dgm:pt>
    <dgm:pt modelId="{54AE2784-2204-40FF-AE93-6CE5BD59756E}" type="pres">
      <dgm:prSet presAssocID="{F7F9556D-A8EF-4572-A716-1945E2472A9F}" presName="arrow" presStyleLbl="bgShp" presStyleIdx="0" presStyleCnt="1"/>
      <dgm:spPr/>
    </dgm:pt>
    <dgm:pt modelId="{F2C1CAC4-4AE8-4843-9820-F7940E1F3069}" type="pres">
      <dgm:prSet presAssocID="{F7F9556D-A8EF-4572-A716-1945E2472A9F}" presName="linearProcess" presStyleCnt="0"/>
      <dgm:spPr/>
    </dgm:pt>
    <dgm:pt modelId="{96E8BDC5-959E-4BF5-B01F-A24CACDF77CB}" type="pres">
      <dgm:prSet presAssocID="{38E028BA-1FE4-4AFF-8149-2B22CCBF8BF2}" presName="textNode" presStyleLbl="node1" presStyleIdx="0" presStyleCnt="4">
        <dgm:presLayoutVars>
          <dgm:bulletEnabled val="1"/>
        </dgm:presLayoutVars>
      </dgm:prSet>
      <dgm:spPr/>
    </dgm:pt>
    <dgm:pt modelId="{5DB09C68-CA20-4129-A6DA-525C172F52E4}" type="pres">
      <dgm:prSet presAssocID="{75D856BB-1B8C-4AD5-8B72-FD04BC87CAAF}" presName="sibTrans" presStyleCnt="0"/>
      <dgm:spPr/>
    </dgm:pt>
    <dgm:pt modelId="{05E1D6CD-CED1-4433-8A49-B4FA8B233A7F}" type="pres">
      <dgm:prSet presAssocID="{89BB8BD6-7DA6-45CB-9BA6-6326EF1A86D3}" presName="textNode" presStyleLbl="node1" presStyleIdx="1" presStyleCnt="4">
        <dgm:presLayoutVars>
          <dgm:bulletEnabled val="1"/>
        </dgm:presLayoutVars>
      </dgm:prSet>
      <dgm:spPr/>
    </dgm:pt>
    <dgm:pt modelId="{7B47E03F-1551-4113-B6EB-14714105E755}" type="pres">
      <dgm:prSet presAssocID="{DB3F76B9-C68F-48E7-B364-D9E8A0919FB6}" presName="sibTrans" presStyleCnt="0"/>
      <dgm:spPr/>
    </dgm:pt>
    <dgm:pt modelId="{5522D800-58AC-4878-8839-4FFC8568490A}" type="pres">
      <dgm:prSet presAssocID="{540E35B5-2D7C-4138-8CAD-D4751CFFCAFA}" presName="textNode" presStyleLbl="node1" presStyleIdx="2" presStyleCnt="4" custLinFactNeighborX="-14366" custLinFactNeighborY="1984">
        <dgm:presLayoutVars>
          <dgm:bulletEnabled val="1"/>
        </dgm:presLayoutVars>
      </dgm:prSet>
      <dgm:spPr/>
    </dgm:pt>
    <dgm:pt modelId="{0407D2A3-015A-47DF-9BD8-1A20E799DED5}" type="pres">
      <dgm:prSet presAssocID="{5EDAC603-B376-4D94-AE05-6B608CB1D4D4}" presName="sibTrans" presStyleCnt="0"/>
      <dgm:spPr/>
    </dgm:pt>
    <dgm:pt modelId="{48A9FB31-C1F0-4353-AAF2-0E2B102792D2}" type="pres">
      <dgm:prSet presAssocID="{420350C3-779F-4FF5-9656-6C061180C074}" presName="textNode" presStyleLbl="node1" presStyleIdx="3" presStyleCnt="4">
        <dgm:presLayoutVars>
          <dgm:bulletEnabled val="1"/>
        </dgm:presLayoutVars>
      </dgm:prSet>
      <dgm:spPr/>
    </dgm:pt>
  </dgm:ptLst>
  <dgm:cxnLst>
    <dgm:cxn modelId="{E04B7E07-36C2-40EB-9840-3CED05F6BBD6}" type="presOf" srcId="{420350C3-779F-4FF5-9656-6C061180C074}" destId="{48A9FB31-C1F0-4353-AAF2-0E2B102792D2}" srcOrd="0" destOrd="0" presId="urn:microsoft.com/office/officeart/2005/8/layout/hProcess9"/>
    <dgm:cxn modelId="{B489A213-B981-46D2-A5DD-38029847159D}" type="presOf" srcId="{F7F9556D-A8EF-4572-A716-1945E2472A9F}" destId="{71C3A680-C25E-49F7-B737-CD225645EBA7}" srcOrd="0" destOrd="0" presId="urn:microsoft.com/office/officeart/2005/8/layout/hProcess9"/>
    <dgm:cxn modelId="{A1924043-E451-47FC-A697-52FF6EE0575C}" srcId="{F7F9556D-A8EF-4572-A716-1945E2472A9F}" destId="{38E028BA-1FE4-4AFF-8149-2B22CCBF8BF2}" srcOrd="0" destOrd="0" parTransId="{7F03AB92-3DFB-47BD-907F-3F2BE1C145E5}" sibTransId="{75D856BB-1B8C-4AD5-8B72-FD04BC87CAAF}"/>
    <dgm:cxn modelId="{1E78F16E-BBDB-4093-8042-0DC0ABD54184}" type="presOf" srcId="{89BB8BD6-7DA6-45CB-9BA6-6326EF1A86D3}" destId="{05E1D6CD-CED1-4433-8A49-B4FA8B233A7F}" srcOrd="0" destOrd="0" presId="urn:microsoft.com/office/officeart/2005/8/layout/hProcess9"/>
    <dgm:cxn modelId="{7FF56096-E169-4501-9503-6E6954E37C4F}" srcId="{F7F9556D-A8EF-4572-A716-1945E2472A9F}" destId="{540E35B5-2D7C-4138-8CAD-D4751CFFCAFA}" srcOrd="2" destOrd="0" parTransId="{7A0CE47F-0015-4617-9A0B-A9B583589419}" sibTransId="{5EDAC603-B376-4D94-AE05-6B608CB1D4D4}"/>
    <dgm:cxn modelId="{3F61E9BA-81E8-4FCB-8E67-89ED2BFA2BA9}" srcId="{F7F9556D-A8EF-4572-A716-1945E2472A9F}" destId="{89BB8BD6-7DA6-45CB-9BA6-6326EF1A86D3}" srcOrd="1" destOrd="0" parTransId="{3AADA7FA-C8E4-4C74-BCDD-F4D46187E4F0}" sibTransId="{DB3F76B9-C68F-48E7-B364-D9E8A0919FB6}"/>
    <dgm:cxn modelId="{5613E7D6-ECF8-488B-86B3-1CE7F341AAE7}" type="presOf" srcId="{540E35B5-2D7C-4138-8CAD-D4751CFFCAFA}" destId="{5522D800-58AC-4878-8839-4FFC8568490A}" srcOrd="0" destOrd="0" presId="urn:microsoft.com/office/officeart/2005/8/layout/hProcess9"/>
    <dgm:cxn modelId="{4FAAD9E8-1041-4493-8756-C1959B57EFE0}" srcId="{F7F9556D-A8EF-4572-A716-1945E2472A9F}" destId="{420350C3-779F-4FF5-9656-6C061180C074}" srcOrd="3" destOrd="0" parTransId="{04A629ED-FBC0-431E-B37A-77E03C630640}" sibTransId="{915EB0B4-E1D0-4A22-944F-8F2C9810224A}"/>
    <dgm:cxn modelId="{C5F13AF4-E335-44F7-B2E0-9C862E31A8E9}" type="presOf" srcId="{38E028BA-1FE4-4AFF-8149-2B22CCBF8BF2}" destId="{96E8BDC5-959E-4BF5-B01F-A24CACDF77CB}" srcOrd="0" destOrd="0" presId="urn:microsoft.com/office/officeart/2005/8/layout/hProcess9"/>
    <dgm:cxn modelId="{35E76F41-1C36-4C7E-B102-D92D235395B2}" type="presParOf" srcId="{71C3A680-C25E-49F7-B737-CD225645EBA7}" destId="{54AE2784-2204-40FF-AE93-6CE5BD59756E}" srcOrd="0" destOrd="0" presId="urn:microsoft.com/office/officeart/2005/8/layout/hProcess9"/>
    <dgm:cxn modelId="{46662B57-7AE8-45BF-8E1E-891CA588290E}" type="presParOf" srcId="{71C3A680-C25E-49F7-B737-CD225645EBA7}" destId="{F2C1CAC4-4AE8-4843-9820-F7940E1F3069}" srcOrd="1" destOrd="0" presId="urn:microsoft.com/office/officeart/2005/8/layout/hProcess9"/>
    <dgm:cxn modelId="{BE90E3D5-094C-43F6-A8F4-2F04C8CD6D76}" type="presParOf" srcId="{F2C1CAC4-4AE8-4843-9820-F7940E1F3069}" destId="{96E8BDC5-959E-4BF5-B01F-A24CACDF77CB}" srcOrd="0" destOrd="0" presId="urn:microsoft.com/office/officeart/2005/8/layout/hProcess9"/>
    <dgm:cxn modelId="{8F1F4435-E0D9-4ACD-93F0-6E5EB16068DE}" type="presParOf" srcId="{F2C1CAC4-4AE8-4843-9820-F7940E1F3069}" destId="{5DB09C68-CA20-4129-A6DA-525C172F52E4}" srcOrd="1" destOrd="0" presId="urn:microsoft.com/office/officeart/2005/8/layout/hProcess9"/>
    <dgm:cxn modelId="{A0B38B1A-41FA-4CE4-A574-8DE30F696FE0}" type="presParOf" srcId="{F2C1CAC4-4AE8-4843-9820-F7940E1F3069}" destId="{05E1D6CD-CED1-4433-8A49-B4FA8B233A7F}" srcOrd="2" destOrd="0" presId="urn:microsoft.com/office/officeart/2005/8/layout/hProcess9"/>
    <dgm:cxn modelId="{5CC44E2D-6DCD-41C7-9113-BC4648A56320}" type="presParOf" srcId="{F2C1CAC4-4AE8-4843-9820-F7940E1F3069}" destId="{7B47E03F-1551-4113-B6EB-14714105E755}" srcOrd="3" destOrd="0" presId="urn:microsoft.com/office/officeart/2005/8/layout/hProcess9"/>
    <dgm:cxn modelId="{CF17E9DC-B6E8-4BCC-B741-766D42948C33}" type="presParOf" srcId="{F2C1CAC4-4AE8-4843-9820-F7940E1F3069}" destId="{5522D800-58AC-4878-8839-4FFC8568490A}" srcOrd="4" destOrd="0" presId="urn:microsoft.com/office/officeart/2005/8/layout/hProcess9"/>
    <dgm:cxn modelId="{211714C5-D62C-4670-861C-0CB7AD34CB46}" type="presParOf" srcId="{F2C1CAC4-4AE8-4843-9820-F7940E1F3069}" destId="{0407D2A3-015A-47DF-9BD8-1A20E799DED5}" srcOrd="5" destOrd="0" presId="urn:microsoft.com/office/officeart/2005/8/layout/hProcess9"/>
    <dgm:cxn modelId="{CCB84CF5-F41A-4A00-AB4F-A5230E364E0E}" type="presParOf" srcId="{F2C1CAC4-4AE8-4843-9820-F7940E1F3069}" destId="{48A9FB31-C1F0-4353-AAF2-0E2B102792D2}" srcOrd="6" destOrd="0" presId="urn:microsoft.com/office/officeart/2005/8/layout/hProcess9"/>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AE2784-2204-40FF-AE93-6CE5BD59756E}">
      <dsp:nvSpPr>
        <dsp:cNvPr id="0" name=""/>
        <dsp:cNvSpPr/>
      </dsp:nvSpPr>
      <dsp:spPr>
        <a:xfrm>
          <a:off x="425291" y="0"/>
          <a:ext cx="4819967" cy="2412999"/>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E8BDC5-959E-4BF5-B01F-A24CACDF77CB}">
      <dsp:nvSpPr>
        <dsp:cNvPr id="0" name=""/>
        <dsp:cNvSpPr/>
      </dsp:nvSpPr>
      <dsp:spPr>
        <a:xfrm>
          <a:off x="2838" y="723899"/>
          <a:ext cx="1365029" cy="96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Basic guide on using tablets and laptops</a:t>
          </a:r>
        </a:p>
      </dsp:txBody>
      <dsp:txXfrm>
        <a:off x="49955" y="771016"/>
        <a:ext cx="1270795" cy="870966"/>
      </dsp:txXfrm>
    </dsp:sp>
    <dsp:sp modelId="{05E1D6CD-CED1-4433-8A49-B4FA8B233A7F}">
      <dsp:nvSpPr>
        <dsp:cNvPr id="0" name=""/>
        <dsp:cNvSpPr/>
      </dsp:nvSpPr>
      <dsp:spPr>
        <a:xfrm>
          <a:off x="1436119" y="723899"/>
          <a:ext cx="1365029" cy="96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Safe applications such as YouTube Kids</a:t>
          </a:r>
        </a:p>
      </dsp:txBody>
      <dsp:txXfrm>
        <a:off x="1483236" y="771016"/>
        <a:ext cx="1270795" cy="870966"/>
      </dsp:txXfrm>
    </dsp:sp>
    <dsp:sp modelId="{5522D800-58AC-4878-8839-4FFC8568490A}">
      <dsp:nvSpPr>
        <dsp:cNvPr id="0" name=""/>
        <dsp:cNvSpPr/>
      </dsp:nvSpPr>
      <dsp:spPr>
        <a:xfrm>
          <a:off x="2859595" y="743049"/>
          <a:ext cx="1365029" cy="96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Both children and parents will be guided for the safe usage</a:t>
          </a:r>
        </a:p>
      </dsp:txBody>
      <dsp:txXfrm>
        <a:off x="2906712" y="790166"/>
        <a:ext cx="1270795" cy="870966"/>
      </dsp:txXfrm>
    </dsp:sp>
    <dsp:sp modelId="{48A9FB31-C1F0-4353-AAF2-0E2B102792D2}">
      <dsp:nvSpPr>
        <dsp:cNvPr id="0" name=""/>
        <dsp:cNvSpPr/>
      </dsp:nvSpPr>
      <dsp:spPr>
        <a:xfrm>
          <a:off x="4302682" y="723899"/>
          <a:ext cx="1365029" cy="96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Feedback will be taken and addressed</a:t>
          </a:r>
        </a:p>
      </dsp:txBody>
      <dsp:txXfrm>
        <a:off x="4349799" y="771016"/>
        <a:ext cx="1270795" cy="87096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ayD/ccxM3ozER+8xh6z04UVHiyQ==">AMUW2mUHJMjvXUYvClkMxmeF5cKuxCpbVyiWoCHlE8I10V3mODzK2vtbPdtXmMx4/+wmTzf4sJM0LHAHHR8iPwQuxuiQxGkO5fQ5lAaZmrs5sV9kvvcogrMffoN8+LPR1Pdf4a+yXfbcmgnAzAYhaH45WcAmWU95WUZNOwy+mVRlbcqy7id28RWhPPC3INUZyplXZKzECOJEZ/q3UwlLblw3vWRKmbQEbO2XStdLOFrnI4Aj2WaGyVs=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5157</Words>
  <Characters>29398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34487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7</cp:revision>
  <dcterms:created xsi:type="dcterms:W3CDTF">2021-05-10T03:03:00Z</dcterms:created>
  <dcterms:modified xsi:type="dcterms:W3CDTF">2021-05-21T10:33:00Z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ca434853-960a-3e36-9282-cd3274aa0221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(author-date)</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