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drawingml.diagramData+xml" PartName="/word/diagrams/data1.xml"/>
  <Override ContentType="application/vnd.openxmlformats-officedocument.wordprocessingml.footer+xml" PartName="/word/footer1.xml"/>
  <Override ContentType="application/vnd.openxmlformats-officedocument.drawingml.diagramLayout+xml" PartName="/word/diagrams/layout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drawingml.diagramStyle+xml" PartName="/word/diagrams/quickStyle1.xml"/>
  <Override ContentType="application/vnd.ms-office.drawingml.diagramDrawing+xml" PartName="/word/diagrams/drawing1.xml"/>
  <Override ContentType="application/vnd.openxmlformats-officedocument.wordprocessingml.document.main+xml" PartName="/word/document.xml"/>
  <Override ContentType="application/vnd.openxmlformats-officedocument.drawingml.diagramColors+xml" PartName="/word/diagrams/colors1.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sz w:val="32"/>
          <w:szCs w:val="32"/>
        </w:rPr>
      </w:pPr>
      <w:r w:rsidDel="00000000" w:rsidR="00000000" w:rsidRPr="00000000">
        <w:rPr>
          <w:rtl w:val="0"/>
        </w:rPr>
      </w:r>
    </w:p>
    <w:p w:rsidR="00000000" w:rsidDel="00000000" w:rsidP="00000000" w:rsidRDefault="00000000" w:rsidRPr="00000000" w14:paraId="00000002">
      <w:pPr>
        <w:spacing w:after="0" w:line="240" w:lineRule="auto"/>
        <w:jc w:val="center"/>
        <w:rPr>
          <w:sz w:val="32"/>
          <w:szCs w:val="32"/>
        </w:rPr>
      </w:pPr>
      <w:r w:rsidDel="00000000" w:rsidR="00000000" w:rsidRPr="00000000">
        <w:rPr>
          <w:rtl w:val="0"/>
        </w:rPr>
      </w:r>
    </w:p>
    <w:p w:rsidR="00000000" w:rsidDel="00000000" w:rsidP="00000000" w:rsidRDefault="00000000" w:rsidRPr="00000000" w14:paraId="00000003">
      <w:pPr>
        <w:spacing w:after="0" w:line="240" w:lineRule="auto"/>
        <w:jc w:val="center"/>
        <w:rPr>
          <w:sz w:val="32"/>
          <w:szCs w:val="32"/>
        </w:rPr>
      </w:pPr>
      <w:r w:rsidDel="00000000" w:rsidR="00000000" w:rsidRPr="00000000">
        <w:rPr>
          <w:sz w:val="32"/>
          <w:szCs w:val="32"/>
          <w:rtl w:val="0"/>
        </w:rPr>
        <w:t xml:space="preserve">Student  name:George Dinu Student number:2133426 Lecturer:Tristan Hawkins Modul name: Financial Management (BMIH507)</w:t>
      </w:r>
    </w:p>
    <w:p w:rsidR="00000000" w:rsidDel="00000000" w:rsidP="00000000" w:rsidRDefault="00000000" w:rsidRPr="00000000" w14:paraId="00000004">
      <w:pPr>
        <w:spacing w:after="0" w:line="240" w:lineRule="auto"/>
        <w:jc w:val="center"/>
        <w:rPr>
          <w:sz w:val="32"/>
          <w:szCs w:val="32"/>
        </w:rPr>
      </w:pPr>
      <w:r w:rsidDel="00000000" w:rsidR="00000000" w:rsidRPr="00000000">
        <w:rPr>
          <w:rtl w:val="0"/>
        </w:rPr>
      </w:r>
    </w:p>
    <w:p w:rsidR="00000000" w:rsidDel="00000000" w:rsidP="00000000" w:rsidRDefault="00000000" w:rsidRPr="00000000" w14:paraId="00000005">
      <w:pPr>
        <w:spacing w:after="0" w:line="240" w:lineRule="auto"/>
        <w:jc w:val="center"/>
        <w:rPr>
          <w:sz w:val="32"/>
          <w:szCs w:val="32"/>
        </w:rPr>
      </w:pPr>
      <w:r w:rsidDel="00000000" w:rsidR="00000000" w:rsidRPr="00000000">
        <w:rPr>
          <w:rtl w:val="0"/>
        </w:rPr>
      </w:r>
    </w:p>
    <w:p w:rsidR="00000000" w:rsidDel="00000000" w:rsidP="00000000" w:rsidRDefault="00000000" w:rsidRPr="00000000" w14:paraId="00000006">
      <w:pPr>
        <w:spacing w:after="0" w:line="240" w:lineRule="auto"/>
        <w:jc w:val="center"/>
        <w:rPr>
          <w:sz w:val="32"/>
          <w:szCs w:val="32"/>
        </w:rPr>
      </w:pPr>
      <w:r w:rsidDel="00000000" w:rsidR="00000000" w:rsidRPr="00000000">
        <w:rPr>
          <w:rtl w:val="0"/>
        </w:rPr>
      </w:r>
    </w:p>
    <w:p w:rsidR="00000000" w:rsidDel="00000000" w:rsidP="00000000" w:rsidRDefault="00000000" w:rsidRPr="00000000" w14:paraId="00000007">
      <w:pPr>
        <w:spacing w:after="0" w:line="240" w:lineRule="auto"/>
        <w:jc w:val="center"/>
        <w:rPr>
          <w:sz w:val="32"/>
          <w:szCs w:val="32"/>
        </w:rPr>
      </w:pPr>
      <w:r w:rsidDel="00000000" w:rsidR="00000000" w:rsidRPr="00000000">
        <w:rPr>
          <w:rtl w:val="0"/>
        </w:rPr>
      </w:r>
    </w:p>
    <w:p w:rsidR="00000000" w:rsidDel="00000000" w:rsidP="00000000" w:rsidRDefault="00000000" w:rsidRPr="00000000" w14:paraId="00000008">
      <w:pPr>
        <w:spacing w:after="0" w:line="240" w:lineRule="auto"/>
        <w:jc w:val="center"/>
        <w:rPr>
          <w:sz w:val="32"/>
          <w:szCs w:val="32"/>
        </w:rPr>
      </w:pPr>
      <w:r w:rsidDel="00000000" w:rsidR="00000000" w:rsidRPr="00000000">
        <w:rPr>
          <w:rtl w:val="0"/>
        </w:rPr>
      </w:r>
    </w:p>
    <w:p w:rsidR="00000000" w:rsidDel="00000000" w:rsidP="00000000" w:rsidRDefault="00000000" w:rsidRPr="00000000" w14:paraId="00000009">
      <w:pPr>
        <w:spacing w:after="0" w:line="240" w:lineRule="auto"/>
        <w:jc w:val="center"/>
        <w:rPr>
          <w:sz w:val="32"/>
          <w:szCs w:val="32"/>
        </w:rPr>
      </w:pPr>
      <w:r w:rsidDel="00000000" w:rsidR="00000000" w:rsidRPr="00000000">
        <w:rPr>
          <w:rtl w:val="0"/>
        </w:rPr>
      </w:r>
    </w:p>
    <w:p w:rsidR="00000000" w:rsidDel="00000000" w:rsidP="00000000" w:rsidRDefault="00000000" w:rsidRPr="00000000" w14:paraId="0000000A">
      <w:pPr>
        <w:spacing w:after="0" w:line="240" w:lineRule="auto"/>
        <w:jc w:val="center"/>
        <w:rPr>
          <w:sz w:val="32"/>
          <w:szCs w:val="32"/>
        </w:rPr>
      </w:pPr>
      <w:r w:rsidDel="00000000" w:rsidR="00000000" w:rsidRPr="00000000">
        <w:rPr>
          <w:rtl w:val="0"/>
        </w:rPr>
      </w:r>
    </w:p>
    <w:p w:rsidR="00000000" w:rsidDel="00000000" w:rsidP="00000000" w:rsidRDefault="00000000" w:rsidRPr="00000000" w14:paraId="0000000B">
      <w:pPr>
        <w:spacing w:after="0" w:line="240" w:lineRule="auto"/>
        <w:jc w:val="center"/>
        <w:rPr>
          <w:sz w:val="32"/>
          <w:szCs w:val="32"/>
        </w:rPr>
      </w:pPr>
      <w:r w:rsidDel="00000000" w:rsidR="00000000" w:rsidRPr="00000000">
        <w:rPr>
          <w:rtl w:val="0"/>
        </w:rPr>
      </w:r>
    </w:p>
    <w:p w:rsidR="00000000" w:rsidDel="00000000" w:rsidP="00000000" w:rsidRDefault="00000000" w:rsidRPr="00000000" w14:paraId="0000000C">
      <w:pPr>
        <w:spacing w:after="0" w:line="240" w:lineRule="auto"/>
        <w:jc w:val="center"/>
        <w:rPr>
          <w:color w:val="000000"/>
          <w:sz w:val="32"/>
          <w:szCs w:val="32"/>
        </w:rPr>
      </w:pPr>
      <w:r w:rsidDel="00000000" w:rsidR="00000000" w:rsidRPr="00000000">
        <w:rPr>
          <w:color w:val="000000"/>
          <w:sz w:val="32"/>
          <w:szCs w:val="32"/>
          <w:rtl w:val="0"/>
        </w:rPr>
        <w:t xml:space="preserve">BMIH5007</w:t>
      </w:r>
    </w:p>
    <w:p w:rsidR="00000000" w:rsidDel="00000000" w:rsidP="00000000" w:rsidRDefault="00000000" w:rsidRPr="00000000" w14:paraId="0000000D">
      <w:pPr>
        <w:spacing w:after="0" w:line="240" w:lineRule="auto"/>
        <w:jc w:val="center"/>
        <w:rPr>
          <w:b w:val="1"/>
          <w:color w:val="000000"/>
          <w:sz w:val="40"/>
          <w:szCs w:val="40"/>
        </w:rPr>
      </w:pPr>
      <w:r w:rsidDel="00000000" w:rsidR="00000000" w:rsidRPr="00000000">
        <w:rPr>
          <w:b w:val="1"/>
          <w:color w:val="000000"/>
          <w:sz w:val="40"/>
          <w:szCs w:val="40"/>
          <w:rtl w:val="0"/>
        </w:rPr>
        <w:t xml:space="preserve">Financial Management for the Hotel Industry</w:t>
      </w:r>
    </w:p>
    <w:p w:rsidR="00000000" w:rsidDel="00000000" w:rsidP="00000000" w:rsidRDefault="00000000" w:rsidRPr="00000000" w14:paraId="0000000E">
      <w:pPr>
        <w:jc w:val="left"/>
        <w:rPr>
          <w:b w:val="1"/>
          <w:color w:val="000000"/>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0"/>
          <w:i w:val="0"/>
          <w:smallCaps w:val="0"/>
          <w:strike w:val="0"/>
          <w:color w:val="2f5496"/>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Comparative Analysis of Financial Management Strategies: Mandarin Oriental Hotel Group and Premier Inn</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w:t>
              <w:tab/>
              <w:t xml:space="preserve">8</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15">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jc w:val="left"/>
        <w:rPr>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pBdr>
          <w:bottom w:color="000000" w:space="1" w:sz="4" w:val="single"/>
        </w:pBdr>
        <w:rPr>
          <w:b w:val="1"/>
        </w:rPr>
      </w:pPr>
      <w:bookmarkStart w:colFirst="0" w:colLast="0" w:name="_gjdgxs" w:id="0"/>
      <w:bookmarkEnd w:id="0"/>
      <w:r w:rsidDel="00000000" w:rsidR="00000000" w:rsidRPr="00000000">
        <w:rPr>
          <w:b w:val="1"/>
          <w:rtl w:val="0"/>
        </w:rPr>
        <w:t xml:space="preserve">Introduction</w:t>
      </w:r>
    </w:p>
    <w:p w:rsidR="00000000" w:rsidDel="00000000" w:rsidP="00000000" w:rsidRDefault="00000000" w:rsidRPr="00000000" w14:paraId="00000018">
      <w:pPr>
        <w:spacing w:line="360" w:lineRule="auto"/>
        <w:rPr/>
      </w:pPr>
      <w:r w:rsidDel="00000000" w:rsidR="00000000" w:rsidRPr="00000000">
        <w:rPr>
          <w:rtl w:val="0"/>
        </w:rPr>
        <w:t xml:space="preserve">The worldwide hospitality industry's diverse range of services will captivate both visitors and potential investors. The Premier Inn and the Mandarin Oriental Hotel Group are two enterprises that stand out as industry leaders. This business report examines and contrasts these two organisations in depth, focusing on their methods of financial management and how they relate to one another. This report examines their financial strategy in order to identify the factors that influence their financial performance and lifespan (</w:t>
      </w:r>
      <w:r w:rsidDel="00000000" w:rsidR="00000000" w:rsidRPr="00000000">
        <w:rPr>
          <w:color w:val="000000"/>
          <w:rtl w:val="0"/>
        </w:rPr>
        <w:t xml:space="preserve">Drury, 2021)</w:t>
      </w:r>
      <w:r w:rsidDel="00000000" w:rsidR="00000000" w:rsidRPr="00000000">
        <w:rPr>
          <w:rtl w:val="0"/>
        </w:rPr>
        <w:t xml:space="preserve">. The objectives of this report are multifaceted, encompassing financial commitment to Corporate Social Responsibility (CSR) activities, market status, expansion potential, and overall revenue. This analysis sheds light on these organizations’ one-of-a-kind financial strategies and gives significant insights into the entire hospitality industry. Based on these findings, the report goes on to make specific recommendations for enhancing the company's competitive position and ensuring its long-term success in a market where customer wants and preferences are always changing (</w:t>
      </w:r>
      <w:r w:rsidDel="00000000" w:rsidR="00000000" w:rsidRPr="00000000">
        <w:rPr>
          <w:color w:val="000000"/>
          <w:rtl w:val="0"/>
        </w:rPr>
        <w:t xml:space="preserve">Seal, 2019) </w:t>
      </w:r>
      <w:r w:rsidDel="00000000" w:rsidR="00000000" w:rsidRPr="00000000">
        <w:rPr>
          <w:rtl w:val="0"/>
        </w:rPr>
        <w:t xml:space="preserve">.</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pBdr>
          <w:bottom w:color="000000" w:space="1" w:sz="4" w:val="single"/>
        </w:pBdr>
        <w:rPr>
          <w:b w:val="1"/>
        </w:rPr>
      </w:pPr>
      <w:bookmarkStart w:colFirst="0" w:colLast="0" w:name="_30j0zll" w:id="1"/>
      <w:bookmarkEnd w:id="1"/>
      <w:r w:rsidDel="00000000" w:rsidR="00000000" w:rsidRPr="00000000">
        <w:rPr>
          <w:b w:val="1"/>
          <w:rtl w:val="0"/>
        </w:rPr>
        <w:t xml:space="preserve">A Comparative Analysis of Financial Management Strategies: Mandarin Oriental Hotel Group and Premier Inn</w:t>
      </w:r>
    </w:p>
    <w:tbl>
      <w:tblPr>
        <w:tblStyle w:val="Table1"/>
        <w:tblW w:w="95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76"/>
        <w:tblGridChange w:id="0">
          <w:tblGrid>
            <w:gridCol w:w="9576"/>
          </w:tblGrid>
        </w:tblGridChange>
      </w:tblGrid>
      <w:tr>
        <w:trPr>
          <w:cantSplit w:val="0"/>
          <w:tblHeader w:val="0"/>
        </w:trPr>
        <w:tc>
          <w:tcPr/>
          <w:p w:rsidR="00000000" w:rsidDel="00000000" w:rsidP="00000000" w:rsidRDefault="00000000" w:rsidRPr="00000000" w14:paraId="0000001D">
            <w:pPr>
              <w:pBdr>
                <w:bottom w:color="000000" w:space="1" w:sz="4" w:val="single"/>
              </w:pBdr>
              <w:spacing w:line="360" w:lineRule="auto"/>
              <w:jc w:val="center"/>
              <w:rPr>
                <w:b w:val="1"/>
                <w:sz w:val="26"/>
                <w:szCs w:val="26"/>
              </w:rPr>
            </w:pPr>
            <w:r w:rsidDel="00000000" w:rsidR="00000000" w:rsidRPr="00000000">
              <w:rPr>
                <w:b w:val="1"/>
                <w:sz w:val="26"/>
                <w:szCs w:val="26"/>
                <w:rtl w:val="0"/>
              </w:rPr>
              <w:t xml:space="preserve">“Comparative Financial Analysis: Mandarin Oriental Hotel Group vs. Premier Inn”</w:t>
            </w:r>
          </w:p>
          <w:p w:rsidR="00000000" w:rsidDel="00000000" w:rsidP="00000000" w:rsidRDefault="00000000" w:rsidRPr="00000000" w14:paraId="0000001E">
            <w:pPr>
              <w:spacing w:line="360" w:lineRule="auto"/>
              <w:rPr>
                <w:b w:val="1"/>
                <w:color w:val="00b0f0"/>
                <w:sz w:val="26"/>
                <w:szCs w:val="26"/>
              </w:rPr>
            </w:pPr>
            <w:r w:rsidDel="00000000" w:rsidR="00000000" w:rsidRPr="00000000">
              <w:rPr>
                <w:b w:val="1"/>
                <w:color w:val="00b0f0"/>
                <w:sz w:val="26"/>
                <w:szCs w:val="26"/>
                <w:rtl w:val="0"/>
              </w:rPr>
              <w:t xml:space="preserve">Introduction</w:t>
            </w:r>
          </w:p>
          <w:p w:rsidR="00000000" w:rsidDel="00000000" w:rsidP="00000000" w:rsidRDefault="00000000" w:rsidRPr="00000000" w14:paraId="0000001F">
            <w:pPr>
              <w:spacing w:line="360" w:lineRule="auto"/>
              <w:rPr/>
            </w:pPr>
            <w:r w:rsidDel="00000000" w:rsidR="00000000" w:rsidRPr="00000000">
              <w:rPr>
                <w:sz w:val="24"/>
                <w:szCs w:val="24"/>
                <w:rtl w:val="0"/>
              </w:rPr>
              <w:t xml:space="preserve">The international hospitality industry is vast Both the Mandarin Oriental Hotel Group and the Premier Inn are well-known in the hospitality industry, yet they cater to very distinct clientele and offer very different amenities and services (Pavia et al., 2023). In and diverse, with countless businesses catering to various tastes. Both the Mandarin Oriental Hotel Group and the Premier Inn are well-known in the hospitality industry, yet they cater to very distinct clientele and offer very different amenities and services. In this business study, we examine and contrast the two organizations’ financial management methods and practices. This study aims to provide insight into the factors that influence their financial performance and sustainability by conducting a critical examination of their financial practices</w:t>
            </w:r>
            <w:r w:rsidDel="00000000" w:rsidR="00000000" w:rsidRPr="00000000">
              <w:rPr>
                <w:rtl w:val="0"/>
              </w:rPr>
              <w:t xml:space="preserve">.</w:t>
            </w:r>
          </w:p>
          <w:p w:rsidR="00000000" w:rsidDel="00000000" w:rsidP="00000000" w:rsidRDefault="00000000" w:rsidRPr="00000000" w14:paraId="00000020">
            <w:pPr>
              <w:spacing w:line="360" w:lineRule="auto"/>
              <w:rPr>
                <w:b w:val="1"/>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b w:val="1"/>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b0f0"/>
                <w:sz w:val="26"/>
                <w:szCs w:val="26"/>
                <w:u w:val="none"/>
                <w:shd w:fill="auto" w:val="clear"/>
                <w:vertAlign w:val="baseline"/>
                <w:rtl w:val="0"/>
              </w:rPr>
              <w:t xml:space="preserve">Total Revenue</w:t>
            </w:r>
          </w:p>
          <w:p w:rsidR="00000000" w:rsidDel="00000000" w:rsidP="00000000" w:rsidRDefault="00000000" w:rsidRPr="00000000" w14:paraId="00000022">
            <w:pPr>
              <w:spacing w:line="360" w:lineRule="auto"/>
              <w:rPr>
                <w:sz w:val="24"/>
                <w:szCs w:val="24"/>
              </w:rPr>
            </w:pPr>
            <w:r w:rsidDel="00000000" w:rsidR="00000000" w:rsidRPr="00000000">
              <w:rPr>
                <w:sz w:val="24"/>
                <w:szCs w:val="24"/>
                <w:rtl w:val="0"/>
              </w:rPr>
              <w:t xml:space="preserve">Premier Inn and Mandarin Oriental Hotel Group have quite diverse revenue strategies because they serve very different sectors within the hospitality industry.</w:t>
            </w:r>
          </w:p>
          <w:p w:rsidR="00000000" w:rsidDel="00000000" w:rsidP="00000000" w:rsidRDefault="00000000" w:rsidRPr="00000000" w14:paraId="00000023">
            <w:pPr>
              <w:spacing w:line="360" w:lineRule="auto"/>
              <w:rPr>
                <w:sz w:val="24"/>
                <w:szCs w:val="24"/>
              </w:rPr>
            </w:pPr>
            <w:r w:rsidDel="00000000" w:rsidR="00000000" w:rsidRPr="00000000">
              <w:rPr>
                <w:sz w:val="24"/>
                <w:szCs w:val="24"/>
                <w:rtl w:val="0"/>
              </w:rPr>
              <w:t xml:space="preserve">Room rents, fine dining, and spa treatments all contribute considerably to the world-famous Mandarin Oriental Hotel Group's bottom line (Menendez Martinez, 2013). The hotel chain has established itself as a paragon of elegance and sophistication, attracting affluent guests seeking nothing less than the best. Mandarin Oriental residences are more expensive because of the high level of care that went into their design. This income strategy, which includes high hotel rates and significant spending on supplemental services, is critical to the group's acclaimed premium brand image.</w:t>
            </w:r>
          </w:p>
          <w:p w:rsidR="00000000" w:rsidDel="00000000" w:rsidP="00000000" w:rsidRDefault="00000000" w:rsidRPr="00000000" w14:paraId="00000024">
            <w:pPr>
              <w:spacing w:line="360" w:lineRule="auto"/>
              <w:rPr/>
            </w:pPr>
            <w:r w:rsidDel="00000000" w:rsidR="00000000" w:rsidRPr="00000000">
              <w:rPr>
                <w:sz w:val="24"/>
                <w:szCs w:val="24"/>
                <w:rtl w:val="0"/>
              </w:rPr>
              <w:t xml:space="preserve">Premier Inn then again, is basically dependent on visitor room income. Premier Inn is an inn network that takes care of an extensive variety of customers, from spending plan explorers to business voyagers and travellers (Skilbeck, 2021). The brand's key selling point is that it gives reliable quality at a fair cost. This low-edge, high-volume model supports cash age through efficiency and long-haul high inhabitance rates</w:t>
            </w:r>
            <w:r w:rsidDel="00000000" w:rsidR="00000000" w:rsidRPr="00000000">
              <w:rPr>
                <w:rtl w:val="0"/>
              </w:rPr>
              <w:t xml:space="preserve">.</w:t>
            </w:r>
          </w:p>
          <w:p w:rsidR="00000000" w:rsidDel="00000000" w:rsidP="00000000" w:rsidRDefault="00000000" w:rsidRPr="00000000" w14:paraId="00000025">
            <w:pPr>
              <w:spacing w:line="360" w:lineRule="auto"/>
              <w:rPr>
                <w:color w:val="00b0f0"/>
                <w:sz w:val="26"/>
                <w:szCs w:val="26"/>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b w:val="1"/>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b0f0"/>
                <w:sz w:val="26"/>
                <w:szCs w:val="26"/>
                <w:u w:val="none"/>
                <w:shd w:fill="auto" w:val="clear"/>
                <w:vertAlign w:val="baseline"/>
                <w:rtl w:val="0"/>
              </w:rPr>
              <w:t xml:space="preserve">Market Position</w:t>
            </w:r>
          </w:p>
          <w:p w:rsidR="00000000" w:rsidDel="00000000" w:rsidP="00000000" w:rsidRDefault="00000000" w:rsidRPr="00000000" w14:paraId="00000027">
            <w:pPr>
              <w:spacing w:line="360" w:lineRule="auto"/>
              <w:rPr>
                <w:sz w:val="24"/>
                <w:szCs w:val="24"/>
              </w:rPr>
            </w:pPr>
            <w:r w:rsidDel="00000000" w:rsidR="00000000" w:rsidRPr="00000000">
              <w:rPr>
                <w:sz w:val="24"/>
                <w:szCs w:val="24"/>
                <w:rtl w:val="0"/>
              </w:rPr>
              <w:t xml:space="preserve">Financial management strategies and practices are profoundly influenced by the competitive landscapes in which Mandarin Oriental Hotel Group and Premier Inn operate.</w:t>
            </w:r>
          </w:p>
          <w:p w:rsidR="00000000" w:rsidDel="00000000" w:rsidP="00000000" w:rsidRDefault="00000000" w:rsidRPr="00000000" w14:paraId="00000028">
            <w:pPr>
              <w:spacing w:line="360" w:lineRule="auto"/>
              <w:rPr>
                <w:sz w:val="24"/>
                <w:szCs w:val="24"/>
              </w:rPr>
            </w:pPr>
            <w:r w:rsidDel="00000000" w:rsidR="00000000" w:rsidRPr="00000000">
              <w:rPr>
                <w:sz w:val="24"/>
                <w:szCs w:val="24"/>
                <w:rtl w:val="0"/>
              </w:rPr>
              <w:t xml:space="preserve">When it comes to hotel chains, the Mandarin Oriental Hotel Group is unrivalled. Its name has come to represent unrivalled excellence, special privileges, and individualized service (Miteva, 2018). The vast majority of the club's members are either exceptionally well-off people or wealthy people on the prowl for unique adventures. Maintaining this status calls for massive investments in posh amenities and first-rate service. The marketing efforts of Mandarin Oriental are geared towards elevating the high-end status of the hotel chain by showcasing its illustrious addresses and superior service.</w:t>
            </w:r>
          </w:p>
          <w:p w:rsidR="00000000" w:rsidDel="00000000" w:rsidP="00000000" w:rsidRDefault="00000000" w:rsidRPr="00000000" w14:paraId="00000029">
            <w:pPr>
              <w:spacing w:line="360" w:lineRule="auto"/>
              <w:rPr>
                <w:sz w:val="24"/>
                <w:szCs w:val="24"/>
              </w:rPr>
            </w:pPr>
            <w:r w:rsidDel="00000000" w:rsidR="00000000" w:rsidRPr="00000000">
              <w:rPr>
                <w:sz w:val="24"/>
                <w:szCs w:val="24"/>
                <w:rtl w:val="0"/>
              </w:rPr>
              <w:t xml:space="preserve">In contrast, Premier Inn relies heavily on revenue from hotel room fees. Premier Inn is a hotel chain that welcomes a wide variety of guests, from those on a tight budget to those visiting for business and pleasure. The reliability of the product's quality and its reasonable price are the brand's major selling points (Beckman, 2016). This low-margin, high-volume business strategy is supported by increased productivity and maintained high occupancy.</w:t>
            </w:r>
          </w:p>
          <w:p w:rsidR="00000000" w:rsidDel="00000000" w:rsidP="00000000" w:rsidRDefault="00000000" w:rsidRPr="00000000" w14:paraId="0000002A">
            <w:pPr>
              <w:spacing w:line="360" w:lineRule="auto"/>
              <w:rPr>
                <w:sz w:val="24"/>
                <w:szCs w:val="24"/>
              </w:rPr>
            </w:pPr>
            <w:r w:rsidDel="00000000" w:rsidR="00000000" w:rsidRPr="00000000">
              <w:rPr>
                <w:sz w:val="24"/>
                <w:szCs w:val="24"/>
                <w:rtl w:val="0"/>
              </w:rPr>
              <w:t xml:space="preserve">When compared side by side, it is obvious that Mandarin Oriental's pricing strategy, level of exclusivity, and service calib</w:t>
            </w:r>
            <w:r w:rsidDel="00000000" w:rsidR="00000000" w:rsidRPr="00000000">
              <w:rPr>
                <w:rtl w:val="0"/>
              </w:rPr>
              <w:t xml:space="preserve">er</w:t>
            </w:r>
            <w:r w:rsidDel="00000000" w:rsidR="00000000" w:rsidRPr="00000000">
              <w:rPr>
                <w:sz w:val="24"/>
                <w:szCs w:val="24"/>
                <w:rtl w:val="0"/>
              </w:rPr>
              <w:t xml:space="preserve"> all reflect the company's position as a premium market leader. On the other hand, Premier Inn serves a wider range of travellers by keeping its rates low and occupancy levels high.</w:t>
            </w:r>
          </w:p>
          <w:p w:rsidR="00000000" w:rsidDel="00000000" w:rsidP="00000000" w:rsidRDefault="00000000" w:rsidRPr="00000000" w14:paraId="0000002B">
            <w:pPr>
              <w:spacing w:line="360" w:lineRule="auto"/>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b w:val="1"/>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b0f0"/>
                <w:sz w:val="26"/>
                <w:szCs w:val="26"/>
                <w:u w:val="none"/>
                <w:shd w:fill="auto" w:val="clear"/>
                <w:vertAlign w:val="baseline"/>
                <w:rtl w:val="0"/>
              </w:rPr>
              <w:t xml:space="preserve">Growth Potential</w:t>
            </w:r>
          </w:p>
          <w:p w:rsidR="00000000" w:rsidDel="00000000" w:rsidP="00000000" w:rsidRDefault="00000000" w:rsidRPr="00000000" w14:paraId="0000002D">
            <w:pPr>
              <w:spacing w:line="360" w:lineRule="auto"/>
              <w:rPr>
                <w:sz w:val="24"/>
                <w:szCs w:val="24"/>
              </w:rPr>
            </w:pPr>
            <w:r w:rsidDel="00000000" w:rsidR="00000000" w:rsidRPr="00000000">
              <w:rPr>
                <w:sz w:val="24"/>
                <w:szCs w:val="24"/>
                <w:rtl w:val="0"/>
              </w:rPr>
              <w:t xml:space="preserve">The competitive environments in which Premier Inn and Mandarin Oriental Hotel Group compete have a significant impact on financial management strategies and practices.</w:t>
            </w:r>
          </w:p>
          <w:p w:rsidR="00000000" w:rsidDel="00000000" w:rsidP="00000000" w:rsidRDefault="00000000" w:rsidRPr="00000000" w14:paraId="0000002E">
            <w:pPr>
              <w:spacing w:line="360" w:lineRule="auto"/>
              <w:rPr>
                <w:sz w:val="24"/>
                <w:szCs w:val="24"/>
              </w:rPr>
            </w:pPr>
            <w:r w:rsidDel="00000000" w:rsidR="00000000" w:rsidRPr="00000000">
              <w:rPr>
                <w:sz w:val="24"/>
                <w:szCs w:val="24"/>
                <w:rtl w:val="0"/>
              </w:rPr>
              <w:t xml:space="preserve">The Mandarin Oriental Hotel Group is unparalleled among hotel chains. Its name has come to stand for unmatched excellence, exclusive benefits, and personalised service. Most of the club's members are either extraordinarily affluent or wealthy people looking for unusual activities (Morse, 2016). Massive investments in upscale amenities and first-rate service are necessary to maintain this status. Mandarin Oriental's marketing initiatives are intended to increase the high-end status of the hotel brand by emphasizing its prestigious locations and first-rate services.</w:t>
            </w:r>
          </w:p>
          <w:p w:rsidR="00000000" w:rsidDel="00000000" w:rsidP="00000000" w:rsidRDefault="00000000" w:rsidRPr="00000000" w14:paraId="0000002F">
            <w:pPr>
              <w:spacing w:line="360" w:lineRule="auto"/>
              <w:rPr>
                <w:sz w:val="24"/>
                <w:szCs w:val="24"/>
              </w:rPr>
            </w:pPr>
            <w:r w:rsidDel="00000000" w:rsidR="00000000" w:rsidRPr="00000000">
              <w:rPr>
                <w:sz w:val="24"/>
                <w:szCs w:val="24"/>
                <w:rtl w:val="0"/>
              </w:rPr>
              <w:t xml:space="preserve">On the other hand, Premier Inn makes the majority of its money from fees associated with overnight stays. Premier Inn is a well-known brand of inexpensive hotels that accepts travellers for both business and pleasure, regardless of their financial position. The brand's key selling qualities are consistent quality and affordable prices. A low-margin, high-volume company strategy may increase profits through improved productivity and sustained high occupancy (Hizban, 2021).</w:t>
            </w:r>
          </w:p>
          <w:p w:rsidR="00000000" w:rsidDel="00000000" w:rsidP="00000000" w:rsidRDefault="00000000" w:rsidRPr="00000000" w14:paraId="00000030">
            <w:pPr>
              <w:spacing w:line="360" w:lineRule="auto"/>
              <w:rPr>
                <w:sz w:val="24"/>
                <w:szCs w:val="24"/>
              </w:rPr>
            </w:pPr>
            <w:r w:rsidDel="00000000" w:rsidR="00000000" w:rsidRPr="00000000">
              <w:rPr>
                <w:sz w:val="24"/>
                <w:szCs w:val="24"/>
                <w:rtl w:val="0"/>
              </w:rPr>
              <w:t xml:space="preserve">When compared to the competition, Mandarin Oriental's pricing strategy, service standards, and degree of exclusivity all attest to the company's position as a premium market leader. The inexpensive rates and full rooms at Premier Inn, on the other hand, draw a wider range of guests.</w:t>
            </w:r>
          </w:p>
          <w:p w:rsidR="00000000" w:rsidDel="00000000" w:rsidP="00000000" w:rsidRDefault="00000000" w:rsidRPr="00000000" w14:paraId="00000031">
            <w:pPr>
              <w:spacing w:line="360" w:lineRule="auto"/>
              <w:rPr>
                <w:b w:val="1"/>
              </w:rPr>
            </w:pP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b w:val="1"/>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b0f0"/>
                <w:sz w:val="26"/>
                <w:szCs w:val="26"/>
                <w:u w:val="none"/>
                <w:shd w:fill="auto" w:val="clear"/>
                <w:vertAlign w:val="baseline"/>
                <w:rtl w:val="0"/>
              </w:rPr>
              <w:t xml:space="preserve">Financial Commitments to CSR</w:t>
            </w:r>
          </w:p>
          <w:p w:rsidR="00000000" w:rsidDel="00000000" w:rsidP="00000000" w:rsidRDefault="00000000" w:rsidRPr="00000000" w14:paraId="00000033">
            <w:pPr>
              <w:spacing w:line="360" w:lineRule="auto"/>
              <w:rPr>
                <w:sz w:val="24"/>
                <w:szCs w:val="24"/>
              </w:rPr>
            </w:pPr>
            <w:r w:rsidDel="00000000" w:rsidR="00000000" w:rsidRPr="00000000">
              <w:rPr>
                <w:sz w:val="24"/>
                <w:szCs w:val="24"/>
                <w:rtl w:val="0"/>
              </w:rPr>
              <w:t xml:space="preserve">The intense competition that exists in the markets where Mandarin Oriental Hotel Group and Premier Inn compete has a significant impact on financial management strategies and practices.</w:t>
            </w:r>
          </w:p>
          <w:p w:rsidR="00000000" w:rsidDel="00000000" w:rsidP="00000000" w:rsidRDefault="00000000" w:rsidRPr="00000000" w14:paraId="00000034">
            <w:pPr>
              <w:spacing w:line="360" w:lineRule="auto"/>
              <w:rPr>
                <w:sz w:val="24"/>
                <w:szCs w:val="24"/>
              </w:rPr>
            </w:pPr>
            <w:r w:rsidDel="00000000" w:rsidR="00000000" w:rsidRPr="00000000">
              <w:rPr>
                <w:sz w:val="24"/>
                <w:szCs w:val="24"/>
                <w:rtl w:val="0"/>
              </w:rPr>
              <w:t xml:space="preserve">Mandarin Oriental's CSR efforts are in keeping with the hotel's high-end reputation. A few instances of the company's dedication to sustainability include energy-efficient appliances, waste-reduction methods, and locally and organically produced foods (Hijir, 2016). In keeping with socially conscious luxury visitors' expectations, the company actively engages in local charity events and community projects. Fair treatment of employees and vendors is an important aspect of the luxury brand's image.</w:t>
            </w:r>
          </w:p>
          <w:p w:rsidR="00000000" w:rsidDel="00000000" w:rsidP="00000000" w:rsidRDefault="00000000" w:rsidRPr="00000000" w14:paraId="00000035">
            <w:pPr>
              <w:spacing w:line="360" w:lineRule="auto"/>
              <w:rPr>
                <w:sz w:val="24"/>
                <w:szCs w:val="24"/>
              </w:rPr>
            </w:pPr>
            <w:r w:rsidDel="00000000" w:rsidR="00000000" w:rsidRPr="00000000">
              <w:rPr>
                <w:sz w:val="24"/>
                <w:szCs w:val="24"/>
                <w:rtl w:val="0"/>
              </w:rPr>
              <w:t xml:space="preserve">Premier Inn's corporate social responsibility actions are informed by its philosophy of cheap, family-friendly lodging. As part of its commitment to sustainability, the company has set lofty targets for reducing both carbon emissions and waste. Only two of the sustainable practices used by Premier Inn to appeal to eco-conscious, cost-conscious guests are energy-efficient lighting and water-saving measures (Munro, 2023). These efforts not only benefit the environment but also help businesses save money, whic</w:t>
            </w:r>
            <w:r w:rsidDel="00000000" w:rsidR="00000000" w:rsidRPr="00000000">
              <w:rPr>
                <w:rtl w:val="0"/>
              </w:rPr>
              <w:t xml:space="preserve">h</w:t>
            </w:r>
            <w:r w:rsidDel="00000000" w:rsidR="00000000" w:rsidRPr="00000000">
              <w:rPr>
                <w:sz w:val="24"/>
                <w:szCs w:val="24"/>
                <w:rtl w:val="0"/>
              </w:rPr>
              <w:t xml:space="preserve"> is sure to appeal to budget-conscious clients. The organisation prioritizes its employees' health and pleasure and uses only materials sourced ethically.</w:t>
            </w:r>
          </w:p>
          <w:p w:rsidR="00000000" w:rsidDel="00000000" w:rsidP="00000000" w:rsidRDefault="00000000" w:rsidRPr="00000000" w14:paraId="00000036">
            <w:pPr>
              <w:spacing w:line="360" w:lineRule="auto"/>
              <w:rPr>
                <w:sz w:val="24"/>
                <w:szCs w:val="24"/>
              </w:rPr>
            </w:pPr>
            <w:r w:rsidDel="00000000" w:rsidR="00000000" w:rsidRPr="00000000">
              <w:rPr>
                <w:sz w:val="24"/>
                <w:szCs w:val="24"/>
                <w:rtl w:val="0"/>
              </w:rPr>
              <w:t xml:space="preserve">A comparison of both CSR initiatives reveals that both organisations value ethical and sustainable business practices, but each does it in a way that speaks to its specific customer and competitive advantage. The high-end clientele of Mandarin Oriental has higher expectations for the hotel's corporate social responsibility (CSR) efforts. The ecological policies and other initiatives of Premier Inn appeal to the sensibilities of budget visitors who care about the environment.</w:t>
            </w:r>
          </w:p>
          <w:p w:rsidR="00000000" w:rsidDel="00000000" w:rsidP="00000000" w:rsidRDefault="00000000" w:rsidRPr="00000000" w14:paraId="00000037">
            <w:pPr>
              <w:spacing w:line="360" w:lineRule="auto"/>
              <w:rPr>
                <w:b w:val="1"/>
                <w:color w:val="00b0f0"/>
                <w:sz w:val="26"/>
                <w:szCs w:val="26"/>
              </w:rPr>
            </w:pPr>
            <w:r w:rsidDel="00000000" w:rsidR="00000000" w:rsidRPr="00000000">
              <w:rPr>
                <w:b w:val="1"/>
                <w:color w:val="00b0f0"/>
                <w:sz w:val="26"/>
                <w:szCs w:val="26"/>
                <w:rtl w:val="0"/>
              </w:rPr>
              <w:t xml:space="preserve">Conclusion</w:t>
            </w:r>
          </w:p>
          <w:p w:rsidR="00000000" w:rsidDel="00000000" w:rsidP="00000000" w:rsidRDefault="00000000" w:rsidRPr="00000000" w14:paraId="00000038">
            <w:pPr>
              <w:spacing w:line="360" w:lineRule="auto"/>
              <w:rPr>
                <w:sz w:val="24"/>
                <w:szCs w:val="24"/>
              </w:rPr>
            </w:pPr>
            <w:r w:rsidDel="00000000" w:rsidR="00000000" w:rsidRPr="00000000">
              <w:rPr>
                <w:sz w:val="24"/>
                <w:szCs w:val="24"/>
                <w:rtl w:val="0"/>
              </w:rPr>
              <w:t xml:space="preserve">Finally, a comparison of the financial management practices of Mandarin Oriental Hotel Group and Premier Inn highlights the need to align financial decisions with brand positioning and customer needs. Mandarin Oriental must allocate its resources with great care in order to preserve its status as the world's foremost provider of five-star luxury services. To cater to a broad audience, Premier Inn focuses on accessibility, scalability, and quality consistency.</w:t>
            </w:r>
          </w:p>
          <w:p w:rsidR="00000000" w:rsidDel="00000000" w:rsidP="00000000" w:rsidRDefault="00000000" w:rsidRPr="00000000" w14:paraId="00000039">
            <w:pPr>
              <w:spacing w:line="360" w:lineRule="auto"/>
              <w:rPr>
                <w:sz w:val="24"/>
                <w:szCs w:val="24"/>
              </w:rPr>
            </w:pPr>
            <w:r w:rsidDel="00000000" w:rsidR="00000000" w:rsidRPr="00000000">
              <w:rPr>
                <w:sz w:val="24"/>
                <w:szCs w:val="24"/>
                <w:rtl w:val="0"/>
              </w:rPr>
              <w:t xml:space="preserve">The significance of a company's financial strategy aligning with its identity and the expectations of its target audience has been extensively researched. By sticking to their beliefs and serving a small but committed customer base, these enterprises have become market leaders.</w:t>
            </w:r>
          </w:p>
          <w:p w:rsidR="00000000" w:rsidDel="00000000" w:rsidP="00000000" w:rsidRDefault="00000000" w:rsidRPr="00000000" w14:paraId="0000003A">
            <w:pPr>
              <w:spacing w:line="360" w:lineRule="auto"/>
              <w:rPr>
                <w:sz w:val="24"/>
                <w:szCs w:val="24"/>
              </w:rPr>
            </w:pPr>
            <w:r w:rsidDel="00000000" w:rsidR="00000000" w:rsidRPr="00000000">
              <w:rPr>
                <w:sz w:val="24"/>
                <w:szCs w:val="24"/>
                <w:rtl w:val="0"/>
              </w:rPr>
              <w:t xml:space="preserve">Long-term success in the fast-paced hotel industry requires a full understanding of market-specific financial management practices (Skilbeck, 2021). The Mandarin Oriental is the pinnacle of luxury, while Premier Inn caters to budget-conscious guests with affordable rooms. Their approaches differ, highlighting the significance of aligning financial strategies with a company's mission and the demands of its target audience.</w:t>
            </w:r>
          </w:p>
          <w:p w:rsidR="00000000" w:rsidDel="00000000" w:rsidP="00000000" w:rsidRDefault="00000000" w:rsidRPr="00000000" w14:paraId="0000003B">
            <w:pPr>
              <w:rPr/>
            </w:pPr>
            <w:r w:rsidDel="00000000" w:rsidR="00000000" w:rsidRPr="00000000">
              <w:rPr>
                <w:rtl w:val="0"/>
              </w:rPr>
            </w:r>
          </w:p>
        </w:tc>
      </w:tr>
    </w:tbl>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pBdr>
          <w:bottom w:color="000000" w:space="1" w:sz="4" w:val="single"/>
        </w:pBdr>
        <w:rPr>
          <w:b w:val="1"/>
        </w:rPr>
      </w:pPr>
      <w:bookmarkStart w:colFirst="0" w:colLast="0" w:name="_1fob9te" w:id="2"/>
      <w:bookmarkEnd w:id="2"/>
      <w:r w:rsidDel="00000000" w:rsidR="00000000" w:rsidRPr="00000000">
        <w:rPr>
          <w:b w:val="1"/>
          <w:rtl w:val="0"/>
        </w:rPr>
        <w:t xml:space="preserve">Recommendations</w:t>
      </w:r>
    </w:p>
    <w:p w:rsidR="00000000" w:rsidDel="00000000" w:rsidP="00000000" w:rsidRDefault="00000000" w:rsidRPr="00000000" w14:paraId="0000003F">
      <w:pPr>
        <w:spacing w:line="360" w:lineRule="auto"/>
        <w:rPr/>
      </w:pPr>
      <w:r w:rsidDel="00000000" w:rsidR="00000000" w:rsidRPr="00000000">
        <w:rPr>
          <w:rtl w:val="0"/>
        </w:rPr>
        <w:t xml:space="preserve">Based on significant investigation of these organisations in a variety of critical areas, the following well-reasoned suggestions are made for both Mandarin Oriental Hotel Group and Premier Inn:</w:t>
      </w:r>
    </w:p>
    <w:p w:rsidR="00000000" w:rsidDel="00000000" w:rsidP="00000000" w:rsidRDefault="00000000" w:rsidRPr="00000000" w14:paraId="00000040">
      <w:pPr>
        <w:spacing w:line="360" w:lineRule="auto"/>
        <w:rPr/>
      </w:pPr>
      <w:r w:rsidDel="00000000" w:rsidR="00000000" w:rsidRPr="00000000">
        <w:rPr/>
        <w:drawing>
          <wp:inline distB="0" distT="0" distL="0" distR="0">
            <wp:extent cx="5486400" cy="3200400"/>
            <wp:effectExtent b="38100" l="0" r="0" t="0"/>
            <wp:docPr id="1" name=""/>
            <a:graphic>
              <a:graphicData uri="http://schemas.openxmlformats.org/drawingml/2006/diagram">
                <dgm:relIds r:cs="rId1" r:dm="rId2" r:lo="rId3" r:qs="rId4"/>
              </a:graphicData>
            </a:graphic>
          </wp:inline>
        </w:drawing>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44546a"/>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44546a"/>
          <w:sz w:val="22"/>
          <w:szCs w:val="22"/>
          <w:u w:val="none"/>
          <w:shd w:fill="auto" w:val="clear"/>
          <w:vertAlign w:val="baseline"/>
          <w:rtl w:val="0"/>
        </w:rPr>
        <w:t xml:space="preserve">Figure 1: Recommendation for future performance (Atmadja et al., 2014).</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spacing w:line="360" w:lineRule="auto"/>
        <w:rPr>
          <w:b w:val="1"/>
        </w:rPr>
      </w:pPr>
      <w:r w:rsidDel="00000000" w:rsidR="00000000" w:rsidRPr="00000000">
        <w:rPr>
          <w:b w:val="1"/>
          <w:rtl w:val="0"/>
        </w:rPr>
        <w:t xml:space="preserve">Mandarin Oriental Hotel Group</w:t>
      </w:r>
    </w:p>
    <w:p w:rsidR="00000000" w:rsidDel="00000000" w:rsidP="00000000" w:rsidRDefault="00000000" w:rsidRPr="00000000" w14:paraId="00000044">
      <w:pPr>
        <w:spacing w:line="360" w:lineRule="auto"/>
        <w:rPr>
          <w:b w:val="1"/>
        </w:rPr>
      </w:pPr>
      <w:r w:rsidDel="00000000" w:rsidR="00000000" w:rsidRPr="00000000">
        <w:rPr>
          <w:b w:val="1"/>
          <w:rtl w:val="0"/>
        </w:rPr>
        <w:t xml:space="preserve">1. Further Diversify the Portfolio: </w:t>
      </w:r>
      <w:r w:rsidDel="00000000" w:rsidR="00000000" w:rsidRPr="00000000">
        <w:rPr>
          <w:rtl w:val="0"/>
        </w:rPr>
        <w:t xml:space="preserve">Mandarin Oriental Hotel Group, with its well-established image as a luxury brand, may choose to diversify its operations by entering new markets and offering a variety of one-of-a-kind services. Keeping its luxury-focused eye on the prize, it may investigate opportunities in developing markets like Asia, the Middle East, and Eastern Europe (YAO, 2016). There is plenty of space for growth in these places, and there is a growing middle class. To back up this notion, the Group may conduct thorough market research to identify undiscovered luxury markets and acquire prime locations in these places.</w:t>
      </w:r>
      <w:r w:rsidDel="00000000" w:rsidR="00000000" w:rsidRPr="00000000">
        <w:rPr>
          <w:rtl w:val="0"/>
        </w:rPr>
      </w:r>
    </w:p>
    <w:p w:rsidR="00000000" w:rsidDel="00000000" w:rsidP="00000000" w:rsidRDefault="00000000" w:rsidRPr="00000000" w14:paraId="00000045">
      <w:pPr>
        <w:spacing w:line="360" w:lineRule="auto"/>
        <w:rPr>
          <w:b w:val="1"/>
        </w:rPr>
      </w:pPr>
      <w:r w:rsidDel="00000000" w:rsidR="00000000" w:rsidRPr="00000000">
        <w:rPr>
          <w:b w:val="1"/>
          <w:rtl w:val="0"/>
        </w:rPr>
        <w:t xml:space="preserve">2. Strengthen the Digital Presence: </w:t>
      </w:r>
      <w:r w:rsidDel="00000000" w:rsidR="00000000" w:rsidRPr="00000000">
        <w:rPr>
          <w:rtl w:val="0"/>
        </w:rPr>
        <w:t xml:space="preserve">Enhance Your Online Reputation In the present era, having a solid internet reputation is critical for luxury firms. The Mandarin Oriental's website should be improved, as should its active participation in social media and online booking systems. Virtual and augmented reality are two intriguing new technologies that the team should research in order to provide completely immersive experiences to prospective guests ahead of their arrival (Sukhdeve, 2021). Increasing client connection through digital channels would appeal to tech-savvy luxury travellers while also increasing brand recognition.</w:t>
      </w:r>
      <w:r w:rsidDel="00000000" w:rsidR="00000000" w:rsidRPr="00000000">
        <w:rPr>
          <w:rtl w:val="0"/>
        </w:rPr>
      </w:r>
    </w:p>
    <w:p w:rsidR="00000000" w:rsidDel="00000000" w:rsidP="00000000" w:rsidRDefault="00000000" w:rsidRPr="00000000" w14:paraId="00000046">
      <w:pPr>
        <w:spacing w:line="360" w:lineRule="auto"/>
        <w:rPr>
          <w:b w:val="1"/>
        </w:rPr>
      </w:pPr>
      <w:r w:rsidDel="00000000" w:rsidR="00000000" w:rsidRPr="00000000">
        <w:rPr>
          <w:b w:val="1"/>
          <w:rtl w:val="0"/>
        </w:rPr>
        <w:t xml:space="preserve">3. Expand Sustainable Initiatives: </w:t>
      </w:r>
      <w:r w:rsidDel="00000000" w:rsidR="00000000" w:rsidRPr="00000000">
        <w:rPr>
          <w:rtl w:val="0"/>
        </w:rPr>
        <w:t xml:space="preserve">Mandarin Oriental's eco-friendly activities contribute to the hotel's high-end image. If the company wants to stay up with the increased demand for ecologically responsible high-end travel, it must expand its sustainability initiatives. Increased engagement in local community projects, for example, may need stricter carbon reduction and waste reduction criteria (Joseph, 2018). Such efforts would not only enhance the brand's reputation among environmentally and socially conscious luxury visitors, but they would also be consistent with global sustainability trends.</w:t>
      </w:r>
      <w:r w:rsidDel="00000000" w:rsidR="00000000" w:rsidRPr="00000000">
        <w:rPr>
          <w:rtl w:val="0"/>
        </w:rPr>
      </w:r>
    </w:p>
    <w:p w:rsidR="00000000" w:rsidDel="00000000" w:rsidP="00000000" w:rsidRDefault="00000000" w:rsidRPr="00000000" w14:paraId="00000047">
      <w:pPr>
        <w:spacing w:line="360" w:lineRule="auto"/>
        <w:rPr/>
      </w:pPr>
      <w:r w:rsidDel="00000000" w:rsidR="00000000" w:rsidRPr="00000000">
        <w:rPr>
          <w:rtl w:val="0"/>
        </w:rPr>
      </w:r>
    </w:p>
    <w:p w:rsidR="00000000" w:rsidDel="00000000" w:rsidP="00000000" w:rsidRDefault="00000000" w:rsidRPr="00000000" w14:paraId="00000048">
      <w:pPr>
        <w:spacing w:line="360" w:lineRule="auto"/>
        <w:rPr>
          <w:b w:val="1"/>
        </w:rPr>
      </w:pPr>
      <w:r w:rsidDel="00000000" w:rsidR="00000000" w:rsidRPr="00000000">
        <w:rPr>
          <w:b w:val="1"/>
          <w:rtl w:val="0"/>
        </w:rPr>
        <w:t xml:space="preserve">Premier Inn</w:t>
      </w:r>
    </w:p>
    <w:p w:rsidR="00000000" w:rsidDel="00000000" w:rsidP="00000000" w:rsidRDefault="00000000" w:rsidRPr="00000000" w14:paraId="00000049">
      <w:pPr>
        <w:spacing w:line="360" w:lineRule="auto"/>
        <w:rPr>
          <w:b w:val="1"/>
        </w:rPr>
      </w:pPr>
      <w:r w:rsidDel="00000000" w:rsidR="00000000" w:rsidRPr="00000000">
        <w:rPr>
          <w:b w:val="1"/>
          <w:rtl w:val="0"/>
        </w:rPr>
        <w:t xml:space="preserve">1. Innovate for Diversification: </w:t>
      </w:r>
      <w:r w:rsidDel="00000000" w:rsidR="00000000" w:rsidRPr="00000000">
        <w:rPr>
          <w:rtl w:val="0"/>
        </w:rPr>
        <w:t xml:space="preserve">By continually delivering excellence, Premier Inn has earned success in the budget and mid-range markets. To ensure its continued prosperity, the organisation should consider methods to innovate and diversify. It may experiment with fresh ideas and services such as boutique hotels, extended-stay options, and business-oriented lodgings to appeal to a wider range of tourists (Feng et al., 2018). Innovating in guest experiences, such as contactless check-in and smart room amenities, can also help to increase the brand's appeal to tech-savvy clients.</w:t>
      </w:r>
      <w:r w:rsidDel="00000000" w:rsidR="00000000" w:rsidRPr="00000000">
        <w:rPr>
          <w:rtl w:val="0"/>
        </w:rPr>
      </w:r>
    </w:p>
    <w:p w:rsidR="00000000" w:rsidDel="00000000" w:rsidP="00000000" w:rsidRDefault="00000000" w:rsidRPr="00000000" w14:paraId="0000004A">
      <w:pPr>
        <w:spacing w:line="360" w:lineRule="auto"/>
        <w:rPr>
          <w:b w:val="1"/>
        </w:rPr>
      </w:pPr>
      <w:r w:rsidDel="00000000" w:rsidR="00000000" w:rsidRPr="00000000">
        <w:rPr>
          <w:b w:val="1"/>
          <w:rtl w:val="0"/>
        </w:rPr>
        <w:t xml:space="preserve">2. International Expansion with Local Sensitivity: </w:t>
      </w:r>
      <w:r w:rsidDel="00000000" w:rsidR="00000000" w:rsidRPr="00000000">
        <w:rPr>
          <w:rtl w:val="0"/>
        </w:rPr>
        <w:t xml:space="preserve">Premier Inn has grown tremendously internationally, but the corporation should continue to develop in new countries while keeping the distinct wants and needs of those in each region in mind (Atmadja et al., 2014). Understanding and being sensitive to local norms and tastes is required for successful entry into new markets. For example, Premier Inn may offer Asian breakfast options and improved language support to consumers in the Asian market.</w:t>
      </w:r>
      <w:r w:rsidDel="00000000" w:rsidR="00000000" w:rsidRPr="00000000">
        <w:rPr>
          <w:rtl w:val="0"/>
        </w:rPr>
      </w:r>
    </w:p>
    <w:p w:rsidR="00000000" w:rsidDel="00000000" w:rsidP="00000000" w:rsidRDefault="00000000" w:rsidRPr="00000000" w14:paraId="0000004B">
      <w:pPr>
        <w:spacing w:line="360" w:lineRule="auto"/>
        <w:rPr>
          <w:b w:val="1"/>
        </w:rPr>
      </w:pPr>
      <w:r w:rsidDel="00000000" w:rsidR="00000000" w:rsidRPr="00000000">
        <w:rPr>
          <w:b w:val="1"/>
          <w:rtl w:val="0"/>
        </w:rPr>
        <w:t xml:space="preserve">3. Strengthen Sustainability Efforts: </w:t>
      </w:r>
      <w:r w:rsidDel="00000000" w:rsidR="00000000" w:rsidRPr="00000000">
        <w:rPr>
          <w:rtl w:val="0"/>
        </w:rPr>
        <w:t xml:space="preserve">As the number of people worried about the environment grows, Premier Inn should step up its environmental efforts. This is in line with global environmental concerns and has the potential to save a significant amount of money. Using cutting-edge energy-efficient technology, expanding waste reduction programs, and exploring renewable energy sources can all help to reduce operational expenses and cater to eco-conscious budget guests (Tsilingiridis et al., 2011).</w:t>
      </w:r>
      <w:r w:rsidDel="00000000" w:rsidR="00000000" w:rsidRPr="00000000">
        <w:rPr>
          <w:rtl w:val="0"/>
        </w:rPr>
      </w:r>
    </w:p>
    <w:p w:rsidR="00000000" w:rsidDel="00000000" w:rsidP="00000000" w:rsidRDefault="00000000" w:rsidRPr="00000000" w14:paraId="0000004C">
      <w:pPr>
        <w:spacing w:line="360" w:lineRule="auto"/>
        <w:rPr/>
      </w:pPr>
      <w:r w:rsidDel="00000000" w:rsidR="00000000" w:rsidRPr="00000000">
        <w:rPr>
          <w:rtl w:val="0"/>
        </w:rPr>
        <w:t xml:space="preserve">These recommendations are in keeping with the examined areas of the firms, considering their respective market conditions, growth possibilities, and CSR promises. Their goal is to increase their position in the increasingly competitive hotel industry and ensure their long-term prosperity (Hossein Nabizadeh et al., 2015).</w:t>
      </w:r>
    </w:p>
    <w:p w:rsidR="00000000" w:rsidDel="00000000" w:rsidP="00000000" w:rsidRDefault="00000000" w:rsidRPr="00000000" w14:paraId="0000004D">
      <w:pPr>
        <w:jc w:val="left"/>
        <w:rPr/>
      </w:pPr>
      <w:r w:rsidDel="00000000" w:rsidR="00000000" w:rsidRPr="00000000">
        <w:rPr>
          <w:rtl w:val="0"/>
        </w:rPr>
      </w:r>
    </w:p>
    <w:p w:rsidR="00000000" w:rsidDel="00000000" w:rsidP="00000000" w:rsidRDefault="00000000" w:rsidRPr="00000000" w14:paraId="0000004E">
      <w:pPr>
        <w:jc w:val="left"/>
        <w:rPr/>
      </w:pPr>
      <w:r w:rsidDel="00000000" w:rsidR="00000000" w:rsidRPr="00000000">
        <w:rPr>
          <w:rtl w:val="0"/>
        </w:rPr>
      </w:r>
    </w:p>
    <w:p w:rsidR="00000000" w:rsidDel="00000000" w:rsidP="00000000" w:rsidRDefault="00000000" w:rsidRPr="00000000" w14:paraId="0000004F">
      <w:pPr>
        <w:jc w:val="left"/>
        <w:rPr/>
      </w:pPr>
      <w:r w:rsidDel="00000000" w:rsidR="00000000" w:rsidRPr="00000000">
        <w:rPr>
          <w:rtl w:val="0"/>
        </w:rPr>
      </w:r>
    </w:p>
    <w:p w:rsidR="00000000" w:rsidDel="00000000" w:rsidP="00000000" w:rsidRDefault="00000000" w:rsidRPr="00000000" w14:paraId="00000050">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51">
      <w:pPr>
        <w:pStyle w:val="Heading1"/>
        <w:pBdr>
          <w:bottom w:color="000000" w:space="1" w:sz="4" w:val="single"/>
        </w:pBdr>
        <w:rPr>
          <w:b w:val="1"/>
        </w:rPr>
      </w:pPr>
      <w:bookmarkStart w:colFirst="0" w:colLast="0" w:name="_3znysh7" w:id="3"/>
      <w:bookmarkEnd w:id="3"/>
      <w:r w:rsidDel="00000000" w:rsidR="00000000" w:rsidRPr="00000000">
        <w:rPr>
          <w:b w:val="1"/>
          <w:rtl w:val="0"/>
        </w:rPr>
        <w:t xml:space="preserve">Conclusion</w:t>
      </w:r>
    </w:p>
    <w:p w:rsidR="00000000" w:rsidDel="00000000" w:rsidP="00000000" w:rsidRDefault="00000000" w:rsidRPr="00000000" w14:paraId="00000052">
      <w:pPr>
        <w:spacing w:line="360" w:lineRule="auto"/>
        <w:rPr/>
      </w:pPr>
      <w:r w:rsidDel="00000000" w:rsidR="00000000" w:rsidRPr="00000000">
        <w:rPr>
          <w:rtl w:val="0"/>
        </w:rPr>
        <w:t xml:space="preserve">Our comparison of the financial management practices of Mandarin Oriental Hotel Group and Premier Inn revealed a number of key insights. Both corporations have done an excellent job of tailoring their financial strategy to their unique markets. Mandarin Oriental must make significant investments in opulent amenities and personalised service in order to maintain its high-end brand image. Premier Inn, on the other hand, has been successful because it regularly provides good quality at low pricing, appealing to a larger spectrum of passengers (</w:t>
      </w:r>
      <w:r w:rsidDel="00000000" w:rsidR="00000000" w:rsidRPr="00000000">
        <w:rPr>
          <w:color w:val="000000"/>
          <w:rtl w:val="0"/>
        </w:rPr>
        <w:t xml:space="preserve">Walker, 2021</w:t>
      </w:r>
      <w:r w:rsidDel="00000000" w:rsidR="00000000" w:rsidRPr="00000000">
        <w:rPr>
          <w:rtl w:val="0"/>
        </w:rPr>
        <w:t xml:space="preserve">). The various ideas on potential growth are also informative. Mandarin Oriental has made expanding into new luxury markets a primary focus in order to better serve its wealthy clients. Meanwhile, Premier Inn is prioritizing scalability and diversification in order to continue growth by swiftly growing through acquisitions and partnerships.</w:t>
      </w:r>
    </w:p>
    <w:p w:rsidR="00000000" w:rsidDel="00000000" w:rsidP="00000000" w:rsidRDefault="00000000" w:rsidRPr="00000000" w14:paraId="00000053">
      <w:pPr>
        <w:spacing w:line="360" w:lineRule="auto"/>
        <w:rPr/>
      </w:pPr>
      <w:r w:rsidDel="00000000" w:rsidR="00000000" w:rsidRPr="00000000">
        <w:rPr>
          <w:rtl w:val="0"/>
        </w:rPr>
        <w:t xml:space="preserve">Corporate social responsibility (CSR) is a concern for both businesses, and each has programmers customised to their distinct market. Mandarin Oriental prioritizes sustainability and community involvement in its CSR efforts, which are in line with the expectations of luxury guests. Premier Inn targets eco-conscious low-cost travellers with its corporate social responsibility (CSR) operations, emphasizing sustainability and ethical business practices that not only help the environment but also save consumers money (</w:t>
      </w:r>
      <w:r w:rsidDel="00000000" w:rsidR="00000000" w:rsidRPr="00000000">
        <w:rPr>
          <w:color w:val="000000"/>
          <w:rtl w:val="0"/>
        </w:rPr>
        <w:t xml:space="preserve">McLaney, 021)</w:t>
      </w:r>
      <w:r w:rsidDel="00000000" w:rsidR="00000000" w:rsidRPr="00000000">
        <w:rPr>
          <w:rtl w:val="0"/>
        </w:rPr>
        <w:t xml:space="preserve">. Long-term success in this volatile market necessitates balancing financial goals with brand positioning and client needs. While the Mandarin Oriental is associated with grandeur, Premier Inn caters to budget-conscious guests by offering clean, comfortable rooms at reasonable rates. These proposals are intended to provide them with an advantage in the increasingly competitive hotel sector and to ensure their long-term success.</w:t>
      </w:r>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1"/>
        <w:pBdr>
          <w:bottom w:color="000000" w:space="1" w:sz="4" w:val="single"/>
        </w:pBdr>
        <w:rPr>
          <w:b w:val="1"/>
        </w:rPr>
      </w:pPr>
      <w:bookmarkStart w:colFirst="0" w:colLast="0" w:name="_2et92p0" w:id="4"/>
      <w:bookmarkEnd w:id="4"/>
      <w:r w:rsidDel="00000000" w:rsidR="00000000" w:rsidRPr="00000000">
        <w:rPr>
          <w:b w:val="1"/>
          <w:rtl w:val="0"/>
        </w:rPr>
        <w:t xml:space="preserve">References</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Atmadja, A.S., Wu, Y. and Juli, W. (2014) ‘Market integration and financial crisis: New evidence from Asian paciic markets’,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Indonesian Capital Market Review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2(1). doi:10.21002/icmr.v2i1.3657. </w:t>
      </w:r>
    </w:p>
    <w:p w:rsidR="00000000" w:rsidDel="00000000" w:rsidP="00000000" w:rsidRDefault="00000000" w:rsidRPr="00000000" w14:paraId="00000056">
      <w:pPr>
        <w:spacing w:after="0" w:line="360" w:lineRule="auto"/>
        <w:rPr>
          <w:color w:val="000000"/>
        </w:rPr>
      </w:pPr>
      <w:r w:rsidDel="00000000" w:rsidR="00000000" w:rsidRPr="00000000">
        <w:rPr>
          <w:color w:val="000000"/>
          <w:rtl w:val="0"/>
        </w:rPr>
        <w:t xml:space="preserve">Atrill P, McLaney E (2021) Management Accounting for Decision Makers, FT Prentice Hall</w:t>
      </w:r>
    </w:p>
    <w:p w:rsidR="00000000" w:rsidDel="00000000" w:rsidP="00000000" w:rsidRDefault="00000000" w:rsidRPr="00000000" w14:paraId="00000057">
      <w:pPr>
        <w:spacing w:after="0" w:line="360" w:lineRule="auto"/>
        <w:rPr>
          <w:color w:val="000000"/>
        </w:rPr>
      </w:pPr>
      <w:r w:rsidDel="00000000" w:rsidR="00000000" w:rsidRPr="00000000">
        <w:rPr>
          <w:color w:val="000000"/>
          <w:rtl w:val="0"/>
        </w:rPr>
        <w:t xml:space="preserve">Drury C (2021) (11th Ed) Management and Cost Accounting, London, Prentice Hall</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Feng, R., Wang, Y.-C. and Ryan, B. (2018) ‘Service experiences at Luxury Hotels: Business Tourists’ Perspectives’,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Bridging Tourism Theory and Practice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 181–193. doi:10.1108/s2042-144320180000009013. </w:t>
      </w:r>
    </w:p>
    <w:p w:rsidR="00000000" w:rsidDel="00000000" w:rsidP="00000000" w:rsidRDefault="00000000" w:rsidRPr="00000000" w14:paraId="00000059">
      <w:pPr>
        <w:spacing w:after="0" w:line="360" w:lineRule="auto"/>
        <w:rPr>
          <w:color w:val="000000"/>
        </w:rPr>
      </w:pPr>
      <w:r w:rsidDel="00000000" w:rsidR="00000000" w:rsidRPr="00000000">
        <w:rPr>
          <w:color w:val="000000"/>
          <w:rtl w:val="0"/>
        </w:rPr>
        <w:t xml:space="preserve">Guilding,C.(2014) (3rd Edition) Accounting Essentials for Hospitality Managers, London, Routledge</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Hirji, P. (2016) ‘Efek Customer Interaction Terhadap satisfaction dan word of mouth pada hotel mandarin oriental’,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Jurnal Manajemen dan Pemasaran Jasa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8(2), pp. 101–114. doi:10.25105/jmpj.v8i2.1594.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Hizam, A. (2021) ‘Tokopedia’s strategy in improving the quality of human resources to increase business productivity and profits’,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SSRN Electronic Journal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[Preprint]. doi:10.2139/ssrn.3827519.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Hossein Nabizadeh, A., Mário Jorge, A. and Paulo Leal, J. (2015) ‘Long term goal-oriented recommender systems’,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Proceedings of the 11th International Conference on Web Information Systems and Technologies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[Preprint]. doi:10.5220/0005493505520557.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Joseph, N. (2018) ‘Sustainability of community managed Disaster Risk Reduction Projects’,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Disaster Risk Reduction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 119–136. doi:10.1007/978-981-10-8845-2_8.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Menendez Martinez, A. (2013) ‘Hotel mandarin oriental de barcelona. obra de interiorismo y diseño de mobiliary de patrician rucola&lt;p&gt;&lt;/p&gt;&lt;p&gt;mandarin oriental hotel, Barcelona. interior and furniture design by Patricia Urquiola&lt;/p&gt;’,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Res Mobilist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2(2), p. 120. doi:10.17811/rm.2.2013.120-144.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Miteva, N. (2018) ‘Hotel chains entering the Macedonian market’,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Management Excellence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10(2), p. 1284. doi:10.17722/ijme.v10i2.414.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Morse, S.C. and Beckman, E. (2016) ‘A decision model for hotel revenue management displacement analysis for transient room demand vs. Group Room Demand’,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Hotel &amp;amp; Business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05(02). doi:10.4172/2169-0286.1000141.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Munro, K. (2023) ‘Priorities in eco-conscious households’,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Production of Everyday Life in Eco-Conscious Households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 40–58. doi:10.1332/policypress/9781529211474.003.0003. </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Pavia, N., Floričić, T. and Mrnjavac, E. (2023) ‘Flexible workspaces and remote work in hotel accommodation offer – competitiveness context’,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Tourism and hospitality industry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[Preprint]. doi:10.20867/thi.26.10. </w:t>
      </w:r>
    </w:p>
    <w:p w:rsidR="00000000" w:rsidDel="00000000" w:rsidP="00000000" w:rsidRDefault="00000000" w:rsidRPr="00000000" w14:paraId="00000063">
      <w:pPr>
        <w:spacing w:after="0" w:line="360" w:lineRule="auto"/>
        <w:rPr/>
      </w:pPr>
      <w:r w:rsidDel="00000000" w:rsidR="00000000" w:rsidRPr="00000000">
        <w:rPr>
          <w:color w:val="000000"/>
          <w:rtl w:val="0"/>
        </w:rPr>
        <w:t xml:space="preserve">Seal W (2019) (6th Ed) Management Accounting, London, McGraw Hill</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Skilbeck, M. (2021) ‘Voyagers, explorers, travellers and collectors’,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Loving and Studying Nature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 333–360. doi:10.1007/978-3-030-80751-1_15.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Sukhdeve, P.S. (2021) ‘Implementing augmented reality into Immersive Virtual Learning Environments’,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Implementing Augmented Reality into Immersive Virtual Learning Environments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 102–118. doi:10.4018/978-1-7998-4222-4.ch006.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Tsilingiridis, G., Sidiropoulos, C. and Pentaliotis, A. (2011) ‘Reduction of air pollutant emissions using renewable energy sources for power generation in cyprus’,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Renewable Energy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36(12), pp. 3292–3296. doi:10.1016/j.renene.2011.04.030. </w:t>
      </w:r>
    </w:p>
    <w:p w:rsidR="00000000" w:rsidDel="00000000" w:rsidP="00000000" w:rsidRDefault="00000000" w:rsidRPr="00000000" w14:paraId="00000067">
      <w:pPr>
        <w:spacing w:after="0" w:line="360" w:lineRule="auto"/>
        <w:rPr/>
      </w:pPr>
      <w:r w:rsidDel="00000000" w:rsidR="00000000" w:rsidRPr="00000000">
        <w:rPr>
          <w:color w:val="000000"/>
          <w:rtl w:val="0"/>
        </w:rPr>
        <w:t xml:space="preserve">Walker J (2021) Introduction to Hospitality, Harlow, Pearson</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567" w:right="0" w:hanging="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YAO, K. (2016) ‘Opportunities and challenges of China-middle east countries’ production capacity cooperation’,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Middle Eastern and Islamic Studies (in Asia)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10(2), pp. 1–19. doi:10.1080/19370679.2016.12023280. </w:t>
      </w:r>
    </w:p>
    <w:p w:rsidR="00000000" w:rsidDel="00000000" w:rsidP="00000000" w:rsidRDefault="00000000" w:rsidRPr="00000000" w14:paraId="00000069">
      <w:pPr>
        <w:spacing w:after="0" w:line="240" w:lineRule="auto"/>
        <w:rPr/>
      </w:pPr>
      <w:r w:rsidDel="00000000" w:rsidR="00000000" w:rsidRPr="00000000">
        <w:rPr>
          <w:rtl w:val="0"/>
        </w:rPr>
      </w:r>
    </w:p>
    <w:p w:rsidR="00000000" w:rsidDel="00000000" w:rsidP="00000000" w:rsidRDefault="00000000" w:rsidRPr="00000000" w14:paraId="0000006A">
      <w:pPr>
        <w:spacing w:after="0" w:line="240" w:lineRule="auto"/>
        <w:rPr/>
      </w:pPr>
      <w:r w:rsidDel="00000000" w:rsidR="00000000" w:rsidRPr="00000000">
        <w:rPr>
          <w:rtl w:val="0"/>
        </w:rPr>
      </w:r>
    </w:p>
    <w:p w:rsidR="00000000" w:rsidDel="00000000" w:rsidP="00000000" w:rsidRDefault="00000000" w:rsidRPr="00000000" w14:paraId="0000006B">
      <w:pPr>
        <w:spacing w:after="0" w:line="240" w:lineRule="auto"/>
        <w:rPr/>
      </w:pPr>
      <w:r w:rsidDel="00000000" w:rsidR="00000000" w:rsidRPr="00000000">
        <w:rPr>
          <w:rtl w:val="0"/>
        </w:rPr>
      </w:r>
    </w:p>
    <w:p w:rsidR="00000000" w:rsidDel="00000000" w:rsidP="00000000" w:rsidRDefault="00000000" w:rsidRPr="00000000" w14:paraId="0000006C">
      <w:pPr>
        <w:spacing w:after="0" w:line="240" w:lineRule="auto"/>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sectPr>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259"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000000"/>
      <w:sz w:val="32"/>
      <w:szCs w:val="32"/>
    </w:rPr>
  </w:style>
  <w:style w:type="paragraph" w:styleId="Heading2">
    <w:name w:val="heading 2"/>
    <w:basedOn w:val="Normal"/>
    <w:next w:val="Normal"/>
    <w:pPr>
      <w:keepNext w:val="1"/>
      <w:keepLines w:val="1"/>
      <w:spacing w:before="40" w:lineRule="auto"/>
    </w:pPr>
    <w:rPr>
      <w:color w:val="000000"/>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diagramColors" Target="diagrams/colors1.xml"/><Relationship Id="rId2" Type="http://schemas.openxmlformats.org/officeDocument/2006/relationships/diagramData" Target="diagrams/data1.xml"/><Relationship Id="rId3" Type="http://schemas.openxmlformats.org/officeDocument/2006/relationships/diagramLayout" Target="diagrams/layout1.xml"/><Relationship Id="rId4" Type="http://schemas.openxmlformats.org/officeDocument/2006/relationships/diagramQuickStyle" Target="diagrams/quickStyle1.xml"/><Relationship Id="rId10" Type="http://schemas.openxmlformats.org/officeDocument/2006/relationships/footer" Target="footer1.xml"/><Relationship Id="rId12" Type="http://schemas.microsoft.com/office/2007/relationships/diagramDrawing" Target="diagrams/drawing1.xml"/><Relationship Id="rId9" Type="http://schemas.openxmlformats.org/officeDocument/2006/relationships/styles" Target="styles.xml"/><Relationship Id="rId5" Type="http://schemas.openxmlformats.org/officeDocument/2006/relationships/theme" Target="theme/theme1.xml"/><Relationship Id="rId6" Type="http://schemas.openxmlformats.org/officeDocument/2006/relationships/settings" Target="settings.xml"/><Relationship Id="rId7" Type="http://schemas.openxmlformats.org/officeDocument/2006/relationships/fontTable" Target="fontTable.xml"/><Relationship Id="rId8"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A6D4EA-8459-4D5E-925E-EDD15A1E1E3C}" type="doc">
      <dgm:prSet loTypeId="urn:microsoft.com/office/officeart/2005/8/layout/hierarchy3" loCatId="hierarchy" qsTypeId="urn:microsoft.com/office/officeart/2005/8/quickstyle/simple1" qsCatId="simple" csTypeId="urn:microsoft.com/office/officeart/2005/8/colors/colorful4" csCatId="colorful" phldr="1"/>
      <dgm:spPr/>
      <dgm:t>
        <a:bodyPr/>
        <a:lstStyle/>
        <a:p>
          <a:endParaRPr lang="en-US"/>
        </a:p>
      </dgm:t>
    </dgm:pt>
    <dgm:pt modelId="{BC1CDFAF-5893-4FE3-B052-5CE7F3C67DB5}">
      <dgm:prSet phldrT="[Text]" custT="1"/>
      <dgm:spPr/>
      <dgm:t>
        <a:bodyPr/>
        <a:lstStyle/>
        <a:p>
          <a:r>
            <a:rPr lang="en-US" sz="1400" b="1">
              <a:latin typeface="Times New Roman" panose="02020603050405020304" pitchFamily="18" charset="0"/>
              <a:cs typeface="Times New Roman" panose="02020603050405020304" pitchFamily="18" charset="0"/>
            </a:rPr>
            <a:t>Mandarin Oriental Hotel</a:t>
          </a:r>
          <a:endParaRPr lang="en-US" sz="1400">
            <a:latin typeface="Times New Roman" panose="02020603050405020304" pitchFamily="18" charset="0"/>
            <a:cs typeface="Times New Roman" panose="02020603050405020304" pitchFamily="18" charset="0"/>
          </a:endParaRPr>
        </a:p>
      </dgm:t>
    </dgm:pt>
    <dgm:pt modelId="{EF8D11C4-D108-4371-9AFA-C55219AE36C5}" type="parTrans" cxnId="{5B4359D4-7BD8-441C-8681-6C5FF35AC077}">
      <dgm:prSet/>
      <dgm:spPr/>
      <dgm:t>
        <a:bodyPr/>
        <a:lstStyle/>
        <a:p>
          <a:endParaRPr lang="en-US" sz="1200">
            <a:latin typeface="Times New Roman" panose="02020603050405020304" pitchFamily="18" charset="0"/>
            <a:cs typeface="Times New Roman" panose="02020603050405020304" pitchFamily="18" charset="0"/>
          </a:endParaRPr>
        </a:p>
      </dgm:t>
    </dgm:pt>
    <dgm:pt modelId="{59BCAA22-ADCB-460C-9B8F-6601BE6DCA69}" type="sibTrans" cxnId="{5B4359D4-7BD8-441C-8681-6C5FF35AC077}">
      <dgm:prSet/>
      <dgm:spPr/>
      <dgm:t>
        <a:bodyPr/>
        <a:lstStyle/>
        <a:p>
          <a:endParaRPr lang="en-US" sz="1200">
            <a:latin typeface="Times New Roman" panose="02020603050405020304" pitchFamily="18" charset="0"/>
            <a:cs typeface="Times New Roman" panose="02020603050405020304" pitchFamily="18" charset="0"/>
          </a:endParaRPr>
        </a:p>
      </dgm:t>
    </dgm:pt>
    <dgm:pt modelId="{C87A7E87-2383-4A05-A9B3-85B2A2E58CAD}">
      <dgm:prSet phldrT="[Text]" custT="1"/>
      <dgm:spPr/>
      <dgm:t>
        <a:bodyPr/>
        <a:lstStyle/>
        <a:p>
          <a:r>
            <a:rPr lang="en-US" sz="1200" b="1">
              <a:latin typeface="Times New Roman" panose="02020603050405020304" pitchFamily="18" charset="0"/>
              <a:cs typeface="Times New Roman" panose="02020603050405020304" pitchFamily="18" charset="0"/>
            </a:rPr>
            <a:t>Further Diversify the Portfolio</a:t>
          </a:r>
          <a:endParaRPr lang="en-US" sz="1200">
            <a:latin typeface="Times New Roman" panose="02020603050405020304" pitchFamily="18" charset="0"/>
            <a:cs typeface="Times New Roman" panose="02020603050405020304" pitchFamily="18" charset="0"/>
          </a:endParaRPr>
        </a:p>
      </dgm:t>
    </dgm:pt>
    <dgm:pt modelId="{0BF5F8AD-AC68-49A3-B414-2ED16F5B0309}" type="parTrans" cxnId="{5F760D2C-D5AE-4A8E-8224-53152CF712CC}">
      <dgm:prSet/>
      <dgm:spPr/>
      <dgm:t>
        <a:bodyPr/>
        <a:lstStyle/>
        <a:p>
          <a:endParaRPr lang="en-US" sz="1200">
            <a:latin typeface="Times New Roman" panose="02020603050405020304" pitchFamily="18" charset="0"/>
            <a:cs typeface="Times New Roman" panose="02020603050405020304" pitchFamily="18" charset="0"/>
          </a:endParaRPr>
        </a:p>
      </dgm:t>
    </dgm:pt>
    <dgm:pt modelId="{DB286237-BD77-4025-A760-0A6447645DE2}" type="sibTrans" cxnId="{5F760D2C-D5AE-4A8E-8224-53152CF712CC}">
      <dgm:prSet/>
      <dgm:spPr/>
      <dgm:t>
        <a:bodyPr/>
        <a:lstStyle/>
        <a:p>
          <a:endParaRPr lang="en-US" sz="1200">
            <a:latin typeface="Times New Roman" panose="02020603050405020304" pitchFamily="18" charset="0"/>
            <a:cs typeface="Times New Roman" panose="02020603050405020304" pitchFamily="18" charset="0"/>
          </a:endParaRPr>
        </a:p>
      </dgm:t>
    </dgm:pt>
    <dgm:pt modelId="{096CF122-B652-4166-BE36-EBC082FE6382}">
      <dgm:prSet phldrT="[Text]" custT="1"/>
      <dgm:spPr/>
      <dgm:t>
        <a:bodyPr/>
        <a:lstStyle/>
        <a:p>
          <a:r>
            <a:rPr lang="en-US" sz="1200" b="1">
              <a:latin typeface="Times New Roman" panose="02020603050405020304" pitchFamily="18" charset="0"/>
              <a:cs typeface="Times New Roman" panose="02020603050405020304" pitchFamily="18" charset="0"/>
            </a:rPr>
            <a:t>Strengthen the Digital Presence</a:t>
          </a:r>
          <a:endParaRPr lang="en-US" sz="1200">
            <a:latin typeface="Times New Roman" panose="02020603050405020304" pitchFamily="18" charset="0"/>
            <a:cs typeface="Times New Roman" panose="02020603050405020304" pitchFamily="18" charset="0"/>
          </a:endParaRPr>
        </a:p>
      </dgm:t>
    </dgm:pt>
    <dgm:pt modelId="{4DFA214A-63CD-452A-9078-209B6C5F80AF}" type="parTrans" cxnId="{E98F5395-4AAB-43FA-9AC1-F0FA76A4DF44}">
      <dgm:prSet/>
      <dgm:spPr/>
      <dgm:t>
        <a:bodyPr/>
        <a:lstStyle/>
        <a:p>
          <a:endParaRPr lang="en-US" sz="1200">
            <a:latin typeface="Times New Roman" panose="02020603050405020304" pitchFamily="18" charset="0"/>
            <a:cs typeface="Times New Roman" panose="02020603050405020304" pitchFamily="18" charset="0"/>
          </a:endParaRPr>
        </a:p>
      </dgm:t>
    </dgm:pt>
    <dgm:pt modelId="{C0C854C4-B698-4E5B-A706-12A9C48A171E}" type="sibTrans" cxnId="{E98F5395-4AAB-43FA-9AC1-F0FA76A4DF44}">
      <dgm:prSet/>
      <dgm:spPr/>
      <dgm:t>
        <a:bodyPr/>
        <a:lstStyle/>
        <a:p>
          <a:endParaRPr lang="en-US" sz="1200">
            <a:latin typeface="Times New Roman" panose="02020603050405020304" pitchFamily="18" charset="0"/>
            <a:cs typeface="Times New Roman" panose="02020603050405020304" pitchFamily="18" charset="0"/>
          </a:endParaRPr>
        </a:p>
      </dgm:t>
    </dgm:pt>
    <dgm:pt modelId="{05C695F0-8F9F-4265-92C6-D299D7C26EB9}">
      <dgm:prSet phldrT="[Text]" custT="1"/>
      <dgm:spPr/>
      <dgm:t>
        <a:bodyPr/>
        <a:lstStyle/>
        <a:p>
          <a:r>
            <a:rPr lang="en-US" sz="1400" b="1">
              <a:latin typeface="Times New Roman" panose="02020603050405020304" pitchFamily="18" charset="0"/>
              <a:cs typeface="Times New Roman" panose="02020603050405020304" pitchFamily="18" charset="0"/>
            </a:rPr>
            <a:t>Premier Inn Hotel</a:t>
          </a:r>
          <a:endParaRPr lang="en-US" sz="1400">
            <a:latin typeface="Times New Roman" panose="02020603050405020304" pitchFamily="18" charset="0"/>
            <a:cs typeface="Times New Roman" panose="02020603050405020304" pitchFamily="18" charset="0"/>
          </a:endParaRPr>
        </a:p>
      </dgm:t>
    </dgm:pt>
    <dgm:pt modelId="{503A5784-9CEA-4E10-A050-972C3E8A3B87}" type="parTrans" cxnId="{A1FC8140-E91E-4DC8-A7A9-6392EA704CFE}">
      <dgm:prSet/>
      <dgm:spPr/>
      <dgm:t>
        <a:bodyPr/>
        <a:lstStyle/>
        <a:p>
          <a:endParaRPr lang="en-US" sz="1200">
            <a:latin typeface="Times New Roman" panose="02020603050405020304" pitchFamily="18" charset="0"/>
            <a:cs typeface="Times New Roman" panose="02020603050405020304" pitchFamily="18" charset="0"/>
          </a:endParaRPr>
        </a:p>
      </dgm:t>
    </dgm:pt>
    <dgm:pt modelId="{20C2256E-2334-4F05-B54B-FD37DC0AC5A7}" type="sibTrans" cxnId="{A1FC8140-E91E-4DC8-A7A9-6392EA704CFE}">
      <dgm:prSet/>
      <dgm:spPr/>
      <dgm:t>
        <a:bodyPr/>
        <a:lstStyle/>
        <a:p>
          <a:endParaRPr lang="en-US" sz="1200">
            <a:latin typeface="Times New Roman" panose="02020603050405020304" pitchFamily="18" charset="0"/>
            <a:cs typeface="Times New Roman" panose="02020603050405020304" pitchFamily="18" charset="0"/>
          </a:endParaRPr>
        </a:p>
      </dgm:t>
    </dgm:pt>
    <dgm:pt modelId="{60C1EA19-6858-4A66-AE90-8D5506D93F84}">
      <dgm:prSet phldrT="[Text]" custT="1"/>
      <dgm:spPr/>
      <dgm:t>
        <a:bodyPr/>
        <a:lstStyle/>
        <a:p>
          <a:r>
            <a:rPr lang="en-US" sz="1200" b="1">
              <a:latin typeface="Times New Roman" panose="02020603050405020304" pitchFamily="18" charset="0"/>
              <a:cs typeface="Times New Roman" panose="02020603050405020304" pitchFamily="18" charset="0"/>
            </a:rPr>
            <a:t>Innovate for Diversification</a:t>
          </a:r>
          <a:endParaRPr lang="en-US" sz="1200">
            <a:latin typeface="Times New Roman" panose="02020603050405020304" pitchFamily="18" charset="0"/>
            <a:cs typeface="Times New Roman" panose="02020603050405020304" pitchFamily="18" charset="0"/>
          </a:endParaRPr>
        </a:p>
      </dgm:t>
    </dgm:pt>
    <dgm:pt modelId="{B63C11D7-B1DA-411B-9EB8-96255C4C160D}" type="parTrans" cxnId="{BE0F6F8A-6FD2-44FD-9311-B8675C1F397B}">
      <dgm:prSet/>
      <dgm:spPr/>
      <dgm:t>
        <a:bodyPr/>
        <a:lstStyle/>
        <a:p>
          <a:endParaRPr lang="en-US" sz="1200">
            <a:latin typeface="Times New Roman" panose="02020603050405020304" pitchFamily="18" charset="0"/>
            <a:cs typeface="Times New Roman" panose="02020603050405020304" pitchFamily="18" charset="0"/>
          </a:endParaRPr>
        </a:p>
      </dgm:t>
    </dgm:pt>
    <dgm:pt modelId="{B2F03BBC-1796-4E80-B6D7-40E44CC5F825}" type="sibTrans" cxnId="{BE0F6F8A-6FD2-44FD-9311-B8675C1F397B}">
      <dgm:prSet/>
      <dgm:spPr/>
      <dgm:t>
        <a:bodyPr/>
        <a:lstStyle/>
        <a:p>
          <a:endParaRPr lang="en-US" sz="1200">
            <a:latin typeface="Times New Roman" panose="02020603050405020304" pitchFamily="18" charset="0"/>
            <a:cs typeface="Times New Roman" panose="02020603050405020304" pitchFamily="18" charset="0"/>
          </a:endParaRPr>
        </a:p>
      </dgm:t>
    </dgm:pt>
    <dgm:pt modelId="{F05A3052-B383-4EE0-BDF4-0767F76A5648}">
      <dgm:prSet phldrT="[Text]" custT="1"/>
      <dgm:spPr/>
      <dgm:t>
        <a:bodyPr/>
        <a:lstStyle/>
        <a:p>
          <a:r>
            <a:rPr lang="en-US" sz="1200" b="1">
              <a:latin typeface="Times New Roman" panose="02020603050405020304" pitchFamily="18" charset="0"/>
              <a:cs typeface="Times New Roman" panose="02020603050405020304" pitchFamily="18" charset="0"/>
            </a:rPr>
            <a:t>International Expansion with Local Sensitivity</a:t>
          </a:r>
          <a:endParaRPr lang="en-US" sz="1200">
            <a:latin typeface="Times New Roman" panose="02020603050405020304" pitchFamily="18" charset="0"/>
            <a:cs typeface="Times New Roman" panose="02020603050405020304" pitchFamily="18" charset="0"/>
          </a:endParaRPr>
        </a:p>
      </dgm:t>
    </dgm:pt>
    <dgm:pt modelId="{8036E627-081F-4997-BE6E-E61B453C199A}" type="parTrans" cxnId="{FB5102B7-2467-4007-99BA-055556B8C3E7}">
      <dgm:prSet/>
      <dgm:spPr/>
      <dgm:t>
        <a:bodyPr/>
        <a:lstStyle/>
        <a:p>
          <a:endParaRPr lang="en-US" sz="1200">
            <a:latin typeface="Times New Roman" panose="02020603050405020304" pitchFamily="18" charset="0"/>
            <a:cs typeface="Times New Roman" panose="02020603050405020304" pitchFamily="18" charset="0"/>
          </a:endParaRPr>
        </a:p>
      </dgm:t>
    </dgm:pt>
    <dgm:pt modelId="{3ABF01FB-3CA3-44F6-8F30-30AB16190D39}" type="sibTrans" cxnId="{FB5102B7-2467-4007-99BA-055556B8C3E7}">
      <dgm:prSet/>
      <dgm:spPr/>
      <dgm:t>
        <a:bodyPr/>
        <a:lstStyle/>
        <a:p>
          <a:endParaRPr lang="en-US" sz="1200">
            <a:latin typeface="Times New Roman" panose="02020603050405020304" pitchFamily="18" charset="0"/>
            <a:cs typeface="Times New Roman" panose="02020603050405020304" pitchFamily="18" charset="0"/>
          </a:endParaRPr>
        </a:p>
      </dgm:t>
    </dgm:pt>
    <dgm:pt modelId="{9E7B2E0F-F647-46D8-A3B3-D271A3D947B4}">
      <dgm:prSet custT="1"/>
      <dgm:spPr/>
      <dgm:t>
        <a:bodyPr/>
        <a:lstStyle/>
        <a:p>
          <a:r>
            <a:rPr lang="en-US" sz="1200" b="1">
              <a:latin typeface="Times New Roman" panose="02020603050405020304" pitchFamily="18" charset="0"/>
              <a:cs typeface="Times New Roman" panose="02020603050405020304" pitchFamily="18" charset="0"/>
            </a:rPr>
            <a:t>Expand Sustainable Initiatives</a:t>
          </a:r>
          <a:endParaRPr lang="en-US" sz="1200">
            <a:latin typeface="Times New Roman" panose="02020603050405020304" pitchFamily="18" charset="0"/>
            <a:cs typeface="Times New Roman" panose="02020603050405020304" pitchFamily="18" charset="0"/>
          </a:endParaRPr>
        </a:p>
      </dgm:t>
    </dgm:pt>
    <dgm:pt modelId="{F62C1096-F16F-4749-BE4D-40C1CBBA8B0B}" type="parTrans" cxnId="{D4781236-8174-4690-84D8-7EA730F39C58}">
      <dgm:prSet/>
      <dgm:spPr/>
      <dgm:t>
        <a:bodyPr/>
        <a:lstStyle/>
        <a:p>
          <a:endParaRPr lang="en-US" sz="1200">
            <a:latin typeface="Times New Roman" panose="02020603050405020304" pitchFamily="18" charset="0"/>
            <a:cs typeface="Times New Roman" panose="02020603050405020304" pitchFamily="18" charset="0"/>
          </a:endParaRPr>
        </a:p>
      </dgm:t>
    </dgm:pt>
    <dgm:pt modelId="{C70F048B-809D-4057-89CD-C94B87CC4D5F}" type="sibTrans" cxnId="{D4781236-8174-4690-84D8-7EA730F39C58}">
      <dgm:prSet/>
      <dgm:spPr/>
      <dgm:t>
        <a:bodyPr/>
        <a:lstStyle/>
        <a:p>
          <a:endParaRPr lang="en-US" sz="1200">
            <a:latin typeface="Times New Roman" panose="02020603050405020304" pitchFamily="18" charset="0"/>
            <a:cs typeface="Times New Roman" panose="02020603050405020304" pitchFamily="18" charset="0"/>
          </a:endParaRPr>
        </a:p>
      </dgm:t>
    </dgm:pt>
    <dgm:pt modelId="{BBC13B7C-1597-44E1-B19F-F7FE60F258C7}">
      <dgm:prSet custT="1"/>
      <dgm:spPr/>
      <dgm:t>
        <a:bodyPr/>
        <a:lstStyle/>
        <a:p>
          <a:r>
            <a:rPr lang="en-US" sz="1200" b="1">
              <a:latin typeface="Times New Roman" panose="02020603050405020304" pitchFamily="18" charset="0"/>
              <a:cs typeface="Times New Roman" panose="02020603050405020304" pitchFamily="18" charset="0"/>
            </a:rPr>
            <a:t>Strengthen Sustainability Efforts</a:t>
          </a:r>
          <a:endParaRPr lang="en-US" sz="1200">
            <a:latin typeface="Times New Roman" panose="02020603050405020304" pitchFamily="18" charset="0"/>
            <a:cs typeface="Times New Roman" panose="02020603050405020304" pitchFamily="18" charset="0"/>
          </a:endParaRPr>
        </a:p>
      </dgm:t>
    </dgm:pt>
    <dgm:pt modelId="{12DA579E-8BDD-4833-A22F-DA7D0B7A9070}" type="parTrans" cxnId="{22A102B6-C702-4E39-8AA7-4741B621D0D9}">
      <dgm:prSet/>
      <dgm:spPr/>
      <dgm:t>
        <a:bodyPr/>
        <a:lstStyle/>
        <a:p>
          <a:endParaRPr lang="en-US" sz="1200">
            <a:latin typeface="Times New Roman" panose="02020603050405020304" pitchFamily="18" charset="0"/>
            <a:cs typeface="Times New Roman" panose="02020603050405020304" pitchFamily="18" charset="0"/>
          </a:endParaRPr>
        </a:p>
      </dgm:t>
    </dgm:pt>
    <dgm:pt modelId="{CF82E24F-9A76-4BEA-A27B-224D115684A0}" type="sibTrans" cxnId="{22A102B6-C702-4E39-8AA7-4741B621D0D9}">
      <dgm:prSet/>
      <dgm:spPr/>
      <dgm:t>
        <a:bodyPr/>
        <a:lstStyle/>
        <a:p>
          <a:endParaRPr lang="en-US" sz="1200">
            <a:latin typeface="Times New Roman" panose="02020603050405020304" pitchFamily="18" charset="0"/>
            <a:cs typeface="Times New Roman" panose="02020603050405020304" pitchFamily="18" charset="0"/>
          </a:endParaRPr>
        </a:p>
      </dgm:t>
    </dgm:pt>
    <dgm:pt modelId="{9164F8D6-C125-46A6-9675-DC2994D5503C}" type="pres">
      <dgm:prSet presAssocID="{CFA6D4EA-8459-4D5E-925E-EDD15A1E1E3C}" presName="diagram" presStyleCnt="0">
        <dgm:presLayoutVars>
          <dgm:chPref val="1"/>
          <dgm:dir/>
          <dgm:animOne val="branch"/>
          <dgm:animLvl val="lvl"/>
          <dgm:resizeHandles/>
        </dgm:presLayoutVars>
      </dgm:prSet>
      <dgm:spPr/>
    </dgm:pt>
    <dgm:pt modelId="{450C1E3C-A15A-424A-A067-14FA39807E8D}" type="pres">
      <dgm:prSet presAssocID="{BC1CDFAF-5893-4FE3-B052-5CE7F3C67DB5}" presName="root" presStyleCnt="0"/>
      <dgm:spPr/>
    </dgm:pt>
    <dgm:pt modelId="{690BC7C8-24CD-447A-BCD5-73D6BA11EF58}" type="pres">
      <dgm:prSet presAssocID="{BC1CDFAF-5893-4FE3-B052-5CE7F3C67DB5}" presName="rootComposite" presStyleCnt="0"/>
      <dgm:spPr/>
    </dgm:pt>
    <dgm:pt modelId="{98D6E5AC-C344-4F8C-B89D-191BA6591E3C}" type="pres">
      <dgm:prSet presAssocID="{BC1CDFAF-5893-4FE3-B052-5CE7F3C67DB5}" presName="rootText" presStyleLbl="node1" presStyleIdx="0" presStyleCnt="2"/>
      <dgm:spPr/>
    </dgm:pt>
    <dgm:pt modelId="{4CAA6DA4-2600-42C5-AD16-3FC37AB373B0}" type="pres">
      <dgm:prSet presAssocID="{BC1CDFAF-5893-4FE3-B052-5CE7F3C67DB5}" presName="rootConnector" presStyleLbl="node1" presStyleIdx="0" presStyleCnt="2"/>
      <dgm:spPr/>
    </dgm:pt>
    <dgm:pt modelId="{D9DF502E-2888-4831-9223-143196AFEB7D}" type="pres">
      <dgm:prSet presAssocID="{BC1CDFAF-5893-4FE3-B052-5CE7F3C67DB5}" presName="childShape" presStyleCnt="0"/>
      <dgm:spPr/>
    </dgm:pt>
    <dgm:pt modelId="{63491443-4E5B-4A78-BD53-78C46508551E}" type="pres">
      <dgm:prSet presAssocID="{0BF5F8AD-AC68-49A3-B414-2ED16F5B0309}" presName="Name13" presStyleLbl="parChTrans1D2" presStyleIdx="0" presStyleCnt="6"/>
      <dgm:spPr/>
    </dgm:pt>
    <dgm:pt modelId="{A2D2E278-E3EA-4075-9920-0D0B54BD40F3}" type="pres">
      <dgm:prSet presAssocID="{C87A7E87-2383-4A05-A9B3-85B2A2E58CAD}" presName="childText" presStyleLbl="bgAcc1" presStyleIdx="0" presStyleCnt="6">
        <dgm:presLayoutVars>
          <dgm:bulletEnabled val="1"/>
        </dgm:presLayoutVars>
      </dgm:prSet>
      <dgm:spPr/>
    </dgm:pt>
    <dgm:pt modelId="{4841C1A6-F277-47CB-9171-D82A05748AF9}" type="pres">
      <dgm:prSet presAssocID="{F62C1096-F16F-4749-BE4D-40C1CBBA8B0B}" presName="Name13" presStyleLbl="parChTrans1D2" presStyleIdx="1" presStyleCnt="6"/>
      <dgm:spPr/>
    </dgm:pt>
    <dgm:pt modelId="{FBBE2F12-DC88-45C4-8CAD-2D075A3FD106}" type="pres">
      <dgm:prSet presAssocID="{9E7B2E0F-F647-46D8-A3B3-D271A3D947B4}" presName="childText" presStyleLbl="bgAcc1" presStyleIdx="1" presStyleCnt="6">
        <dgm:presLayoutVars>
          <dgm:bulletEnabled val="1"/>
        </dgm:presLayoutVars>
      </dgm:prSet>
      <dgm:spPr/>
    </dgm:pt>
    <dgm:pt modelId="{AD1E1520-4EEA-42BA-BA16-FEDA29DC8AAD}" type="pres">
      <dgm:prSet presAssocID="{4DFA214A-63CD-452A-9078-209B6C5F80AF}" presName="Name13" presStyleLbl="parChTrans1D2" presStyleIdx="2" presStyleCnt="6"/>
      <dgm:spPr/>
    </dgm:pt>
    <dgm:pt modelId="{9DA08533-2B27-426C-BFF2-E3312E3067B7}" type="pres">
      <dgm:prSet presAssocID="{096CF122-B652-4166-BE36-EBC082FE6382}" presName="childText" presStyleLbl="bgAcc1" presStyleIdx="2" presStyleCnt="6">
        <dgm:presLayoutVars>
          <dgm:bulletEnabled val="1"/>
        </dgm:presLayoutVars>
      </dgm:prSet>
      <dgm:spPr/>
    </dgm:pt>
    <dgm:pt modelId="{2E2DF19C-9C9C-44A5-A966-7ECF85CDFACA}" type="pres">
      <dgm:prSet presAssocID="{05C695F0-8F9F-4265-92C6-D299D7C26EB9}" presName="root" presStyleCnt="0"/>
      <dgm:spPr/>
    </dgm:pt>
    <dgm:pt modelId="{54FA8F26-DF46-44EC-9EA2-AE39621E20CF}" type="pres">
      <dgm:prSet presAssocID="{05C695F0-8F9F-4265-92C6-D299D7C26EB9}" presName="rootComposite" presStyleCnt="0"/>
      <dgm:spPr/>
    </dgm:pt>
    <dgm:pt modelId="{B66AF65A-A7B7-45C8-8E3E-C61051CA9CF6}" type="pres">
      <dgm:prSet presAssocID="{05C695F0-8F9F-4265-92C6-D299D7C26EB9}" presName="rootText" presStyleLbl="node1" presStyleIdx="1" presStyleCnt="2"/>
      <dgm:spPr/>
    </dgm:pt>
    <dgm:pt modelId="{8F8638EB-2369-4B64-B8BD-70DAD8440503}" type="pres">
      <dgm:prSet presAssocID="{05C695F0-8F9F-4265-92C6-D299D7C26EB9}" presName="rootConnector" presStyleLbl="node1" presStyleIdx="1" presStyleCnt="2"/>
      <dgm:spPr/>
    </dgm:pt>
    <dgm:pt modelId="{5E35B679-EE75-4ACA-8C9B-D704AB68F067}" type="pres">
      <dgm:prSet presAssocID="{05C695F0-8F9F-4265-92C6-D299D7C26EB9}" presName="childShape" presStyleCnt="0"/>
      <dgm:spPr/>
    </dgm:pt>
    <dgm:pt modelId="{79A0EA3D-9AEF-41E9-B64A-1EAF68E57986}" type="pres">
      <dgm:prSet presAssocID="{B63C11D7-B1DA-411B-9EB8-96255C4C160D}" presName="Name13" presStyleLbl="parChTrans1D2" presStyleIdx="3" presStyleCnt="6"/>
      <dgm:spPr/>
    </dgm:pt>
    <dgm:pt modelId="{B055D5CB-AB69-4C4D-889D-BC7BEAFEA00B}" type="pres">
      <dgm:prSet presAssocID="{60C1EA19-6858-4A66-AE90-8D5506D93F84}" presName="childText" presStyleLbl="bgAcc1" presStyleIdx="3" presStyleCnt="6">
        <dgm:presLayoutVars>
          <dgm:bulletEnabled val="1"/>
        </dgm:presLayoutVars>
      </dgm:prSet>
      <dgm:spPr/>
    </dgm:pt>
    <dgm:pt modelId="{6BED9AC6-D7F5-487D-BA5F-E01AD649D8E4}" type="pres">
      <dgm:prSet presAssocID="{12DA579E-8BDD-4833-A22F-DA7D0B7A9070}" presName="Name13" presStyleLbl="parChTrans1D2" presStyleIdx="4" presStyleCnt="6"/>
      <dgm:spPr/>
    </dgm:pt>
    <dgm:pt modelId="{AFBA1658-16F9-47EE-94EA-DBC7CE282058}" type="pres">
      <dgm:prSet presAssocID="{BBC13B7C-1597-44E1-B19F-F7FE60F258C7}" presName="childText" presStyleLbl="bgAcc1" presStyleIdx="4" presStyleCnt="6">
        <dgm:presLayoutVars>
          <dgm:bulletEnabled val="1"/>
        </dgm:presLayoutVars>
      </dgm:prSet>
      <dgm:spPr/>
    </dgm:pt>
    <dgm:pt modelId="{7B9A12F1-3CC6-4905-AB3A-786FB57253AD}" type="pres">
      <dgm:prSet presAssocID="{8036E627-081F-4997-BE6E-E61B453C199A}" presName="Name13" presStyleLbl="parChTrans1D2" presStyleIdx="5" presStyleCnt="6"/>
      <dgm:spPr/>
    </dgm:pt>
    <dgm:pt modelId="{088FE29D-B865-4C8E-BE5D-47E0EF76C5FC}" type="pres">
      <dgm:prSet presAssocID="{F05A3052-B383-4EE0-BDF4-0767F76A5648}" presName="childText" presStyleLbl="bgAcc1" presStyleIdx="5" presStyleCnt="6">
        <dgm:presLayoutVars>
          <dgm:bulletEnabled val="1"/>
        </dgm:presLayoutVars>
      </dgm:prSet>
      <dgm:spPr/>
    </dgm:pt>
  </dgm:ptLst>
  <dgm:cxnLst>
    <dgm:cxn modelId="{DB1EB702-C1AA-465B-88A9-394A2F13BDA9}" type="presOf" srcId="{C87A7E87-2383-4A05-A9B3-85B2A2E58CAD}" destId="{A2D2E278-E3EA-4075-9920-0D0B54BD40F3}" srcOrd="0" destOrd="0" presId="urn:microsoft.com/office/officeart/2005/8/layout/hierarchy3"/>
    <dgm:cxn modelId="{BCA9470A-2C46-41B0-8F2E-36D88090AAC6}" type="presOf" srcId="{05C695F0-8F9F-4265-92C6-D299D7C26EB9}" destId="{8F8638EB-2369-4B64-B8BD-70DAD8440503}" srcOrd="1" destOrd="0" presId="urn:microsoft.com/office/officeart/2005/8/layout/hierarchy3"/>
    <dgm:cxn modelId="{600DA91A-34A3-4F7E-A448-AF0413766812}" type="presOf" srcId="{F62C1096-F16F-4749-BE4D-40C1CBBA8B0B}" destId="{4841C1A6-F277-47CB-9171-D82A05748AF9}" srcOrd="0" destOrd="0" presId="urn:microsoft.com/office/officeart/2005/8/layout/hierarchy3"/>
    <dgm:cxn modelId="{9581A223-50C7-4D99-87D7-0BC704EDADA2}" type="presOf" srcId="{BBC13B7C-1597-44E1-B19F-F7FE60F258C7}" destId="{AFBA1658-16F9-47EE-94EA-DBC7CE282058}" srcOrd="0" destOrd="0" presId="urn:microsoft.com/office/officeart/2005/8/layout/hierarchy3"/>
    <dgm:cxn modelId="{F66C5E24-3D88-4CCA-B7B8-ED065C1C8F5C}" type="presOf" srcId="{9E7B2E0F-F647-46D8-A3B3-D271A3D947B4}" destId="{FBBE2F12-DC88-45C4-8CAD-2D075A3FD106}" srcOrd="0" destOrd="0" presId="urn:microsoft.com/office/officeart/2005/8/layout/hierarchy3"/>
    <dgm:cxn modelId="{5F760D2C-D5AE-4A8E-8224-53152CF712CC}" srcId="{BC1CDFAF-5893-4FE3-B052-5CE7F3C67DB5}" destId="{C87A7E87-2383-4A05-A9B3-85B2A2E58CAD}" srcOrd="0" destOrd="0" parTransId="{0BF5F8AD-AC68-49A3-B414-2ED16F5B0309}" sibTransId="{DB286237-BD77-4025-A760-0A6447645DE2}"/>
    <dgm:cxn modelId="{D4781236-8174-4690-84D8-7EA730F39C58}" srcId="{BC1CDFAF-5893-4FE3-B052-5CE7F3C67DB5}" destId="{9E7B2E0F-F647-46D8-A3B3-D271A3D947B4}" srcOrd="1" destOrd="0" parTransId="{F62C1096-F16F-4749-BE4D-40C1CBBA8B0B}" sibTransId="{C70F048B-809D-4057-89CD-C94B87CC4D5F}"/>
    <dgm:cxn modelId="{5384F13A-6F07-49FC-924F-ECF8CEE3640E}" type="presOf" srcId="{B63C11D7-B1DA-411B-9EB8-96255C4C160D}" destId="{79A0EA3D-9AEF-41E9-B64A-1EAF68E57986}" srcOrd="0" destOrd="0" presId="urn:microsoft.com/office/officeart/2005/8/layout/hierarchy3"/>
    <dgm:cxn modelId="{A1FC8140-E91E-4DC8-A7A9-6392EA704CFE}" srcId="{CFA6D4EA-8459-4D5E-925E-EDD15A1E1E3C}" destId="{05C695F0-8F9F-4265-92C6-D299D7C26EB9}" srcOrd="1" destOrd="0" parTransId="{503A5784-9CEA-4E10-A050-972C3E8A3B87}" sibTransId="{20C2256E-2334-4F05-B54B-FD37DC0AC5A7}"/>
    <dgm:cxn modelId="{22C8DD61-0824-4ECB-BE05-A9A33938B92B}" type="presOf" srcId="{BC1CDFAF-5893-4FE3-B052-5CE7F3C67DB5}" destId="{98D6E5AC-C344-4F8C-B89D-191BA6591E3C}" srcOrd="0" destOrd="0" presId="urn:microsoft.com/office/officeart/2005/8/layout/hierarchy3"/>
    <dgm:cxn modelId="{F9ADA863-3DD1-4725-B54E-533E070E58FF}" type="presOf" srcId="{CFA6D4EA-8459-4D5E-925E-EDD15A1E1E3C}" destId="{9164F8D6-C125-46A6-9675-DC2994D5503C}" srcOrd="0" destOrd="0" presId="urn:microsoft.com/office/officeart/2005/8/layout/hierarchy3"/>
    <dgm:cxn modelId="{FADB1268-DB73-4766-BAEF-E1F471137C47}" type="presOf" srcId="{60C1EA19-6858-4A66-AE90-8D5506D93F84}" destId="{B055D5CB-AB69-4C4D-889D-BC7BEAFEA00B}" srcOrd="0" destOrd="0" presId="urn:microsoft.com/office/officeart/2005/8/layout/hierarchy3"/>
    <dgm:cxn modelId="{A08C8473-20C9-4D8B-92C5-726F17F28105}" type="presOf" srcId="{8036E627-081F-4997-BE6E-E61B453C199A}" destId="{7B9A12F1-3CC6-4905-AB3A-786FB57253AD}" srcOrd="0" destOrd="0" presId="urn:microsoft.com/office/officeart/2005/8/layout/hierarchy3"/>
    <dgm:cxn modelId="{BE0F6F8A-6FD2-44FD-9311-B8675C1F397B}" srcId="{05C695F0-8F9F-4265-92C6-D299D7C26EB9}" destId="{60C1EA19-6858-4A66-AE90-8D5506D93F84}" srcOrd="0" destOrd="0" parTransId="{B63C11D7-B1DA-411B-9EB8-96255C4C160D}" sibTransId="{B2F03BBC-1796-4E80-B6D7-40E44CC5F825}"/>
    <dgm:cxn modelId="{E98F5395-4AAB-43FA-9AC1-F0FA76A4DF44}" srcId="{BC1CDFAF-5893-4FE3-B052-5CE7F3C67DB5}" destId="{096CF122-B652-4166-BE36-EBC082FE6382}" srcOrd="2" destOrd="0" parTransId="{4DFA214A-63CD-452A-9078-209B6C5F80AF}" sibTransId="{C0C854C4-B698-4E5B-A706-12A9C48A171E}"/>
    <dgm:cxn modelId="{EB6E3897-D55A-4F4D-8D0A-2565272FBB0B}" type="presOf" srcId="{0BF5F8AD-AC68-49A3-B414-2ED16F5B0309}" destId="{63491443-4E5B-4A78-BD53-78C46508551E}" srcOrd="0" destOrd="0" presId="urn:microsoft.com/office/officeart/2005/8/layout/hierarchy3"/>
    <dgm:cxn modelId="{22A102B6-C702-4E39-8AA7-4741B621D0D9}" srcId="{05C695F0-8F9F-4265-92C6-D299D7C26EB9}" destId="{BBC13B7C-1597-44E1-B19F-F7FE60F258C7}" srcOrd="1" destOrd="0" parTransId="{12DA579E-8BDD-4833-A22F-DA7D0B7A9070}" sibTransId="{CF82E24F-9A76-4BEA-A27B-224D115684A0}"/>
    <dgm:cxn modelId="{FB5102B7-2467-4007-99BA-055556B8C3E7}" srcId="{05C695F0-8F9F-4265-92C6-D299D7C26EB9}" destId="{F05A3052-B383-4EE0-BDF4-0767F76A5648}" srcOrd="2" destOrd="0" parTransId="{8036E627-081F-4997-BE6E-E61B453C199A}" sibTransId="{3ABF01FB-3CA3-44F6-8F30-30AB16190D39}"/>
    <dgm:cxn modelId="{4A3C2FB9-09FB-4847-8760-087AA19A3F5F}" type="presOf" srcId="{096CF122-B652-4166-BE36-EBC082FE6382}" destId="{9DA08533-2B27-426C-BFF2-E3312E3067B7}" srcOrd="0" destOrd="0" presId="urn:microsoft.com/office/officeart/2005/8/layout/hierarchy3"/>
    <dgm:cxn modelId="{33BD75CD-2FAA-453C-97DA-2DD3AB5EFC98}" type="presOf" srcId="{F05A3052-B383-4EE0-BDF4-0767F76A5648}" destId="{088FE29D-B865-4C8E-BE5D-47E0EF76C5FC}" srcOrd="0" destOrd="0" presId="urn:microsoft.com/office/officeart/2005/8/layout/hierarchy3"/>
    <dgm:cxn modelId="{5B4359D4-7BD8-441C-8681-6C5FF35AC077}" srcId="{CFA6D4EA-8459-4D5E-925E-EDD15A1E1E3C}" destId="{BC1CDFAF-5893-4FE3-B052-5CE7F3C67DB5}" srcOrd="0" destOrd="0" parTransId="{EF8D11C4-D108-4371-9AFA-C55219AE36C5}" sibTransId="{59BCAA22-ADCB-460C-9B8F-6601BE6DCA69}"/>
    <dgm:cxn modelId="{2123FFE2-703F-45B9-8D57-DECB9A7673BB}" type="presOf" srcId="{BC1CDFAF-5893-4FE3-B052-5CE7F3C67DB5}" destId="{4CAA6DA4-2600-42C5-AD16-3FC37AB373B0}" srcOrd="1" destOrd="0" presId="urn:microsoft.com/office/officeart/2005/8/layout/hierarchy3"/>
    <dgm:cxn modelId="{34A5E1EC-B25F-4F04-9E5A-0F98C506886A}" type="presOf" srcId="{4DFA214A-63CD-452A-9078-209B6C5F80AF}" destId="{AD1E1520-4EEA-42BA-BA16-FEDA29DC8AAD}" srcOrd="0" destOrd="0" presId="urn:microsoft.com/office/officeart/2005/8/layout/hierarchy3"/>
    <dgm:cxn modelId="{FAC2ACF0-FC10-4E13-A1D9-90BD78441FA6}" type="presOf" srcId="{05C695F0-8F9F-4265-92C6-D299D7C26EB9}" destId="{B66AF65A-A7B7-45C8-8E3E-C61051CA9CF6}" srcOrd="0" destOrd="0" presId="urn:microsoft.com/office/officeart/2005/8/layout/hierarchy3"/>
    <dgm:cxn modelId="{A7C869FD-A560-4AC3-8684-CDD44A803AB7}" type="presOf" srcId="{12DA579E-8BDD-4833-A22F-DA7D0B7A9070}" destId="{6BED9AC6-D7F5-487D-BA5F-E01AD649D8E4}" srcOrd="0" destOrd="0" presId="urn:microsoft.com/office/officeart/2005/8/layout/hierarchy3"/>
    <dgm:cxn modelId="{E0121147-0167-4E72-B76A-EC8CB0C90C80}" type="presParOf" srcId="{9164F8D6-C125-46A6-9675-DC2994D5503C}" destId="{450C1E3C-A15A-424A-A067-14FA39807E8D}" srcOrd="0" destOrd="0" presId="urn:microsoft.com/office/officeart/2005/8/layout/hierarchy3"/>
    <dgm:cxn modelId="{B7015228-C078-483F-8388-5CA30E965C24}" type="presParOf" srcId="{450C1E3C-A15A-424A-A067-14FA39807E8D}" destId="{690BC7C8-24CD-447A-BCD5-73D6BA11EF58}" srcOrd="0" destOrd="0" presId="urn:microsoft.com/office/officeart/2005/8/layout/hierarchy3"/>
    <dgm:cxn modelId="{DF999E9F-42E6-4DC4-B812-8BE62FBBC619}" type="presParOf" srcId="{690BC7C8-24CD-447A-BCD5-73D6BA11EF58}" destId="{98D6E5AC-C344-4F8C-B89D-191BA6591E3C}" srcOrd="0" destOrd="0" presId="urn:microsoft.com/office/officeart/2005/8/layout/hierarchy3"/>
    <dgm:cxn modelId="{A6CB5C53-A528-453E-BE2A-EBFB443432F8}" type="presParOf" srcId="{690BC7C8-24CD-447A-BCD5-73D6BA11EF58}" destId="{4CAA6DA4-2600-42C5-AD16-3FC37AB373B0}" srcOrd="1" destOrd="0" presId="urn:microsoft.com/office/officeart/2005/8/layout/hierarchy3"/>
    <dgm:cxn modelId="{CD5E5174-7CAB-4E27-AF7C-CEAE12CDDA27}" type="presParOf" srcId="{450C1E3C-A15A-424A-A067-14FA39807E8D}" destId="{D9DF502E-2888-4831-9223-143196AFEB7D}" srcOrd="1" destOrd="0" presId="urn:microsoft.com/office/officeart/2005/8/layout/hierarchy3"/>
    <dgm:cxn modelId="{1CE6CD9A-6060-49BE-8F0F-73FA0344C563}" type="presParOf" srcId="{D9DF502E-2888-4831-9223-143196AFEB7D}" destId="{63491443-4E5B-4A78-BD53-78C46508551E}" srcOrd="0" destOrd="0" presId="urn:microsoft.com/office/officeart/2005/8/layout/hierarchy3"/>
    <dgm:cxn modelId="{B8DF75E0-B30F-4405-A79E-E067755D1135}" type="presParOf" srcId="{D9DF502E-2888-4831-9223-143196AFEB7D}" destId="{A2D2E278-E3EA-4075-9920-0D0B54BD40F3}" srcOrd="1" destOrd="0" presId="urn:microsoft.com/office/officeart/2005/8/layout/hierarchy3"/>
    <dgm:cxn modelId="{563A6469-28EE-477A-A4E5-8B3F2D227ADB}" type="presParOf" srcId="{D9DF502E-2888-4831-9223-143196AFEB7D}" destId="{4841C1A6-F277-47CB-9171-D82A05748AF9}" srcOrd="2" destOrd="0" presId="urn:microsoft.com/office/officeart/2005/8/layout/hierarchy3"/>
    <dgm:cxn modelId="{D8813B4F-E231-4BD0-A741-D305D8556F34}" type="presParOf" srcId="{D9DF502E-2888-4831-9223-143196AFEB7D}" destId="{FBBE2F12-DC88-45C4-8CAD-2D075A3FD106}" srcOrd="3" destOrd="0" presId="urn:microsoft.com/office/officeart/2005/8/layout/hierarchy3"/>
    <dgm:cxn modelId="{1BFD9D8E-F4F0-4571-8136-9AA1E971817A}" type="presParOf" srcId="{D9DF502E-2888-4831-9223-143196AFEB7D}" destId="{AD1E1520-4EEA-42BA-BA16-FEDA29DC8AAD}" srcOrd="4" destOrd="0" presId="urn:microsoft.com/office/officeart/2005/8/layout/hierarchy3"/>
    <dgm:cxn modelId="{84F7CDEE-1AC8-4E1C-B402-75D43379EF82}" type="presParOf" srcId="{D9DF502E-2888-4831-9223-143196AFEB7D}" destId="{9DA08533-2B27-426C-BFF2-E3312E3067B7}" srcOrd="5" destOrd="0" presId="urn:microsoft.com/office/officeart/2005/8/layout/hierarchy3"/>
    <dgm:cxn modelId="{69E4910F-2E1B-489E-AFE6-46FC50F18D95}" type="presParOf" srcId="{9164F8D6-C125-46A6-9675-DC2994D5503C}" destId="{2E2DF19C-9C9C-44A5-A966-7ECF85CDFACA}" srcOrd="1" destOrd="0" presId="urn:microsoft.com/office/officeart/2005/8/layout/hierarchy3"/>
    <dgm:cxn modelId="{0276499A-AEBD-447A-9C34-08F582A97D42}" type="presParOf" srcId="{2E2DF19C-9C9C-44A5-A966-7ECF85CDFACA}" destId="{54FA8F26-DF46-44EC-9EA2-AE39621E20CF}" srcOrd="0" destOrd="0" presId="urn:microsoft.com/office/officeart/2005/8/layout/hierarchy3"/>
    <dgm:cxn modelId="{A849C93C-956E-45E3-A52E-B5E71DFD04DB}" type="presParOf" srcId="{54FA8F26-DF46-44EC-9EA2-AE39621E20CF}" destId="{B66AF65A-A7B7-45C8-8E3E-C61051CA9CF6}" srcOrd="0" destOrd="0" presId="urn:microsoft.com/office/officeart/2005/8/layout/hierarchy3"/>
    <dgm:cxn modelId="{B339BCCC-FB6A-465A-B8CC-AE524875705E}" type="presParOf" srcId="{54FA8F26-DF46-44EC-9EA2-AE39621E20CF}" destId="{8F8638EB-2369-4B64-B8BD-70DAD8440503}" srcOrd="1" destOrd="0" presId="urn:microsoft.com/office/officeart/2005/8/layout/hierarchy3"/>
    <dgm:cxn modelId="{89266B1E-6B90-4AEC-B63C-B67191DB8216}" type="presParOf" srcId="{2E2DF19C-9C9C-44A5-A966-7ECF85CDFACA}" destId="{5E35B679-EE75-4ACA-8C9B-D704AB68F067}" srcOrd="1" destOrd="0" presId="urn:microsoft.com/office/officeart/2005/8/layout/hierarchy3"/>
    <dgm:cxn modelId="{996B26FF-CAC5-4E35-BA76-B9ADB3A190BE}" type="presParOf" srcId="{5E35B679-EE75-4ACA-8C9B-D704AB68F067}" destId="{79A0EA3D-9AEF-41E9-B64A-1EAF68E57986}" srcOrd="0" destOrd="0" presId="urn:microsoft.com/office/officeart/2005/8/layout/hierarchy3"/>
    <dgm:cxn modelId="{AFE1FC8B-3D58-42A4-BC1C-75CD3CF7BE40}" type="presParOf" srcId="{5E35B679-EE75-4ACA-8C9B-D704AB68F067}" destId="{B055D5CB-AB69-4C4D-889D-BC7BEAFEA00B}" srcOrd="1" destOrd="0" presId="urn:microsoft.com/office/officeart/2005/8/layout/hierarchy3"/>
    <dgm:cxn modelId="{2B6BB0BE-43AD-4151-8C61-80E0A19EA08E}" type="presParOf" srcId="{5E35B679-EE75-4ACA-8C9B-D704AB68F067}" destId="{6BED9AC6-D7F5-487D-BA5F-E01AD649D8E4}" srcOrd="2" destOrd="0" presId="urn:microsoft.com/office/officeart/2005/8/layout/hierarchy3"/>
    <dgm:cxn modelId="{A9AE34E9-34CB-453C-A179-E19869C07576}" type="presParOf" srcId="{5E35B679-EE75-4ACA-8C9B-D704AB68F067}" destId="{AFBA1658-16F9-47EE-94EA-DBC7CE282058}" srcOrd="3" destOrd="0" presId="urn:microsoft.com/office/officeart/2005/8/layout/hierarchy3"/>
    <dgm:cxn modelId="{3E78F6EF-FB65-4F9E-B4A9-10509E1C4D3D}" type="presParOf" srcId="{5E35B679-EE75-4ACA-8C9B-D704AB68F067}" destId="{7B9A12F1-3CC6-4905-AB3A-786FB57253AD}" srcOrd="4" destOrd="0" presId="urn:microsoft.com/office/officeart/2005/8/layout/hierarchy3"/>
    <dgm:cxn modelId="{C1FF8A47-E23D-423E-B471-42B61678155B}" type="presParOf" srcId="{5E35B679-EE75-4ACA-8C9B-D704AB68F067}" destId="{088FE29D-B865-4C8E-BE5D-47E0EF76C5FC}" srcOrd="5" destOrd="0" presId="urn:microsoft.com/office/officeart/2005/8/layout/hierarchy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D6E5AC-C344-4F8C-B89D-191BA6591E3C}">
      <dsp:nvSpPr>
        <dsp:cNvPr id="0" name=""/>
        <dsp:cNvSpPr/>
      </dsp:nvSpPr>
      <dsp:spPr>
        <a:xfrm>
          <a:off x="1227273" y="55"/>
          <a:ext cx="1347489" cy="673744"/>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Mandarin Oriental Hotel</a:t>
          </a:r>
          <a:endParaRPr lang="en-US" sz="1400" kern="1200">
            <a:latin typeface="Times New Roman" panose="02020603050405020304" pitchFamily="18" charset="0"/>
            <a:cs typeface="Times New Roman" panose="02020603050405020304" pitchFamily="18" charset="0"/>
          </a:endParaRPr>
        </a:p>
      </dsp:txBody>
      <dsp:txXfrm>
        <a:off x="1247006" y="19788"/>
        <a:ext cx="1308023" cy="634278"/>
      </dsp:txXfrm>
    </dsp:sp>
    <dsp:sp modelId="{63491443-4E5B-4A78-BD53-78C46508551E}">
      <dsp:nvSpPr>
        <dsp:cNvPr id="0" name=""/>
        <dsp:cNvSpPr/>
      </dsp:nvSpPr>
      <dsp:spPr>
        <a:xfrm>
          <a:off x="1362022" y="673800"/>
          <a:ext cx="134748" cy="505308"/>
        </a:xfrm>
        <a:custGeom>
          <a:avLst/>
          <a:gdLst/>
          <a:ahLst/>
          <a:cxnLst/>
          <a:rect l="0" t="0" r="0" b="0"/>
          <a:pathLst>
            <a:path>
              <a:moveTo>
                <a:pt x="0" y="0"/>
              </a:moveTo>
              <a:lnTo>
                <a:pt x="0" y="505308"/>
              </a:lnTo>
              <a:lnTo>
                <a:pt x="134748" y="50530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D2E278-E3EA-4075-9920-0D0B54BD40F3}">
      <dsp:nvSpPr>
        <dsp:cNvPr id="0" name=""/>
        <dsp:cNvSpPr/>
      </dsp:nvSpPr>
      <dsp:spPr>
        <a:xfrm>
          <a:off x="1496771" y="842236"/>
          <a:ext cx="1077991" cy="67374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Further Diversify the Portfolio</a:t>
          </a:r>
          <a:endParaRPr lang="en-US" sz="1200" kern="1200">
            <a:latin typeface="Times New Roman" panose="02020603050405020304" pitchFamily="18" charset="0"/>
            <a:cs typeface="Times New Roman" panose="02020603050405020304" pitchFamily="18" charset="0"/>
          </a:endParaRPr>
        </a:p>
      </dsp:txBody>
      <dsp:txXfrm>
        <a:off x="1516504" y="861969"/>
        <a:ext cx="1038525" cy="634278"/>
      </dsp:txXfrm>
    </dsp:sp>
    <dsp:sp modelId="{4841C1A6-F277-47CB-9171-D82A05748AF9}">
      <dsp:nvSpPr>
        <dsp:cNvPr id="0" name=""/>
        <dsp:cNvSpPr/>
      </dsp:nvSpPr>
      <dsp:spPr>
        <a:xfrm>
          <a:off x="1362022" y="673800"/>
          <a:ext cx="134748" cy="1347489"/>
        </a:xfrm>
        <a:custGeom>
          <a:avLst/>
          <a:gdLst/>
          <a:ahLst/>
          <a:cxnLst/>
          <a:rect l="0" t="0" r="0" b="0"/>
          <a:pathLst>
            <a:path>
              <a:moveTo>
                <a:pt x="0" y="0"/>
              </a:moveTo>
              <a:lnTo>
                <a:pt x="0" y="1347489"/>
              </a:lnTo>
              <a:lnTo>
                <a:pt x="134748" y="134748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BE2F12-DC88-45C4-8CAD-2D075A3FD106}">
      <dsp:nvSpPr>
        <dsp:cNvPr id="0" name=""/>
        <dsp:cNvSpPr/>
      </dsp:nvSpPr>
      <dsp:spPr>
        <a:xfrm>
          <a:off x="1496771" y="1684418"/>
          <a:ext cx="1077991" cy="67374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1960178"/>
              <a:satOff val="-8155"/>
              <a:lumOff val="1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Expand Sustainable Initiatives</a:t>
          </a:r>
          <a:endParaRPr lang="en-US" sz="1200" kern="1200">
            <a:latin typeface="Times New Roman" panose="02020603050405020304" pitchFamily="18" charset="0"/>
            <a:cs typeface="Times New Roman" panose="02020603050405020304" pitchFamily="18" charset="0"/>
          </a:endParaRPr>
        </a:p>
      </dsp:txBody>
      <dsp:txXfrm>
        <a:off x="1516504" y="1704151"/>
        <a:ext cx="1038525" cy="634278"/>
      </dsp:txXfrm>
    </dsp:sp>
    <dsp:sp modelId="{AD1E1520-4EEA-42BA-BA16-FEDA29DC8AAD}">
      <dsp:nvSpPr>
        <dsp:cNvPr id="0" name=""/>
        <dsp:cNvSpPr/>
      </dsp:nvSpPr>
      <dsp:spPr>
        <a:xfrm>
          <a:off x="1362022" y="673800"/>
          <a:ext cx="134748" cy="2189670"/>
        </a:xfrm>
        <a:custGeom>
          <a:avLst/>
          <a:gdLst/>
          <a:ahLst/>
          <a:cxnLst/>
          <a:rect l="0" t="0" r="0" b="0"/>
          <a:pathLst>
            <a:path>
              <a:moveTo>
                <a:pt x="0" y="0"/>
              </a:moveTo>
              <a:lnTo>
                <a:pt x="0" y="2189670"/>
              </a:lnTo>
              <a:lnTo>
                <a:pt x="134748" y="218967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A08533-2B27-426C-BFF2-E3312E3067B7}">
      <dsp:nvSpPr>
        <dsp:cNvPr id="0" name=""/>
        <dsp:cNvSpPr/>
      </dsp:nvSpPr>
      <dsp:spPr>
        <a:xfrm>
          <a:off x="1496771" y="2526599"/>
          <a:ext cx="1077991" cy="67374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3920356"/>
              <a:satOff val="-16311"/>
              <a:lumOff val="384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Strengthen the Digital Presence</a:t>
          </a:r>
          <a:endParaRPr lang="en-US" sz="1200" kern="1200">
            <a:latin typeface="Times New Roman" panose="02020603050405020304" pitchFamily="18" charset="0"/>
            <a:cs typeface="Times New Roman" panose="02020603050405020304" pitchFamily="18" charset="0"/>
          </a:endParaRPr>
        </a:p>
      </dsp:txBody>
      <dsp:txXfrm>
        <a:off x="1516504" y="2546332"/>
        <a:ext cx="1038525" cy="634278"/>
      </dsp:txXfrm>
    </dsp:sp>
    <dsp:sp modelId="{B66AF65A-A7B7-45C8-8E3E-C61051CA9CF6}">
      <dsp:nvSpPr>
        <dsp:cNvPr id="0" name=""/>
        <dsp:cNvSpPr/>
      </dsp:nvSpPr>
      <dsp:spPr>
        <a:xfrm>
          <a:off x="2911636" y="55"/>
          <a:ext cx="1347489" cy="673744"/>
        </a:xfrm>
        <a:prstGeom prst="roundRect">
          <a:avLst>
            <a:gd name="adj" fmla="val 1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Premier Inn Hotel</a:t>
          </a:r>
          <a:endParaRPr lang="en-US" sz="1400" kern="1200">
            <a:latin typeface="Times New Roman" panose="02020603050405020304" pitchFamily="18" charset="0"/>
            <a:cs typeface="Times New Roman" panose="02020603050405020304" pitchFamily="18" charset="0"/>
          </a:endParaRPr>
        </a:p>
      </dsp:txBody>
      <dsp:txXfrm>
        <a:off x="2931369" y="19788"/>
        <a:ext cx="1308023" cy="634278"/>
      </dsp:txXfrm>
    </dsp:sp>
    <dsp:sp modelId="{79A0EA3D-9AEF-41E9-B64A-1EAF68E57986}">
      <dsp:nvSpPr>
        <dsp:cNvPr id="0" name=""/>
        <dsp:cNvSpPr/>
      </dsp:nvSpPr>
      <dsp:spPr>
        <a:xfrm>
          <a:off x="3046385" y="673800"/>
          <a:ext cx="134748" cy="505308"/>
        </a:xfrm>
        <a:custGeom>
          <a:avLst/>
          <a:gdLst/>
          <a:ahLst/>
          <a:cxnLst/>
          <a:rect l="0" t="0" r="0" b="0"/>
          <a:pathLst>
            <a:path>
              <a:moveTo>
                <a:pt x="0" y="0"/>
              </a:moveTo>
              <a:lnTo>
                <a:pt x="0" y="505308"/>
              </a:lnTo>
              <a:lnTo>
                <a:pt x="134748" y="50530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55D5CB-AB69-4C4D-889D-BC7BEAFEA00B}">
      <dsp:nvSpPr>
        <dsp:cNvPr id="0" name=""/>
        <dsp:cNvSpPr/>
      </dsp:nvSpPr>
      <dsp:spPr>
        <a:xfrm>
          <a:off x="3181134" y="842236"/>
          <a:ext cx="1077991" cy="67374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5880535"/>
              <a:satOff val="-24466"/>
              <a:lumOff val="5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Innovate for Diversification</a:t>
          </a:r>
          <a:endParaRPr lang="en-US" sz="1200" kern="1200">
            <a:latin typeface="Times New Roman" panose="02020603050405020304" pitchFamily="18" charset="0"/>
            <a:cs typeface="Times New Roman" panose="02020603050405020304" pitchFamily="18" charset="0"/>
          </a:endParaRPr>
        </a:p>
      </dsp:txBody>
      <dsp:txXfrm>
        <a:off x="3200867" y="861969"/>
        <a:ext cx="1038525" cy="634278"/>
      </dsp:txXfrm>
    </dsp:sp>
    <dsp:sp modelId="{6BED9AC6-D7F5-487D-BA5F-E01AD649D8E4}">
      <dsp:nvSpPr>
        <dsp:cNvPr id="0" name=""/>
        <dsp:cNvSpPr/>
      </dsp:nvSpPr>
      <dsp:spPr>
        <a:xfrm>
          <a:off x="3046385" y="673800"/>
          <a:ext cx="134748" cy="1347489"/>
        </a:xfrm>
        <a:custGeom>
          <a:avLst/>
          <a:gdLst/>
          <a:ahLst/>
          <a:cxnLst/>
          <a:rect l="0" t="0" r="0" b="0"/>
          <a:pathLst>
            <a:path>
              <a:moveTo>
                <a:pt x="0" y="0"/>
              </a:moveTo>
              <a:lnTo>
                <a:pt x="0" y="1347489"/>
              </a:lnTo>
              <a:lnTo>
                <a:pt x="134748" y="134748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BA1658-16F9-47EE-94EA-DBC7CE282058}">
      <dsp:nvSpPr>
        <dsp:cNvPr id="0" name=""/>
        <dsp:cNvSpPr/>
      </dsp:nvSpPr>
      <dsp:spPr>
        <a:xfrm>
          <a:off x="3181134" y="1684418"/>
          <a:ext cx="1077991" cy="67374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7840713"/>
              <a:satOff val="-32622"/>
              <a:lumOff val="768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Strengthen Sustainability Efforts</a:t>
          </a:r>
          <a:endParaRPr lang="en-US" sz="1200" kern="1200">
            <a:latin typeface="Times New Roman" panose="02020603050405020304" pitchFamily="18" charset="0"/>
            <a:cs typeface="Times New Roman" panose="02020603050405020304" pitchFamily="18" charset="0"/>
          </a:endParaRPr>
        </a:p>
      </dsp:txBody>
      <dsp:txXfrm>
        <a:off x="3200867" y="1704151"/>
        <a:ext cx="1038525" cy="634278"/>
      </dsp:txXfrm>
    </dsp:sp>
    <dsp:sp modelId="{7B9A12F1-3CC6-4905-AB3A-786FB57253AD}">
      <dsp:nvSpPr>
        <dsp:cNvPr id="0" name=""/>
        <dsp:cNvSpPr/>
      </dsp:nvSpPr>
      <dsp:spPr>
        <a:xfrm>
          <a:off x="3046385" y="673800"/>
          <a:ext cx="134748" cy="2189670"/>
        </a:xfrm>
        <a:custGeom>
          <a:avLst/>
          <a:gdLst/>
          <a:ahLst/>
          <a:cxnLst/>
          <a:rect l="0" t="0" r="0" b="0"/>
          <a:pathLst>
            <a:path>
              <a:moveTo>
                <a:pt x="0" y="0"/>
              </a:moveTo>
              <a:lnTo>
                <a:pt x="0" y="2189670"/>
              </a:lnTo>
              <a:lnTo>
                <a:pt x="134748" y="218967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8FE29D-B865-4C8E-BE5D-47E0EF76C5FC}">
      <dsp:nvSpPr>
        <dsp:cNvPr id="0" name=""/>
        <dsp:cNvSpPr/>
      </dsp:nvSpPr>
      <dsp:spPr>
        <a:xfrm>
          <a:off x="3181134" y="2526599"/>
          <a:ext cx="1077991" cy="67374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International Expansion with Local Sensitivity</a:t>
          </a:r>
          <a:endParaRPr lang="en-US" sz="1200" kern="1200">
            <a:latin typeface="Times New Roman" panose="02020603050405020304" pitchFamily="18" charset="0"/>
            <a:cs typeface="Times New Roman" panose="02020603050405020304" pitchFamily="18" charset="0"/>
          </a:endParaRPr>
        </a:p>
      </dsp:txBody>
      <dsp:txXfrm>
        <a:off x="3200867" y="2546332"/>
        <a:ext cx="1038525" cy="63427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