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878012811"/>
        <w:docPartObj>
          <w:docPartGallery w:val="Cover Pages"/>
          <w:docPartUnique/>
        </w:docPartObj>
      </w:sdtPr>
      <w:sdtEndPr>
        <w:rPr>
          <w:rFonts w:ascii="Calibri" w:hAnsi="Calibri" w:cs="Calibri"/>
          <w:b/>
          <w:bCs/>
          <w:sz w:val="24"/>
          <w:szCs w:val="24"/>
          <w:u w:val="single"/>
        </w:rPr>
      </w:sdtEndPr>
      <w:sdtContent>
        <w:p w14:paraId="42181C9A" w14:textId="59106A94" w:rsidR="00335568" w:rsidRDefault="00335568">
          <w:pPr>
            <w:pStyle w:val="NoSpacing"/>
          </w:pPr>
          <w:r>
            <w:rPr>
              <w:noProof/>
            </w:rPr>
            <mc:AlternateContent>
              <mc:Choice Requires="wpg">
                <w:drawing>
                  <wp:anchor distT="0" distB="0" distL="114300" distR="114300" simplePos="0" relativeHeight="251659264" behindDoc="1" locked="0" layoutInCell="1" allowOverlap="1" wp14:anchorId="320E1630" wp14:editId="61760BE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08E4A5D" w14:textId="1BB2FAB4" w:rsidR="00335568" w:rsidRDefault="006E4A33">
                                      <w:pPr>
                                        <w:pStyle w:val="NoSpacing"/>
                                        <w:jc w:val="right"/>
                                        <w:rPr>
                                          <w:color w:val="FFFFFF" w:themeColor="background1"/>
                                          <w:sz w:val="28"/>
                                          <w:szCs w:val="28"/>
                                        </w:rPr>
                                      </w:pPr>
                                      <w:r w:rsidRPr="006E4A33">
                                        <w:rPr>
                                          <w:color w:val="FFFFFF" w:themeColor="background1"/>
                                          <w:sz w:val="28"/>
                                          <w:szCs w:val="28"/>
                                        </w:rPr>
                                        <w:t>ECWB7002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0E163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08E4A5D" w14:textId="1BB2FAB4" w:rsidR="00335568" w:rsidRDefault="006E4A33">
                                <w:pPr>
                                  <w:pStyle w:val="NoSpacing"/>
                                  <w:jc w:val="right"/>
                                  <w:rPr>
                                    <w:color w:val="FFFFFF" w:themeColor="background1"/>
                                    <w:sz w:val="28"/>
                                    <w:szCs w:val="28"/>
                                  </w:rPr>
                                </w:pPr>
                                <w:r w:rsidRPr="006E4A33">
                                  <w:rPr>
                                    <w:color w:val="FFFFFF" w:themeColor="background1"/>
                                    <w:sz w:val="28"/>
                                    <w:szCs w:val="28"/>
                                  </w:rPr>
                                  <w:t>ECWB7002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8B355F1" wp14:editId="62F4BAC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70ADF" w14:textId="64D824D3" w:rsidR="0033556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35568">
                                      <w:rPr>
                                        <w:color w:val="156082" w:themeColor="accent1"/>
                                        <w:sz w:val="26"/>
                                        <w:szCs w:val="26"/>
                                      </w:rPr>
                                      <w:t>Tyler King</w:t>
                                    </w:r>
                                  </w:sdtContent>
                                </w:sdt>
                              </w:p>
                              <w:p w14:paraId="1978D89E" w14:textId="6618119C" w:rsidR="0033556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E4A33">
                                      <w:rPr>
                                        <w:caps/>
                                        <w:color w:val="595959" w:themeColor="text1" w:themeTint="A6"/>
                                        <w:sz w:val="20"/>
                                        <w:szCs w:val="20"/>
                                      </w:rPr>
                                      <w:t>2008275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B355F1"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D470ADF" w14:textId="64D824D3" w:rsidR="0033556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35568">
                                <w:rPr>
                                  <w:color w:val="156082" w:themeColor="accent1"/>
                                  <w:sz w:val="26"/>
                                  <w:szCs w:val="26"/>
                                </w:rPr>
                                <w:t>Tyler King</w:t>
                              </w:r>
                            </w:sdtContent>
                          </w:sdt>
                        </w:p>
                        <w:p w14:paraId="1978D89E" w14:textId="6618119C" w:rsidR="0033556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E4A33">
                                <w:rPr>
                                  <w:caps/>
                                  <w:color w:val="595959" w:themeColor="text1" w:themeTint="A6"/>
                                  <w:sz w:val="20"/>
                                  <w:szCs w:val="20"/>
                                </w:rPr>
                                <w:t>2008275</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1AED915" wp14:editId="0BCAE49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428D0" w14:textId="44144226" w:rsidR="0033556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60B38">
                                      <w:rPr>
                                        <w:rFonts w:asciiTheme="majorHAnsi" w:eastAsiaTheme="majorEastAsia" w:hAnsiTheme="majorHAnsi" w:cstheme="majorBidi"/>
                                        <w:color w:val="262626" w:themeColor="text1" w:themeTint="D9"/>
                                        <w:sz w:val="72"/>
                                        <w:szCs w:val="72"/>
                                      </w:rPr>
                                      <w:t>Educational Project</w:t>
                                    </w:r>
                                  </w:sdtContent>
                                </w:sdt>
                              </w:p>
                              <w:p w14:paraId="54EE8755" w14:textId="1ED0C2B2" w:rsidR="0033556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64177">
                                      <w:rPr>
                                        <w:color w:val="404040" w:themeColor="text1" w:themeTint="BF"/>
                                        <w:sz w:val="36"/>
                                        <w:szCs w:val="36"/>
                                      </w:rPr>
                                      <w:t>By Tyler King 2008275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1AED915"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E9428D0" w14:textId="44144226" w:rsidR="0033556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60B38">
                                <w:rPr>
                                  <w:rFonts w:asciiTheme="majorHAnsi" w:eastAsiaTheme="majorEastAsia" w:hAnsiTheme="majorHAnsi" w:cstheme="majorBidi"/>
                                  <w:color w:val="262626" w:themeColor="text1" w:themeTint="D9"/>
                                  <w:sz w:val="72"/>
                                  <w:szCs w:val="72"/>
                                </w:rPr>
                                <w:t>Educational Project</w:t>
                              </w:r>
                            </w:sdtContent>
                          </w:sdt>
                        </w:p>
                        <w:p w14:paraId="54EE8755" w14:textId="1ED0C2B2" w:rsidR="0033556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64177">
                                <w:rPr>
                                  <w:color w:val="404040" w:themeColor="text1" w:themeTint="BF"/>
                                  <w:sz w:val="36"/>
                                  <w:szCs w:val="36"/>
                                </w:rPr>
                                <w:t>By Tyler King 2008275</w:t>
                              </w:r>
                            </w:sdtContent>
                          </w:sdt>
                        </w:p>
                      </w:txbxContent>
                    </v:textbox>
                    <w10:wrap anchorx="page" anchory="page"/>
                  </v:shape>
                </w:pict>
              </mc:Fallback>
            </mc:AlternateContent>
          </w:r>
        </w:p>
        <w:p w14:paraId="0A016822" w14:textId="78FA7C77" w:rsidR="00335568" w:rsidRDefault="00335568">
          <w:pPr>
            <w:rPr>
              <w:rFonts w:ascii="Calibri" w:hAnsi="Calibri" w:cs="Calibri"/>
              <w:b/>
              <w:bCs/>
              <w:sz w:val="24"/>
              <w:szCs w:val="24"/>
              <w:u w:val="single"/>
            </w:rPr>
          </w:pPr>
          <w:r>
            <w:rPr>
              <w:rFonts w:ascii="Calibri" w:hAnsi="Calibri" w:cs="Calibri"/>
              <w:b/>
              <w:bCs/>
              <w:sz w:val="24"/>
              <w:szCs w:val="24"/>
              <w:u w:val="single"/>
            </w:rPr>
            <w:br w:type="page"/>
          </w:r>
        </w:p>
      </w:sdtContent>
    </w:sdt>
    <w:p w14:paraId="2456D445" w14:textId="5EB96916" w:rsidR="006C12AA" w:rsidRPr="00335568" w:rsidRDefault="006C12AA">
      <w:pPr>
        <w:rPr>
          <w:rFonts w:ascii="Calibri" w:hAnsi="Calibri" w:cs="Calibri"/>
          <w:b/>
          <w:bCs/>
          <w:sz w:val="24"/>
          <w:szCs w:val="24"/>
          <w:u w:val="single"/>
        </w:rPr>
      </w:pPr>
      <w:r w:rsidRPr="00335568">
        <w:rPr>
          <w:rFonts w:ascii="Calibri" w:hAnsi="Calibri" w:cs="Calibri"/>
          <w:b/>
          <w:bCs/>
          <w:sz w:val="24"/>
          <w:szCs w:val="24"/>
          <w:u w:val="single"/>
        </w:rPr>
        <w:lastRenderedPageBreak/>
        <w:t>Contents page</w:t>
      </w:r>
    </w:p>
    <w:p w14:paraId="309D7D88" w14:textId="77777777" w:rsidR="009D79D1" w:rsidRDefault="009D79D1">
      <w:pPr>
        <w:rPr>
          <w:rFonts w:ascii="Calibri" w:hAnsi="Calibri" w:cs="Calibri"/>
          <w:sz w:val="24"/>
          <w:szCs w:val="24"/>
        </w:rPr>
      </w:pPr>
    </w:p>
    <w:tbl>
      <w:tblPr>
        <w:tblStyle w:val="TableGrid"/>
        <w:tblW w:w="0" w:type="auto"/>
        <w:tblLook w:val="04A0" w:firstRow="1" w:lastRow="0" w:firstColumn="1" w:lastColumn="0" w:noHBand="0" w:noVBand="1"/>
      </w:tblPr>
      <w:tblGrid>
        <w:gridCol w:w="4508"/>
        <w:gridCol w:w="4508"/>
      </w:tblGrid>
      <w:tr w:rsidR="009D79D1" w14:paraId="5D1905B9" w14:textId="77777777">
        <w:tc>
          <w:tcPr>
            <w:tcW w:w="4508" w:type="dxa"/>
          </w:tcPr>
          <w:p w14:paraId="0CDC47D8" w14:textId="77777777" w:rsidR="009D79D1" w:rsidRDefault="009D79D1">
            <w:pPr>
              <w:rPr>
                <w:rFonts w:ascii="Calibri" w:hAnsi="Calibri" w:cs="Calibri"/>
                <w:sz w:val="24"/>
                <w:szCs w:val="24"/>
              </w:rPr>
            </w:pPr>
          </w:p>
        </w:tc>
        <w:tc>
          <w:tcPr>
            <w:tcW w:w="4508" w:type="dxa"/>
          </w:tcPr>
          <w:p w14:paraId="79BCDA8B" w14:textId="01857364" w:rsidR="009D79D1" w:rsidRDefault="009D79D1">
            <w:pPr>
              <w:rPr>
                <w:rFonts w:ascii="Calibri" w:hAnsi="Calibri" w:cs="Calibri"/>
                <w:sz w:val="24"/>
                <w:szCs w:val="24"/>
              </w:rPr>
            </w:pPr>
            <w:r>
              <w:rPr>
                <w:rFonts w:ascii="Calibri" w:hAnsi="Calibri" w:cs="Calibri"/>
                <w:sz w:val="24"/>
                <w:szCs w:val="24"/>
              </w:rPr>
              <w:t xml:space="preserve">Page Number </w:t>
            </w:r>
          </w:p>
        </w:tc>
      </w:tr>
      <w:tr w:rsidR="009D79D1" w14:paraId="501BF63E" w14:textId="77777777">
        <w:tc>
          <w:tcPr>
            <w:tcW w:w="4508" w:type="dxa"/>
          </w:tcPr>
          <w:p w14:paraId="23FD7488" w14:textId="384F1E1F" w:rsidR="009D79D1" w:rsidRDefault="009D79D1">
            <w:pPr>
              <w:rPr>
                <w:rFonts w:ascii="Calibri" w:hAnsi="Calibri" w:cs="Calibri"/>
                <w:sz w:val="24"/>
                <w:szCs w:val="24"/>
              </w:rPr>
            </w:pPr>
            <w:r>
              <w:rPr>
                <w:rFonts w:ascii="Calibri" w:hAnsi="Calibri" w:cs="Calibri"/>
                <w:sz w:val="24"/>
                <w:szCs w:val="24"/>
              </w:rPr>
              <w:t xml:space="preserve">Glossary </w:t>
            </w:r>
          </w:p>
        </w:tc>
        <w:tc>
          <w:tcPr>
            <w:tcW w:w="4508" w:type="dxa"/>
          </w:tcPr>
          <w:p w14:paraId="4D6C5594" w14:textId="429C1A89" w:rsidR="009D79D1" w:rsidRDefault="00E8340E" w:rsidP="006A5F00">
            <w:pPr>
              <w:jc w:val="center"/>
              <w:rPr>
                <w:rFonts w:ascii="Calibri" w:hAnsi="Calibri" w:cs="Calibri"/>
                <w:sz w:val="24"/>
                <w:szCs w:val="24"/>
              </w:rPr>
            </w:pPr>
            <w:r>
              <w:rPr>
                <w:rFonts w:ascii="Calibri" w:hAnsi="Calibri" w:cs="Calibri"/>
                <w:sz w:val="24"/>
                <w:szCs w:val="24"/>
              </w:rPr>
              <w:t>2</w:t>
            </w:r>
          </w:p>
        </w:tc>
      </w:tr>
      <w:tr w:rsidR="009D79D1" w14:paraId="0873E389" w14:textId="77777777">
        <w:tc>
          <w:tcPr>
            <w:tcW w:w="4508" w:type="dxa"/>
          </w:tcPr>
          <w:p w14:paraId="5BC27C71" w14:textId="4AB3E230" w:rsidR="009D79D1" w:rsidRDefault="009D79D1">
            <w:pPr>
              <w:rPr>
                <w:rFonts w:ascii="Calibri" w:hAnsi="Calibri" w:cs="Calibri"/>
                <w:sz w:val="24"/>
                <w:szCs w:val="24"/>
              </w:rPr>
            </w:pPr>
            <w:r>
              <w:rPr>
                <w:rFonts w:ascii="Calibri" w:hAnsi="Calibri" w:cs="Calibri"/>
                <w:sz w:val="24"/>
                <w:szCs w:val="24"/>
              </w:rPr>
              <w:t>Introduction</w:t>
            </w:r>
          </w:p>
        </w:tc>
        <w:tc>
          <w:tcPr>
            <w:tcW w:w="4508" w:type="dxa"/>
          </w:tcPr>
          <w:p w14:paraId="4F2CE5AC" w14:textId="024F1737" w:rsidR="009D79D1" w:rsidRDefault="00BC0817" w:rsidP="006A5F00">
            <w:pPr>
              <w:jc w:val="center"/>
              <w:rPr>
                <w:rFonts w:ascii="Calibri" w:hAnsi="Calibri" w:cs="Calibri"/>
                <w:sz w:val="24"/>
                <w:szCs w:val="24"/>
              </w:rPr>
            </w:pPr>
            <w:r>
              <w:rPr>
                <w:rFonts w:ascii="Calibri" w:hAnsi="Calibri" w:cs="Calibri"/>
                <w:sz w:val="24"/>
                <w:szCs w:val="24"/>
              </w:rPr>
              <w:t>3</w:t>
            </w:r>
          </w:p>
        </w:tc>
      </w:tr>
      <w:tr w:rsidR="009D79D1" w14:paraId="08D24B7F" w14:textId="77777777">
        <w:tc>
          <w:tcPr>
            <w:tcW w:w="4508" w:type="dxa"/>
          </w:tcPr>
          <w:p w14:paraId="60ECAF65" w14:textId="1756B758" w:rsidR="009D79D1" w:rsidRDefault="009809D9">
            <w:pPr>
              <w:rPr>
                <w:rFonts w:ascii="Calibri" w:hAnsi="Calibri" w:cs="Calibri"/>
                <w:sz w:val="24"/>
                <w:szCs w:val="24"/>
              </w:rPr>
            </w:pPr>
            <w:r>
              <w:rPr>
                <w:rFonts w:ascii="Calibri" w:hAnsi="Calibri" w:cs="Calibri"/>
                <w:sz w:val="24"/>
                <w:szCs w:val="24"/>
              </w:rPr>
              <w:t>Historical</w:t>
            </w:r>
            <w:r w:rsidR="00BC0817">
              <w:rPr>
                <w:rFonts w:ascii="Calibri" w:hAnsi="Calibri" w:cs="Calibri"/>
                <w:sz w:val="24"/>
                <w:szCs w:val="24"/>
              </w:rPr>
              <w:t xml:space="preserve"> and policy context</w:t>
            </w:r>
          </w:p>
        </w:tc>
        <w:tc>
          <w:tcPr>
            <w:tcW w:w="4508" w:type="dxa"/>
          </w:tcPr>
          <w:p w14:paraId="7311B178" w14:textId="39A8E4A6" w:rsidR="009D79D1" w:rsidRDefault="00BC0817" w:rsidP="006A5F00">
            <w:pPr>
              <w:jc w:val="center"/>
              <w:rPr>
                <w:rFonts w:ascii="Calibri" w:hAnsi="Calibri" w:cs="Calibri"/>
                <w:sz w:val="24"/>
                <w:szCs w:val="24"/>
              </w:rPr>
            </w:pPr>
            <w:r>
              <w:rPr>
                <w:rFonts w:ascii="Calibri" w:hAnsi="Calibri" w:cs="Calibri"/>
                <w:sz w:val="24"/>
                <w:szCs w:val="24"/>
              </w:rPr>
              <w:t>3-5</w:t>
            </w:r>
          </w:p>
        </w:tc>
      </w:tr>
      <w:tr w:rsidR="009D79D1" w14:paraId="404DB8C6" w14:textId="77777777">
        <w:tc>
          <w:tcPr>
            <w:tcW w:w="4508" w:type="dxa"/>
          </w:tcPr>
          <w:p w14:paraId="06A70734" w14:textId="3381C1F2" w:rsidR="009D79D1" w:rsidRDefault="0020656B">
            <w:pPr>
              <w:rPr>
                <w:rFonts w:ascii="Calibri" w:hAnsi="Calibri" w:cs="Calibri"/>
                <w:sz w:val="24"/>
                <w:szCs w:val="24"/>
              </w:rPr>
            </w:pPr>
            <w:r>
              <w:rPr>
                <w:rFonts w:ascii="Calibri" w:hAnsi="Calibri" w:cs="Calibri"/>
                <w:sz w:val="24"/>
                <w:szCs w:val="24"/>
              </w:rPr>
              <w:t xml:space="preserve">Vision and structure of the </w:t>
            </w:r>
            <w:proofErr w:type="spellStart"/>
            <w:r>
              <w:rPr>
                <w:rFonts w:ascii="Calibri" w:hAnsi="Calibri" w:cs="Calibri"/>
                <w:sz w:val="24"/>
                <w:szCs w:val="24"/>
              </w:rPr>
              <w:t>CfW</w:t>
            </w:r>
            <w:proofErr w:type="spellEnd"/>
          </w:p>
        </w:tc>
        <w:tc>
          <w:tcPr>
            <w:tcW w:w="4508" w:type="dxa"/>
          </w:tcPr>
          <w:p w14:paraId="50CC14FB" w14:textId="1D352DCF" w:rsidR="009D79D1" w:rsidRDefault="0020656B" w:rsidP="006A5F00">
            <w:pPr>
              <w:jc w:val="center"/>
              <w:rPr>
                <w:rFonts w:ascii="Calibri" w:hAnsi="Calibri" w:cs="Calibri"/>
                <w:sz w:val="24"/>
                <w:szCs w:val="24"/>
              </w:rPr>
            </w:pPr>
            <w:r>
              <w:rPr>
                <w:rFonts w:ascii="Calibri" w:hAnsi="Calibri" w:cs="Calibri"/>
                <w:sz w:val="24"/>
                <w:szCs w:val="24"/>
              </w:rPr>
              <w:t>5-6</w:t>
            </w:r>
          </w:p>
        </w:tc>
      </w:tr>
      <w:tr w:rsidR="009D79D1" w14:paraId="5CCF2CA2" w14:textId="77777777">
        <w:tc>
          <w:tcPr>
            <w:tcW w:w="4508" w:type="dxa"/>
          </w:tcPr>
          <w:p w14:paraId="00B66ABC" w14:textId="2768F7DA" w:rsidR="009D79D1" w:rsidRDefault="00B0639D">
            <w:pPr>
              <w:rPr>
                <w:rFonts w:ascii="Calibri" w:hAnsi="Calibri" w:cs="Calibri"/>
                <w:sz w:val="24"/>
                <w:szCs w:val="24"/>
              </w:rPr>
            </w:pPr>
            <w:r>
              <w:rPr>
                <w:rFonts w:ascii="Calibri" w:hAnsi="Calibri" w:cs="Calibri"/>
                <w:sz w:val="24"/>
                <w:szCs w:val="24"/>
              </w:rPr>
              <w:t xml:space="preserve">Critical perspectives on the </w:t>
            </w:r>
            <w:proofErr w:type="spellStart"/>
            <w:r>
              <w:rPr>
                <w:rFonts w:ascii="Calibri" w:hAnsi="Calibri" w:cs="Calibri"/>
                <w:sz w:val="24"/>
                <w:szCs w:val="24"/>
              </w:rPr>
              <w:t>CfW</w:t>
            </w:r>
            <w:proofErr w:type="spellEnd"/>
            <w:r>
              <w:rPr>
                <w:rFonts w:ascii="Calibri" w:hAnsi="Calibri" w:cs="Calibri"/>
                <w:sz w:val="24"/>
                <w:szCs w:val="24"/>
              </w:rPr>
              <w:t>: insights from the literature</w:t>
            </w:r>
          </w:p>
        </w:tc>
        <w:tc>
          <w:tcPr>
            <w:tcW w:w="4508" w:type="dxa"/>
          </w:tcPr>
          <w:p w14:paraId="712969DD" w14:textId="2582C139" w:rsidR="009D79D1" w:rsidRDefault="002F78EA" w:rsidP="006A5F00">
            <w:pPr>
              <w:jc w:val="center"/>
              <w:rPr>
                <w:rFonts w:ascii="Calibri" w:hAnsi="Calibri" w:cs="Calibri"/>
                <w:sz w:val="24"/>
                <w:szCs w:val="24"/>
              </w:rPr>
            </w:pPr>
            <w:r>
              <w:rPr>
                <w:rFonts w:ascii="Calibri" w:hAnsi="Calibri" w:cs="Calibri"/>
                <w:sz w:val="24"/>
                <w:szCs w:val="24"/>
              </w:rPr>
              <w:t>6-8</w:t>
            </w:r>
          </w:p>
        </w:tc>
      </w:tr>
      <w:tr w:rsidR="002F78EA" w14:paraId="12ADC9F9" w14:textId="77777777">
        <w:tc>
          <w:tcPr>
            <w:tcW w:w="4508" w:type="dxa"/>
          </w:tcPr>
          <w:p w14:paraId="215334D8" w14:textId="69B79EBA" w:rsidR="002F78EA" w:rsidRDefault="009A185C">
            <w:pPr>
              <w:rPr>
                <w:rFonts w:ascii="Calibri" w:hAnsi="Calibri" w:cs="Calibri"/>
                <w:sz w:val="24"/>
                <w:szCs w:val="24"/>
              </w:rPr>
            </w:pPr>
            <w:r>
              <w:rPr>
                <w:rFonts w:ascii="Calibri" w:hAnsi="Calibri" w:cs="Calibri"/>
                <w:sz w:val="24"/>
                <w:szCs w:val="24"/>
              </w:rPr>
              <w:t>Implementation: Successes and Challenges</w:t>
            </w:r>
          </w:p>
        </w:tc>
        <w:tc>
          <w:tcPr>
            <w:tcW w:w="4508" w:type="dxa"/>
          </w:tcPr>
          <w:p w14:paraId="101F0FCC" w14:textId="5B816F66" w:rsidR="002F78EA" w:rsidRDefault="009A185C" w:rsidP="006A5F00">
            <w:pPr>
              <w:jc w:val="center"/>
              <w:rPr>
                <w:rFonts w:ascii="Calibri" w:hAnsi="Calibri" w:cs="Calibri"/>
                <w:sz w:val="24"/>
                <w:szCs w:val="24"/>
              </w:rPr>
            </w:pPr>
            <w:r>
              <w:rPr>
                <w:rFonts w:ascii="Calibri" w:hAnsi="Calibri" w:cs="Calibri"/>
                <w:sz w:val="24"/>
                <w:szCs w:val="24"/>
              </w:rPr>
              <w:t>8-11</w:t>
            </w:r>
          </w:p>
        </w:tc>
      </w:tr>
      <w:tr w:rsidR="002F78EA" w14:paraId="1491B593" w14:textId="77777777">
        <w:tc>
          <w:tcPr>
            <w:tcW w:w="4508" w:type="dxa"/>
          </w:tcPr>
          <w:p w14:paraId="302A0629" w14:textId="1EC965CD" w:rsidR="002F78EA" w:rsidRDefault="00E9063F">
            <w:pPr>
              <w:rPr>
                <w:rFonts w:ascii="Calibri" w:hAnsi="Calibri" w:cs="Calibri"/>
                <w:sz w:val="24"/>
                <w:szCs w:val="24"/>
              </w:rPr>
            </w:pPr>
            <w:r>
              <w:rPr>
                <w:rFonts w:ascii="Calibri" w:hAnsi="Calibri" w:cs="Calibri"/>
                <w:sz w:val="24"/>
                <w:szCs w:val="24"/>
              </w:rPr>
              <w:t>Practitioner perspectives</w:t>
            </w:r>
          </w:p>
        </w:tc>
        <w:tc>
          <w:tcPr>
            <w:tcW w:w="4508" w:type="dxa"/>
          </w:tcPr>
          <w:p w14:paraId="573B2F48" w14:textId="27BB3137" w:rsidR="002F78EA" w:rsidRDefault="00E9063F" w:rsidP="006A5F00">
            <w:pPr>
              <w:jc w:val="center"/>
              <w:rPr>
                <w:rFonts w:ascii="Calibri" w:hAnsi="Calibri" w:cs="Calibri"/>
                <w:sz w:val="24"/>
                <w:szCs w:val="24"/>
              </w:rPr>
            </w:pPr>
            <w:r>
              <w:rPr>
                <w:rFonts w:ascii="Calibri" w:hAnsi="Calibri" w:cs="Calibri"/>
                <w:sz w:val="24"/>
                <w:szCs w:val="24"/>
              </w:rPr>
              <w:t>11-12</w:t>
            </w:r>
          </w:p>
        </w:tc>
      </w:tr>
      <w:tr w:rsidR="002F78EA" w14:paraId="1D8012BB" w14:textId="77777777">
        <w:tc>
          <w:tcPr>
            <w:tcW w:w="4508" w:type="dxa"/>
          </w:tcPr>
          <w:p w14:paraId="34EF88C4" w14:textId="1309E9CA" w:rsidR="002F78EA" w:rsidRDefault="00E9063F">
            <w:pPr>
              <w:rPr>
                <w:rFonts w:ascii="Calibri" w:hAnsi="Calibri" w:cs="Calibri"/>
                <w:sz w:val="24"/>
                <w:szCs w:val="24"/>
              </w:rPr>
            </w:pPr>
            <w:r>
              <w:rPr>
                <w:rFonts w:ascii="Calibri" w:hAnsi="Calibri" w:cs="Calibri"/>
                <w:sz w:val="24"/>
                <w:szCs w:val="24"/>
              </w:rPr>
              <w:t xml:space="preserve">Supporting professional development of the </w:t>
            </w:r>
            <w:proofErr w:type="spellStart"/>
            <w:r>
              <w:rPr>
                <w:rFonts w:ascii="Calibri" w:hAnsi="Calibri" w:cs="Calibri"/>
                <w:sz w:val="24"/>
                <w:szCs w:val="24"/>
              </w:rPr>
              <w:t>CfW</w:t>
            </w:r>
            <w:proofErr w:type="spellEnd"/>
          </w:p>
        </w:tc>
        <w:tc>
          <w:tcPr>
            <w:tcW w:w="4508" w:type="dxa"/>
          </w:tcPr>
          <w:p w14:paraId="645EA22A" w14:textId="2D34618D" w:rsidR="002F78EA" w:rsidRDefault="006A5F00" w:rsidP="006A5F00">
            <w:pPr>
              <w:jc w:val="center"/>
              <w:rPr>
                <w:rFonts w:ascii="Calibri" w:hAnsi="Calibri" w:cs="Calibri"/>
                <w:sz w:val="24"/>
                <w:szCs w:val="24"/>
              </w:rPr>
            </w:pPr>
            <w:r>
              <w:rPr>
                <w:rFonts w:ascii="Calibri" w:hAnsi="Calibri" w:cs="Calibri"/>
                <w:sz w:val="24"/>
                <w:szCs w:val="24"/>
              </w:rPr>
              <w:t>12-13</w:t>
            </w:r>
          </w:p>
        </w:tc>
      </w:tr>
      <w:tr w:rsidR="002F78EA" w14:paraId="36ADD437" w14:textId="77777777">
        <w:tc>
          <w:tcPr>
            <w:tcW w:w="4508" w:type="dxa"/>
          </w:tcPr>
          <w:p w14:paraId="555B51DF" w14:textId="78016A70" w:rsidR="002F78EA" w:rsidRDefault="006A5F00">
            <w:pPr>
              <w:rPr>
                <w:rFonts w:ascii="Calibri" w:hAnsi="Calibri" w:cs="Calibri"/>
                <w:sz w:val="24"/>
                <w:szCs w:val="24"/>
              </w:rPr>
            </w:pPr>
            <w:r>
              <w:rPr>
                <w:rFonts w:ascii="Calibri" w:hAnsi="Calibri" w:cs="Calibri"/>
                <w:sz w:val="24"/>
                <w:szCs w:val="24"/>
              </w:rPr>
              <w:t>Impact on learners: Emerging evidence</w:t>
            </w:r>
          </w:p>
        </w:tc>
        <w:tc>
          <w:tcPr>
            <w:tcW w:w="4508" w:type="dxa"/>
          </w:tcPr>
          <w:p w14:paraId="2B60ABDC" w14:textId="64A29D02" w:rsidR="002F78EA" w:rsidRDefault="006A5F00" w:rsidP="006A5F00">
            <w:pPr>
              <w:jc w:val="center"/>
              <w:rPr>
                <w:rFonts w:ascii="Calibri" w:hAnsi="Calibri" w:cs="Calibri"/>
                <w:sz w:val="24"/>
                <w:szCs w:val="24"/>
              </w:rPr>
            </w:pPr>
            <w:r>
              <w:rPr>
                <w:rFonts w:ascii="Calibri" w:hAnsi="Calibri" w:cs="Calibri"/>
                <w:sz w:val="24"/>
                <w:szCs w:val="24"/>
              </w:rPr>
              <w:t>13-15</w:t>
            </w:r>
          </w:p>
        </w:tc>
      </w:tr>
      <w:tr w:rsidR="002F78EA" w14:paraId="77D0EA27" w14:textId="77777777">
        <w:tc>
          <w:tcPr>
            <w:tcW w:w="4508" w:type="dxa"/>
          </w:tcPr>
          <w:p w14:paraId="45B30BC9" w14:textId="7EB8F255" w:rsidR="002F78EA" w:rsidRDefault="006A5F00">
            <w:pPr>
              <w:rPr>
                <w:rFonts w:ascii="Calibri" w:hAnsi="Calibri" w:cs="Calibri"/>
                <w:sz w:val="24"/>
                <w:szCs w:val="24"/>
              </w:rPr>
            </w:pPr>
            <w:r>
              <w:rPr>
                <w:rFonts w:ascii="Calibri" w:hAnsi="Calibri" w:cs="Calibri"/>
                <w:sz w:val="24"/>
                <w:szCs w:val="24"/>
              </w:rPr>
              <w:t>Conclusion</w:t>
            </w:r>
          </w:p>
        </w:tc>
        <w:tc>
          <w:tcPr>
            <w:tcW w:w="4508" w:type="dxa"/>
          </w:tcPr>
          <w:p w14:paraId="00D7F4A4" w14:textId="3AEC57D7" w:rsidR="002F78EA" w:rsidRDefault="006A5F00" w:rsidP="006A5F00">
            <w:pPr>
              <w:jc w:val="center"/>
              <w:rPr>
                <w:rFonts w:ascii="Calibri" w:hAnsi="Calibri" w:cs="Calibri"/>
                <w:sz w:val="24"/>
                <w:szCs w:val="24"/>
              </w:rPr>
            </w:pPr>
            <w:r>
              <w:rPr>
                <w:rFonts w:ascii="Calibri" w:hAnsi="Calibri" w:cs="Calibri"/>
                <w:sz w:val="24"/>
                <w:szCs w:val="24"/>
              </w:rPr>
              <w:t>15-16</w:t>
            </w:r>
          </w:p>
        </w:tc>
      </w:tr>
      <w:tr w:rsidR="002F78EA" w14:paraId="2395AC87" w14:textId="77777777">
        <w:tc>
          <w:tcPr>
            <w:tcW w:w="4508" w:type="dxa"/>
          </w:tcPr>
          <w:p w14:paraId="24B3CB50" w14:textId="6E5E9809" w:rsidR="002F78EA" w:rsidRDefault="006A5F00">
            <w:pPr>
              <w:rPr>
                <w:rFonts w:ascii="Calibri" w:hAnsi="Calibri" w:cs="Calibri"/>
                <w:sz w:val="24"/>
                <w:szCs w:val="24"/>
              </w:rPr>
            </w:pPr>
            <w:r>
              <w:rPr>
                <w:rFonts w:ascii="Calibri" w:hAnsi="Calibri" w:cs="Calibri"/>
                <w:sz w:val="24"/>
                <w:szCs w:val="24"/>
              </w:rPr>
              <w:t xml:space="preserve">Reference List </w:t>
            </w:r>
          </w:p>
        </w:tc>
        <w:tc>
          <w:tcPr>
            <w:tcW w:w="4508" w:type="dxa"/>
          </w:tcPr>
          <w:p w14:paraId="208B85B8" w14:textId="5B7CB3B7" w:rsidR="002F78EA" w:rsidRDefault="006A5F00" w:rsidP="006A5F00">
            <w:pPr>
              <w:jc w:val="center"/>
              <w:rPr>
                <w:rFonts w:ascii="Calibri" w:hAnsi="Calibri" w:cs="Calibri"/>
                <w:sz w:val="24"/>
                <w:szCs w:val="24"/>
              </w:rPr>
            </w:pPr>
            <w:r>
              <w:rPr>
                <w:rFonts w:ascii="Calibri" w:hAnsi="Calibri" w:cs="Calibri"/>
                <w:sz w:val="24"/>
                <w:szCs w:val="24"/>
              </w:rPr>
              <w:t>17-20</w:t>
            </w:r>
          </w:p>
        </w:tc>
      </w:tr>
    </w:tbl>
    <w:p w14:paraId="1699108E" w14:textId="77777777" w:rsidR="009D79D1" w:rsidRPr="006C12AA" w:rsidRDefault="009D79D1">
      <w:pPr>
        <w:rPr>
          <w:rFonts w:ascii="Calibri" w:hAnsi="Calibri" w:cs="Calibri"/>
          <w:sz w:val="24"/>
          <w:szCs w:val="24"/>
        </w:rPr>
      </w:pPr>
    </w:p>
    <w:p w14:paraId="4F0C66B0" w14:textId="7882852A" w:rsidR="006C12AA" w:rsidRDefault="006C12AA" w:rsidP="006C12AA">
      <w:pPr>
        <w:jc w:val="both"/>
      </w:pPr>
      <w:r>
        <w:br w:type="page"/>
      </w:r>
    </w:p>
    <w:p w14:paraId="5FBD4FA8" w14:textId="77777777" w:rsidR="00724915" w:rsidRDefault="00724915"/>
    <w:p w14:paraId="367A0509" w14:textId="6AE38FCC" w:rsidR="0012191D" w:rsidRDefault="00655CCE">
      <w:pPr>
        <w:rPr>
          <w:rFonts w:ascii="Calibri" w:hAnsi="Calibri" w:cs="Calibri"/>
          <w:b/>
          <w:bCs/>
          <w:sz w:val="24"/>
          <w:szCs w:val="24"/>
          <w:u w:val="single"/>
        </w:rPr>
      </w:pPr>
      <w:r>
        <w:rPr>
          <w:rFonts w:ascii="Calibri" w:hAnsi="Calibri" w:cs="Calibri"/>
          <w:b/>
          <w:bCs/>
          <w:sz w:val="24"/>
          <w:szCs w:val="24"/>
          <w:u w:val="single"/>
        </w:rPr>
        <w:t>Glossary</w:t>
      </w:r>
    </w:p>
    <w:tbl>
      <w:tblPr>
        <w:tblStyle w:val="TableGrid"/>
        <w:tblW w:w="0" w:type="auto"/>
        <w:tblLook w:val="04A0" w:firstRow="1" w:lastRow="0" w:firstColumn="1" w:lastColumn="0" w:noHBand="0" w:noVBand="1"/>
      </w:tblPr>
      <w:tblGrid>
        <w:gridCol w:w="4320"/>
        <w:gridCol w:w="4320"/>
      </w:tblGrid>
      <w:tr w:rsidR="00655CCE" w:rsidRPr="00655CCE" w14:paraId="45D1D868" w14:textId="77777777" w:rsidTr="005C7694">
        <w:tc>
          <w:tcPr>
            <w:tcW w:w="4320" w:type="dxa"/>
          </w:tcPr>
          <w:p w14:paraId="7AFFD039"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Abbreviation/Term</w:t>
            </w:r>
          </w:p>
        </w:tc>
        <w:tc>
          <w:tcPr>
            <w:tcW w:w="4320" w:type="dxa"/>
          </w:tcPr>
          <w:p w14:paraId="42E427A6"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Definition</w:t>
            </w:r>
          </w:p>
        </w:tc>
      </w:tr>
      <w:tr w:rsidR="00655CCE" w:rsidRPr="00655CCE" w14:paraId="171D5ADB" w14:textId="77777777" w:rsidTr="005C7694">
        <w:tc>
          <w:tcPr>
            <w:tcW w:w="4320" w:type="dxa"/>
          </w:tcPr>
          <w:p w14:paraId="1E67E41A" w14:textId="77777777" w:rsidR="00655CCE" w:rsidRPr="00655CCE" w:rsidRDefault="00655CCE" w:rsidP="00655CCE">
            <w:pPr>
              <w:spacing w:line="360" w:lineRule="auto"/>
              <w:rPr>
                <w:rFonts w:ascii="Calibri" w:hAnsi="Calibri" w:cs="Calibri"/>
                <w:sz w:val="24"/>
                <w:szCs w:val="24"/>
              </w:rPr>
            </w:pPr>
            <w:proofErr w:type="spellStart"/>
            <w:r w:rsidRPr="00655CCE">
              <w:rPr>
                <w:rFonts w:ascii="Calibri" w:hAnsi="Calibri" w:cs="Calibri"/>
                <w:sz w:val="24"/>
                <w:szCs w:val="24"/>
              </w:rPr>
              <w:t>CfW</w:t>
            </w:r>
            <w:proofErr w:type="spellEnd"/>
          </w:p>
        </w:tc>
        <w:tc>
          <w:tcPr>
            <w:tcW w:w="4320" w:type="dxa"/>
          </w:tcPr>
          <w:p w14:paraId="12A67684"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Curriculum for Wales – a national framework introduced to reform education in Wales.</w:t>
            </w:r>
          </w:p>
        </w:tc>
      </w:tr>
      <w:tr w:rsidR="00655CCE" w:rsidRPr="00655CCE" w14:paraId="53F1DE9A" w14:textId="77777777" w:rsidTr="005C7694">
        <w:tc>
          <w:tcPr>
            <w:tcW w:w="4320" w:type="dxa"/>
          </w:tcPr>
          <w:p w14:paraId="5C33402D" w14:textId="77777777" w:rsidR="00655CCE" w:rsidRPr="00655CCE" w:rsidRDefault="00655CCE" w:rsidP="00655CCE">
            <w:pPr>
              <w:spacing w:line="360" w:lineRule="auto"/>
              <w:rPr>
                <w:rFonts w:ascii="Calibri" w:hAnsi="Calibri" w:cs="Calibri"/>
                <w:sz w:val="24"/>
                <w:szCs w:val="24"/>
              </w:rPr>
            </w:pPr>
            <w:proofErr w:type="spellStart"/>
            <w:r w:rsidRPr="00655CCE">
              <w:rPr>
                <w:rFonts w:ascii="Calibri" w:hAnsi="Calibri" w:cs="Calibri"/>
                <w:sz w:val="24"/>
                <w:szCs w:val="24"/>
              </w:rPr>
              <w:t>AoLE</w:t>
            </w:r>
            <w:proofErr w:type="spellEnd"/>
          </w:p>
        </w:tc>
        <w:tc>
          <w:tcPr>
            <w:tcW w:w="4320" w:type="dxa"/>
          </w:tcPr>
          <w:p w14:paraId="3531D62A"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 xml:space="preserve">Areas of Learning and Experience – six broad areas forming the structure of the </w:t>
            </w:r>
            <w:proofErr w:type="spellStart"/>
            <w:r w:rsidRPr="00655CCE">
              <w:rPr>
                <w:rFonts w:ascii="Calibri" w:hAnsi="Calibri" w:cs="Calibri"/>
                <w:sz w:val="24"/>
                <w:szCs w:val="24"/>
              </w:rPr>
              <w:t>CfW</w:t>
            </w:r>
            <w:proofErr w:type="spellEnd"/>
            <w:r w:rsidRPr="00655CCE">
              <w:rPr>
                <w:rFonts w:ascii="Calibri" w:hAnsi="Calibri" w:cs="Calibri"/>
                <w:sz w:val="24"/>
                <w:szCs w:val="24"/>
              </w:rPr>
              <w:t>.</w:t>
            </w:r>
          </w:p>
        </w:tc>
      </w:tr>
      <w:tr w:rsidR="00655CCE" w:rsidRPr="00655CCE" w14:paraId="070A66ED" w14:textId="77777777" w:rsidTr="005C7694">
        <w:tc>
          <w:tcPr>
            <w:tcW w:w="4320" w:type="dxa"/>
          </w:tcPr>
          <w:p w14:paraId="00F58F85"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PLC</w:t>
            </w:r>
          </w:p>
        </w:tc>
        <w:tc>
          <w:tcPr>
            <w:tcW w:w="4320" w:type="dxa"/>
          </w:tcPr>
          <w:p w14:paraId="678F7F10"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Professional Learning Community – a group of educators collaborating for ongoing development.</w:t>
            </w:r>
          </w:p>
        </w:tc>
      </w:tr>
      <w:tr w:rsidR="00655CCE" w:rsidRPr="00655CCE" w14:paraId="5E2BC5B1" w14:textId="77777777" w:rsidTr="005C7694">
        <w:tc>
          <w:tcPr>
            <w:tcW w:w="4320" w:type="dxa"/>
          </w:tcPr>
          <w:p w14:paraId="351B566F"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NQT</w:t>
            </w:r>
          </w:p>
        </w:tc>
        <w:tc>
          <w:tcPr>
            <w:tcW w:w="4320" w:type="dxa"/>
          </w:tcPr>
          <w:p w14:paraId="74CFACF9"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Newly Qualified Teacher – a teacher in the first year(s) of their professional career.</w:t>
            </w:r>
          </w:p>
        </w:tc>
      </w:tr>
      <w:tr w:rsidR="00655CCE" w:rsidRPr="00655CCE" w14:paraId="2A0AF3D4" w14:textId="77777777" w:rsidTr="005C7694">
        <w:tc>
          <w:tcPr>
            <w:tcW w:w="4320" w:type="dxa"/>
          </w:tcPr>
          <w:p w14:paraId="504BED3E" w14:textId="77777777" w:rsidR="00655CCE" w:rsidRPr="00655CCE" w:rsidRDefault="00655CCE" w:rsidP="00655CCE">
            <w:pPr>
              <w:spacing w:line="360" w:lineRule="auto"/>
              <w:rPr>
                <w:rFonts w:ascii="Calibri" w:hAnsi="Calibri" w:cs="Calibri"/>
                <w:sz w:val="24"/>
                <w:szCs w:val="24"/>
              </w:rPr>
            </w:pPr>
            <w:proofErr w:type="spellStart"/>
            <w:r w:rsidRPr="00655CCE">
              <w:rPr>
                <w:rFonts w:ascii="Calibri" w:hAnsi="Calibri" w:cs="Calibri"/>
                <w:sz w:val="24"/>
                <w:szCs w:val="24"/>
              </w:rPr>
              <w:t>Estyn</w:t>
            </w:r>
            <w:proofErr w:type="spellEnd"/>
          </w:p>
        </w:tc>
        <w:tc>
          <w:tcPr>
            <w:tcW w:w="4320" w:type="dxa"/>
          </w:tcPr>
          <w:p w14:paraId="0BD94A7A"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The education and training inspectorate for Wales.</w:t>
            </w:r>
          </w:p>
        </w:tc>
      </w:tr>
      <w:tr w:rsidR="00655CCE" w:rsidRPr="00655CCE" w14:paraId="4E730C33" w14:textId="77777777" w:rsidTr="005C7694">
        <w:tc>
          <w:tcPr>
            <w:tcW w:w="4320" w:type="dxa"/>
          </w:tcPr>
          <w:p w14:paraId="0138C6C3"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OECD</w:t>
            </w:r>
          </w:p>
        </w:tc>
        <w:tc>
          <w:tcPr>
            <w:tcW w:w="4320" w:type="dxa"/>
          </w:tcPr>
          <w:p w14:paraId="7A2DE9E6" w14:textId="77777777" w:rsidR="00655CCE" w:rsidRPr="00655CCE" w:rsidRDefault="00655CCE" w:rsidP="00655CCE">
            <w:pPr>
              <w:spacing w:line="360" w:lineRule="auto"/>
              <w:rPr>
                <w:rFonts w:ascii="Calibri" w:hAnsi="Calibri" w:cs="Calibri"/>
                <w:sz w:val="24"/>
                <w:szCs w:val="24"/>
              </w:rPr>
            </w:pPr>
            <w:proofErr w:type="spellStart"/>
            <w:r w:rsidRPr="00655CCE">
              <w:rPr>
                <w:rFonts w:ascii="Calibri" w:hAnsi="Calibri" w:cs="Calibri"/>
                <w:sz w:val="24"/>
                <w:szCs w:val="24"/>
              </w:rPr>
              <w:t>Organisation</w:t>
            </w:r>
            <w:proofErr w:type="spellEnd"/>
            <w:r w:rsidRPr="00655CCE">
              <w:rPr>
                <w:rFonts w:ascii="Calibri" w:hAnsi="Calibri" w:cs="Calibri"/>
                <w:sz w:val="24"/>
                <w:szCs w:val="24"/>
              </w:rPr>
              <w:t xml:space="preserve"> for Economic Co-operation and Development – provides policy research and guidance.</w:t>
            </w:r>
          </w:p>
        </w:tc>
      </w:tr>
      <w:tr w:rsidR="00655CCE" w:rsidRPr="00655CCE" w14:paraId="1644D1BE" w14:textId="77777777" w:rsidTr="005C7694">
        <w:tc>
          <w:tcPr>
            <w:tcW w:w="4320" w:type="dxa"/>
          </w:tcPr>
          <w:p w14:paraId="2EA7D845"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Progression Step</w:t>
            </w:r>
          </w:p>
        </w:tc>
        <w:tc>
          <w:tcPr>
            <w:tcW w:w="4320" w:type="dxa"/>
          </w:tcPr>
          <w:p w14:paraId="78209D70"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 xml:space="preserve">A broad expectation of learning development in </w:t>
            </w:r>
            <w:proofErr w:type="spellStart"/>
            <w:r w:rsidRPr="00655CCE">
              <w:rPr>
                <w:rFonts w:ascii="Calibri" w:hAnsi="Calibri" w:cs="Calibri"/>
                <w:sz w:val="24"/>
                <w:szCs w:val="24"/>
              </w:rPr>
              <w:t>CfW</w:t>
            </w:r>
            <w:proofErr w:type="spellEnd"/>
            <w:r w:rsidRPr="00655CCE">
              <w:rPr>
                <w:rFonts w:ascii="Calibri" w:hAnsi="Calibri" w:cs="Calibri"/>
                <w:sz w:val="24"/>
                <w:szCs w:val="24"/>
              </w:rPr>
              <w:t>, replacing traditional key stages.</w:t>
            </w:r>
          </w:p>
        </w:tc>
      </w:tr>
      <w:tr w:rsidR="00655CCE" w:rsidRPr="00655CCE" w14:paraId="20193E8A" w14:textId="77777777" w:rsidTr="005C7694">
        <w:tc>
          <w:tcPr>
            <w:tcW w:w="4320" w:type="dxa"/>
          </w:tcPr>
          <w:p w14:paraId="692F29D5"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Cross-curricular responsibilities</w:t>
            </w:r>
          </w:p>
        </w:tc>
        <w:tc>
          <w:tcPr>
            <w:tcW w:w="4320" w:type="dxa"/>
          </w:tcPr>
          <w:p w14:paraId="5164B8FA" w14:textId="77777777" w:rsidR="00655CCE" w:rsidRPr="00655CCE" w:rsidRDefault="00655CCE" w:rsidP="00655CCE">
            <w:pPr>
              <w:spacing w:line="360" w:lineRule="auto"/>
              <w:rPr>
                <w:rFonts w:ascii="Calibri" w:hAnsi="Calibri" w:cs="Calibri"/>
                <w:sz w:val="24"/>
                <w:szCs w:val="24"/>
              </w:rPr>
            </w:pPr>
            <w:r w:rsidRPr="00655CCE">
              <w:rPr>
                <w:rFonts w:ascii="Calibri" w:hAnsi="Calibri" w:cs="Calibri"/>
                <w:sz w:val="24"/>
                <w:szCs w:val="24"/>
              </w:rPr>
              <w:t xml:space="preserve">Literacy, numeracy, and digital competence, which must be embedded across </w:t>
            </w:r>
            <w:proofErr w:type="spellStart"/>
            <w:r w:rsidRPr="00655CCE">
              <w:rPr>
                <w:rFonts w:ascii="Calibri" w:hAnsi="Calibri" w:cs="Calibri"/>
                <w:sz w:val="24"/>
                <w:szCs w:val="24"/>
              </w:rPr>
              <w:t>AoLEs</w:t>
            </w:r>
            <w:proofErr w:type="spellEnd"/>
            <w:r w:rsidRPr="00655CCE">
              <w:rPr>
                <w:rFonts w:ascii="Calibri" w:hAnsi="Calibri" w:cs="Calibri"/>
                <w:sz w:val="24"/>
                <w:szCs w:val="24"/>
              </w:rPr>
              <w:t>.</w:t>
            </w:r>
          </w:p>
        </w:tc>
      </w:tr>
    </w:tbl>
    <w:p w14:paraId="0AF1D833" w14:textId="77777777" w:rsidR="00655CCE" w:rsidRPr="00655CCE" w:rsidRDefault="00655CCE">
      <w:pPr>
        <w:rPr>
          <w:rFonts w:ascii="Calibri" w:hAnsi="Calibri" w:cs="Calibri"/>
          <w:sz w:val="24"/>
          <w:szCs w:val="24"/>
        </w:rPr>
      </w:pPr>
    </w:p>
    <w:p w14:paraId="20CBFD89" w14:textId="77777777" w:rsidR="0012191D" w:rsidRDefault="0012191D">
      <w:pPr>
        <w:rPr>
          <w:rFonts w:ascii="Calibri" w:hAnsi="Calibri" w:cs="Calibri"/>
          <w:b/>
          <w:bCs/>
          <w:sz w:val="24"/>
          <w:szCs w:val="24"/>
          <w:u w:val="single"/>
        </w:rPr>
      </w:pPr>
      <w:r>
        <w:rPr>
          <w:rFonts w:ascii="Calibri" w:hAnsi="Calibri" w:cs="Calibri"/>
          <w:b/>
          <w:bCs/>
          <w:sz w:val="24"/>
          <w:szCs w:val="24"/>
          <w:u w:val="single"/>
        </w:rPr>
        <w:br w:type="page"/>
      </w:r>
    </w:p>
    <w:p w14:paraId="4E93EC07" w14:textId="022000D1" w:rsidR="00AE0071" w:rsidRDefault="00AE0071">
      <w:pPr>
        <w:rPr>
          <w:rFonts w:ascii="Calibri" w:hAnsi="Calibri" w:cs="Calibri"/>
          <w:b/>
          <w:bCs/>
          <w:sz w:val="24"/>
          <w:szCs w:val="24"/>
          <w:u w:val="single"/>
        </w:rPr>
      </w:pPr>
      <w:r w:rsidRPr="00CC1D82">
        <w:rPr>
          <w:rFonts w:ascii="Calibri" w:hAnsi="Calibri" w:cs="Calibri"/>
          <w:b/>
          <w:bCs/>
          <w:sz w:val="24"/>
          <w:szCs w:val="24"/>
          <w:u w:val="single"/>
        </w:rPr>
        <w:lastRenderedPageBreak/>
        <w:t>Intr</w:t>
      </w:r>
      <w:r w:rsidR="00CC1D82" w:rsidRPr="00CC1D82">
        <w:rPr>
          <w:rFonts w:ascii="Calibri" w:hAnsi="Calibri" w:cs="Calibri"/>
          <w:b/>
          <w:bCs/>
          <w:sz w:val="24"/>
          <w:szCs w:val="24"/>
          <w:u w:val="single"/>
        </w:rPr>
        <w:t>oduction</w:t>
      </w:r>
    </w:p>
    <w:p w14:paraId="597A52AE" w14:textId="77777777" w:rsidR="00CC1D82" w:rsidRPr="00CC1D82" w:rsidRDefault="00CC1D82" w:rsidP="00CC1D82">
      <w:pPr>
        <w:spacing w:line="360" w:lineRule="auto"/>
        <w:rPr>
          <w:rFonts w:ascii="Calibri" w:hAnsi="Calibri" w:cs="Calibri"/>
          <w:sz w:val="24"/>
          <w:szCs w:val="24"/>
        </w:rPr>
      </w:pPr>
      <w:r w:rsidRPr="00CC1D82">
        <w:rPr>
          <w:rFonts w:ascii="Calibri" w:hAnsi="Calibri" w:cs="Calibri"/>
          <w:sz w:val="24"/>
          <w:szCs w:val="24"/>
        </w:rPr>
        <w:t>The Curriculum for Wales (</w:t>
      </w:r>
      <w:proofErr w:type="spellStart"/>
      <w:r w:rsidRPr="00CC1D82">
        <w:rPr>
          <w:rFonts w:ascii="Calibri" w:hAnsi="Calibri" w:cs="Calibri"/>
          <w:sz w:val="24"/>
          <w:szCs w:val="24"/>
        </w:rPr>
        <w:t>CfW</w:t>
      </w:r>
      <w:proofErr w:type="spellEnd"/>
      <w:r w:rsidRPr="00CC1D82">
        <w:rPr>
          <w:rFonts w:ascii="Calibri" w:hAnsi="Calibri" w:cs="Calibri"/>
          <w:sz w:val="24"/>
          <w:szCs w:val="24"/>
        </w:rPr>
        <w:t xml:space="preserve">) represents one of the most ambitious educational reforms in recent UK history, aiming to create a more flexible, inclusive, and forward-looking curriculum suited to the demands of 21st-century learners (Welsh Government, 2020). Grounded in four core purposes and designed to foster progression, learner agency, and holistic development, the </w:t>
      </w:r>
      <w:proofErr w:type="spellStart"/>
      <w:r w:rsidRPr="00CC1D82">
        <w:rPr>
          <w:rFonts w:ascii="Calibri" w:hAnsi="Calibri" w:cs="Calibri"/>
          <w:sz w:val="24"/>
          <w:szCs w:val="24"/>
        </w:rPr>
        <w:t>CfW</w:t>
      </w:r>
      <w:proofErr w:type="spellEnd"/>
      <w:r w:rsidRPr="00CC1D82">
        <w:rPr>
          <w:rFonts w:ascii="Calibri" w:hAnsi="Calibri" w:cs="Calibri"/>
          <w:sz w:val="24"/>
          <w:szCs w:val="24"/>
        </w:rPr>
        <w:t xml:space="preserve"> marks a decisive shift away from prescriptive content-driven models towards a framework that empowers schools and teachers to co-construct the curriculum in line with local needs and contexts. This shift places significant responsibility on practitioners, particularly in terms of professional autonomy, curriculum design, and pedagogical innovation.</w:t>
      </w:r>
    </w:p>
    <w:p w14:paraId="44C2BE9F" w14:textId="17F6F887" w:rsidR="00CC1D82" w:rsidRPr="00CC1D82" w:rsidRDefault="00CC1D82" w:rsidP="00CC1D82">
      <w:pPr>
        <w:spacing w:line="360" w:lineRule="auto"/>
        <w:rPr>
          <w:rFonts w:ascii="Calibri" w:hAnsi="Calibri" w:cs="Calibri"/>
          <w:sz w:val="24"/>
          <w:szCs w:val="24"/>
        </w:rPr>
      </w:pPr>
      <w:r w:rsidRPr="00CC1D82">
        <w:rPr>
          <w:rFonts w:ascii="Calibri" w:hAnsi="Calibri" w:cs="Calibri"/>
          <w:sz w:val="24"/>
          <w:szCs w:val="24"/>
        </w:rPr>
        <w:t xml:space="preserve">Given the scale and scope of the reform, the successful implementation of the </w:t>
      </w:r>
      <w:proofErr w:type="spellStart"/>
      <w:r w:rsidRPr="00CC1D82">
        <w:rPr>
          <w:rFonts w:ascii="Calibri" w:hAnsi="Calibri" w:cs="Calibri"/>
          <w:sz w:val="24"/>
          <w:szCs w:val="24"/>
        </w:rPr>
        <w:t>CfW</w:t>
      </w:r>
      <w:proofErr w:type="spellEnd"/>
      <w:r w:rsidRPr="00CC1D82">
        <w:rPr>
          <w:rFonts w:ascii="Calibri" w:hAnsi="Calibri" w:cs="Calibri"/>
          <w:sz w:val="24"/>
          <w:szCs w:val="24"/>
        </w:rPr>
        <w:t xml:space="preserve"> is heavily dependent on the professional development and preparedness of educators. Teachers are not only expected to understand and interpret the vision of the new curriculum but also to design and deliver learning that aligns with its principles</w:t>
      </w:r>
      <w:r w:rsidR="00DC56E0">
        <w:rPr>
          <w:rFonts w:ascii="Calibri" w:hAnsi="Calibri" w:cs="Calibri"/>
          <w:sz w:val="24"/>
          <w:szCs w:val="24"/>
        </w:rPr>
        <w:t>,</w:t>
      </w:r>
      <w:r w:rsidRPr="00CC1D82">
        <w:rPr>
          <w:rFonts w:ascii="Calibri" w:hAnsi="Calibri" w:cs="Calibri"/>
          <w:sz w:val="24"/>
          <w:szCs w:val="24"/>
        </w:rPr>
        <w:t xml:space="preserve"> often with limited precedent or ready-made materials. As such, questions surrounding the effectiveness of professional learning, the challenges of implementation, and the real-world impact on learners have emerged as central concerns within the growing body of research.</w:t>
      </w:r>
    </w:p>
    <w:p w14:paraId="0B8B83A5" w14:textId="4F958B76" w:rsidR="00CC1D82" w:rsidRPr="00655CCE" w:rsidRDefault="00CC1D82" w:rsidP="00655CCE">
      <w:pPr>
        <w:spacing w:line="360" w:lineRule="auto"/>
        <w:rPr>
          <w:rFonts w:ascii="Calibri" w:hAnsi="Calibri" w:cs="Calibri"/>
          <w:sz w:val="24"/>
          <w:szCs w:val="24"/>
        </w:rPr>
      </w:pPr>
      <w:r w:rsidRPr="00CC1D82">
        <w:rPr>
          <w:rFonts w:ascii="Calibri" w:hAnsi="Calibri" w:cs="Calibri"/>
          <w:sz w:val="24"/>
          <w:szCs w:val="24"/>
        </w:rPr>
        <w:t>This literature review critically explores the current academic and policy literature relating to the Curriculum for Wales, with a particular focus on professional development and its role in shaping successful implementation. Key themes examined include the policy context and structural vision of the curriculum; practitioner perspectives on reform; strategies for supporting professional learning; successes and barriers in implementation; emerging evidence on learner outcomes; and critical viewpoints on equity, system capacity, and accountability. By synthesising these areas, the review aims to identify gaps in the existing evidence base and provide a foundation for the present study, which seeks to explore how educators are experiencing and enacting the Curriculum for Wales in practice.</w:t>
      </w:r>
    </w:p>
    <w:p w14:paraId="1D06BF36" w14:textId="42B6F9D5" w:rsidR="00697C7B" w:rsidRPr="003A57B4" w:rsidRDefault="009809D9" w:rsidP="003A57B4">
      <w:pPr>
        <w:spacing w:line="360" w:lineRule="auto"/>
        <w:rPr>
          <w:rFonts w:ascii="Calibri" w:hAnsi="Calibri" w:cs="Calibri"/>
          <w:b/>
          <w:bCs/>
          <w:sz w:val="24"/>
          <w:szCs w:val="24"/>
          <w:u w:val="single"/>
        </w:rPr>
      </w:pPr>
      <w:r>
        <w:rPr>
          <w:rFonts w:ascii="Calibri" w:hAnsi="Calibri" w:cs="Calibri"/>
          <w:b/>
          <w:bCs/>
          <w:sz w:val="24"/>
          <w:szCs w:val="24"/>
          <w:u w:val="single"/>
        </w:rPr>
        <w:t>Historical</w:t>
      </w:r>
      <w:r w:rsidR="00697C7B" w:rsidRPr="003A57B4">
        <w:rPr>
          <w:rFonts w:ascii="Calibri" w:hAnsi="Calibri" w:cs="Calibri"/>
          <w:b/>
          <w:bCs/>
          <w:sz w:val="24"/>
          <w:szCs w:val="24"/>
          <w:u w:val="single"/>
        </w:rPr>
        <w:t xml:space="preserve"> and Policy Context </w:t>
      </w:r>
    </w:p>
    <w:p w14:paraId="1614FB4F" w14:textId="5AB997F0" w:rsidR="00234D50" w:rsidRPr="00234D50" w:rsidRDefault="00234D50" w:rsidP="00365386">
      <w:pPr>
        <w:spacing w:line="360" w:lineRule="auto"/>
        <w:rPr>
          <w:rFonts w:ascii="Calibri" w:hAnsi="Calibri" w:cs="Calibri"/>
          <w:sz w:val="24"/>
          <w:szCs w:val="24"/>
        </w:rPr>
      </w:pPr>
      <w:r w:rsidRPr="00234D50">
        <w:rPr>
          <w:rFonts w:ascii="Calibri" w:hAnsi="Calibri" w:cs="Calibri"/>
          <w:sz w:val="24"/>
          <w:szCs w:val="24"/>
        </w:rPr>
        <w:t>Prior to the implementation of the Curriculum for Wales (</w:t>
      </w:r>
      <w:proofErr w:type="spellStart"/>
      <w:r w:rsidRPr="00234D50">
        <w:rPr>
          <w:rFonts w:ascii="Calibri" w:hAnsi="Calibri" w:cs="Calibri"/>
          <w:sz w:val="24"/>
          <w:szCs w:val="24"/>
        </w:rPr>
        <w:t>CfW</w:t>
      </w:r>
      <w:proofErr w:type="spellEnd"/>
      <w:r w:rsidRPr="00234D50">
        <w:rPr>
          <w:rFonts w:ascii="Calibri" w:hAnsi="Calibri" w:cs="Calibri"/>
          <w:sz w:val="24"/>
          <w:szCs w:val="24"/>
        </w:rPr>
        <w:t xml:space="preserve">), Welsh schools followed the National Curriculum, which had been introduced across both England and Wales in 1988 (UK Government, 1988). Although Wales acquired devolved powers over education in 1999, </w:t>
      </w:r>
      <w:r w:rsidRPr="00234D50">
        <w:rPr>
          <w:rFonts w:ascii="Calibri" w:hAnsi="Calibri" w:cs="Calibri"/>
          <w:sz w:val="24"/>
          <w:szCs w:val="24"/>
        </w:rPr>
        <w:lastRenderedPageBreak/>
        <w:t>Bruce (2012) notes that many of the key features of the curriculum remained closely aligned with those in England for a considerable period. These included a subject-specific framework and a centralised, prescriptive approach to both curriculum planning and assessment (Harper, 2009). White (2003) further observes that the pre-</w:t>
      </w:r>
      <w:proofErr w:type="spellStart"/>
      <w:r w:rsidRPr="00234D50">
        <w:rPr>
          <w:rFonts w:ascii="Calibri" w:hAnsi="Calibri" w:cs="Calibri"/>
          <w:sz w:val="24"/>
          <w:szCs w:val="24"/>
        </w:rPr>
        <w:t>CfW</w:t>
      </w:r>
      <w:proofErr w:type="spellEnd"/>
      <w:r w:rsidRPr="00234D50">
        <w:rPr>
          <w:rFonts w:ascii="Calibri" w:hAnsi="Calibri" w:cs="Calibri"/>
          <w:sz w:val="24"/>
          <w:szCs w:val="24"/>
        </w:rPr>
        <w:t xml:space="preserve"> curriculum was predominantly shaped by compartmentalised subject teaching, in which disciplines such as history, geography, and science were delivered in isolation from one another. The system placed significant emphasis on summative assessment, particularly at the end of key stages, and offered limited scope for teachers to adapt learning to local contexts or the individual needs of learner</w:t>
      </w:r>
      <w:r w:rsidR="00C963A2">
        <w:rPr>
          <w:rFonts w:ascii="Calibri" w:hAnsi="Calibri" w:cs="Calibri"/>
          <w:sz w:val="24"/>
          <w:szCs w:val="24"/>
        </w:rPr>
        <w:t>s</w:t>
      </w:r>
      <w:r w:rsidRPr="00234D50">
        <w:rPr>
          <w:rFonts w:ascii="Calibri" w:hAnsi="Calibri" w:cs="Calibri"/>
          <w:sz w:val="24"/>
          <w:szCs w:val="24"/>
        </w:rPr>
        <w:t>.</w:t>
      </w:r>
    </w:p>
    <w:p w14:paraId="3DF9D366" w14:textId="5294E3B4" w:rsidR="00234D50" w:rsidRPr="00234D50" w:rsidRDefault="00234D50" w:rsidP="00365386">
      <w:pPr>
        <w:spacing w:line="360" w:lineRule="auto"/>
        <w:rPr>
          <w:rFonts w:ascii="Calibri" w:hAnsi="Calibri" w:cs="Calibri"/>
          <w:sz w:val="24"/>
          <w:szCs w:val="24"/>
        </w:rPr>
      </w:pPr>
      <w:r w:rsidRPr="00234D50">
        <w:rPr>
          <w:rFonts w:ascii="Calibri" w:hAnsi="Calibri" w:cs="Calibri"/>
          <w:sz w:val="24"/>
          <w:szCs w:val="24"/>
        </w:rPr>
        <w:t>This traditional</w:t>
      </w:r>
      <w:r w:rsidR="00BA707A">
        <w:rPr>
          <w:rFonts w:ascii="Calibri" w:hAnsi="Calibri" w:cs="Calibri"/>
          <w:sz w:val="24"/>
          <w:szCs w:val="24"/>
        </w:rPr>
        <w:t xml:space="preserve"> </w:t>
      </w:r>
      <w:r w:rsidRPr="00234D50">
        <w:rPr>
          <w:rFonts w:ascii="Calibri" w:hAnsi="Calibri" w:cs="Calibri"/>
          <w:sz w:val="24"/>
          <w:szCs w:val="24"/>
        </w:rPr>
        <w:t>approach to curriculum design has been widely criticised</w:t>
      </w:r>
      <w:r w:rsidR="00320ED0">
        <w:rPr>
          <w:rFonts w:ascii="Calibri" w:hAnsi="Calibri" w:cs="Calibri"/>
          <w:sz w:val="24"/>
          <w:szCs w:val="24"/>
        </w:rPr>
        <w:t>, critics such as Fogarty and Pete (2009)</w:t>
      </w:r>
      <w:r w:rsidRPr="00234D50">
        <w:rPr>
          <w:rFonts w:ascii="Calibri" w:hAnsi="Calibri" w:cs="Calibri"/>
          <w:sz w:val="24"/>
          <w:szCs w:val="24"/>
        </w:rPr>
        <w:t xml:space="preserve"> argue that teaching subjects in isolation can inhibit students’ ability to draw connections across disciplines and to apply knowledge and skills in meaningful, integrated ways. </w:t>
      </w:r>
      <w:r w:rsidR="00E73AC9" w:rsidRPr="00365386">
        <w:rPr>
          <w:rFonts w:ascii="Calibri" w:hAnsi="Calibri" w:cs="Calibri"/>
          <w:sz w:val="24"/>
          <w:szCs w:val="24"/>
        </w:rPr>
        <w:t>Erickson and Lanning (2013) believe n</w:t>
      </w:r>
      <w:r w:rsidRPr="00234D50">
        <w:rPr>
          <w:rFonts w:ascii="Calibri" w:hAnsi="Calibri" w:cs="Calibri"/>
          <w:sz w:val="24"/>
          <w:szCs w:val="24"/>
        </w:rPr>
        <w:t>arrow curricular focus, devoid of broader context, is also associated with surface-level learning and rote memorisation, rather than the development of deep conceptual understanding. Educational theorists such as Dewey (1938) and Bruner (1960) have long advocated for integrated models of learning, emphasising that knowledge acquires greater educational value when it is contextualised and interconnected. Dewey</w:t>
      </w:r>
      <w:r w:rsidR="00E82880">
        <w:rPr>
          <w:rFonts w:ascii="Calibri" w:hAnsi="Calibri" w:cs="Calibri"/>
          <w:sz w:val="24"/>
          <w:szCs w:val="24"/>
        </w:rPr>
        <w:t xml:space="preserve"> (1938)</w:t>
      </w:r>
      <w:r w:rsidRPr="00234D50">
        <w:rPr>
          <w:rFonts w:ascii="Calibri" w:hAnsi="Calibri" w:cs="Calibri"/>
          <w:sz w:val="24"/>
          <w:szCs w:val="24"/>
        </w:rPr>
        <w:t xml:space="preserve"> rejected rigid, traditional models of schooling and promoted experiential learning grounded in continuity and real-world relevance. His work underscores the importance of holistic, meaningful education that reflects the complexity of </w:t>
      </w:r>
      <w:proofErr w:type="gramStart"/>
      <w:r w:rsidRPr="00234D50">
        <w:rPr>
          <w:rFonts w:ascii="Calibri" w:hAnsi="Calibri" w:cs="Calibri"/>
          <w:sz w:val="24"/>
          <w:szCs w:val="24"/>
        </w:rPr>
        <w:t>learners'</w:t>
      </w:r>
      <w:proofErr w:type="gramEnd"/>
      <w:r w:rsidRPr="00234D50">
        <w:rPr>
          <w:rFonts w:ascii="Calibri" w:hAnsi="Calibri" w:cs="Calibri"/>
          <w:sz w:val="24"/>
          <w:szCs w:val="24"/>
        </w:rPr>
        <w:t xml:space="preserve"> lived experiences.</w:t>
      </w:r>
    </w:p>
    <w:p w14:paraId="3975566C" w14:textId="46ADEF58" w:rsidR="00545F08" w:rsidRPr="00365386" w:rsidRDefault="00E832E6" w:rsidP="00365386">
      <w:pPr>
        <w:spacing w:line="360" w:lineRule="auto"/>
        <w:rPr>
          <w:rFonts w:ascii="Calibri" w:hAnsi="Calibri" w:cs="Calibri"/>
          <w:sz w:val="24"/>
          <w:szCs w:val="24"/>
        </w:rPr>
      </w:pPr>
      <w:proofErr w:type="gramStart"/>
      <w:r w:rsidRPr="00365386">
        <w:rPr>
          <w:rFonts w:ascii="Calibri" w:hAnsi="Calibri" w:cs="Calibri"/>
          <w:sz w:val="24"/>
          <w:szCs w:val="24"/>
        </w:rPr>
        <w:t>A number of</w:t>
      </w:r>
      <w:proofErr w:type="gramEnd"/>
      <w:r w:rsidRPr="00365386">
        <w:rPr>
          <w:rFonts w:ascii="Calibri" w:hAnsi="Calibri" w:cs="Calibri"/>
          <w:sz w:val="24"/>
          <w:szCs w:val="24"/>
        </w:rPr>
        <w:t xml:space="preserve"> factors contributed to growing calls for curricular reform</w:t>
      </w:r>
      <w:r w:rsidR="00C07C0B" w:rsidRPr="00365386">
        <w:rPr>
          <w:rFonts w:ascii="Calibri" w:hAnsi="Calibri" w:cs="Calibri"/>
          <w:sz w:val="24"/>
          <w:szCs w:val="24"/>
        </w:rPr>
        <w:t xml:space="preserve"> according to scholars such as </w:t>
      </w:r>
      <w:r w:rsidR="00906D76" w:rsidRPr="00365386">
        <w:rPr>
          <w:rFonts w:ascii="Calibri" w:hAnsi="Calibri" w:cs="Calibri"/>
          <w:sz w:val="24"/>
          <w:szCs w:val="24"/>
        </w:rPr>
        <w:t>Gatley (2020)</w:t>
      </w:r>
      <w:r w:rsidR="00C07C0B" w:rsidRPr="00365386">
        <w:rPr>
          <w:rFonts w:ascii="Calibri" w:hAnsi="Calibri" w:cs="Calibri"/>
          <w:sz w:val="24"/>
          <w:szCs w:val="24"/>
        </w:rPr>
        <w:t xml:space="preserve"> and </w:t>
      </w:r>
      <w:r w:rsidR="00E3058D" w:rsidRPr="00365386">
        <w:rPr>
          <w:rFonts w:ascii="Calibri" w:hAnsi="Calibri" w:cs="Calibri"/>
          <w:sz w:val="24"/>
          <w:szCs w:val="24"/>
        </w:rPr>
        <w:t>Power, Newton and Taylor (2020)</w:t>
      </w:r>
      <w:r w:rsidRPr="00365386">
        <w:rPr>
          <w:rFonts w:ascii="Calibri" w:hAnsi="Calibri" w:cs="Calibri"/>
          <w:sz w:val="24"/>
          <w:szCs w:val="24"/>
        </w:rPr>
        <w:t xml:space="preserve">. The existing framework was widely regarded as outdated and insufficiently responsive to the demands of a rapidly evolving 21st-century society. Concerns were also raised about </w:t>
      </w:r>
      <w:proofErr w:type="spellStart"/>
      <w:r w:rsidRPr="00365386">
        <w:rPr>
          <w:rFonts w:ascii="Calibri" w:hAnsi="Calibri" w:cs="Calibri"/>
          <w:sz w:val="24"/>
          <w:szCs w:val="24"/>
        </w:rPr>
        <w:t>Wales’</w:t>
      </w:r>
      <w:proofErr w:type="spellEnd"/>
      <w:r w:rsidRPr="00365386">
        <w:rPr>
          <w:rFonts w:ascii="Calibri" w:hAnsi="Calibri" w:cs="Calibri"/>
          <w:sz w:val="24"/>
          <w:szCs w:val="24"/>
        </w:rPr>
        <w:t xml:space="preserve"> consistent underperformance in international assessments such as the Programme for International Student Assessment (PISA), which suggested fundamental issues with educational outcomes</w:t>
      </w:r>
      <w:r w:rsidR="0092269F" w:rsidRPr="00365386">
        <w:rPr>
          <w:rFonts w:ascii="Calibri" w:hAnsi="Calibri" w:cs="Calibri"/>
          <w:sz w:val="24"/>
          <w:szCs w:val="24"/>
        </w:rPr>
        <w:t xml:space="preserve"> </w:t>
      </w:r>
      <w:r w:rsidR="00BA46D4" w:rsidRPr="00365386">
        <w:rPr>
          <w:rFonts w:ascii="Calibri" w:hAnsi="Calibri" w:cs="Calibri"/>
          <w:sz w:val="24"/>
          <w:szCs w:val="24"/>
        </w:rPr>
        <w:t>(OECD, 2025)</w:t>
      </w:r>
      <w:r w:rsidR="002956ED">
        <w:rPr>
          <w:rFonts w:ascii="Calibri" w:hAnsi="Calibri" w:cs="Calibri"/>
          <w:sz w:val="24"/>
          <w:szCs w:val="24"/>
        </w:rPr>
        <w:t>.</w:t>
      </w:r>
      <w:r w:rsidR="008102F1" w:rsidRPr="00365386">
        <w:rPr>
          <w:rFonts w:ascii="Calibri" w:hAnsi="Calibri" w:cs="Calibri"/>
          <w:sz w:val="24"/>
          <w:szCs w:val="24"/>
        </w:rPr>
        <w:t xml:space="preserve"> M</w:t>
      </w:r>
      <w:r w:rsidRPr="00365386">
        <w:rPr>
          <w:rFonts w:ascii="Calibri" w:hAnsi="Calibri" w:cs="Calibri"/>
          <w:sz w:val="24"/>
          <w:szCs w:val="24"/>
        </w:rPr>
        <w:t xml:space="preserve">oreover, employers and other stakeholders highlighted a lack of essential, transferable skills among school-leavers, such as creativity, critical thinking, and problem-solving. In addition, the system was criticised for failing to adequately engage learners, </w:t>
      </w:r>
      <w:r w:rsidRPr="00365386">
        <w:rPr>
          <w:rFonts w:ascii="Calibri" w:hAnsi="Calibri" w:cs="Calibri"/>
          <w:sz w:val="24"/>
          <w:szCs w:val="24"/>
        </w:rPr>
        <w:lastRenderedPageBreak/>
        <w:t xml:space="preserve">particularly those from disadvantaged backgrounds, further exacerbating issues of educational inequality </w:t>
      </w:r>
      <w:r w:rsidR="006D68D3" w:rsidRPr="00365386">
        <w:rPr>
          <w:rFonts w:ascii="Calibri" w:hAnsi="Calibri" w:cs="Calibri"/>
          <w:sz w:val="24"/>
          <w:szCs w:val="24"/>
        </w:rPr>
        <w:t xml:space="preserve">(Power, Newton and Taylor, </w:t>
      </w:r>
      <w:r w:rsidR="005F61D5" w:rsidRPr="00365386">
        <w:rPr>
          <w:rFonts w:ascii="Calibri" w:hAnsi="Calibri" w:cs="Calibri"/>
          <w:sz w:val="24"/>
          <w:szCs w:val="24"/>
        </w:rPr>
        <w:t>2020)</w:t>
      </w:r>
      <w:r w:rsidRPr="00365386">
        <w:rPr>
          <w:rFonts w:ascii="Calibri" w:hAnsi="Calibri" w:cs="Calibri"/>
          <w:sz w:val="24"/>
          <w:szCs w:val="24"/>
        </w:rPr>
        <w:t>.</w:t>
      </w:r>
    </w:p>
    <w:p w14:paraId="50D068E0" w14:textId="28A4483D" w:rsidR="00732081" w:rsidRPr="00365386" w:rsidRDefault="00732081" w:rsidP="00365386">
      <w:pPr>
        <w:spacing w:line="360" w:lineRule="auto"/>
        <w:rPr>
          <w:rFonts w:ascii="Calibri" w:hAnsi="Calibri" w:cs="Calibri"/>
          <w:sz w:val="24"/>
          <w:szCs w:val="24"/>
        </w:rPr>
      </w:pPr>
      <w:r w:rsidRPr="00365386">
        <w:rPr>
          <w:rFonts w:ascii="Calibri" w:hAnsi="Calibri" w:cs="Calibri"/>
          <w:sz w:val="24"/>
          <w:szCs w:val="24"/>
        </w:rPr>
        <w:t>A significant turning point in Welsh educational reform occurred with the publication of Successful Futures, authored by Professor Graham Donaldson in 2015 (Donaldson, 2015). The report called for a "radical departure" from the traditional, content-heavy curriculum model and advocated for a purpose-led framework that would better prepare learners for the complexities of modern life. Donaldson’s</w:t>
      </w:r>
      <w:r w:rsidR="00CD158E" w:rsidRPr="00365386">
        <w:rPr>
          <w:rFonts w:ascii="Calibri" w:hAnsi="Calibri" w:cs="Calibri"/>
          <w:sz w:val="24"/>
          <w:szCs w:val="24"/>
        </w:rPr>
        <w:t xml:space="preserve"> (2015)</w:t>
      </w:r>
      <w:r w:rsidRPr="00365386">
        <w:rPr>
          <w:rFonts w:ascii="Calibri" w:hAnsi="Calibri" w:cs="Calibri"/>
          <w:sz w:val="24"/>
          <w:szCs w:val="24"/>
        </w:rPr>
        <w:t xml:space="preserve"> vision laid the conceptual groundwork for the Curriculum for Wales, which places strong emphasis on holistic development, learner engagement, and enhanced professional autonomy in curriculum design.</w:t>
      </w:r>
    </w:p>
    <w:p w14:paraId="665444BF" w14:textId="4FA4E0FE" w:rsidR="00732081" w:rsidRPr="00732081" w:rsidRDefault="00732081" w:rsidP="00365386">
      <w:pPr>
        <w:spacing w:line="360" w:lineRule="auto"/>
        <w:rPr>
          <w:rFonts w:ascii="Calibri" w:hAnsi="Calibri" w:cs="Calibri"/>
          <w:sz w:val="24"/>
          <w:szCs w:val="24"/>
        </w:rPr>
      </w:pPr>
      <w:r w:rsidRPr="00732081">
        <w:rPr>
          <w:rFonts w:ascii="Calibri" w:hAnsi="Calibri" w:cs="Calibri"/>
          <w:sz w:val="24"/>
          <w:szCs w:val="24"/>
        </w:rPr>
        <w:t>Central to the report is the idea that the curriculum should support the development of capable, healthy, and adaptable individuals who are equipped to meet future challenges. It advocates for the integration of Welsh values, bilingualism, and a sense of national identity as essential components of a meaningful education. Donaldson</w:t>
      </w:r>
      <w:r w:rsidR="00DF08C4" w:rsidRPr="00365386">
        <w:rPr>
          <w:rFonts w:ascii="Calibri" w:hAnsi="Calibri" w:cs="Calibri"/>
          <w:sz w:val="24"/>
          <w:szCs w:val="24"/>
        </w:rPr>
        <w:t xml:space="preserve"> (2015)</w:t>
      </w:r>
      <w:r w:rsidRPr="00732081">
        <w:rPr>
          <w:rFonts w:ascii="Calibri" w:hAnsi="Calibri" w:cs="Calibri"/>
          <w:sz w:val="24"/>
          <w:szCs w:val="24"/>
        </w:rPr>
        <w:t xml:space="preserve"> also underscores the need for greater flexibility and inclusivity, encouraging schools and educators to take ownership of curriculum development and adapt learning experiences to meet the evolving needs of their students.</w:t>
      </w:r>
    </w:p>
    <w:p w14:paraId="24CCC16F" w14:textId="2FE90462" w:rsidR="00940892" w:rsidRPr="003A57B4" w:rsidRDefault="00732081" w:rsidP="00365386">
      <w:pPr>
        <w:spacing w:line="360" w:lineRule="auto"/>
        <w:rPr>
          <w:rFonts w:ascii="Calibri" w:hAnsi="Calibri" w:cs="Calibri"/>
          <w:sz w:val="24"/>
          <w:szCs w:val="24"/>
        </w:rPr>
      </w:pPr>
      <w:r w:rsidRPr="00732081">
        <w:rPr>
          <w:rFonts w:ascii="Calibri" w:hAnsi="Calibri" w:cs="Calibri"/>
          <w:sz w:val="24"/>
          <w:szCs w:val="24"/>
        </w:rPr>
        <w:t>The report has been widely commended by educational scholars</w:t>
      </w:r>
      <w:r w:rsidR="00DD6EB8">
        <w:rPr>
          <w:rFonts w:ascii="Calibri" w:hAnsi="Calibri" w:cs="Calibri"/>
          <w:sz w:val="24"/>
          <w:szCs w:val="24"/>
        </w:rPr>
        <w:t xml:space="preserve"> such as Priestley and </w:t>
      </w:r>
      <w:proofErr w:type="spellStart"/>
      <w:r w:rsidR="00DD6EB8">
        <w:rPr>
          <w:rFonts w:ascii="Calibri" w:hAnsi="Calibri" w:cs="Calibri"/>
          <w:sz w:val="24"/>
          <w:szCs w:val="24"/>
        </w:rPr>
        <w:t>Phill</w:t>
      </w:r>
      <w:r w:rsidR="00474C9E">
        <w:rPr>
          <w:rFonts w:ascii="Calibri" w:hAnsi="Calibri" w:cs="Calibri"/>
          <w:sz w:val="24"/>
          <w:szCs w:val="24"/>
        </w:rPr>
        <w:t>ippou</w:t>
      </w:r>
      <w:proofErr w:type="spellEnd"/>
      <w:r w:rsidR="00474C9E">
        <w:rPr>
          <w:rFonts w:ascii="Calibri" w:hAnsi="Calibri" w:cs="Calibri"/>
          <w:sz w:val="24"/>
          <w:szCs w:val="24"/>
        </w:rPr>
        <w:t xml:space="preserve"> (2019)</w:t>
      </w:r>
      <w:r w:rsidRPr="00732081">
        <w:rPr>
          <w:rFonts w:ascii="Calibri" w:hAnsi="Calibri" w:cs="Calibri"/>
          <w:sz w:val="24"/>
          <w:szCs w:val="24"/>
        </w:rPr>
        <w:t xml:space="preserve"> and policy </w:t>
      </w:r>
      <w:r w:rsidR="0081512F">
        <w:rPr>
          <w:rFonts w:ascii="Calibri" w:hAnsi="Calibri" w:cs="Calibri"/>
          <w:sz w:val="24"/>
          <w:szCs w:val="24"/>
        </w:rPr>
        <w:t>inspectorates such as Estyn</w:t>
      </w:r>
      <w:r w:rsidR="00670D76">
        <w:rPr>
          <w:rFonts w:ascii="Calibri" w:hAnsi="Calibri" w:cs="Calibri"/>
          <w:sz w:val="24"/>
          <w:szCs w:val="24"/>
        </w:rPr>
        <w:t xml:space="preserve"> (2023)</w:t>
      </w:r>
      <w:r w:rsidRPr="00732081">
        <w:rPr>
          <w:rFonts w:ascii="Calibri" w:hAnsi="Calibri" w:cs="Calibri"/>
          <w:sz w:val="24"/>
          <w:szCs w:val="24"/>
        </w:rPr>
        <w:t xml:space="preserve"> for shifting the focus from a rigid, subject-based curriculum to one that prioritises key competencies, such as digital literacy, creativity, critical thinking, and problem-solving. These priorities align with international educational trends that favour skills-based learning over traditional content transmission</w:t>
      </w:r>
      <w:r w:rsidR="00610B2A">
        <w:rPr>
          <w:rFonts w:ascii="Calibri" w:hAnsi="Calibri" w:cs="Calibri"/>
          <w:sz w:val="24"/>
          <w:szCs w:val="24"/>
        </w:rPr>
        <w:t xml:space="preserve"> according to </w:t>
      </w:r>
      <w:r w:rsidR="00A05359">
        <w:rPr>
          <w:rFonts w:ascii="Calibri" w:hAnsi="Calibri" w:cs="Calibri"/>
          <w:sz w:val="24"/>
          <w:szCs w:val="24"/>
        </w:rPr>
        <w:t>Collen, Li</w:t>
      </w:r>
      <w:r w:rsidR="00DB02BD">
        <w:rPr>
          <w:rFonts w:ascii="Calibri" w:hAnsi="Calibri" w:cs="Calibri"/>
          <w:sz w:val="24"/>
          <w:szCs w:val="24"/>
        </w:rPr>
        <w:t>u and O’Boyle (2023)</w:t>
      </w:r>
      <w:r w:rsidRPr="00732081">
        <w:rPr>
          <w:rFonts w:ascii="Calibri" w:hAnsi="Calibri" w:cs="Calibri"/>
          <w:sz w:val="24"/>
          <w:szCs w:val="24"/>
        </w:rPr>
        <w:t>. Whil</w:t>
      </w:r>
      <w:r w:rsidR="00163B01" w:rsidRPr="00365386">
        <w:rPr>
          <w:rFonts w:ascii="Calibri" w:hAnsi="Calibri" w:cs="Calibri"/>
          <w:sz w:val="24"/>
          <w:szCs w:val="24"/>
        </w:rPr>
        <w:t xml:space="preserve">e the report </w:t>
      </w:r>
      <w:r w:rsidRPr="00732081">
        <w:rPr>
          <w:rFonts w:ascii="Calibri" w:hAnsi="Calibri" w:cs="Calibri"/>
          <w:sz w:val="24"/>
          <w:szCs w:val="24"/>
        </w:rPr>
        <w:t>is broadly viewed as a bold and progressive step toward modernising education in Wales, scholars</w:t>
      </w:r>
      <w:r w:rsidR="00052302" w:rsidRPr="00365386">
        <w:rPr>
          <w:rFonts w:ascii="Calibri" w:hAnsi="Calibri" w:cs="Calibri"/>
          <w:sz w:val="24"/>
          <w:szCs w:val="24"/>
        </w:rPr>
        <w:t xml:space="preserve"> such as </w:t>
      </w:r>
      <w:r w:rsidR="00AC6912" w:rsidRPr="00365386">
        <w:rPr>
          <w:rFonts w:ascii="Calibri" w:hAnsi="Calibri" w:cs="Calibri"/>
          <w:sz w:val="24"/>
          <w:szCs w:val="24"/>
        </w:rPr>
        <w:t xml:space="preserve">Sinnema, </w:t>
      </w:r>
      <w:proofErr w:type="spellStart"/>
      <w:r w:rsidR="00AC6912" w:rsidRPr="00365386">
        <w:rPr>
          <w:rFonts w:ascii="Calibri" w:hAnsi="Calibri" w:cs="Calibri"/>
          <w:sz w:val="24"/>
          <w:szCs w:val="24"/>
        </w:rPr>
        <w:t>Nieveen</w:t>
      </w:r>
      <w:proofErr w:type="spellEnd"/>
      <w:r w:rsidR="00AC6912" w:rsidRPr="00365386">
        <w:rPr>
          <w:rFonts w:ascii="Calibri" w:hAnsi="Calibri" w:cs="Calibri"/>
          <w:sz w:val="24"/>
          <w:szCs w:val="24"/>
        </w:rPr>
        <w:t xml:space="preserve"> and Priestley (2020)</w:t>
      </w:r>
      <w:r w:rsidR="00052302" w:rsidRPr="00365386">
        <w:rPr>
          <w:rFonts w:ascii="Calibri" w:hAnsi="Calibri" w:cs="Calibri"/>
          <w:sz w:val="24"/>
          <w:szCs w:val="24"/>
        </w:rPr>
        <w:t xml:space="preserve"> and </w:t>
      </w:r>
      <w:r w:rsidR="00043263" w:rsidRPr="00365386">
        <w:rPr>
          <w:rFonts w:ascii="Calibri" w:hAnsi="Calibri" w:cs="Calibri"/>
          <w:sz w:val="24"/>
          <w:szCs w:val="24"/>
        </w:rPr>
        <w:t>Power, Newton and Taylor (2020)</w:t>
      </w:r>
      <w:r w:rsidRPr="00732081">
        <w:rPr>
          <w:rFonts w:ascii="Calibri" w:hAnsi="Calibri" w:cs="Calibri"/>
          <w:sz w:val="24"/>
          <w:szCs w:val="24"/>
        </w:rPr>
        <w:t xml:space="preserve"> have also stressed the importance of robust implementation strategies, adequate professional support, and consistent evaluation to ensure that the reform achieves its intended outcomes.</w:t>
      </w:r>
    </w:p>
    <w:p w14:paraId="7C20059A" w14:textId="77777777" w:rsidR="00697C7B" w:rsidRPr="003A57B4" w:rsidRDefault="00697C7B" w:rsidP="003A57B4">
      <w:pPr>
        <w:spacing w:line="360" w:lineRule="auto"/>
        <w:rPr>
          <w:rFonts w:ascii="Calibri" w:hAnsi="Calibri" w:cs="Calibri"/>
          <w:b/>
          <w:bCs/>
          <w:sz w:val="24"/>
          <w:szCs w:val="24"/>
          <w:u w:val="single"/>
        </w:rPr>
      </w:pPr>
      <w:r w:rsidRPr="003A57B4">
        <w:rPr>
          <w:rFonts w:ascii="Calibri" w:hAnsi="Calibri" w:cs="Calibri"/>
          <w:b/>
          <w:bCs/>
          <w:sz w:val="24"/>
          <w:szCs w:val="24"/>
          <w:u w:val="single"/>
        </w:rPr>
        <w:t xml:space="preserve">Vision and Structure of the </w:t>
      </w:r>
      <w:proofErr w:type="spellStart"/>
      <w:r w:rsidRPr="003A57B4">
        <w:rPr>
          <w:rFonts w:ascii="Calibri" w:hAnsi="Calibri" w:cs="Calibri"/>
          <w:b/>
          <w:bCs/>
          <w:sz w:val="24"/>
          <w:szCs w:val="24"/>
          <w:u w:val="single"/>
        </w:rPr>
        <w:t>CfW</w:t>
      </w:r>
      <w:proofErr w:type="spellEnd"/>
    </w:p>
    <w:p w14:paraId="4E970BA8" w14:textId="584C2478" w:rsidR="00A91E1B" w:rsidRDefault="00A91E1B" w:rsidP="00365386">
      <w:pPr>
        <w:spacing w:line="360" w:lineRule="auto"/>
        <w:rPr>
          <w:rFonts w:ascii="Calibri" w:hAnsi="Calibri" w:cs="Calibri"/>
          <w:sz w:val="24"/>
          <w:szCs w:val="24"/>
        </w:rPr>
      </w:pPr>
      <w:r w:rsidRPr="00A91E1B">
        <w:rPr>
          <w:rFonts w:ascii="Calibri" w:hAnsi="Calibri" w:cs="Calibri"/>
          <w:sz w:val="24"/>
          <w:szCs w:val="24"/>
        </w:rPr>
        <w:t>The Curriculum for Wales (</w:t>
      </w:r>
      <w:proofErr w:type="spellStart"/>
      <w:r w:rsidRPr="00A91E1B">
        <w:rPr>
          <w:rFonts w:ascii="Calibri" w:hAnsi="Calibri" w:cs="Calibri"/>
          <w:sz w:val="24"/>
          <w:szCs w:val="24"/>
        </w:rPr>
        <w:t>CfW</w:t>
      </w:r>
      <w:proofErr w:type="spellEnd"/>
      <w:r w:rsidRPr="00A91E1B">
        <w:rPr>
          <w:rFonts w:ascii="Calibri" w:hAnsi="Calibri" w:cs="Calibri"/>
          <w:sz w:val="24"/>
          <w:szCs w:val="24"/>
        </w:rPr>
        <w:t xml:space="preserve">) is a national curriculum framework introduced with the aim of reforming and modernising education across Wales. It became statutory for all primary </w:t>
      </w:r>
      <w:r w:rsidRPr="00A91E1B">
        <w:rPr>
          <w:rFonts w:ascii="Calibri" w:hAnsi="Calibri" w:cs="Calibri"/>
          <w:sz w:val="24"/>
          <w:szCs w:val="24"/>
        </w:rPr>
        <w:lastRenderedPageBreak/>
        <w:t xml:space="preserve">schools and for selected year groups in secondary education in September 2022, with full implementation scheduled to be completed by 2026. At the heart of the </w:t>
      </w:r>
      <w:proofErr w:type="spellStart"/>
      <w:r w:rsidRPr="00A91E1B">
        <w:rPr>
          <w:rFonts w:ascii="Calibri" w:hAnsi="Calibri" w:cs="Calibri"/>
          <w:sz w:val="24"/>
          <w:szCs w:val="24"/>
        </w:rPr>
        <w:t>CfW</w:t>
      </w:r>
      <w:proofErr w:type="spellEnd"/>
      <w:r w:rsidRPr="00A91E1B">
        <w:rPr>
          <w:rFonts w:ascii="Calibri" w:hAnsi="Calibri" w:cs="Calibri"/>
          <w:sz w:val="24"/>
          <w:szCs w:val="24"/>
        </w:rPr>
        <w:t xml:space="preserve"> is a set of four overarching purposes, which articulate the vision for education in Wales. The curriculum aspires to develop learners who are ambitious and capable, enterprising and creative, ethical and informed, and healthy and confident. These purposes are intended to guide not only what learners should achieve, but also how schools design learning experiences to support holistic development</w:t>
      </w:r>
      <w:r w:rsidR="00131003" w:rsidRPr="00365386">
        <w:rPr>
          <w:rFonts w:ascii="Calibri" w:hAnsi="Calibri" w:cs="Calibri"/>
          <w:sz w:val="24"/>
          <w:szCs w:val="24"/>
        </w:rPr>
        <w:t xml:space="preserve"> (</w:t>
      </w:r>
      <w:r w:rsidR="00B114AC" w:rsidRPr="00B114AC">
        <w:rPr>
          <w:rFonts w:ascii="Calibri" w:hAnsi="Calibri" w:cs="Calibri"/>
          <w:sz w:val="24"/>
          <w:szCs w:val="24"/>
        </w:rPr>
        <w:t>Welsh Government, 2025)</w:t>
      </w:r>
      <w:r w:rsidRPr="00A91E1B">
        <w:rPr>
          <w:rFonts w:ascii="Calibri" w:hAnsi="Calibri" w:cs="Calibri"/>
          <w:sz w:val="24"/>
          <w:szCs w:val="24"/>
        </w:rPr>
        <w:t>.</w:t>
      </w:r>
      <w:r w:rsidR="006804D0" w:rsidRPr="00B114AC">
        <w:rPr>
          <w:rFonts w:ascii="Calibri" w:hAnsi="Calibri" w:cs="Calibri"/>
          <w:sz w:val="24"/>
          <w:szCs w:val="24"/>
        </w:rPr>
        <w:t xml:space="preserve"> </w:t>
      </w:r>
    </w:p>
    <w:p w14:paraId="679AEFFA" w14:textId="03857ACB" w:rsidR="006804D0" w:rsidRPr="00A91E1B" w:rsidRDefault="006804D0" w:rsidP="00365386">
      <w:pPr>
        <w:spacing w:line="360" w:lineRule="auto"/>
        <w:rPr>
          <w:rFonts w:ascii="Calibri" w:hAnsi="Calibri" w:cs="Calibri"/>
          <w:sz w:val="24"/>
          <w:szCs w:val="24"/>
        </w:rPr>
      </w:pPr>
      <w:r w:rsidRPr="003D554B">
        <w:rPr>
          <w:rFonts w:ascii="Calibri" w:hAnsi="Calibri" w:cs="Calibri"/>
          <w:sz w:val="24"/>
          <w:szCs w:val="24"/>
        </w:rPr>
        <w:t xml:space="preserve">In addition to its structural innovations, the </w:t>
      </w:r>
      <w:proofErr w:type="spellStart"/>
      <w:r w:rsidRPr="003D554B">
        <w:rPr>
          <w:rFonts w:ascii="Calibri" w:hAnsi="Calibri" w:cs="Calibri"/>
          <w:sz w:val="24"/>
          <w:szCs w:val="24"/>
        </w:rPr>
        <w:t>CfW</w:t>
      </w:r>
      <w:proofErr w:type="spellEnd"/>
      <w:r w:rsidRPr="003D554B">
        <w:rPr>
          <w:rFonts w:ascii="Calibri" w:hAnsi="Calibri" w:cs="Calibri"/>
          <w:sz w:val="24"/>
          <w:szCs w:val="24"/>
        </w:rPr>
        <w:t xml:space="preserve"> places strong emphasis on well-being, inclusion, and equity</w:t>
      </w:r>
      <w:r w:rsidR="00D51991">
        <w:rPr>
          <w:rFonts w:ascii="Calibri" w:hAnsi="Calibri" w:cs="Calibri"/>
          <w:sz w:val="24"/>
          <w:szCs w:val="24"/>
        </w:rPr>
        <w:t xml:space="preserve">, </w:t>
      </w:r>
      <w:r w:rsidRPr="003D554B">
        <w:rPr>
          <w:rFonts w:ascii="Calibri" w:hAnsi="Calibri" w:cs="Calibri"/>
          <w:sz w:val="24"/>
          <w:szCs w:val="24"/>
        </w:rPr>
        <w:t xml:space="preserve">priorities that are especially pertinent </w:t>
      </w:r>
      <w:proofErr w:type="gramStart"/>
      <w:r w:rsidRPr="003D554B">
        <w:rPr>
          <w:rFonts w:ascii="Calibri" w:hAnsi="Calibri" w:cs="Calibri"/>
          <w:sz w:val="24"/>
          <w:szCs w:val="24"/>
        </w:rPr>
        <w:t>in light of</w:t>
      </w:r>
      <w:proofErr w:type="gramEnd"/>
      <w:r w:rsidRPr="003D554B">
        <w:rPr>
          <w:rFonts w:ascii="Calibri" w:hAnsi="Calibri" w:cs="Calibri"/>
          <w:sz w:val="24"/>
          <w:szCs w:val="24"/>
        </w:rPr>
        <w:t xml:space="preserve"> growing concerns over pupil mental health and disengagement from education</w:t>
      </w:r>
      <w:r w:rsidRPr="004136FE">
        <w:rPr>
          <w:rFonts w:ascii="Calibri" w:hAnsi="Calibri" w:cs="Calibri"/>
          <w:sz w:val="24"/>
          <w:szCs w:val="24"/>
        </w:rPr>
        <w:t xml:space="preserve"> </w:t>
      </w:r>
      <w:r w:rsidR="00C94156">
        <w:rPr>
          <w:rFonts w:ascii="Calibri" w:hAnsi="Calibri" w:cs="Calibri"/>
          <w:sz w:val="24"/>
          <w:szCs w:val="24"/>
        </w:rPr>
        <w:t>(John et al</w:t>
      </w:r>
      <w:r w:rsidR="000A5260">
        <w:rPr>
          <w:rFonts w:ascii="Calibri" w:hAnsi="Calibri" w:cs="Calibri"/>
          <w:sz w:val="24"/>
          <w:szCs w:val="24"/>
        </w:rPr>
        <w:t>, 2022)</w:t>
      </w:r>
      <w:r w:rsidRPr="003D554B">
        <w:rPr>
          <w:rFonts w:ascii="Calibri" w:hAnsi="Calibri" w:cs="Calibri"/>
          <w:sz w:val="24"/>
          <w:szCs w:val="24"/>
        </w:rPr>
        <w:t>. This alignment with contemporary challenges underscores the curriculum’s potential not only as a pedagogical tool but also as a wider social intervention aimed at fostering resilience, belonging, and lifelong learning.</w:t>
      </w:r>
    </w:p>
    <w:p w14:paraId="1BF099A6" w14:textId="4C993367" w:rsidR="00E05E89" w:rsidRPr="00D00EA6" w:rsidRDefault="00A91E1B" w:rsidP="00D00EA6">
      <w:pPr>
        <w:spacing w:line="360" w:lineRule="auto"/>
        <w:rPr>
          <w:rFonts w:ascii="Calibri" w:hAnsi="Calibri" w:cs="Calibri"/>
          <w:sz w:val="24"/>
          <w:szCs w:val="24"/>
        </w:rPr>
      </w:pPr>
      <w:r w:rsidRPr="00A91E1B">
        <w:rPr>
          <w:rFonts w:ascii="Calibri" w:hAnsi="Calibri" w:cs="Calibri"/>
          <w:sz w:val="24"/>
          <w:szCs w:val="24"/>
        </w:rPr>
        <w:t xml:space="preserve">Departing from the traditional model of discrete subject teaching, the </w:t>
      </w:r>
      <w:proofErr w:type="spellStart"/>
      <w:r w:rsidRPr="00A91E1B">
        <w:rPr>
          <w:rFonts w:ascii="Calibri" w:hAnsi="Calibri" w:cs="Calibri"/>
          <w:sz w:val="24"/>
          <w:szCs w:val="24"/>
        </w:rPr>
        <w:t>CfW</w:t>
      </w:r>
      <w:proofErr w:type="spellEnd"/>
      <w:r w:rsidRPr="00A91E1B">
        <w:rPr>
          <w:rFonts w:ascii="Calibri" w:hAnsi="Calibri" w:cs="Calibri"/>
          <w:sz w:val="24"/>
          <w:szCs w:val="24"/>
        </w:rPr>
        <w:t xml:space="preserve"> is structured around six interdisciplinary Areas of Learning and Experience (</w:t>
      </w:r>
      <w:proofErr w:type="spellStart"/>
      <w:r w:rsidRPr="00A91E1B">
        <w:rPr>
          <w:rFonts w:ascii="Calibri" w:hAnsi="Calibri" w:cs="Calibri"/>
          <w:sz w:val="24"/>
          <w:szCs w:val="24"/>
        </w:rPr>
        <w:t>AoLEs</w:t>
      </w:r>
      <w:proofErr w:type="spellEnd"/>
      <w:r w:rsidRPr="00A91E1B">
        <w:rPr>
          <w:rFonts w:ascii="Calibri" w:hAnsi="Calibri" w:cs="Calibri"/>
          <w:sz w:val="24"/>
          <w:szCs w:val="24"/>
        </w:rPr>
        <w:t>): Expressive Arts; Health and Well-being; Humanities; Languages, Literacy and Communication; Mathematics and Numeracy; and Science and Technology. This structure is designed to encourage cross-curricular learning and to enable students to make meaningful connections between different domains of knowledge.</w:t>
      </w:r>
      <w:r w:rsidR="00131003" w:rsidRPr="00365386">
        <w:rPr>
          <w:rFonts w:ascii="Calibri" w:hAnsi="Calibri" w:cs="Calibri"/>
          <w:sz w:val="24"/>
          <w:szCs w:val="24"/>
        </w:rPr>
        <w:t xml:space="preserve"> </w:t>
      </w:r>
      <w:r w:rsidRPr="00A91E1B">
        <w:rPr>
          <w:rFonts w:ascii="Calibri" w:hAnsi="Calibri" w:cs="Calibri"/>
          <w:sz w:val="24"/>
          <w:szCs w:val="24"/>
        </w:rPr>
        <w:t>The Curriculum for Wales thus represents a significant shift away from a rigid, content-driven approach to one that is more flexible, inclusive, and future-oriented. Its emphasis on integrated learning, skill development, and learner agency aims to better prepare young people to navigate the complexities of an increasingly dynamic and interconnected world</w:t>
      </w:r>
      <w:r w:rsidR="00D00EA6">
        <w:rPr>
          <w:rFonts w:ascii="Calibri" w:hAnsi="Calibri" w:cs="Calibri"/>
          <w:sz w:val="24"/>
          <w:szCs w:val="24"/>
        </w:rPr>
        <w:t xml:space="preserve"> (Welsh Government, 2025)</w:t>
      </w:r>
      <w:r w:rsidRPr="00A91E1B">
        <w:rPr>
          <w:rFonts w:ascii="Calibri" w:hAnsi="Calibri" w:cs="Calibri"/>
          <w:sz w:val="24"/>
          <w:szCs w:val="24"/>
        </w:rPr>
        <w:t>.</w:t>
      </w:r>
    </w:p>
    <w:p w14:paraId="48A351EB" w14:textId="77777777" w:rsidR="00FF55F8" w:rsidRPr="00FF55F8" w:rsidRDefault="00FF55F8" w:rsidP="00FF55F8">
      <w:pPr>
        <w:spacing w:line="360" w:lineRule="auto"/>
        <w:rPr>
          <w:rFonts w:ascii="Calibri" w:hAnsi="Calibri" w:cs="Calibri"/>
          <w:b/>
          <w:bCs/>
          <w:sz w:val="24"/>
          <w:szCs w:val="24"/>
          <w:u w:val="single"/>
        </w:rPr>
      </w:pPr>
      <w:r w:rsidRPr="00FF55F8">
        <w:rPr>
          <w:rFonts w:ascii="Calibri" w:hAnsi="Calibri" w:cs="Calibri"/>
          <w:b/>
          <w:bCs/>
          <w:sz w:val="24"/>
          <w:szCs w:val="24"/>
          <w:u w:val="single"/>
        </w:rPr>
        <w:t>Critical Perspectives on the Curriculum for Wales: Insights from the Literature</w:t>
      </w:r>
    </w:p>
    <w:p w14:paraId="7091226A" w14:textId="3980D495" w:rsidR="003D554B" w:rsidRPr="003D554B" w:rsidRDefault="003D554B" w:rsidP="004136FE">
      <w:pPr>
        <w:spacing w:line="360" w:lineRule="auto"/>
        <w:rPr>
          <w:rFonts w:ascii="Calibri" w:hAnsi="Calibri" w:cs="Calibri"/>
          <w:sz w:val="24"/>
          <w:szCs w:val="24"/>
        </w:rPr>
      </w:pPr>
      <w:r w:rsidRPr="003D554B">
        <w:rPr>
          <w:rFonts w:ascii="Calibri" w:hAnsi="Calibri" w:cs="Calibri"/>
          <w:sz w:val="24"/>
          <w:szCs w:val="24"/>
        </w:rPr>
        <w:t>The literature on the</w:t>
      </w:r>
      <w:r w:rsidR="004136FE">
        <w:rPr>
          <w:rFonts w:ascii="Calibri" w:hAnsi="Calibri" w:cs="Calibri"/>
          <w:sz w:val="24"/>
          <w:szCs w:val="24"/>
        </w:rPr>
        <w:t xml:space="preserve"> </w:t>
      </w:r>
      <w:proofErr w:type="spellStart"/>
      <w:r w:rsidRPr="003D554B">
        <w:rPr>
          <w:rFonts w:ascii="Calibri" w:hAnsi="Calibri" w:cs="Calibri"/>
          <w:sz w:val="24"/>
          <w:szCs w:val="24"/>
        </w:rPr>
        <w:t>CfW</w:t>
      </w:r>
      <w:proofErr w:type="spellEnd"/>
      <w:r w:rsidRPr="003D554B">
        <w:rPr>
          <w:rFonts w:ascii="Calibri" w:hAnsi="Calibri" w:cs="Calibri"/>
          <w:sz w:val="24"/>
          <w:szCs w:val="24"/>
        </w:rPr>
        <w:t xml:space="preserve"> reveals a nuanced landscape of both optimism and critical reflection, as Wales undertakes one of its most transformative educational reforms in recent history. </w:t>
      </w:r>
      <w:r w:rsidR="008068F4" w:rsidRPr="004136FE">
        <w:rPr>
          <w:rFonts w:ascii="Calibri" w:hAnsi="Calibri" w:cs="Calibri"/>
          <w:sz w:val="24"/>
          <w:szCs w:val="24"/>
        </w:rPr>
        <w:t>T</w:t>
      </w:r>
      <w:r w:rsidRPr="003D554B">
        <w:rPr>
          <w:rFonts w:ascii="Calibri" w:hAnsi="Calibri" w:cs="Calibri"/>
          <w:sz w:val="24"/>
          <w:szCs w:val="24"/>
        </w:rPr>
        <w:t>he curriculum represents a deliberate departure from a traditional, prescriptive model towards one that prioritises learner development through four overarching purposes: to become ambitious, capable learners; enterprising, creative contributors; ethical, informed citi</w:t>
      </w:r>
      <w:r w:rsidR="0098572F">
        <w:rPr>
          <w:rFonts w:ascii="Calibri" w:hAnsi="Calibri" w:cs="Calibri"/>
          <w:sz w:val="24"/>
          <w:szCs w:val="24"/>
        </w:rPr>
        <w:t>z</w:t>
      </w:r>
      <w:r w:rsidRPr="003D554B">
        <w:rPr>
          <w:rFonts w:ascii="Calibri" w:hAnsi="Calibri" w:cs="Calibri"/>
          <w:sz w:val="24"/>
          <w:szCs w:val="24"/>
        </w:rPr>
        <w:t xml:space="preserve">ens; and healthy, confident individuals. This reform has been widely commended for </w:t>
      </w:r>
      <w:r w:rsidRPr="003D554B">
        <w:rPr>
          <w:rFonts w:ascii="Calibri" w:hAnsi="Calibri" w:cs="Calibri"/>
          <w:sz w:val="24"/>
          <w:szCs w:val="24"/>
        </w:rPr>
        <w:lastRenderedPageBreak/>
        <w:t>promoting a holistic, learner-centred ethos, with commentators highlighting its potential to foster deeper engagement and cross-curricular understanding (Estyn, 20</w:t>
      </w:r>
      <w:r w:rsidR="00DF4637" w:rsidRPr="00DF4637">
        <w:rPr>
          <w:rFonts w:ascii="Calibri" w:hAnsi="Calibri" w:cs="Calibri"/>
          <w:sz w:val="24"/>
          <w:szCs w:val="24"/>
        </w:rPr>
        <w:t>23</w:t>
      </w:r>
      <w:r w:rsidRPr="003D554B">
        <w:rPr>
          <w:rFonts w:ascii="Calibri" w:hAnsi="Calibri" w:cs="Calibri"/>
          <w:sz w:val="24"/>
          <w:szCs w:val="24"/>
        </w:rPr>
        <w:t>).</w:t>
      </w:r>
    </w:p>
    <w:p w14:paraId="0AE227A9" w14:textId="09E0D8B9" w:rsidR="003D554B" w:rsidRPr="003D554B" w:rsidRDefault="003D554B" w:rsidP="004136FE">
      <w:pPr>
        <w:spacing w:line="360" w:lineRule="auto"/>
        <w:rPr>
          <w:rFonts w:ascii="Calibri" w:hAnsi="Calibri" w:cs="Calibri"/>
          <w:sz w:val="24"/>
          <w:szCs w:val="24"/>
        </w:rPr>
      </w:pPr>
      <w:r w:rsidRPr="003D554B">
        <w:rPr>
          <w:rFonts w:ascii="Calibri" w:hAnsi="Calibri" w:cs="Calibri"/>
          <w:sz w:val="24"/>
          <w:szCs w:val="24"/>
        </w:rPr>
        <w:t xml:space="preserve">Supporters of the </w:t>
      </w:r>
      <w:proofErr w:type="spellStart"/>
      <w:r w:rsidRPr="003D554B">
        <w:rPr>
          <w:rFonts w:ascii="Calibri" w:hAnsi="Calibri" w:cs="Calibri"/>
          <w:sz w:val="24"/>
          <w:szCs w:val="24"/>
        </w:rPr>
        <w:t>CfW</w:t>
      </w:r>
      <w:proofErr w:type="spellEnd"/>
      <w:r w:rsidRPr="003D554B">
        <w:rPr>
          <w:rFonts w:ascii="Calibri" w:hAnsi="Calibri" w:cs="Calibri"/>
          <w:sz w:val="24"/>
          <w:szCs w:val="24"/>
        </w:rPr>
        <w:t xml:space="preserve"> </w:t>
      </w:r>
      <w:r w:rsidR="00CD7E73">
        <w:rPr>
          <w:rFonts w:ascii="Calibri" w:hAnsi="Calibri" w:cs="Calibri"/>
          <w:sz w:val="24"/>
          <w:szCs w:val="24"/>
        </w:rPr>
        <w:t xml:space="preserve">such as </w:t>
      </w:r>
      <w:r w:rsidR="00D8769F">
        <w:rPr>
          <w:rFonts w:ascii="Calibri" w:hAnsi="Calibri" w:cs="Calibri"/>
          <w:sz w:val="24"/>
          <w:szCs w:val="24"/>
        </w:rPr>
        <w:t>G</w:t>
      </w:r>
      <w:r w:rsidR="00F97977">
        <w:rPr>
          <w:rFonts w:ascii="Calibri" w:hAnsi="Calibri" w:cs="Calibri"/>
          <w:sz w:val="24"/>
          <w:szCs w:val="24"/>
        </w:rPr>
        <w:t>lover and Hutchinson (2023)</w:t>
      </w:r>
      <w:r w:rsidR="00CD7E73">
        <w:rPr>
          <w:rFonts w:ascii="Calibri" w:hAnsi="Calibri" w:cs="Calibri"/>
          <w:sz w:val="24"/>
          <w:szCs w:val="24"/>
        </w:rPr>
        <w:t xml:space="preserve"> </w:t>
      </w:r>
      <w:r w:rsidRPr="003D554B">
        <w:rPr>
          <w:rFonts w:ascii="Calibri" w:hAnsi="Calibri" w:cs="Calibri"/>
          <w:sz w:val="24"/>
          <w:szCs w:val="24"/>
        </w:rPr>
        <w:t>underscore the increased professional autonomy it affords educators, enabling greater local flexibility and responsiveness to pupils’ needs. Central to this reform was the decision to involve teachers directly in the curriculum’s co-construction</w:t>
      </w:r>
      <w:r w:rsidR="00C518A8" w:rsidRPr="004136FE">
        <w:rPr>
          <w:rFonts w:ascii="Calibri" w:hAnsi="Calibri" w:cs="Calibri"/>
          <w:sz w:val="24"/>
          <w:szCs w:val="24"/>
        </w:rPr>
        <w:t xml:space="preserve">, </w:t>
      </w:r>
      <w:r w:rsidRPr="003D554B">
        <w:rPr>
          <w:rFonts w:ascii="Calibri" w:hAnsi="Calibri" w:cs="Calibri"/>
          <w:sz w:val="24"/>
          <w:szCs w:val="24"/>
        </w:rPr>
        <w:t>a move viewed as both innovative and empowering</w:t>
      </w:r>
      <w:r w:rsidR="00C518A8" w:rsidRPr="004136FE">
        <w:rPr>
          <w:rFonts w:ascii="Calibri" w:hAnsi="Calibri" w:cs="Calibri"/>
          <w:sz w:val="24"/>
          <w:szCs w:val="24"/>
        </w:rPr>
        <w:t xml:space="preserve"> according to </w:t>
      </w:r>
      <w:r w:rsidR="00581663">
        <w:rPr>
          <w:rFonts w:ascii="Calibri" w:hAnsi="Calibri" w:cs="Calibri"/>
          <w:sz w:val="24"/>
          <w:szCs w:val="24"/>
        </w:rPr>
        <w:t>Jones and Evans (2023)</w:t>
      </w:r>
      <w:r w:rsidRPr="003D554B">
        <w:rPr>
          <w:rFonts w:ascii="Calibri" w:hAnsi="Calibri" w:cs="Calibri"/>
          <w:sz w:val="24"/>
          <w:szCs w:val="24"/>
        </w:rPr>
        <w:t>. By positioning teachers as co-creators, the Welsh Government sought to ensure that the curriculum would be professionally owned, locally relevant, and practically grounded</w:t>
      </w:r>
      <w:r w:rsidR="008D3B7C" w:rsidRPr="004136FE">
        <w:rPr>
          <w:rFonts w:ascii="Calibri" w:hAnsi="Calibri" w:cs="Calibri"/>
          <w:sz w:val="24"/>
          <w:szCs w:val="24"/>
        </w:rPr>
        <w:t xml:space="preserve"> </w:t>
      </w:r>
      <w:r w:rsidR="00A54C07">
        <w:rPr>
          <w:rFonts w:ascii="Calibri" w:hAnsi="Calibri" w:cs="Calibri"/>
          <w:sz w:val="24"/>
          <w:szCs w:val="24"/>
        </w:rPr>
        <w:t>(Donaldson, 2020)</w:t>
      </w:r>
      <w:r w:rsidRPr="003D554B">
        <w:rPr>
          <w:rFonts w:ascii="Calibri" w:hAnsi="Calibri" w:cs="Calibri"/>
          <w:sz w:val="24"/>
          <w:szCs w:val="24"/>
        </w:rPr>
        <w:t>. This participatory model helped restore professional trust, encouraged teacher agency, and moved away from top-down policy imposition, allowing educators to contribute classroom-based insights and pedagogical relevance to the design process (Donaldson, 2015</w:t>
      </w:r>
      <w:r w:rsidR="005A24A9" w:rsidRPr="004136FE">
        <w:rPr>
          <w:rFonts w:ascii="Calibri" w:hAnsi="Calibri" w:cs="Calibri"/>
          <w:sz w:val="24"/>
          <w:szCs w:val="24"/>
        </w:rPr>
        <w:t xml:space="preserve"> and </w:t>
      </w:r>
      <w:r w:rsidR="004A09AE" w:rsidRPr="00DE6A3B">
        <w:rPr>
          <w:rFonts w:ascii="Calibri" w:hAnsi="Calibri" w:cs="Calibri"/>
          <w:sz w:val="24"/>
          <w:szCs w:val="24"/>
        </w:rPr>
        <w:t xml:space="preserve">Furlong et al </w:t>
      </w:r>
      <w:r w:rsidR="000D7DAF" w:rsidRPr="00DE6A3B">
        <w:rPr>
          <w:rFonts w:ascii="Calibri" w:hAnsi="Calibri" w:cs="Calibri"/>
          <w:sz w:val="24"/>
          <w:szCs w:val="24"/>
        </w:rPr>
        <w:t>2021</w:t>
      </w:r>
      <w:r w:rsidRPr="003D554B">
        <w:rPr>
          <w:rFonts w:ascii="Calibri" w:hAnsi="Calibri" w:cs="Calibri"/>
          <w:sz w:val="24"/>
          <w:szCs w:val="24"/>
        </w:rPr>
        <w:t>).</w:t>
      </w:r>
    </w:p>
    <w:p w14:paraId="21182848" w14:textId="35895CE5" w:rsidR="003D554B" w:rsidRDefault="003D554B" w:rsidP="004136FE">
      <w:pPr>
        <w:spacing w:line="360" w:lineRule="auto"/>
        <w:rPr>
          <w:rFonts w:ascii="Calibri" w:hAnsi="Calibri" w:cs="Calibri"/>
          <w:sz w:val="24"/>
          <w:szCs w:val="24"/>
        </w:rPr>
      </w:pPr>
      <w:r w:rsidRPr="003D554B">
        <w:rPr>
          <w:rFonts w:ascii="Calibri" w:hAnsi="Calibri" w:cs="Calibri"/>
          <w:sz w:val="24"/>
          <w:szCs w:val="24"/>
        </w:rPr>
        <w:t xml:space="preserve">However, this approach has also prompted valid criticisms. Scholars and practitioners have voiced concerns over inconsistencies in curriculum interpretation and implementation across schools, attributing this partly to the broad flexibility and lack of a centralised framework </w:t>
      </w:r>
      <w:r w:rsidR="000C6D26">
        <w:rPr>
          <w:rFonts w:ascii="Calibri" w:hAnsi="Calibri" w:cs="Calibri"/>
          <w:sz w:val="24"/>
          <w:szCs w:val="24"/>
        </w:rPr>
        <w:t>(Power, Newton and Taylor, 2020</w:t>
      </w:r>
      <w:r w:rsidR="00E00E70">
        <w:rPr>
          <w:rFonts w:ascii="Calibri" w:hAnsi="Calibri" w:cs="Calibri"/>
          <w:sz w:val="24"/>
          <w:szCs w:val="24"/>
        </w:rPr>
        <w:t xml:space="preserve"> and Evans, 2022</w:t>
      </w:r>
      <w:r w:rsidR="000C6D26">
        <w:rPr>
          <w:rFonts w:ascii="Calibri" w:hAnsi="Calibri" w:cs="Calibri"/>
          <w:sz w:val="24"/>
          <w:szCs w:val="24"/>
        </w:rPr>
        <w:t>)</w:t>
      </w:r>
      <w:r w:rsidRPr="003D554B">
        <w:rPr>
          <w:rFonts w:ascii="Calibri" w:hAnsi="Calibri" w:cs="Calibri"/>
          <w:sz w:val="24"/>
          <w:szCs w:val="24"/>
        </w:rPr>
        <w:t>. Moreover,</w:t>
      </w:r>
      <w:r w:rsidR="000C6D26">
        <w:rPr>
          <w:rFonts w:ascii="Calibri" w:hAnsi="Calibri" w:cs="Calibri"/>
          <w:sz w:val="24"/>
          <w:szCs w:val="24"/>
        </w:rPr>
        <w:t xml:space="preserve"> </w:t>
      </w:r>
      <w:r w:rsidR="008A7C5E">
        <w:rPr>
          <w:rFonts w:ascii="Calibri" w:hAnsi="Calibri" w:cs="Calibri"/>
          <w:sz w:val="24"/>
          <w:szCs w:val="24"/>
        </w:rPr>
        <w:t>Titley, Davies and Atherton (2020)</w:t>
      </w:r>
      <w:r w:rsidR="000C6D26">
        <w:rPr>
          <w:rFonts w:ascii="Calibri" w:hAnsi="Calibri" w:cs="Calibri"/>
          <w:sz w:val="24"/>
          <w:szCs w:val="24"/>
        </w:rPr>
        <w:t xml:space="preserve"> argue </w:t>
      </w:r>
      <w:r w:rsidRPr="003D554B">
        <w:rPr>
          <w:rFonts w:ascii="Calibri" w:hAnsi="Calibri" w:cs="Calibri"/>
          <w:sz w:val="24"/>
          <w:szCs w:val="24"/>
        </w:rPr>
        <w:t xml:space="preserve">not all teachers possess specialised training in curriculum design, leading to questions about the coherence, depth, and long-term sustainability of the resulting educational experiences. The increased workload associated with curriculum development has further intensified existing pressures on educators, particularly where professional learning support has been limited. As such, while the inclusion of teachers in the </w:t>
      </w:r>
      <w:proofErr w:type="spellStart"/>
      <w:r w:rsidRPr="003D554B">
        <w:rPr>
          <w:rFonts w:ascii="Calibri" w:hAnsi="Calibri" w:cs="Calibri"/>
          <w:sz w:val="24"/>
          <w:szCs w:val="24"/>
        </w:rPr>
        <w:t>CfW’s</w:t>
      </w:r>
      <w:proofErr w:type="spellEnd"/>
      <w:r w:rsidRPr="003D554B">
        <w:rPr>
          <w:rFonts w:ascii="Calibri" w:hAnsi="Calibri" w:cs="Calibri"/>
          <w:sz w:val="24"/>
          <w:szCs w:val="24"/>
        </w:rPr>
        <w:t xml:space="preserve"> design is seen as a progressive step towards collaboration and contextualisation,</w:t>
      </w:r>
      <w:r w:rsidR="00823F55" w:rsidRPr="004136FE">
        <w:rPr>
          <w:rFonts w:ascii="Calibri" w:hAnsi="Calibri" w:cs="Calibri"/>
          <w:sz w:val="24"/>
          <w:szCs w:val="24"/>
        </w:rPr>
        <w:t xml:space="preserve"> </w:t>
      </w:r>
      <w:r w:rsidR="00F77AD5">
        <w:rPr>
          <w:rFonts w:ascii="Calibri" w:hAnsi="Calibri" w:cs="Calibri"/>
          <w:sz w:val="24"/>
          <w:szCs w:val="24"/>
        </w:rPr>
        <w:t>Boyle and Charles (2016)</w:t>
      </w:r>
      <w:r w:rsidR="00823F55" w:rsidRPr="004136FE">
        <w:rPr>
          <w:rFonts w:ascii="Calibri" w:hAnsi="Calibri" w:cs="Calibri"/>
          <w:sz w:val="24"/>
          <w:szCs w:val="24"/>
        </w:rPr>
        <w:t xml:space="preserve"> </w:t>
      </w:r>
      <w:r w:rsidR="00F77AD5">
        <w:rPr>
          <w:rFonts w:ascii="Calibri" w:hAnsi="Calibri" w:cs="Calibri"/>
          <w:sz w:val="24"/>
          <w:szCs w:val="24"/>
        </w:rPr>
        <w:t>assert</w:t>
      </w:r>
      <w:r w:rsidRPr="003D554B">
        <w:rPr>
          <w:rFonts w:ascii="Calibri" w:hAnsi="Calibri" w:cs="Calibri"/>
          <w:sz w:val="24"/>
          <w:szCs w:val="24"/>
        </w:rPr>
        <w:t xml:space="preserve"> </w:t>
      </w:r>
      <w:r w:rsidR="00DF2197">
        <w:rPr>
          <w:rFonts w:ascii="Calibri" w:hAnsi="Calibri" w:cs="Calibri"/>
          <w:sz w:val="24"/>
          <w:szCs w:val="24"/>
        </w:rPr>
        <w:t xml:space="preserve">a </w:t>
      </w:r>
      <w:r w:rsidR="00AA1503">
        <w:rPr>
          <w:rFonts w:ascii="Calibri" w:hAnsi="Calibri" w:cs="Calibri"/>
          <w:sz w:val="24"/>
          <w:szCs w:val="24"/>
        </w:rPr>
        <w:t>curriculums</w:t>
      </w:r>
      <w:r w:rsidRPr="003D554B">
        <w:rPr>
          <w:rFonts w:ascii="Calibri" w:hAnsi="Calibri" w:cs="Calibri"/>
          <w:sz w:val="24"/>
          <w:szCs w:val="24"/>
        </w:rPr>
        <w:t xml:space="preserve"> success ultimately depends on the provision of robust support structures, consistent guidance, and equitable resourcing.</w:t>
      </w:r>
      <w:r w:rsidR="00CD7E73">
        <w:rPr>
          <w:rFonts w:ascii="Calibri" w:hAnsi="Calibri" w:cs="Calibri"/>
          <w:sz w:val="24"/>
          <w:szCs w:val="24"/>
        </w:rPr>
        <w:t xml:space="preserve"> </w:t>
      </w:r>
      <w:r w:rsidR="00965FDB">
        <w:rPr>
          <w:rFonts w:ascii="Calibri" w:hAnsi="Calibri" w:cs="Calibri"/>
          <w:sz w:val="24"/>
          <w:szCs w:val="24"/>
        </w:rPr>
        <w:t>Taylor, Rhys and Waldron</w:t>
      </w:r>
      <w:r w:rsidR="00374EAF">
        <w:rPr>
          <w:rFonts w:ascii="Calibri" w:hAnsi="Calibri" w:cs="Calibri"/>
          <w:sz w:val="24"/>
          <w:szCs w:val="24"/>
        </w:rPr>
        <w:t xml:space="preserve"> (2019)</w:t>
      </w:r>
      <w:r w:rsidR="00CD7E73">
        <w:rPr>
          <w:rFonts w:ascii="Calibri" w:hAnsi="Calibri" w:cs="Calibri"/>
          <w:sz w:val="24"/>
          <w:szCs w:val="24"/>
        </w:rPr>
        <w:t xml:space="preserve"> champion this notion, highlighting it is imperative the g</w:t>
      </w:r>
      <w:r w:rsidR="00C4664E">
        <w:rPr>
          <w:rFonts w:ascii="Calibri" w:hAnsi="Calibri" w:cs="Calibri"/>
          <w:sz w:val="24"/>
          <w:szCs w:val="24"/>
        </w:rPr>
        <w:t xml:space="preserve">overnment provide adequate support to institutions to ensure successful implementation. </w:t>
      </w:r>
    </w:p>
    <w:p w14:paraId="5FCC440C" w14:textId="2A06CAFA" w:rsidR="00F4392F" w:rsidRDefault="00F4392F" w:rsidP="004136FE">
      <w:pPr>
        <w:spacing w:line="360" w:lineRule="auto"/>
        <w:rPr>
          <w:rFonts w:ascii="Calibri" w:hAnsi="Calibri" w:cs="Calibri"/>
          <w:sz w:val="24"/>
          <w:szCs w:val="24"/>
        </w:rPr>
      </w:pPr>
      <w:r w:rsidRPr="00B27502">
        <w:rPr>
          <w:rFonts w:ascii="Calibri" w:hAnsi="Calibri" w:cs="Calibri"/>
          <w:sz w:val="24"/>
          <w:szCs w:val="24"/>
        </w:rPr>
        <w:t xml:space="preserve">The role of the Welsh Joint Education Committee (WJEC) in the development of the </w:t>
      </w:r>
      <w:proofErr w:type="spellStart"/>
      <w:r w:rsidRPr="00B27502">
        <w:rPr>
          <w:rFonts w:ascii="Calibri" w:hAnsi="Calibri" w:cs="Calibri"/>
          <w:sz w:val="24"/>
          <w:szCs w:val="24"/>
        </w:rPr>
        <w:t>CfW</w:t>
      </w:r>
      <w:proofErr w:type="spellEnd"/>
      <w:r w:rsidRPr="00B27502">
        <w:rPr>
          <w:rFonts w:ascii="Calibri" w:hAnsi="Calibri" w:cs="Calibri"/>
          <w:sz w:val="24"/>
          <w:szCs w:val="24"/>
        </w:rPr>
        <w:t xml:space="preserve"> has been primarily centred on assessment design, resource production, and implementation support, rather than on the core design of the curriculum itself (</w:t>
      </w:r>
      <w:r w:rsidR="005632F5">
        <w:rPr>
          <w:rFonts w:ascii="Calibri" w:hAnsi="Calibri" w:cs="Calibri"/>
          <w:sz w:val="24"/>
          <w:szCs w:val="24"/>
        </w:rPr>
        <w:t xml:space="preserve">WJEC, </w:t>
      </w:r>
      <w:r w:rsidR="005A5172">
        <w:rPr>
          <w:rFonts w:ascii="Calibri" w:hAnsi="Calibri" w:cs="Calibri"/>
          <w:sz w:val="24"/>
          <w:szCs w:val="24"/>
        </w:rPr>
        <w:t>2024</w:t>
      </w:r>
      <w:r w:rsidR="005632F5">
        <w:rPr>
          <w:rFonts w:ascii="Calibri" w:hAnsi="Calibri" w:cs="Calibri"/>
          <w:sz w:val="24"/>
          <w:szCs w:val="24"/>
        </w:rPr>
        <w:t>)</w:t>
      </w:r>
      <w:r w:rsidRPr="00B27502">
        <w:rPr>
          <w:rFonts w:ascii="Calibri" w:hAnsi="Calibri" w:cs="Calibri"/>
          <w:sz w:val="24"/>
          <w:szCs w:val="24"/>
        </w:rPr>
        <w:t xml:space="preserve">. This limited involvement reflects longstanding concerns, dating back to 1993, regarding the separation of assessment and curriculum development. Critics have historically warned that allocating </w:t>
      </w:r>
      <w:r w:rsidRPr="00B27502">
        <w:rPr>
          <w:rFonts w:ascii="Calibri" w:hAnsi="Calibri" w:cs="Calibri"/>
          <w:sz w:val="24"/>
          <w:szCs w:val="24"/>
        </w:rPr>
        <w:lastRenderedPageBreak/>
        <w:t>assessment responsibilities to external bodies, such as WJEC, without their meaningful involvement in curriculum design, risks marginalising essential curriculum expertise</w:t>
      </w:r>
      <w:r w:rsidR="002F686A" w:rsidRPr="00B27502">
        <w:rPr>
          <w:rFonts w:ascii="Calibri" w:hAnsi="Calibri" w:cs="Calibri"/>
          <w:sz w:val="24"/>
          <w:szCs w:val="24"/>
        </w:rPr>
        <w:t xml:space="preserve"> </w:t>
      </w:r>
      <w:r w:rsidR="00F81135" w:rsidRPr="00B27502">
        <w:rPr>
          <w:rFonts w:ascii="Calibri" w:hAnsi="Calibri" w:cs="Calibri"/>
          <w:sz w:val="24"/>
          <w:szCs w:val="24"/>
        </w:rPr>
        <w:t>(Hansard, 1993)</w:t>
      </w:r>
      <w:r w:rsidRPr="00B27502">
        <w:rPr>
          <w:rFonts w:ascii="Calibri" w:hAnsi="Calibri" w:cs="Calibri"/>
          <w:sz w:val="24"/>
          <w:szCs w:val="24"/>
        </w:rPr>
        <w:t xml:space="preserve">. </w:t>
      </w:r>
      <w:r w:rsidR="00FE51ED" w:rsidRPr="00B27502">
        <w:rPr>
          <w:rFonts w:ascii="Calibri" w:hAnsi="Calibri" w:cs="Calibri"/>
          <w:sz w:val="24"/>
          <w:szCs w:val="24"/>
        </w:rPr>
        <w:t xml:space="preserve">Critics, such as </w:t>
      </w:r>
      <w:r w:rsidR="003D540A">
        <w:rPr>
          <w:rFonts w:ascii="Calibri" w:hAnsi="Calibri" w:cs="Calibri"/>
          <w:sz w:val="24"/>
          <w:szCs w:val="24"/>
        </w:rPr>
        <w:t>Smith (2024)</w:t>
      </w:r>
      <w:r w:rsidR="00FE51ED" w:rsidRPr="00B27502">
        <w:rPr>
          <w:rFonts w:ascii="Calibri" w:hAnsi="Calibri" w:cs="Calibri"/>
          <w:sz w:val="24"/>
          <w:szCs w:val="24"/>
        </w:rPr>
        <w:t xml:space="preserve"> have argued that the Curriculum for Wales lacks sufficient clarity and is not firmly grounded in evidence-based educational principles. Such critiques imply that the limited involvement of experienced organisations, including the WJEC, in the initial stages of curriculum development may have contributed to structural weaknesses within the framework. These perspectives support the view that key stakeholders were not fully engaged during the preparatory and developmental phases of the reform, potentially undermining the curriculum’s coherence and effectiveness.</w:t>
      </w:r>
    </w:p>
    <w:p w14:paraId="08228B5D" w14:textId="618D35DA" w:rsidR="00E61473" w:rsidRPr="00777663" w:rsidRDefault="005134DD" w:rsidP="00777663">
      <w:pPr>
        <w:spacing w:line="360" w:lineRule="auto"/>
        <w:rPr>
          <w:rFonts w:ascii="Calibri" w:hAnsi="Calibri" w:cs="Calibri"/>
          <w:sz w:val="24"/>
          <w:szCs w:val="24"/>
        </w:rPr>
      </w:pPr>
      <w:r w:rsidRPr="00777663">
        <w:rPr>
          <w:rFonts w:ascii="Calibri" w:hAnsi="Calibri" w:cs="Calibri"/>
          <w:sz w:val="24"/>
          <w:szCs w:val="24"/>
        </w:rPr>
        <w:t xml:space="preserve">Upon reviewing the literature, it becomes evident that initial discourse surrounding the New </w:t>
      </w:r>
      <w:proofErr w:type="spellStart"/>
      <w:r w:rsidRPr="00777663">
        <w:rPr>
          <w:rFonts w:ascii="Calibri" w:hAnsi="Calibri" w:cs="Calibri"/>
          <w:sz w:val="24"/>
          <w:szCs w:val="24"/>
        </w:rPr>
        <w:t>CfW</w:t>
      </w:r>
      <w:proofErr w:type="spellEnd"/>
      <w:r w:rsidRPr="00777663">
        <w:rPr>
          <w:rFonts w:ascii="Calibri" w:hAnsi="Calibri" w:cs="Calibri"/>
          <w:sz w:val="24"/>
          <w:szCs w:val="24"/>
        </w:rPr>
        <w:t xml:space="preserve"> was overwhelmingly positive and aspirational, with scholars and policymakers emphasising its potential to transform educational experiences through a more holistic, learner-centred approach (Donaldson, 2015</w:t>
      </w:r>
      <w:r w:rsidR="008C7953" w:rsidRPr="00777663">
        <w:rPr>
          <w:rFonts w:ascii="Calibri" w:hAnsi="Calibri" w:cs="Calibri"/>
          <w:sz w:val="24"/>
          <w:szCs w:val="24"/>
        </w:rPr>
        <w:t xml:space="preserve"> and </w:t>
      </w:r>
      <w:r w:rsidR="006E74AE" w:rsidRPr="00766FE0">
        <w:rPr>
          <w:rFonts w:ascii="Calibri" w:hAnsi="Calibri" w:cs="Calibri"/>
          <w:color w:val="000000" w:themeColor="text1"/>
          <w:sz w:val="24"/>
          <w:szCs w:val="24"/>
        </w:rPr>
        <w:t>Glover and Hutchinson</w:t>
      </w:r>
      <w:r w:rsidR="00766FE0" w:rsidRPr="00766FE0">
        <w:rPr>
          <w:rFonts w:ascii="Calibri" w:hAnsi="Calibri" w:cs="Calibri"/>
          <w:color w:val="000000" w:themeColor="text1"/>
          <w:sz w:val="24"/>
          <w:szCs w:val="24"/>
        </w:rPr>
        <w:t>, 2023</w:t>
      </w:r>
      <w:r w:rsidRPr="00777663">
        <w:rPr>
          <w:rFonts w:ascii="Calibri" w:hAnsi="Calibri" w:cs="Calibri"/>
          <w:sz w:val="24"/>
          <w:szCs w:val="24"/>
        </w:rPr>
        <w:t xml:space="preserve">). However, as the implementation process has progressed, there has been a discernible shift in tone within the academic and professional literature. More recent analyses adopt a cautious or critical stance, raising concerns about the curriculum’s practical application, the variability in readiness among schools, and the adequacy of professional development to support its enactment </w:t>
      </w:r>
      <w:r w:rsidR="00873D73" w:rsidRPr="00777663">
        <w:rPr>
          <w:rFonts w:ascii="Calibri" w:hAnsi="Calibri" w:cs="Calibri"/>
          <w:sz w:val="24"/>
          <w:szCs w:val="24"/>
        </w:rPr>
        <w:t>(</w:t>
      </w:r>
      <w:r w:rsidR="00101598" w:rsidRPr="00D00815">
        <w:rPr>
          <w:rFonts w:ascii="Calibri" w:hAnsi="Calibri" w:cs="Calibri"/>
          <w:color w:val="000000" w:themeColor="text1"/>
          <w:sz w:val="24"/>
          <w:szCs w:val="24"/>
        </w:rPr>
        <w:t>Titley, Davies and Atherton</w:t>
      </w:r>
      <w:r w:rsidR="00D00815" w:rsidRPr="00D00815">
        <w:rPr>
          <w:rFonts w:ascii="Calibri" w:hAnsi="Calibri" w:cs="Calibri"/>
          <w:color w:val="000000" w:themeColor="text1"/>
          <w:sz w:val="24"/>
          <w:szCs w:val="24"/>
        </w:rPr>
        <w:t xml:space="preserve"> 2020</w:t>
      </w:r>
      <w:r w:rsidR="00873D73" w:rsidRPr="00D00815">
        <w:rPr>
          <w:rFonts w:ascii="Calibri" w:hAnsi="Calibri" w:cs="Calibri"/>
          <w:color w:val="000000" w:themeColor="text1"/>
          <w:sz w:val="24"/>
          <w:szCs w:val="24"/>
        </w:rPr>
        <w:t xml:space="preserve"> </w:t>
      </w:r>
      <w:r w:rsidR="00670F61" w:rsidRPr="00777663">
        <w:rPr>
          <w:rFonts w:ascii="Calibri" w:hAnsi="Calibri" w:cs="Calibri"/>
          <w:sz w:val="24"/>
          <w:szCs w:val="24"/>
        </w:rPr>
        <w:t>and</w:t>
      </w:r>
      <w:r w:rsidR="008048FC">
        <w:rPr>
          <w:rFonts w:ascii="Calibri" w:hAnsi="Calibri" w:cs="Calibri"/>
          <w:sz w:val="24"/>
          <w:szCs w:val="24"/>
        </w:rPr>
        <w:t xml:space="preserve"> Titley, 2024</w:t>
      </w:r>
      <w:r w:rsidRPr="00777663">
        <w:rPr>
          <w:rFonts w:ascii="Calibri" w:hAnsi="Calibri" w:cs="Calibri"/>
          <w:sz w:val="24"/>
          <w:szCs w:val="24"/>
        </w:rPr>
        <w:t xml:space="preserve">). This evolving narrative suggests a growing ambivalence regarding whether the curriculum's ambitious vision is being realised </w:t>
      </w:r>
      <w:r w:rsidR="00873D73" w:rsidRPr="00777663">
        <w:rPr>
          <w:rFonts w:ascii="Calibri" w:hAnsi="Calibri" w:cs="Calibri"/>
          <w:sz w:val="24"/>
          <w:szCs w:val="24"/>
        </w:rPr>
        <w:t>fairly</w:t>
      </w:r>
      <w:r w:rsidRPr="00777663">
        <w:rPr>
          <w:rFonts w:ascii="Calibri" w:hAnsi="Calibri" w:cs="Calibri"/>
          <w:sz w:val="24"/>
          <w:szCs w:val="24"/>
        </w:rPr>
        <w:t xml:space="preserve"> and effectively across the education system in Wales.</w:t>
      </w:r>
    </w:p>
    <w:p w14:paraId="33C95FF3" w14:textId="77777777" w:rsidR="00774999" w:rsidRPr="00332951" w:rsidRDefault="00774999" w:rsidP="00332951">
      <w:pPr>
        <w:spacing w:line="360" w:lineRule="auto"/>
        <w:rPr>
          <w:rFonts w:ascii="Calibri" w:hAnsi="Calibri" w:cs="Calibri"/>
          <w:b/>
          <w:bCs/>
          <w:sz w:val="24"/>
          <w:szCs w:val="24"/>
          <w:u w:val="single"/>
        </w:rPr>
      </w:pPr>
      <w:r w:rsidRPr="00332951">
        <w:rPr>
          <w:rFonts w:ascii="Calibri" w:hAnsi="Calibri" w:cs="Calibri"/>
          <w:b/>
          <w:bCs/>
          <w:sz w:val="24"/>
          <w:szCs w:val="24"/>
          <w:u w:val="single"/>
        </w:rPr>
        <w:t xml:space="preserve">Implementation: Successes and Challenges </w:t>
      </w:r>
    </w:p>
    <w:p w14:paraId="4D755A8B" w14:textId="5962865C" w:rsidR="00372C51" w:rsidRPr="0086553E" w:rsidRDefault="002E485C" w:rsidP="0086553E">
      <w:pPr>
        <w:spacing w:line="360" w:lineRule="auto"/>
        <w:rPr>
          <w:rFonts w:ascii="Calibri" w:hAnsi="Calibri" w:cs="Calibri"/>
          <w:sz w:val="24"/>
          <w:szCs w:val="24"/>
        </w:rPr>
      </w:pPr>
      <w:r w:rsidRPr="002E485C">
        <w:rPr>
          <w:rFonts w:ascii="Calibri" w:hAnsi="Calibri" w:cs="Calibri"/>
          <w:sz w:val="24"/>
          <w:szCs w:val="24"/>
        </w:rPr>
        <w:t>The implementation of the</w:t>
      </w:r>
      <w:r w:rsidR="005562D7" w:rsidRPr="0086553E">
        <w:rPr>
          <w:rFonts w:ascii="Calibri" w:hAnsi="Calibri" w:cs="Calibri"/>
          <w:sz w:val="24"/>
          <w:szCs w:val="24"/>
        </w:rPr>
        <w:t xml:space="preserve"> </w:t>
      </w:r>
      <w:proofErr w:type="spellStart"/>
      <w:r w:rsidRPr="002E485C">
        <w:rPr>
          <w:rFonts w:ascii="Calibri" w:hAnsi="Calibri" w:cs="Calibri"/>
          <w:sz w:val="24"/>
          <w:szCs w:val="24"/>
        </w:rPr>
        <w:t>CfW</w:t>
      </w:r>
      <w:proofErr w:type="spellEnd"/>
      <w:r w:rsidRPr="002E485C">
        <w:rPr>
          <w:rFonts w:ascii="Calibri" w:hAnsi="Calibri" w:cs="Calibri"/>
          <w:sz w:val="24"/>
          <w:szCs w:val="24"/>
        </w:rPr>
        <w:t xml:space="preserve"> in primary schools has demonstrated mixed levels of success, as reflected in academic literature, inspectorate reports, and practitioner feedback</w:t>
      </w:r>
      <w:r w:rsidR="005562D7" w:rsidRPr="0086553E">
        <w:rPr>
          <w:rFonts w:ascii="Calibri" w:hAnsi="Calibri" w:cs="Calibri"/>
          <w:sz w:val="24"/>
          <w:szCs w:val="24"/>
        </w:rPr>
        <w:t xml:space="preserve"> according to </w:t>
      </w:r>
      <w:r w:rsidR="00751C38">
        <w:rPr>
          <w:rFonts w:ascii="Calibri" w:hAnsi="Calibri" w:cs="Calibri"/>
          <w:sz w:val="24"/>
          <w:szCs w:val="24"/>
        </w:rPr>
        <w:t>Davies et al (2024)</w:t>
      </w:r>
      <w:r w:rsidRPr="002E485C">
        <w:rPr>
          <w:rFonts w:ascii="Calibri" w:hAnsi="Calibri" w:cs="Calibri"/>
          <w:sz w:val="24"/>
          <w:szCs w:val="24"/>
        </w:rPr>
        <w:t xml:space="preserve">. Initially, many primary schools showed enthusiasm for the curriculum’s vision, with several acting as pioneer schools that contributed to shaping the framework </w:t>
      </w:r>
      <w:r w:rsidRPr="006C0F94">
        <w:rPr>
          <w:rFonts w:ascii="Calibri" w:hAnsi="Calibri" w:cs="Calibri"/>
          <w:sz w:val="24"/>
          <w:szCs w:val="24"/>
        </w:rPr>
        <w:t>(Welsh Government, 2020). Estyn (202</w:t>
      </w:r>
      <w:r w:rsidR="00DC3EE8" w:rsidRPr="006C0F94">
        <w:rPr>
          <w:rFonts w:ascii="Calibri" w:hAnsi="Calibri" w:cs="Calibri"/>
          <w:sz w:val="24"/>
          <w:szCs w:val="24"/>
        </w:rPr>
        <w:t>5</w:t>
      </w:r>
      <w:r w:rsidRPr="006C0F94">
        <w:rPr>
          <w:rFonts w:ascii="Calibri" w:hAnsi="Calibri" w:cs="Calibri"/>
          <w:sz w:val="24"/>
          <w:szCs w:val="24"/>
        </w:rPr>
        <w:t>)</w:t>
      </w:r>
      <w:r w:rsidRPr="002E485C">
        <w:rPr>
          <w:rFonts w:ascii="Calibri" w:hAnsi="Calibri" w:cs="Calibri"/>
          <w:sz w:val="24"/>
          <w:szCs w:val="24"/>
        </w:rPr>
        <w:t xml:space="preserve"> identified examples of strong engagement, particularly in schools where leadership was proactive and where staff were afforded sufficient time to engage in curriculum planning. </w:t>
      </w:r>
    </w:p>
    <w:p w14:paraId="43D29578" w14:textId="32C367E2" w:rsidR="002E485C" w:rsidRPr="002E485C" w:rsidRDefault="002E485C" w:rsidP="0086553E">
      <w:pPr>
        <w:spacing w:line="360" w:lineRule="auto"/>
        <w:rPr>
          <w:rFonts w:ascii="Calibri" w:hAnsi="Calibri" w:cs="Calibri"/>
          <w:sz w:val="24"/>
          <w:szCs w:val="24"/>
        </w:rPr>
      </w:pPr>
      <w:r w:rsidRPr="002E485C">
        <w:rPr>
          <w:rFonts w:ascii="Calibri" w:hAnsi="Calibri" w:cs="Calibri"/>
          <w:sz w:val="24"/>
          <w:szCs w:val="24"/>
        </w:rPr>
        <w:t xml:space="preserve">Practitioners have generally responded positively to the curriculum’s emphasis on holistic, pupil-centred learning, with the Four Purposes widely viewed as developmentally </w:t>
      </w:r>
      <w:r w:rsidRPr="002E485C">
        <w:rPr>
          <w:rFonts w:ascii="Calibri" w:hAnsi="Calibri" w:cs="Calibri"/>
          <w:sz w:val="24"/>
          <w:szCs w:val="24"/>
        </w:rPr>
        <w:lastRenderedPageBreak/>
        <w:t>appropriate for primary-aged learners. Furthermore,</w:t>
      </w:r>
      <w:r w:rsidR="00120B7C" w:rsidRPr="0086553E">
        <w:rPr>
          <w:rFonts w:ascii="Calibri" w:hAnsi="Calibri" w:cs="Calibri"/>
          <w:sz w:val="24"/>
          <w:szCs w:val="24"/>
        </w:rPr>
        <w:t xml:space="preserve"> </w:t>
      </w:r>
      <w:r w:rsidR="002912E9">
        <w:rPr>
          <w:rFonts w:ascii="Calibri" w:hAnsi="Calibri" w:cs="Calibri"/>
          <w:sz w:val="24"/>
          <w:szCs w:val="24"/>
        </w:rPr>
        <w:t>Maka</w:t>
      </w:r>
      <w:r w:rsidR="002909BB">
        <w:rPr>
          <w:rFonts w:ascii="Calibri" w:hAnsi="Calibri" w:cs="Calibri"/>
          <w:sz w:val="24"/>
          <w:szCs w:val="24"/>
        </w:rPr>
        <w:t>ra</w:t>
      </w:r>
      <w:r w:rsidR="00571294">
        <w:rPr>
          <w:rFonts w:ascii="Calibri" w:hAnsi="Calibri" w:cs="Calibri"/>
          <w:sz w:val="24"/>
          <w:szCs w:val="24"/>
        </w:rPr>
        <w:t xml:space="preserve"> Fuller et al (2023)</w:t>
      </w:r>
      <w:r w:rsidR="00120B7C" w:rsidRPr="0086553E">
        <w:rPr>
          <w:rFonts w:ascii="Calibri" w:hAnsi="Calibri" w:cs="Calibri"/>
          <w:sz w:val="24"/>
          <w:szCs w:val="24"/>
        </w:rPr>
        <w:t xml:space="preserve"> believe</w:t>
      </w:r>
      <w:r w:rsidRPr="002E485C">
        <w:rPr>
          <w:rFonts w:ascii="Calibri" w:hAnsi="Calibri" w:cs="Calibri"/>
          <w:sz w:val="24"/>
          <w:szCs w:val="24"/>
        </w:rPr>
        <w:t xml:space="preserve"> the </w:t>
      </w:r>
      <w:proofErr w:type="spellStart"/>
      <w:r w:rsidRPr="002E485C">
        <w:rPr>
          <w:rFonts w:ascii="Calibri" w:hAnsi="Calibri" w:cs="Calibri"/>
          <w:sz w:val="24"/>
          <w:szCs w:val="24"/>
        </w:rPr>
        <w:t>CfW</w:t>
      </w:r>
      <w:proofErr w:type="spellEnd"/>
      <w:r w:rsidRPr="002E485C">
        <w:rPr>
          <w:rFonts w:ascii="Calibri" w:hAnsi="Calibri" w:cs="Calibri"/>
          <w:sz w:val="24"/>
          <w:szCs w:val="24"/>
        </w:rPr>
        <w:t xml:space="preserve"> has encouraged collaborative curriculum-making among teaching staff, fostering innovation and allowing for more contextualised approaches to teaching and learning. However, challenges persist.</w:t>
      </w:r>
      <w:r w:rsidR="00523B02" w:rsidRPr="0086553E">
        <w:rPr>
          <w:rFonts w:ascii="Calibri" w:hAnsi="Calibri" w:cs="Calibri"/>
          <w:sz w:val="24"/>
          <w:szCs w:val="24"/>
        </w:rPr>
        <w:t xml:space="preserve"> </w:t>
      </w:r>
      <w:r w:rsidR="00DE6A3B">
        <w:rPr>
          <w:rFonts w:ascii="Calibri" w:hAnsi="Calibri" w:cs="Calibri"/>
          <w:sz w:val="24"/>
          <w:szCs w:val="24"/>
        </w:rPr>
        <w:t>Jones (2023)</w:t>
      </w:r>
      <w:r w:rsidR="00523B02" w:rsidRPr="0086553E">
        <w:rPr>
          <w:rFonts w:ascii="Calibri" w:hAnsi="Calibri" w:cs="Calibri"/>
          <w:sz w:val="24"/>
          <w:szCs w:val="24"/>
        </w:rPr>
        <w:t xml:space="preserve"> believes</w:t>
      </w:r>
      <w:r w:rsidRPr="002E485C">
        <w:rPr>
          <w:rFonts w:ascii="Calibri" w:hAnsi="Calibri" w:cs="Calibri"/>
          <w:sz w:val="24"/>
          <w:szCs w:val="24"/>
        </w:rPr>
        <w:t xml:space="preserve"> </w:t>
      </w:r>
      <w:r w:rsidR="00523B02" w:rsidRPr="0086553E">
        <w:rPr>
          <w:rFonts w:ascii="Calibri" w:hAnsi="Calibri" w:cs="Calibri"/>
          <w:sz w:val="24"/>
          <w:szCs w:val="24"/>
        </w:rPr>
        <w:t>a</w:t>
      </w:r>
      <w:r w:rsidRPr="002E485C">
        <w:rPr>
          <w:rFonts w:ascii="Calibri" w:hAnsi="Calibri" w:cs="Calibri"/>
          <w:sz w:val="24"/>
          <w:szCs w:val="24"/>
        </w:rPr>
        <w:t xml:space="preserve"> significant concern lies in the variation in readiness and quality of implementation across schools, especially between those that are well-resourced and those facing structural disadvantages</w:t>
      </w:r>
      <w:r w:rsidR="000F4669" w:rsidRPr="0086553E">
        <w:rPr>
          <w:rFonts w:ascii="Calibri" w:hAnsi="Calibri" w:cs="Calibri"/>
          <w:sz w:val="24"/>
          <w:szCs w:val="24"/>
        </w:rPr>
        <w:t xml:space="preserve"> (</w:t>
      </w:r>
      <w:r w:rsidR="00DE6A3B" w:rsidRPr="00DE6A3B">
        <w:rPr>
          <w:rFonts w:ascii="Calibri" w:hAnsi="Calibri" w:cs="Calibri"/>
          <w:sz w:val="24"/>
          <w:szCs w:val="24"/>
        </w:rPr>
        <w:t>Evans, 2023)</w:t>
      </w:r>
      <w:r w:rsidRPr="002E485C">
        <w:rPr>
          <w:rFonts w:ascii="Calibri" w:hAnsi="Calibri" w:cs="Calibri"/>
          <w:sz w:val="24"/>
          <w:szCs w:val="24"/>
        </w:rPr>
        <w:t>.</w:t>
      </w:r>
      <w:r w:rsidR="000F4669" w:rsidRPr="00DE6A3B">
        <w:rPr>
          <w:rFonts w:ascii="Calibri" w:hAnsi="Calibri" w:cs="Calibri"/>
          <w:sz w:val="24"/>
          <w:szCs w:val="24"/>
        </w:rPr>
        <w:t xml:space="preserve"> </w:t>
      </w:r>
      <w:r w:rsidR="00DE6A3B">
        <w:rPr>
          <w:rFonts w:ascii="Calibri" w:hAnsi="Calibri" w:cs="Calibri"/>
          <w:sz w:val="24"/>
          <w:szCs w:val="24"/>
        </w:rPr>
        <w:t xml:space="preserve">Wall (2024) </w:t>
      </w:r>
      <w:r w:rsidR="000F4669" w:rsidRPr="0086553E">
        <w:rPr>
          <w:rFonts w:ascii="Calibri" w:hAnsi="Calibri" w:cs="Calibri"/>
          <w:sz w:val="24"/>
          <w:szCs w:val="24"/>
        </w:rPr>
        <w:t>champions this notion further highlighting</w:t>
      </w:r>
      <w:r w:rsidRPr="002E485C">
        <w:rPr>
          <w:rFonts w:ascii="Calibri" w:hAnsi="Calibri" w:cs="Calibri"/>
          <w:sz w:val="24"/>
          <w:szCs w:val="24"/>
        </w:rPr>
        <w:t xml:space="preserve"> </w:t>
      </w:r>
      <w:r w:rsidR="000F4669" w:rsidRPr="0086553E">
        <w:rPr>
          <w:rFonts w:ascii="Calibri" w:hAnsi="Calibri" w:cs="Calibri"/>
          <w:sz w:val="24"/>
          <w:szCs w:val="24"/>
        </w:rPr>
        <w:t>s</w:t>
      </w:r>
      <w:r w:rsidRPr="002E485C">
        <w:rPr>
          <w:rFonts w:ascii="Calibri" w:hAnsi="Calibri" w:cs="Calibri"/>
          <w:sz w:val="24"/>
          <w:szCs w:val="24"/>
        </w:rPr>
        <w:t xml:space="preserve">ome schools continue to face difficulties in fully embedding the curriculum design principles due to time constraints and a lack of staff confidence. In smaller or rural schools, teachers have expressed feeling overwhelmed by the responsibility of designing and mapping out curricula independently </w:t>
      </w:r>
      <w:r w:rsidR="00DE6A3B">
        <w:rPr>
          <w:rFonts w:ascii="Calibri" w:hAnsi="Calibri" w:cs="Calibri"/>
          <w:sz w:val="24"/>
          <w:szCs w:val="24"/>
        </w:rPr>
        <w:t>according to research conducted by Chapman (2020)</w:t>
      </w:r>
      <w:r w:rsidRPr="002E485C">
        <w:rPr>
          <w:rFonts w:ascii="Calibri" w:hAnsi="Calibri" w:cs="Calibri"/>
          <w:sz w:val="24"/>
          <w:szCs w:val="24"/>
        </w:rPr>
        <w:t>. Additionally, access to high-quality and consistent professional learning remains uneven</w:t>
      </w:r>
      <w:r w:rsidR="00372C51" w:rsidRPr="0086553E">
        <w:rPr>
          <w:rFonts w:ascii="Calibri" w:hAnsi="Calibri" w:cs="Calibri"/>
          <w:sz w:val="24"/>
          <w:szCs w:val="24"/>
        </w:rPr>
        <w:t xml:space="preserve"> according to </w:t>
      </w:r>
      <w:r w:rsidR="00DE6A3B">
        <w:rPr>
          <w:rFonts w:ascii="Calibri" w:hAnsi="Calibri" w:cs="Calibri"/>
          <w:sz w:val="24"/>
          <w:szCs w:val="24"/>
        </w:rPr>
        <w:t>Hutt, Smith and Jones</w:t>
      </w:r>
      <w:r w:rsidRPr="002E485C">
        <w:rPr>
          <w:rFonts w:ascii="Calibri" w:hAnsi="Calibri" w:cs="Calibri"/>
          <w:sz w:val="24"/>
          <w:szCs w:val="24"/>
        </w:rPr>
        <w:t>,</w:t>
      </w:r>
      <w:r w:rsidR="00DE6A3B">
        <w:rPr>
          <w:rFonts w:ascii="Calibri" w:hAnsi="Calibri" w:cs="Calibri"/>
          <w:sz w:val="24"/>
          <w:szCs w:val="24"/>
        </w:rPr>
        <w:t xml:space="preserve"> (2024)</w:t>
      </w:r>
      <w:r w:rsidRPr="002E485C">
        <w:rPr>
          <w:rFonts w:ascii="Calibri" w:hAnsi="Calibri" w:cs="Calibri"/>
          <w:sz w:val="24"/>
          <w:szCs w:val="24"/>
        </w:rPr>
        <w:t xml:space="preserve"> leaving some educators underprepared to translate the broad curriculum framework into coherent and progressive learning experiences </w:t>
      </w:r>
      <w:r w:rsidRPr="006C0F94">
        <w:rPr>
          <w:rFonts w:ascii="Calibri" w:hAnsi="Calibri" w:cs="Calibri"/>
          <w:sz w:val="24"/>
          <w:szCs w:val="24"/>
        </w:rPr>
        <w:t>(OECD, 2020).</w:t>
      </w:r>
      <w:r w:rsidRPr="002E485C">
        <w:rPr>
          <w:rFonts w:ascii="Calibri" w:hAnsi="Calibri" w:cs="Calibri"/>
          <w:sz w:val="24"/>
          <w:szCs w:val="24"/>
        </w:rPr>
        <w:t xml:space="preserve"> The transition from standardised assessments to progression-based models has also led to uncertainty, with many teachers reporting challenges in understanding how to meaningfully assess pupil progress within the new structure.</w:t>
      </w:r>
    </w:p>
    <w:p w14:paraId="6F2F7234" w14:textId="6E4A853E" w:rsidR="00FB6DAD" w:rsidRPr="00FB6DAD" w:rsidRDefault="00FB6DAD" w:rsidP="0035397D">
      <w:pPr>
        <w:spacing w:line="360" w:lineRule="auto"/>
        <w:rPr>
          <w:rFonts w:ascii="Calibri" w:hAnsi="Calibri" w:cs="Calibri"/>
          <w:sz w:val="24"/>
          <w:szCs w:val="24"/>
        </w:rPr>
      </w:pPr>
      <w:r w:rsidRPr="0035397D">
        <w:rPr>
          <w:rFonts w:ascii="Calibri" w:hAnsi="Calibri" w:cs="Calibri"/>
          <w:sz w:val="24"/>
          <w:szCs w:val="24"/>
        </w:rPr>
        <w:t xml:space="preserve">In contrast, </w:t>
      </w:r>
      <w:r w:rsidR="00186EE9" w:rsidRPr="0035397D">
        <w:rPr>
          <w:rFonts w:ascii="Calibri" w:hAnsi="Calibri" w:cs="Calibri"/>
          <w:sz w:val="24"/>
          <w:szCs w:val="24"/>
        </w:rPr>
        <w:t>t</w:t>
      </w:r>
      <w:r w:rsidRPr="00FB6DAD">
        <w:rPr>
          <w:rFonts w:ascii="Calibri" w:hAnsi="Calibri" w:cs="Calibri"/>
          <w:sz w:val="24"/>
          <w:szCs w:val="24"/>
        </w:rPr>
        <w:t xml:space="preserve">he implementation of the </w:t>
      </w:r>
      <w:proofErr w:type="spellStart"/>
      <w:r w:rsidRPr="00FB6DAD">
        <w:rPr>
          <w:rFonts w:ascii="Calibri" w:hAnsi="Calibri" w:cs="Calibri"/>
          <w:sz w:val="24"/>
          <w:szCs w:val="24"/>
        </w:rPr>
        <w:t>CfW</w:t>
      </w:r>
      <w:proofErr w:type="spellEnd"/>
      <w:r w:rsidRPr="00FB6DAD">
        <w:rPr>
          <w:rFonts w:ascii="Calibri" w:hAnsi="Calibri" w:cs="Calibri"/>
          <w:sz w:val="24"/>
          <w:szCs w:val="24"/>
        </w:rPr>
        <w:t xml:space="preserve"> within secondary schools has proven to be more complex and uneven than in primary education, shaped by a series of systemic, structural, and cultural challenges</w:t>
      </w:r>
      <w:r w:rsidR="00186EE9" w:rsidRPr="0035397D">
        <w:rPr>
          <w:rFonts w:ascii="Calibri" w:hAnsi="Calibri" w:cs="Calibri"/>
          <w:sz w:val="24"/>
          <w:szCs w:val="24"/>
        </w:rPr>
        <w:t xml:space="preserve"> </w:t>
      </w:r>
      <w:r w:rsidR="00DE6A3B">
        <w:rPr>
          <w:rFonts w:ascii="Calibri" w:hAnsi="Calibri" w:cs="Calibri"/>
          <w:sz w:val="24"/>
          <w:szCs w:val="24"/>
        </w:rPr>
        <w:t>(Evans, 2023)</w:t>
      </w:r>
      <w:r w:rsidRPr="00FB6DAD">
        <w:rPr>
          <w:rFonts w:ascii="Calibri" w:hAnsi="Calibri" w:cs="Calibri"/>
          <w:sz w:val="24"/>
          <w:szCs w:val="24"/>
        </w:rPr>
        <w:t xml:space="preserve">. Unlike many primary schools, which had begun engaging with the </w:t>
      </w:r>
      <w:proofErr w:type="spellStart"/>
      <w:r w:rsidRPr="00FB6DAD">
        <w:rPr>
          <w:rFonts w:ascii="Calibri" w:hAnsi="Calibri" w:cs="Calibri"/>
          <w:sz w:val="24"/>
          <w:szCs w:val="24"/>
        </w:rPr>
        <w:t>CfW</w:t>
      </w:r>
      <w:proofErr w:type="spellEnd"/>
      <w:r w:rsidRPr="00FB6DAD">
        <w:rPr>
          <w:rFonts w:ascii="Calibri" w:hAnsi="Calibri" w:cs="Calibri"/>
          <w:sz w:val="24"/>
          <w:szCs w:val="24"/>
        </w:rPr>
        <w:t xml:space="preserve"> principles in the years preceding statutory implementation, secondary schools have been comparatively slower to adapt.</w:t>
      </w:r>
      <w:r w:rsidR="00282CE2" w:rsidRPr="0035397D">
        <w:rPr>
          <w:rFonts w:ascii="Calibri" w:hAnsi="Calibri" w:cs="Calibri"/>
          <w:sz w:val="24"/>
          <w:szCs w:val="24"/>
        </w:rPr>
        <w:t xml:space="preserve"> </w:t>
      </w:r>
      <w:r w:rsidR="00DE6A3B">
        <w:rPr>
          <w:rFonts w:ascii="Calibri" w:hAnsi="Calibri" w:cs="Calibri"/>
          <w:sz w:val="24"/>
          <w:szCs w:val="24"/>
        </w:rPr>
        <w:t>Thomas et al (2023)</w:t>
      </w:r>
      <w:r w:rsidR="00282CE2" w:rsidRPr="0035397D">
        <w:rPr>
          <w:rFonts w:ascii="Calibri" w:hAnsi="Calibri" w:cs="Calibri"/>
          <w:sz w:val="24"/>
          <w:szCs w:val="24"/>
        </w:rPr>
        <w:t xml:space="preserve"> argues</w:t>
      </w:r>
      <w:r w:rsidRPr="00FB6DAD">
        <w:rPr>
          <w:rFonts w:ascii="Calibri" w:hAnsi="Calibri" w:cs="Calibri"/>
          <w:sz w:val="24"/>
          <w:szCs w:val="24"/>
        </w:rPr>
        <w:t xml:space="preserve"> </w:t>
      </w:r>
      <w:r w:rsidR="00282CE2" w:rsidRPr="0035397D">
        <w:rPr>
          <w:rFonts w:ascii="Calibri" w:hAnsi="Calibri" w:cs="Calibri"/>
          <w:sz w:val="24"/>
          <w:szCs w:val="24"/>
        </w:rPr>
        <w:t>t</w:t>
      </w:r>
      <w:r w:rsidRPr="00FB6DAD">
        <w:rPr>
          <w:rFonts w:ascii="Calibri" w:hAnsi="Calibri" w:cs="Calibri"/>
          <w:sz w:val="24"/>
          <w:szCs w:val="24"/>
        </w:rPr>
        <w:t xml:space="preserve">his delay can be attributed in part to the inherent complexity of secondary education, where subject specialism, departmental silos, and examination-focused structures pose significant barriers to adopting a more integrated and progression-based curriculum model </w:t>
      </w:r>
      <w:r w:rsidRPr="006C0F94">
        <w:rPr>
          <w:rFonts w:ascii="Calibri" w:hAnsi="Calibri" w:cs="Calibri"/>
          <w:sz w:val="24"/>
          <w:szCs w:val="24"/>
        </w:rPr>
        <w:t>(OECD, 2020). Estyn (2022)</w:t>
      </w:r>
      <w:r w:rsidRPr="00FB6DAD">
        <w:rPr>
          <w:rFonts w:ascii="Calibri" w:hAnsi="Calibri" w:cs="Calibri"/>
          <w:sz w:val="24"/>
          <w:szCs w:val="24"/>
        </w:rPr>
        <w:t xml:space="preserve"> has highlighted considerable variation in how secondary schools interpret and apply the curriculum, noting that some institutions have approached implementation in a fragmented or superficial manner. Such inconsistencies are often driven by ongoing concerns regarding qualifications, performance metrics, and the alignment between </w:t>
      </w:r>
      <w:proofErr w:type="spellStart"/>
      <w:r w:rsidRPr="00FB6DAD">
        <w:rPr>
          <w:rFonts w:ascii="Calibri" w:hAnsi="Calibri" w:cs="Calibri"/>
          <w:sz w:val="24"/>
          <w:szCs w:val="24"/>
        </w:rPr>
        <w:t>CfW</w:t>
      </w:r>
      <w:proofErr w:type="spellEnd"/>
      <w:r w:rsidRPr="00FB6DAD">
        <w:rPr>
          <w:rFonts w:ascii="Calibri" w:hAnsi="Calibri" w:cs="Calibri"/>
          <w:sz w:val="24"/>
          <w:szCs w:val="24"/>
        </w:rPr>
        <w:t xml:space="preserve"> and existing GCSE assessment frameworks.</w:t>
      </w:r>
    </w:p>
    <w:p w14:paraId="0A3D164D" w14:textId="25B30C53" w:rsidR="00FB6DAD" w:rsidRPr="00FB6DAD" w:rsidRDefault="00FB6DAD" w:rsidP="0035397D">
      <w:pPr>
        <w:spacing w:line="360" w:lineRule="auto"/>
        <w:rPr>
          <w:rFonts w:ascii="Calibri" w:hAnsi="Calibri" w:cs="Calibri"/>
          <w:sz w:val="24"/>
          <w:szCs w:val="24"/>
        </w:rPr>
      </w:pPr>
      <w:r w:rsidRPr="00FB6DAD">
        <w:rPr>
          <w:rFonts w:ascii="Calibri" w:hAnsi="Calibri" w:cs="Calibri"/>
          <w:sz w:val="24"/>
          <w:szCs w:val="24"/>
        </w:rPr>
        <w:lastRenderedPageBreak/>
        <w:t xml:space="preserve">Subject-specialist teachers have expressed apprehension about the potential erosion of disciplinary depth, perceiving the curriculum’s emphasis on broad, cross-curricular outcomes as a challenge to their professional identity and pedagogical practices </w:t>
      </w:r>
      <w:r w:rsidR="00DC7F7F">
        <w:rPr>
          <w:rFonts w:ascii="Calibri" w:hAnsi="Calibri" w:cs="Calibri"/>
          <w:sz w:val="24"/>
          <w:szCs w:val="24"/>
        </w:rPr>
        <w:t>(Titley, 2024)</w:t>
      </w:r>
      <w:r w:rsidRPr="00FB6DAD">
        <w:rPr>
          <w:rFonts w:ascii="Calibri" w:hAnsi="Calibri" w:cs="Calibri"/>
          <w:sz w:val="24"/>
          <w:szCs w:val="24"/>
        </w:rPr>
        <w:t>.</w:t>
      </w:r>
      <w:r w:rsidR="00AC7B7B" w:rsidRPr="0035397D">
        <w:rPr>
          <w:rFonts w:ascii="Calibri" w:hAnsi="Calibri" w:cs="Calibri"/>
          <w:sz w:val="24"/>
          <w:szCs w:val="24"/>
        </w:rPr>
        <w:t xml:space="preserve"> </w:t>
      </w:r>
      <w:r w:rsidR="00DC7F7F">
        <w:rPr>
          <w:rFonts w:ascii="Calibri" w:hAnsi="Calibri" w:cs="Calibri"/>
          <w:sz w:val="24"/>
          <w:szCs w:val="24"/>
        </w:rPr>
        <w:t>Glover and Hutchinson (2023)</w:t>
      </w:r>
      <w:r w:rsidR="00AC7B7B" w:rsidRPr="0035397D">
        <w:rPr>
          <w:rFonts w:ascii="Calibri" w:hAnsi="Calibri" w:cs="Calibri"/>
          <w:sz w:val="24"/>
          <w:szCs w:val="24"/>
        </w:rPr>
        <w:t xml:space="preserve"> draw attention to</w:t>
      </w:r>
      <w:r w:rsidRPr="00FB6DAD">
        <w:rPr>
          <w:rFonts w:ascii="Calibri" w:hAnsi="Calibri" w:cs="Calibri"/>
          <w:sz w:val="24"/>
          <w:szCs w:val="24"/>
        </w:rPr>
        <w:t xml:space="preserve"> </w:t>
      </w:r>
      <w:r w:rsidR="00AC7B7B" w:rsidRPr="0035397D">
        <w:rPr>
          <w:rFonts w:ascii="Calibri" w:hAnsi="Calibri" w:cs="Calibri"/>
          <w:sz w:val="24"/>
          <w:szCs w:val="24"/>
        </w:rPr>
        <w:t>t</w:t>
      </w:r>
      <w:r w:rsidRPr="00FB6DAD">
        <w:rPr>
          <w:rFonts w:ascii="Calibri" w:hAnsi="Calibri" w:cs="Calibri"/>
          <w:sz w:val="24"/>
          <w:szCs w:val="24"/>
        </w:rPr>
        <w:t>he logistical demands of restructuring timetables and developing schemes of work across multiple key stages further complicate the process. Many educators report feeling underprepared and overburdened, citing limited access to high-quality professional learning and continued ambiguity around assessment and progression as key barriers to confident implementation</w:t>
      </w:r>
      <w:r w:rsidR="006C0F94">
        <w:rPr>
          <w:rFonts w:ascii="Calibri" w:hAnsi="Calibri" w:cs="Calibri"/>
          <w:sz w:val="24"/>
          <w:szCs w:val="24"/>
        </w:rPr>
        <w:t xml:space="preserve"> (Titley, 2024). </w:t>
      </w:r>
    </w:p>
    <w:p w14:paraId="3C1086B5" w14:textId="77777777" w:rsidR="00D95B80" w:rsidRPr="0035397D" w:rsidRDefault="003B078F" w:rsidP="0035397D">
      <w:pPr>
        <w:spacing w:line="360" w:lineRule="auto"/>
        <w:rPr>
          <w:rFonts w:ascii="Calibri" w:hAnsi="Calibri" w:cs="Calibri"/>
          <w:sz w:val="24"/>
          <w:szCs w:val="24"/>
        </w:rPr>
      </w:pPr>
      <w:r w:rsidRPr="0035397D">
        <w:rPr>
          <w:rFonts w:ascii="Calibri" w:hAnsi="Calibri" w:cs="Calibri"/>
          <w:sz w:val="24"/>
          <w:szCs w:val="24"/>
        </w:rPr>
        <w:t>Although there are isolated instances of effective implementation, particularly in secondary schools where leadership has prioritised whole-school curriculum planning and fostered interdepartmental collaboration, the broader landscape remains marked by caution and inconsistency. Emerging literature highlights the need for clearer national guidance, sustained investment in high-quality professional development, and stronger alignment between curriculum and assessment frameworks to support the effective realisation of the Curriculum for Wales (Evans, 2021). Without such systemic support, there is a risk of exacerbating regional disparities in educational provision, potentially resulting in a ‘postcode lottery’ in which the quality of a learner’s educational experience is largely determined by the individual school's capacity and access to resources.</w:t>
      </w:r>
      <w:r w:rsidR="00D95B80" w:rsidRPr="0035397D">
        <w:rPr>
          <w:rFonts w:ascii="Calibri" w:hAnsi="Calibri" w:cs="Calibri"/>
          <w:sz w:val="24"/>
          <w:szCs w:val="24"/>
        </w:rPr>
        <w:t xml:space="preserve"> </w:t>
      </w:r>
    </w:p>
    <w:p w14:paraId="41810EFB" w14:textId="709BDA64" w:rsidR="005C6C44" w:rsidRPr="00110782" w:rsidRDefault="00FB6DAD" w:rsidP="005C6C44">
      <w:pPr>
        <w:spacing w:line="360" w:lineRule="auto"/>
        <w:rPr>
          <w:rFonts w:ascii="Calibri" w:hAnsi="Calibri" w:cs="Calibri"/>
          <w:sz w:val="24"/>
          <w:szCs w:val="24"/>
        </w:rPr>
      </w:pPr>
      <w:r w:rsidRPr="00FB6DAD">
        <w:rPr>
          <w:rFonts w:ascii="Calibri" w:hAnsi="Calibri" w:cs="Calibri"/>
          <w:sz w:val="24"/>
          <w:szCs w:val="24"/>
        </w:rPr>
        <w:t xml:space="preserve">In addition to these structural challenges, scholars and professional bodies have raised further concerns about the implementation process. A prominent issue is the perceived lack of detailed guidance and standardisation, which has left many teachers uncertain about how to approach curriculum planning, progression mapping, and assessment design (Evans, 2022). While the flexibility of the </w:t>
      </w:r>
      <w:proofErr w:type="spellStart"/>
      <w:r w:rsidRPr="00FB6DAD">
        <w:rPr>
          <w:rFonts w:ascii="Calibri" w:hAnsi="Calibri" w:cs="Calibri"/>
          <w:sz w:val="24"/>
          <w:szCs w:val="24"/>
        </w:rPr>
        <w:t>CfW</w:t>
      </w:r>
      <w:proofErr w:type="spellEnd"/>
      <w:r w:rsidRPr="00FB6DAD">
        <w:rPr>
          <w:rFonts w:ascii="Calibri" w:hAnsi="Calibri" w:cs="Calibri"/>
          <w:sz w:val="24"/>
          <w:szCs w:val="24"/>
        </w:rPr>
        <w:t xml:space="preserve"> framework is often cited as a strength, it also carries the risk of considerable variation in curriculum quality and delivery across schools. This has led to anxieties about educational equity, particularly for schools situated in socioeconomically disadvantaged areas that may lack the resources, capacity, or support systems needed to effectively implement the new curriculum </w:t>
      </w:r>
      <w:r w:rsidR="00DC7F7F">
        <w:rPr>
          <w:rFonts w:ascii="Calibri" w:hAnsi="Calibri" w:cs="Calibri"/>
          <w:sz w:val="24"/>
          <w:szCs w:val="24"/>
        </w:rPr>
        <w:t>(Thomas et al, 2023)</w:t>
      </w:r>
      <w:r w:rsidRPr="00FB6DAD">
        <w:rPr>
          <w:rFonts w:ascii="Calibri" w:hAnsi="Calibri" w:cs="Calibri"/>
          <w:sz w:val="24"/>
          <w:szCs w:val="24"/>
        </w:rPr>
        <w:t xml:space="preserve">. Moreover, teaching unions and education researchers have voiced concerns about increased workload pressures, with educators expected to develop bespoke, school-specific curricula without always receiving adequate professional learning opportunities or institutional support </w:t>
      </w:r>
      <w:r w:rsidR="00DC7F7F">
        <w:rPr>
          <w:rFonts w:ascii="Calibri" w:hAnsi="Calibri" w:cs="Calibri"/>
          <w:sz w:val="24"/>
          <w:szCs w:val="24"/>
        </w:rPr>
        <w:t>(Scott, Limbert and Sykes, 2024)</w:t>
      </w:r>
      <w:r w:rsidRPr="00FB6DAD">
        <w:rPr>
          <w:rFonts w:ascii="Calibri" w:hAnsi="Calibri" w:cs="Calibri"/>
          <w:sz w:val="24"/>
          <w:szCs w:val="24"/>
        </w:rPr>
        <w:t xml:space="preserve">. These concerns underscore the notion that while </w:t>
      </w:r>
      <w:r w:rsidRPr="00FB6DAD">
        <w:rPr>
          <w:rFonts w:ascii="Calibri" w:hAnsi="Calibri" w:cs="Calibri"/>
          <w:sz w:val="24"/>
          <w:szCs w:val="24"/>
        </w:rPr>
        <w:lastRenderedPageBreak/>
        <w:t>the Curriculum for Wales represents a forward-thinking vision for education reform, its success depends heavily on the provision of coherent national guidance, standardised assessment frameworks, and targeted support mechanisms to assist schools and practitioners across the Welsh education system</w:t>
      </w:r>
      <w:r w:rsidR="00110782">
        <w:rPr>
          <w:rFonts w:ascii="Calibri" w:hAnsi="Calibri" w:cs="Calibri"/>
          <w:sz w:val="24"/>
          <w:szCs w:val="24"/>
        </w:rPr>
        <w:t>.</w:t>
      </w:r>
    </w:p>
    <w:p w14:paraId="74256169" w14:textId="77777777" w:rsidR="005C6C44" w:rsidRPr="005C6C44" w:rsidRDefault="005C6C44" w:rsidP="005C6C44">
      <w:pPr>
        <w:spacing w:line="360" w:lineRule="auto"/>
        <w:rPr>
          <w:rFonts w:ascii="Calibri" w:hAnsi="Calibri" w:cs="Calibri"/>
          <w:vanish/>
          <w:sz w:val="24"/>
          <w:szCs w:val="24"/>
        </w:rPr>
      </w:pPr>
    </w:p>
    <w:p w14:paraId="0FA33C42" w14:textId="46DB1130" w:rsidR="00AE0071" w:rsidRPr="00110782" w:rsidRDefault="00501625" w:rsidP="00110782">
      <w:pPr>
        <w:spacing w:line="360" w:lineRule="auto"/>
        <w:rPr>
          <w:rFonts w:ascii="Calibri" w:hAnsi="Calibri" w:cs="Calibri"/>
          <w:b/>
          <w:bCs/>
          <w:sz w:val="24"/>
          <w:szCs w:val="24"/>
          <w:u w:val="single"/>
        </w:rPr>
      </w:pPr>
      <w:r w:rsidRPr="00110782">
        <w:rPr>
          <w:rFonts w:ascii="Calibri" w:hAnsi="Calibri" w:cs="Calibri"/>
          <w:b/>
          <w:bCs/>
          <w:sz w:val="24"/>
          <w:szCs w:val="24"/>
          <w:u w:val="single"/>
        </w:rPr>
        <w:t>Practitioner perspectives</w:t>
      </w:r>
    </w:p>
    <w:p w14:paraId="5A73DA51" w14:textId="330F4BB2" w:rsidR="0006238B" w:rsidRPr="003B63A0" w:rsidRDefault="0006238B" w:rsidP="003B63A0">
      <w:pPr>
        <w:spacing w:line="360" w:lineRule="auto"/>
        <w:rPr>
          <w:rFonts w:ascii="Calibri" w:hAnsi="Calibri" w:cs="Calibri"/>
          <w:sz w:val="24"/>
          <w:szCs w:val="24"/>
        </w:rPr>
      </w:pPr>
      <w:r w:rsidRPr="0006238B">
        <w:rPr>
          <w:rFonts w:ascii="Calibri" w:hAnsi="Calibri" w:cs="Calibri"/>
          <w:sz w:val="24"/>
          <w:szCs w:val="24"/>
        </w:rPr>
        <w:t xml:space="preserve">Teachers were granted substantial autonomy to design curriculum approaches under the </w:t>
      </w:r>
      <w:proofErr w:type="spellStart"/>
      <w:r w:rsidRPr="0006238B">
        <w:rPr>
          <w:rFonts w:ascii="Calibri" w:hAnsi="Calibri" w:cs="Calibri"/>
          <w:sz w:val="24"/>
          <w:szCs w:val="24"/>
        </w:rPr>
        <w:t>CfW</w:t>
      </w:r>
      <w:proofErr w:type="spellEnd"/>
      <w:r w:rsidRPr="0006238B">
        <w:rPr>
          <w:rFonts w:ascii="Calibri" w:hAnsi="Calibri" w:cs="Calibri"/>
          <w:sz w:val="24"/>
          <w:szCs w:val="24"/>
        </w:rPr>
        <w:t>. However, this freedom was not always accompanied by sufficient guidance from school leadership or national bodies, resulting in uncertainty for many practitioners. Educators often reported feeling pressured to make high-stakes decisions regarding curriculum planning and design without clear strategic direction</w:t>
      </w:r>
      <w:r w:rsidR="00661A2A" w:rsidRPr="003B63A0">
        <w:rPr>
          <w:rFonts w:ascii="Calibri" w:hAnsi="Calibri" w:cs="Calibri"/>
          <w:sz w:val="24"/>
          <w:szCs w:val="24"/>
        </w:rPr>
        <w:t xml:space="preserve"> according to research conducted by </w:t>
      </w:r>
      <w:r w:rsidR="008F18DF" w:rsidRPr="003B63A0">
        <w:rPr>
          <w:rFonts w:ascii="Calibri" w:hAnsi="Calibri" w:cs="Calibri"/>
          <w:sz w:val="24"/>
          <w:szCs w:val="24"/>
        </w:rPr>
        <w:t>Titley</w:t>
      </w:r>
      <w:r w:rsidR="00D44E4A" w:rsidRPr="003B63A0">
        <w:rPr>
          <w:rFonts w:ascii="Calibri" w:hAnsi="Calibri" w:cs="Calibri"/>
          <w:sz w:val="24"/>
          <w:szCs w:val="24"/>
        </w:rPr>
        <w:t>, Davies and Atherton (2020)</w:t>
      </w:r>
      <w:r w:rsidRPr="0006238B">
        <w:rPr>
          <w:rFonts w:ascii="Calibri" w:hAnsi="Calibri" w:cs="Calibri"/>
          <w:sz w:val="24"/>
          <w:szCs w:val="24"/>
        </w:rPr>
        <w:t xml:space="preserve">. In response, some schools established </w:t>
      </w:r>
      <w:r w:rsidR="006F63BD" w:rsidRPr="0006238B">
        <w:rPr>
          <w:rFonts w:ascii="Calibri" w:hAnsi="Calibri" w:cs="Calibri"/>
          <w:sz w:val="24"/>
          <w:szCs w:val="24"/>
        </w:rPr>
        <w:t>cross-departmental curriculum teams that met regularly to ensure coherence and reduce fragmentation in learning experiences. This collaborative approach fostered a sense of professional community, which served as a protective factor against isolation and workload-related stres</w:t>
      </w:r>
      <w:r w:rsidRPr="0006238B">
        <w:rPr>
          <w:rFonts w:ascii="Calibri" w:hAnsi="Calibri" w:cs="Calibri"/>
          <w:sz w:val="24"/>
          <w:szCs w:val="24"/>
        </w:rPr>
        <w:t>s</w:t>
      </w:r>
      <w:r w:rsidR="00A2652D">
        <w:rPr>
          <w:rFonts w:ascii="Calibri" w:hAnsi="Calibri" w:cs="Calibri"/>
          <w:sz w:val="24"/>
          <w:szCs w:val="24"/>
        </w:rPr>
        <w:t xml:space="preserve"> (</w:t>
      </w:r>
      <w:proofErr w:type="spellStart"/>
      <w:r w:rsidR="00A2652D">
        <w:rPr>
          <w:rFonts w:ascii="Calibri" w:hAnsi="Calibri" w:cs="Calibri"/>
          <w:sz w:val="24"/>
          <w:szCs w:val="24"/>
        </w:rPr>
        <w:t>DeMatthews</w:t>
      </w:r>
      <w:proofErr w:type="spellEnd"/>
      <w:r w:rsidR="00A2652D">
        <w:rPr>
          <w:rFonts w:ascii="Calibri" w:hAnsi="Calibri" w:cs="Calibri"/>
          <w:sz w:val="24"/>
          <w:szCs w:val="24"/>
        </w:rPr>
        <w:t xml:space="preserve"> et al, 2021)</w:t>
      </w:r>
      <w:r w:rsidRPr="0006238B">
        <w:rPr>
          <w:rFonts w:ascii="Calibri" w:hAnsi="Calibri" w:cs="Calibri"/>
          <w:sz w:val="24"/>
          <w:szCs w:val="24"/>
        </w:rPr>
        <w:t>.</w:t>
      </w:r>
    </w:p>
    <w:p w14:paraId="31E88FE7" w14:textId="6CCD285F" w:rsidR="00C95351" w:rsidRPr="00C95351" w:rsidRDefault="00C95351" w:rsidP="003B63A0">
      <w:pPr>
        <w:spacing w:line="360" w:lineRule="auto"/>
        <w:rPr>
          <w:rFonts w:ascii="Calibri" w:hAnsi="Calibri" w:cs="Calibri"/>
          <w:sz w:val="24"/>
          <w:szCs w:val="24"/>
        </w:rPr>
      </w:pPr>
      <w:r w:rsidRPr="00C95351">
        <w:rPr>
          <w:rFonts w:ascii="Calibri" w:hAnsi="Calibri" w:cs="Calibri"/>
          <w:sz w:val="24"/>
          <w:szCs w:val="24"/>
        </w:rPr>
        <w:t>Understanding the views of teachers and school leaders is essential in evaluating the success of the</w:t>
      </w:r>
      <w:r w:rsidRPr="003B63A0">
        <w:rPr>
          <w:rFonts w:ascii="Calibri" w:hAnsi="Calibri" w:cs="Calibri"/>
          <w:sz w:val="24"/>
          <w:szCs w:val="24"/>
        </w:rPr>
        <w:t xml:space="preserve"> </w:t>
      </w:r>
      <w:proofErr w:type="spellStart"/>
      <w:r w:rsidRPr="00C95351">
        <w:rPr>
          <w:rFonts w:ascii="Calibri" w:hAnsi="Calibri" w:cs="Calibri"/>
          <w:sz w:val="24"/>
          <w:szCs w:val="24"/>
        </w:rPr>
        <w:t>CfW</w:t>
      </w:r>
      <w:proofErr w:type="spellEnd"/>
      <w:r w:rsidRPr="00C95351">
        <w:rPr>
          <w:rFonts w:ascii="Calibri" w:hAnsi="Calibri" w:cs="Calibri"/>
          <w:sz w:val="24"/>
          <w:szCs w:val="24"/>
        </w:rPr>
        <w:t xml:space="preserve">, as practitioners are at the heart of its implementation. The </w:t>
      </w:r>
      <w:proofErr w:type="spellStart"/>
      <w:r w:rsidRPr="00C95351">
        <w:rPr>
          <w:rFonts w:ascii="Calibri" w:hAnsi="Calibri" w:cs="Calibri"/>
          <w:sz w:val="24"/>
          <w:szCs w:val="24"/>
        </w:rPr>
        <w:t>CfW</w:t>
      </w:r>
      <w:proofErr w:type="spellEnd"/>
      <w:r w:rsidRPr="00C95351">
        <w:rPr>
          <w:rFonts w:ascii="Calibri" w:hAnsi="Calibri" w:cs="Calibri"/>
          <w:sz w:val="24"/>
          <w:szCs w:val="24"/>
        </w:rPr>
        <w:t xml:space="preserve"> was designed to offer schools greater autonomy, with the intention of empowering teachers as curriculum-makers. However, this shift has produced mixed responses across the profession.</w:t>
      </w:r>
      <w:r w:rsidRPr="003B63A0">
        <w:rPr>
          <w:rFonts w:ascii="Calibri" w:hAnsi="Calibri" w:cs="Calibri"/>
          <w:sz w:val="24"/>
          <w:szCs w:val="24"/>
        </w:rPr>
        <w:t xml:space="preserve"> </w:t>
      </w:r>
      <w:r w:rsidRPr="00C95351">
        <w:rPr>
          <w:rFonts w:ascii="Calibri" w:hAnsi="Calibri" w:cs="Calibri"/>
          <w:sz w:val="24"/>
          <w:szCs w:val="24"/>
        </w:rPr>
        <w:t xml:space="preserve">Several studies have indicated that while many teachers welcome the increased flexibility and creativity afforded by the </w:t>
      </w:r>
      <w:proofErr w:type="spellStart"/>
      <w:r w:rsidRPr="00C95351">
        <w:rPr>
          <w:rFonts w:ascii="Calibri" w:hAnsi="Calibri" w:cs="Calibri"/>
          <w:sz w:val="24"/>
          <w:szCs w:val="24"/>
        </w:rPr>
        <w:t>CfW</w:t>
      </w:r>
      <w:proofErr w:type="spellEnd"/>
      <w:r w:rsidRPr="00C95351">
        <w:rPr>
          <w:rFonts w:ascii="Calibri" w:hAnsi="Calibri" w:cs="Calibri"/>
          <w:sz w:val="24"/>
          <w:szCs w:val="24"/>
        </w:rPr>
        <w:t>, concerns persist around the readiness of schools and staff to fully embrace the reform</w:t>
      </w:r>
      <w:r w:rsidR="00E36527" w:rsidRPr="003B63A0">
        <w:rPr>
          <w:rFonts w:ascii="Calibri" w:hAnsi="Calibri" w:cs="Calibri"/>
          <w:sz w:val="24"/>
          <w:szCs w:val="24"/>
        </w:rPr>
        <w:t xml:space="preserve"> (Evans, 2023)</w:t>
      </w:r>
      <w:r w:rsidRPr="00C95351">
        <w:rPr>
          <w:rFonts w:ascii="Calibri" w:hAnsi="Calibri" w:cs="Calibri"/>
          <w:sz w:val="24"/>
          <w:szCs w:val="24"/>
        </w:rPr>
        <w:t>. According to Estyn (2023), there is considerable variation in how schools interpret and enact the new curriculum, with some demonstrating innovative practice and others struggling to move beyond compliance-based approaches.</w:t>
      </w:r>
    </w:p>
    <w:p w14:paraId="18AACCBF" w14:textId="396F8D92" w:rsidR="00C95351" w:rsidRPr="00C95351" w:rsidRDefault="00C95351" w:rsidP="003B63A0">
      <w:pPr>
        <w:spacing w:line="360" w:lineRule="auto"/>
        <w:rPr>
          <w:rFonts w:ascii="Calibri" w:hAnsi="Calibri" w:cs="Calibri"/>
          <w:sz w:val="24"/>
          <w:szCs w:val="24"/>
        </w:rPr>
      </w:pPr>
      <w:r w:rsidRPr="00C95351">
        <w:rPr>
          <w:rFonts w:ascii="Calibri" w:hAnsi="Calibri" w:cs="Calibri"/>
          <w:sz w:val="24"/>
          <w:szCs w:val="24"/>
        </w:rPr>
        <w:t>A recurring theme in the literature is the issue of professional confidence.</w:t>
      </w:r>
      <w:r w:rsidR="009575C4" w:rsidRPr="003B63A0">
        <w:rPr>
          <w:rFonts w:ascii="Calibri" w:hAnsi="Calibri" w:cs="Calibri"/>
          <w:sz w:val="24"/>
          <w:szCs w:val="24"/>
        </w:rPr>
        <w:t xml:space="preserve"> </w:t>
      </w:r>
      <w:r w:rsidR="00986EF2" w:rsidRPr="003B63A0">
        <w:rPr>
          <w:rFonts w:ascii="Calibri" w:hAnsi="Calibri" w:cs="Calibri"/>
          <w:sz w:val="24"/>
          <w:szCs w:val="24"/>
        </w:rPr>
        <w:t>Power, Newton and Taylor (2020)</w:t>
      </w:r>
      <w:r w:rsidRPr="00C95351">
        <w:rPr>
          <w:rFonts w:ascii="Calibri" w:hAnsi="Calibri" w:cs="Calibri"/>
          <w:sz w:val="24"/>
          <w:szCs w:val="24"/>
        </w:rPr>
        <w:t xml:space="preserve"> found that many Welsh teachers felt underprepared for the curriculum-making role due to limited training and inconsistent professional learning opportunities. Similarly, a study by E</w:t>
      </w:r>
      <w:r w:rsidR="00DB6576">
        <w:rPr>
          <w:rFonts w:ascii="Calibri" w:hAnsi="Calibri" w:cs="Calibri"/>
          <w:sz w:val="24"/>
          <w:szCs w:val="24"/>
        </w:rPr>
        <w:t>styn</w:t>
      </w:r>
      <w:r w:rsidRPr="00C95351">
        <w:rPr>
          <w:rFonts w:ascii="Calibri" w:hAnsi="Calibri" w:cs="Calibri"/>
          <w:sz w:val="24"/>
          <w:szCs w:val="24"/>
        </w:rPr>
        <w:t xml:space="preserve"> (2022) highlighted disparities in professional development across local authorities, with some practitioners reporting strong support from regional consortia and others experiencing a lack of direction.</w:t>
      </w:r>
      <w:r w:rsidR="00B5500C" w:rsidRPr="003B63A0">
        <w:rPr>
          <w:rFonts w:ascii="Calibri" w:hAnsi="Calibri" w:cs="Calibri"/>
          <w:sz w:val="24"/>
          <w:szCs w:val="24"/>
        </w:rPr>
        <w:t xml:space="preserve"> </w:t>
      </w:r>
      <w:r w:rsidRPr="00C95351">
        <w:rPr>
          <w:rFonts w:ascii="Calibri" w:hAnsi="Calibri" w:cs="Calibri"/>
          <w:sz w:val="24"/>
          <w:szCs w:val="24"/>
        </w:rPr>
        <w:t xml:space="preserve">Workload also features prominently in </w:t>
      </w:r>
      <w:r w:rsidRPr="00C95351">
        <w:rPr>
          <w:rFonts w:ascii="Calibri" w:hAnsi="Calibri" w:cs="Calibri"/>
          <w:sz w:val="24"/>
          <w:szCs w:val="24"/>
        </w:rPr>
        <w:lastRenderedPageBreak/>
        <w:t>practitioner feedback. The additional demands associated with curriculum design, alongside existing responsibilities, have led to increased stress for some staff (Ffion et al., 2023). For newly qualified teachers in particular, the absence of a clearly prescribed national curriculum has raised concerns about workload and expectations</w:t>
      </w:r>
      <w:r w:rsidR="00BC4AAE" w:rsidRPr="003B63A0">
        <w:rPr>
          <w:rFonts w:ascii="Calibri" w:hAnsi="Calibri" w:cs="Calibri"/>
          <w:sz w:val="24"/>
          <w:szCs w:val="24"/>
        </w:rPr>
        <w:t xml:space="preserve"> </w:t>
      </w:r>
      <w:r w:rsidR="0041104F" w:rsidRPr="003B63A0">
        <w:rPr>
          <w:rFonts w:ascii="Calibri" w:hAnsi="Calibri" w:cs="Calibri"/>
          <w:sz w:val="24"/>
          <w:szCs w:val="24"/>
        </w:rPr>
        <w:t>(Waters, 2020)</w:t>
      </w:r>
      <w:r w:rsidRPr="00C95351">
        <w:rPr>
          <w:rFonts w:ascii="Calibri" w:hAnsi="Calibri" w:cs="Calibri"/>
          <w:sz w:val="24"/>
          <w:szCs w:val="24"/>
        </w:rPr>
        <w:t>.</w:t>
      </w:r>
    </w:p>
    <w:p w14:paraId="6B7D80C5" w14:textId="58070679" w:rsidR="00C95351" w:rsidRPr="00C95351" w:rsidRDefault="00C95351" w:rsidP="003B63A0">
      <w:pPr>
        <w:spacing w:line="360" w:lineRule="auto"/>
        <w:rPr>
          <w:rFonts w:ascii="Calibri" w:hAnsi="Calibri" w:cs="Calibri"/>
          <w:sz w:val="24"/>
          <w:szCs w:val="24"/>
        </w:rPr>
      </w:pPr>
      <w:r w:rsidRPr="00C95351">
        <w:rPr>
          <w:rFonts w:ascii="Calibri" w:hAnsi="Calibri" w:cs="Calibri"/>
          <w:sz w:val="24"/>
          <w:szCs w:val="24"/>
        </w:rPr>
        <w:t xml:space="preserve">Nevertheless, there is evidence of growing professional agency and innovation in schools that have embraced the </w:t>
      </w:r>
      <w:proofErr w:type="spellStart"/>
      <w:r w:rsidRPr="00C95351">
        <w:rPr>
          <w:rFonts w:ascii="Calibri" w:hAnsi="Calibri" w:cs="Calibri"/>
          <w:sz w:val="24"/>
          <w:szCs w:val="24"/>
        </w:rPr>
        <w:t>CfW’s</w:t>
      </w:r>
      <w:proofErr w:type="spellEnd"/>
      <w:r w:rsidRPr="00C95351">
        <w:rPr>
          <w:rFonts w:ascii="Calibri" w:hAnsi="Calibri" w:cs="Calibri"/>
          <w:sz w:val="24"/>
          <w:szCs w:val="24"/>
        </w:rPr>
        <w:t xml:space="preserve"> ethos. Case studies from </w:t>
      </w:r>
      <w:r w:rsidR="00837A36">
        <w:rPr>
          <w:rFonts w:ascii="Calibri" w:hAnsi="Calibri" w:cs="Calibri"/>
          <w:sz w:val="24"/>
          <w:szCs w:val="24"/>
        </w:rPr>
        <w:t xml:space="preserve">Jones and Evans </w:t>
      </w:r>
      <w:r w:rsidR="009B5988" w:rsidRPr="003B63A0">
        <w:rPr>
          <w:rFonts w:ascii="Calibri" w:hAnsi="Calibri" w:cs="Calibri"/>
          <w:sz w:val="24"/>
          <w:szCs w:val="24"/>
        </w:rPr>
        <w:t>(2023)</w:t>
      </w:r>
      <w:r w:rsidRPr="00C95351">
        <w:rPr>
          <w:rFonts w:ascii="Calibri" w:hAnsi="Calibri" w:cs="Calibri"/>
          <w:sz w:val="24"/>
          <w:szCs w:val="24"/>
        </w:rPr>
        <w:t xml:space="preserve"> suggest that when schools are supported appropriately, teachers demonstrate enthusiasm for co-constructing curriculum with learners and colleagues. These developments reflect a broader cultural shift towards collaboration and autonomy within the Welsh education system.</w:t>
      </w:r>
    </w:p>
    <w:p w14:paraId="4B0362C1" w14:textId="77777777" w:rsidR="007A4F44" w:rsidRDefault="00C95351" w:rsidP="0068581B">
      <w:pPr>
        <w:spacing w:line="360" w:lineRule="auto"/>
        <w:rPr>
          <w:rFonts w:ascii="Calibri" w:hAnsi="Calibri" w:cs="Calibri"/>
          <w:sz w:val="24"/>
          <w:szCs w:val="24"/>
        </w:rPr>
      </w:pPr>
      <w:r w:rsidRPr="00C95351">
        <w:rPr>
          <w:rFonts w:ascii="Calibri" w:hAnsi="Calibri" w:cs="Calibri"/>
          <w:sz w:val="24"/>
          <w:szCs w:val="24"/>
        </w:rPr>
        <w:t xml:space="preserve">In summary, practitioner perspectives highlight both the transformative potential and practical challenges of </w:t>
      </w:r>
      <w:proofErr w:type="spellStart"/>
      <w:r w:rsidRPr="00C95351">
        <w:rPr>
          <w:rFonts w:ascii="Calibri" w:hAnsi="Calibri" w:cs="Calibri"/>
          <w:sz w:val="24"/>
          <w:szCs w:val="24"/>
        </w:rPr>
        <w:t>CfW</w:t>
      </w:r>
      <w:proofErr w:type="spellEnd"/>
      <w:r w:rsidRPr="00C95351">
        <w:rPr>
          <w:rFonts w:ascii="Calibri" w:hAnsi="Calibri" w:cs="Calibri"/>
          <w:sz w:val="24"/>
          <w:szCs w:val="24"/>
        </w:rPr>
        <w:t xml:space="preserve"> implementation. While many educators are supportive of its aims, sustained and equitable professional development remains critical to ensuring that all practitioners feel confident and capable in enacting the curriculum.</w:t>
      </w:r>
      <w:r w:rsidR="00D50AE5">
        <w:rPr>
          <w:rFonts w:ascii="Calibri" w:hAnsi="Calibri" w:cs="Calibri"/>
          <w:sz w:val="24"/>
          <w:szCs w:val="24"/>
        </w:rPr>
        <w:t xml:space="preserve"> </w:t>
      </w:r>
    </w:p>
    <w:p w14:paraId="03FE739B" w14:textId="77777777" w:rsidR="00233EB8" w:rsidRPr="00233EB8" w:rsidRDefault="00233EB8" w:rsidP="0068581B">
      <w:pPr>
        <w:spacing w:line="360" w:lineRule="auto"/>
        <w:rPr>
          <w:rFonts w:ascii="Calibri" w:hAnsi="Calibri" w:cs="Calibri"/>
          <w:b/>
          <w:bCs/>
          <w:sz w:val="24"/>
          <w:szCs w:val="24"/>
          <w:u w:val="single"/>
        </w:rPr>
      </w:pPr>
      <w:r w:rsidRPr="00233EB8">
        <w:rPr>
          <w:rFonts w:ascii="Calibri" w:hAnsi="Calibri" w:cs="Calibri"/>
          <w:b/>
          <w:bCs/>
          <w:sz w:val="24"/>
          <w:szCs w:val="24"/>
          <w:u w:val="single"/>
        </w:rPr>
        <w:t>Supporting Professional Development for the implementation of Curriculum for Wales</w:t>
      </w:r>
    </w:p>
    <w:p w14:paraId="389D446E" w14:textId="6852B5A5" w:rsidR="00E50F87" w:rsidRDefault="00E50F87" w:rsidP="0068581B">
      <w:pPr>
        <w:spacing w:line="360" w:lineRule="auto"/>
        <w:rPr>
          <w:rFonts w:ascii="Calibri" w:hAnsi="Calibri" w:cs="Calibri"/>
          <w:sz w:val="24"/>
          <w:szCs w:val="24"/>
        </w:rPr>
      </w:pPr>
      <w:r w:rsidRPr="00E50F87">
        <w:rPr>
          <w:rFonts w:ascii="Calibri" w:hAnsi="Calibri" w:cs="Calibri"/>
          <w:sz w:val="24"/>
          <w:szCs w:val="24"/>
        </w:rPr>
        <w:t xml:space="preserve">The successful implementation of the </w:t>
      </w:r>
      <w:proofErr w:type="spellStart"/>
      <w:r w:rsidR="00DA0DB7">
        <w:rPr>
          <w:rFonts w:ascii="Calibri" w:hAnsi="Calibri" w:cs="Calibri"/>
          <w:sz w:val="24"/>
          <w:szCs w:val="24"/>
        </w:rPr>
        <w:t>CfW</w:t>
      </w:r>
      <w:proofErr w:type="spellEnd"/>
      <w:r w:rsidRPr="00E50F87">
        <w:rPr>
          <w:rFonts w:ascii="Calibri" w:hAnsi="Calibri" w:cs="Calibri"/>
          <w:sz w:val="24"/>
          <w:szCs w:val="24"/>
        </w:rPr>
        <w:t xml:space="preserve">  depends significantly on the quality and relevance of professional development (PD) provided to educators. As the curriculum promotes autonomy, creativity, and learner-centred pedagogies, professional learning must be equally adaptive and reflective of these core principles</w:t>
      </w:r>
      <w:r w:rsidR="00DA0DB7">
        <w:rPr>
          <w:rFonts w:ascii="Calibri" w:hAnsi="Calibri" w:cs="Calibri"/>
          <w:sz w:val="24"/>
          <w:szCs w:val="24"/>
        </w:rPr>
        <w:t xml:space="preserve"> </w:t>
      </w:r>
      <w:r w:rsidR="00DA0DB7" w:rsidRPr="00E50F87">
        <w:rPr>
          <w:rFonts w:ascii="Calibri" w:hAnsi="Calibri" w:cs="Calibri"/>
          <w:sz w:val="24"/>
          <w:szCs w:val="24"/>
        </w:rPr>
        <w:t>(Welsh Government, 2020)</w:t>
      </w:r>
      <w:r w:rsidRPr="00E50F87">
        <w:rPr>
          <w:rFonts w:ascii="Calibri" w:hAnsi="Calibri" w:cs="Calibri"/>
          <w:sz w:val="24"/>
          <w:szCs w:val="24"/>
        </w:rPr>
        <w:t>.</w:t>
      </w:r>
      <w:r>
        <w:rPr>
          <w:rFonts w:ascii="Calibri" w:hAnsi="Calibri" w:cs="Calibri"/>
          <w:sz w:val="24"/>
          <w:szCs w:val="24"/>
        </w:rPr>
        <w:t xml:space="preserve"> </w:t>
      </w:r>
    </w:p>
    <w:p w14:paraId="489921F3" w14:textId="6C3ACB21" w:rsidR="00D137E1" w:rsidRDefault="0068735D" w:rsidP="0068581B">
      <w:pPr>
        <w:spacing w:line="360" w:lineRule="auto"/>
        <w:rPr>
          <w:rFonts w:ascii="Calibri" w:hAnsi="Calibri" w:cs="Calibri"/>
          <w:sz w:val="24"/>
          <w:szCs w:val="24"/>
        </w:rPr>
      </w:pPr>
      <w:r w:rsidRPr="0068735D">
        <w:rPr>
          <w:rFonts w:ascii="Calibri" w:hAnsi="Calibri" w:cs="Calibri"/>
          <w:sz w:val="24"/>
          <w:szCs w:val="24"/>
        </w:rPr>
        <w:t xml:space="preserve">One widely recommended strategy is the development of collaborative Professional Learning Communities (PLCs). Research suggests that PLCs foster sustained, context-sensitive learning through collective reflection and peer dialogue </w:t>
      </w:r>
      <w:r w:rsidRPr="00CC1B11">
        <w:rPr>
          <w:rFonts w:ascii="Calibri" w:hAnsi="Calibri" w:cs="Calibri"/>
          <w:sz w:val="24"/>
          <w:szCs w:val="24"/>
        </w:rPr>
        <w:t>(Stoll et al., 2</w:t>
      </w:r>
      <w:r w:rsidR="00A908EF" w:rsidRPr="00CC1B11">
        <w:rPr>
          <w:rFonts w:ascii="Calibri" w:hAnsi="Calibri" w:cs="Calibri"/>
          <w:sz w:val="24"/>
          <w:szCs w:val="24"/>
        </w:rPr>
        <w:t>018</w:t>
      </w:r>
      <w:r w:rsidRPr="00CC1B11">
        <w:rPr>
          <w:rFonts w:ascii="Calibri" w:hAnsi="Calibri" w:cs="Calibri"/>
          <w:sz w:val="24"/>
          <w:szCs w:val="24"/>
        </w:rPr>
        <w:t>).</w:t>
      </w:r>
      <w:r w:rsidRPr="0068735D">
        <w:rPr>
          <w:rFonts w:ascii="Calibri" w:hAnsi="Calibri" w:cs="Calibri"/>
          <w:sz w:val="24"/>
          <w:szCs w:val="24"/>
        </w:rPr>
        <w:t xml:space="preserve"> In the Welsh context, PLCs can support teachers in designing cross-disciplinary learning experiences aligned with the curriculum’s four purposes, while also enabling consistency across key stages through cluster collaboration (Donaldson, 2015).</w:t>
      </w:r>
      <w:r w:rsidR="0068581B">
        <w:rPr>
          <w:rFonts w:ascii="Calibri" w:hAnsi="Calibri" w:cs="Calibri"/>
          <w:sz w:val="24"/>
          <w:szCs w:val="24"/>
        </w:rPr>
        <w:t xml:space="preserve"> </w:t>
      </w:r>
      <w:r w:rsidR="0068581B" w:rsidRPr="0068581B">
        <w:rPr>
          <w:rFonts w:ascii="Calibri" w:hAnsi="Calibri" w:cs="Calibri"/>
          <w:sz w:val="24"/>
          <w:szCs w:val="24"/>
        </w:rPr>
        <w:t xml:space="preserve">Coaching and mentoring models have also been identified as effective means of supporting professional growth. When embedded in school culture, these approaches can enhance individual confidence and competence in enacting curricular change </w:t>
      </w:r>
      <w:r w:rsidR="0068581B" w:rsidRPr="002C487E">
        <w:rPr>
          <w:rFonts w:ascii="Calibri" w:hAnsi="Calibri" w:cs="Calibri"/>
          <w:sz w:val="24"/>
          <w:szCs w:val="24"/>
        </w:rPr>
        <w:t xml:space="preserve">(Hobson </w:t>
      </w:r>
      <w:r w:rsidR="00260FD4">
        <w:rPr>
          <w:rFonts w:ascii="Calibri" w:hAnsi="Calibri" w:cs="Calibri"/>
          <w:sz w:val="24"/>
          <w:szCs w:val="24"/>
        </w:rPr>
        <w:t>and</w:t>
      </w:r>
      <w:r w:rsidR="0068581B" w:rsidRPr="002C487E">
        <w:rPr>
          <w:rFonts w:ascii="Calibri" w:hAnsi="Calibri" w:cs="Calibri"/>
          <w:sz w:val="24"/>
          <w:szCs w:val="24"/>
        </w:rPr>
        <w:t xml:space="preserve"> </w:t>
      </w:r>
      <w:proofErr w:type="spellStart"/>
      <w:r w:rsidR="0068581B" w:rsidRPr="002C487E">
        <w:rPr>
          <w:rFonts w:ascii="Calibri" w:hAnsi="Calibri" w:cs="Calibri"/>
          <w:sz w:val="24"/>
          <w:szCs w:val="24"/>
        </w:rPr>
        <w:t>Malderez</w:t>
      </w:r>
      <w:proofErr w:type="spellEnd"/>
      <w:r w:rsidR="0068581B" w:rsidRPr="002C487E">
        <w:rPr>
          <w:rFonts w:ascii="Calibri" w:hAnsi="Calibri" w:cs="Calibri"/>
          <w:sz w:val="24"/>
          <w:szCs w:val="24"/>
        </w:rPr>
        <w:t>, 2013).</w:t>
      </w:r>
      <w:r w:rsidR="0068581B" w:rsidRPr="0068581B">
        <w:rPr>
          <w:rFonts w:ascii="Calibri" w:hAnsi="Calibri" w:cs="Calibri"/>
          <w:sz w:val="24"/>
          <w:szCs w:val="24"/>
        </w:rPr>
        <w:t xml:space="preserve"> Mentoring is particularly beneficial for newly qualified teachers, who may require additional scaffolding to navigate the complexity of curriculum reform </w:t>
      </w:r>
      <w:r w:rsidR="0068581B" w:rsidRPr="0055359F">
        <w:rPr>
          <w:rFonts w:ascii="Calibri" w:hAnsi="Calibri" w:cs="Calibri"/>
          <w:sz w:val="24"/>
          <w:szCs w:val="24"/>
        </w:rPr>
        <w:t xml:space="preserve">(Ingersoll </w:t>
      </w:r>
      <w:r w:rsidR="00260FD4">
        <w:rPr>
          <w:rFonts w:ascii="Calibri" w:hAnsi="Calibri" w:cs="Calibri"/>
          <w:sz w:val="24"/>
          <w:szCs w:val="24"/>
        </w:rPr>
        <w:t>and</w:t>
      </w:r>
      <w:r w:rsidR="0068581B" w:rsidRPr="0055359F">
        <w:rPr>
          <w:rFonts w:ascii="Calibri" w:hAnsi="Calibri" w:cs="Calibri"/>
          <w:sz w:val="24"/>
          <w:szCs w:val="24"/>
        </w:rPr>
        <w:t xml:space="preserve"> Strong, 2011).</w:t>
      </w:r>
      <w:r w:rsidR="00AD7C03">
        <w:rPr>
          <w:rFonts w:ascii="Calibri" w:hAnsi="Calibri" w:cs="Calibri"/>
          <w:sz w:val="24"/>
          <w:szCs w:val="24"/>
        </w:rPr>
        <w:t xml:space="preserve"> </w:t>
      </w:r>
      <w:r w:rsidR="00084EB2" w:rsidRPr="00084EB2">
        <w:rPr>
          <w:rFonts w:ascii="Calibri" w:hAnsi="Calibri" w:cs="Calibri"/>
          <w:sz w:val="24"/>
          <w:szCs w:val="24"/>
        </w:rPr>
        <w:t xml:space="preserve">Engagement with research-informed practice is another critical aspect. Encouraging teachers to participate in </w:t>
      </w:r>
      <w:r w:rsidR="00084EB2" w:rsidRPr="00084EB2">
        <w:rPr>
          <w:rFonts w:ascii="Calibri" w:hAnsi="Calibri" w:cs="Calibri"/>
          <w:sz w:val="24"/>
          <w:szCs w:val="24"/>
        </w:rPr>
        <w:lastRenderedPageBreak/>
        <w:t xml:space="preserve">school-based inquiry or action research initiatives can deepen their understanding of effective pedagogical approaches and promote a culture of continuous improvement </w:t>
      </w:r>
      <w:r w:rsidR="00084EB2" w:rsidRPr="007D6CE3">
        <w:rPr>
          <w:rFonts w:ascii="Calibri" w:hAnsi="Calibri" w:cs="Calibri"/>
          <w:sz w:val="24"/>
          <w:szCs w:val="24"/>
        </w:rPr>
        <w:t>(Cordingley et al., 2015).</w:t>
      </w:r>
      <w:r w:rsidR="00084EB2" w:rsidRPr="00084EB2">
        <w:rPr>
          <w:rFonts w:ascii="Calibri" w:hAnsi="Calibri" w:cs="Calibri"/>
          <w:sz w:val="24"/>
          <w:szCs w:val="24"/>
        </w:rPr>
        <w:t xml:space="preserve"> Partnerships with universities or regional consortia further strengthen these opportunities</w:t>
      </w:r>
      <w:r w:rsidR="00D137E1">
        <w:rPr>
          <w:rFonts w:ascii="Calibri" w:hAnsi="Calibri" w:cs="Calibri"/>
          <w:sz w:val="24"/>
          <w:szCs w:val="24"/>
        </w:rPr>
        <w:t xml:space="preserve">. </w:t>
      </w:r>
    </w:p>
    <w:p w14:paraId="3842159D" w14:textId="3B000EBA" w:rsidR="00D137E1" w:rsidRDefault="00D137E1" w:rsidP="0068581B">
      <w:pPr>
        <w:spacing w:line="360" w:lineRule="auto"/>
        <w:rPr>
          <w:rFonts w:ascii="Calibri" w:hAnsi="Calibri" w:cs="Calibri"/>
          <w:sz w:val="24"/>
          <w:szCs w:val="24"/>
        </w:rPr>
      </w:pPr>
      <w:r w:rsidRPr="00D137E1">
        <w:rPr>
          <w:rFonts w:ascii="Calibri" w:hAnsi="Calibri" w:cs="Calibri"/>
          <w:sz w:val="24"/>
          <w:szCs w:val="24"/>
        </w:rPr>
        <w:t>In line with the curriculum’s emphasis on autonomy, reflective practice should be embedded within professional learning. The Welsh Government (2022) has advocated for schools to use self-evaluation tools to facilitate professional dialogue and ongoing refinement of practice. Such approaches foster a culture where teachers are trusted to exercise professional judgement and adapt practice to meet learner needs.</w:t>
      </w:r>
      <w:r w:rsidR="00B22E44">
        <w:rPr>
          <w:rFonts w:ascii="Calibri" w:hAnsi="Calibri" w:cs="Calibri"/>
          <w:sz w:val="24"/>
          <w:szCs w:val="24"/>
        </w:rPr>
        <w:t xml:space="preserve"> </w:t>
      </w:r>
      <w:r w:rsidR="00B22E44" w:rsidRPr="00B22E44">
        <w:rPr>
          <w:rFonts w:ascii="Calibri" w:hAnsi="Calibri" w:cs="Calibri"/>
          <w:sz w:val="24"/>
          <w:szCs w:val="24"/>
        </w:rPr>
        <w:t>Finally, effective PD requires structural support. Adequate time, resourcing, and leadership are essential to enable meaningful engagement with professional learning. School leaders play a pivotal role in cultivating supportive environments for curriculum reform and distributing leadership responsibilities to sustain momentum</w:t>
      </w:r>
      <w:r w:rsidR="00E7259A">
        <w:rPr>
          <w:rFonts w:ascii="Calibri" w:hAnsi="Calibri" w:cs="Calibri"/>
          <w:sz w:val="24"/>
          <w:szCs w:val="24"/>
        </w:rPr>
        <w:t xml:space="preserve">. </w:t>
      </w:r>
    </w:p>
    <w:p w14:paraId="2C531070" w14:textId="77777777" w:rsidR="00DB54CD" w:rsidRPr="00CB22CF" w:rsidRDefault="00524574" w:rsidP="00DB54CD">
      <w:pPr>
        <w:spacing w:line="360" w:lineRule="auto"/>
        <w:rPr>
          <w:rFonts w:ascii="Calibri" w:hAnsi="Calibri" w:cs="Calibri"/>
          <w:b/>
          <w:bCs/>
          <w:sz w:val="24"/>
          <w:szCs w:val="24"/>
          <w:u w:val="single"/>
        </w:rPr>
      </w:pPr>
      <w:r w:rsidRPr="00CB22CF">
        <w:rPr>
          <w:rFonts w:ascii="Calibri" w:hAnsi="Calibri" w:cs="Calibri"/>
          <w:b/>
          <w:bCs/>
          <w:sz w:val="24"/>
          <w:szCs w:val="24"/>
          <w:u w:val="single"/>
        </w:rPr>
        <w:t xml:space="preserve">Impact on learners: Emerging evidence </w:t>
      </w:r>
    </w:p>
    <w:p w14:paraId="5361D6AC" w14:textId="2E6144FD" w:rsidR="000013A0" w:rsidRPr="000013A0" w:rsidRDefault="000013A0" w:rsidP="00770002">
      <w:pPr>
        <w:spacing w:line="360" w:lineRule="auto"/>
        <w:rPr>
          <w:rFonts w:ascii="Calibri" w:hAnsi="Calibri" w:cs="Calibri"/>
          <w:sz w:val="24"/>
          <w:szCs w:val="24"/>
        </w:rPr>
      </w:pPr>
      <w:r w:rsidRPr="000013A0">
        <w:rPr>
          <w:rFonts w:ascii="Calibri" w:hAnsi="Calibri" w:cs="Calibri"/>
          <w:sz w:val="24"/>
          <w:szCs w:val="24"/>
        </w:rPr>
        <w:t xml:space="preserve">Although the full impact of the </w:t>
      </w:r>
      <w:proofErr w:type="spellStart"/>
      <w:r w:rsidRPr="000013A0">
        <w:rPr>
          <w:rFonts w:ascii="Calibri" w:hAnsi="Calibri" w:cs="Calibri"/>
          <w:sz w:val="24"/>
          <w:szCs w:val="24"/>
        </w:rPr>
        <w:t>C</w:t>
      </w:r>
      <w:r w:rsidR="005C00FF" w:rsidRPr="00770002">
        <w:rPr>
          <w:rFonts w:ascii="Calibri" w:hAnsi="Calibri" w:cs="Calibri"/>
          <w:sz w:val="24"/>
          <w:szCs w:val="24"/>
        </w:rPr>
        <w:t>f</w:t>
      </w:r>
      <w:r w:rsidRPr="000013A0">
        <w:rPr>
          <w:rFonts w:ascii="Calibri" w:hAnsi="Calibri" w:cs="Calibri"/>
          <w:sz w:val="24"/>
          <w:szCs w:val="24"/>
        </w:rPr>
        <w:t>W</w:t>
      </w:r>
      <w:proofErr w:type="spellEnd"/>
      <w:r w:rsidRPr="000013A0">
        <w:rPr>
          <w:rFonts w:ascii="Calibri" w:hAnsi="Calibri" w:cs="Calibri"/>
          <w:sz w:val="24"/>
          <w:szCs w:val="24"/>
        </w:rPr>
        <w:t xml:space="preserve"> will take time to materialise, early evaluations and practitioner insights offer some emerging evidence regarding its effect on learners. Central to the new curriculum is a focus on the development of ambitious, capable learners who are ethically informed, healthy, enterprising, and creative (Welsh Government, 2020). This shift away from content-heavy, assessment-driven approaches towards a more holistic model of learning is beginning to show promise in shaping learner experiences and engagement.</w:t>
      </w:r>
    </w:p>
    <w:p w14:paraId="1387A71C" w14:textId="3D10E71F" w:rsidR="000013A0" w:rsidRPr="000013A0" w:rsidRDefault="000013A0" w:rsidP="00770002">
      <w:pPr>
        <w:spacing w:line="360" w:lineRule="auto"/>
        <w:rPr>
          <w:rFonts w:ascii="Calibri" w:hAnsi="Calibri" w:cs="Calibri"/>
          <w:sz w:val="24"/>
          <w:szCs w:val="24"/>
        </w:rPr>
      </w:pPr>
      <w:r w:rsidRPr="000013A0">
        <w:rPr>
          <w:rFonts w:ascii="Calibri" w:hAnsi="Calibri" w:cs="Calibri"/>
          <w:sz w:val="24"/>
          <w:szCs w:val="24"/>
        </w:rPr>
        <w:t>Initial reports from schools piloting the curriculum suggest increased learner motivation and ownership of learning. According to Estyn (2023), many learners in these early adopter settings demonstrated greater confidence and independence, particularly when engaged in enquiry-based or thematic learning approaches. This aligns with findings from international research indicating that learner agency and engagement improve when curricula are flexible and designed around meaningful contexts (OECD, 2020).</w:t>
      </w:r>
      <w:r w:rsidR="00426150" w:rsidRPr="00770002">
        <w:rPr>
          <w:rFonts w:ascii="Calibri" w:hAnsi="Calibri" w:cs="Calibri"/>
          <w:sz w:val="24"/>
          <w:szCs w:val="24"/>
        </w:rPr>
        <w:t xml:space="preserve"> </w:t>
      </w:r>
      <w:r w:rsidRPr="000013A0">
        <w:rPr>
          <w:rFonts w:ascii="Calibri" w:hAnsi="Calibri" w:cs="Calibri"/>
          <w:sz w:val="24"/>
          <w:szCs w:val="24"/>
        </w:rPr>
        <w:t xml:space="preserve">Furthermore, the emphasis on progression rather than age-related attainment appears to be fostering a more inclusive learning environment. Progression steps are designed to accommodate different paces of learning, which may help reduce anxiety linked to </w:t>
      </w:r>
      <w:proofErr w:type="gramStart"/>
      <w:r w:rsidRPr="000013A0">
        <w:rPr>
          <w:rFonts w:ascii="Calibri" w:hAnsi="Calibri" w:cs="Calibri"/>
          <w:sz w:val="24"/>
          <w:szCs w:val="24"/>
        </w:rPr>
        <w:t>high-stakes</w:t>
      </w:r>
      <w:proofErr w:type="gramEnd"/>
      <w:r w:rsidRPr="000013A0">
        <w:rPr>
          <w:rFonts w:ascii="Calibri" w:hAnsi="Calibri" w:cs="Calibri"/>
          <w:sz w:val="24"/>
          <w:szCs w:val="24"/>
        </w:rPr>
        <w:t xml:space="preserve"> testing and enable learners to develop deeper understanding over time (Donaldson, 2015).</w:t>
      </w:r>
      <w:r w:rsidR="00D502EF" w:rsidRPr="00770002">
        <w:rPr>
          <w:rFonts w:ascii="Calibri" w:hAnsi="Calibri" w:cs="Calibri"/>
          <w:sz w:val="24"/>
          <w:szCs w:val="24"/>
        </w:rPr>
        <w:t xml:space="preserve"> According to a study conducted </w:t>
      </w:r>
      <w:r w:rsidR="00D502EF" w:rsidRPr="00770002">
        <w:rPr>
          <w:rFonts w:ascii="Calibri" w:hAnsi="Calibri" w:cs="Calibri"/>
          <w:sz w:val="24"/>
          <w:szCs w:val="24"/>
        </w:rPr>
        <w:lastRenderedPageBreak/>
        <w:t xml:space="preserve">by </w:t>
      </w:r>
      <w:r w:rsidR="00260FD4">
        <w:rPr>
          <w:rFonts w:ascii="Calibri" w:hAnsi="Calibri" w:cs="Calibri"/>
          <w:sz w:val="24"/>
          <w:szCs w:val="24"/>
        </w:rPr>
        <w:t>Thomas et al (2023)</w:t>
      </w:r>
      <w:r w:rsidR="00D502EF" w:rsidRPr="00770002">
        <w:rPr>
          <w:rFonts w:ascii="Calibri" w:hAnsi="Calibri" w:cs="Calibri"/>
          <w:sz w:val="24"/>
          <w:szCs w:val="24"/>
        </w:rPr>
        <w:t>, early qualitative feedback from practitioners suggests that this model allows for more personalised learning pathways that are responsive to individual learner needs, as well as more holistic and formative judgements about learner progress, moving away from narrow, data-driven assessment practices towards a broader understanding of development over time</w:t>
      </w:r>
      <w:r w:rsidR="00F12406" w:rsidRPr="00770002">
        <w:rPr>
          <w:rFonts w:ascii="Calibri" w:hAnsi="Calibri" w:cs="Calibri"/>
          <w:sz w:val="24"/>
          <w:szCs w:val="24"/>
        </w:rPr>
        <w:t xml:space="preserve">. </w:t>
      </w:r>
    </w:p>
    <w:p w14:paraId="56228974" w14:textId="14989CE0" w:rsidR="000013A0" w:rsidRPr="000013A0" w:rsidRDefault="000013A0" w:rsidP="00770002">
      <w:pPr>
        <w:spacing w:line="360" w:lineRule="auto"/>
        <w:rPr>
          <w:rFonts w:ascii="Calibri" w:hAnsi="Calibri" w:cs="Calibri"/>
          <w:sz w:val="24"/>
          <w:szCs w:val="24"/>
        </w:rPr>
      </w:pPr>
      <w:r w:rsidRPr="000013A0">
        <w:rPr>
          <w:rFonts w:ascii="Calibri" w:hAnsi="Calibri" w:cs="Calibri"/>
          <w:sz w:val="24"/>
          <w:szCs w:val="24"/>
        </w:rPr>
        <w:t>The integration of cross-curricular skills</w:t>
      </w:r>
      <w:r w:rsidR="00382B25" w:rsidRPr="00770002">
        <w:rPr>
          <w:rFonts w:ascii="Calibri" w:hAnsi="Calibri" w:cs="Calibri"/>
          <w:sz w:val="24"/>
          <w:szCs w:val="24"/>
        </w:rPr>
        <w:t xml:space="preserve"> such </w:t>
      </w:r>
      <w:proofErr w:type="gramStart"/>
      <w:r w:rsidR="00382B25" w:rsidRPr="00770002">
        <w:rPr>
          <w:rFonts w:ascii="Calibri" w:hAnsi="Calibri" w:cs="Calibri"/>
          <w:sz w:val="24"/>
          <w:szCs w:val="24"/>
        </w:rPr>
        <w:t>as;</w:t>
      </w:r>
      <w:proofErr w:type="gramEnd"/>
      <w:r w:rsidR="00382B25" w:rsidRPr="00770002">
        <w:rPr>
          <w:rFonts w:ascii="Calibri" w:hAnsi="Calibri" w:cs="Calibri"/>
          <w:sz w:val="24"/>
          <w:szCs w:val="24"/>
        </w:rPr>
        <w:t xml:space="preserve"> </w:t>
      </w:r>
      <w:r w:rsidRPr="000013A0">
        <w:rPr>
          <w:rFonts w:ascii="Calibri" w:hAnsi="Calibri" w:cs="Calibri"/>
          <w:sz w:val="24"/>
          <w:szCs w:val="24"/>
        </w:rPr>
        <w:t>literacy, numeracy and digital competence</w:t>
      </w:r>
      <w:r w:rsidR="00382B25" w:rsidRPr="00770002">
        <w:rPr>
          <w:rFonts w:ascii="Calibri" w:hAnsi="Calibri" w:cs="Calibri"/>
          <w:sz w:val="24"/>
          <w:szCs w:val="24"/>
        </w:rPr>
        <w:t xml:space="preserve">, </w:t>
      </w:r>
      <w:r w:rsidRPr="000013A0">
        <w:rPr>
          <w:rFonts w:ascii="Calibri" w:hAnsi="Calibri" w:cs="Calibri"/>
          <w:sz w:val="24"/>
          <w:szCs w:val="24"/>
        </w:rPr>
        <w:t>is al</w:t>
      </w:r>
      <w:r w:rsidR="00382B25" w:rsidRPr="00770002">
        <w:rPr>
          <w:rFonts w:ascii="Calibri" w:hAnsi="Calibri" w:cs="Calibri"/>
          <w:sz w:val="24"/>
          <w:szCs w:val="24"/>
        </w:rPr>
        <w:t>s</w:t>
      </w:r>
      <w:r w:rsidRPr="000013A0">
        <w:rPr>
          <w:rFonts w:ascii="Calibri" w:hAnsi="Calibri" w:cs="Calibri"/>
          <w:sz w:val="24"/>
          <w:szCs w:val="24"/>
        </w:rPr>
        <w:t xml:space="preserve">o beginning to influence learner outcomes. Some schools report improvements in digital fluency and problem-solving when these skills are embedded across disciplines rather than taught in isolation </w:t>
      </w:r>
      <w:r w:rsidR="00A2048B">
        <w:rPr>
          <w:rFonts w:ascii="Calibri" w:hAnsi="Calibri" w:cs="Calibri"/>
          <w:sz w:val="24"/>
          <w:szCs w:val="24"/>
        </w:rPr>
        <w:t>(Welsh Government, 2023)</w:t>
      </w:r>
      <w:r w:rsidRPr="000013A0">
        <w:rPr>
          <w:rFonts w:ascii="Calibri" w:hAnsi="Calibri" w:cs="Calibri"/>
          <w:sz w:val="24"/>
          <w:szCs w:val="24"/>
        </w:rPr>
        <w:t>. However, this requires significant pedagogical skill and curriculum design capacity on the part of educators, suggesting that the benefits to learners are closely tied to the quality of professional implementation</w:t>
      </w:r>
      <w:r w:rsidR="00062A3C" w:rsidRPr="00770002">
        <w:rPr>
          <w:rFonts w:ascii="Calibri" w:hAnsi="Calibri" w:cs="Calibri"/>
          <w:sz w:val="24"/>
          <w:szCs w:val="24"/>
        </w:rPr>
        <w:t xml:space="preserve"> as touched on previously</w:t>
      </w:r>
      <w:r w:rsidRPr="000013A0">
        <w:rPr>
          <w:rFonts w:ascii="Calibri" w:hAnsi="Calibri" w:cs="Calibri"/>
          <w:sz w:val="24"/>
          <w:szCs w:val="24"/>
        </w:rPr>
        <w:t>.</w:t>
      </w:r>
    </w:p>
    <w:p w14:paraId="06000E65" w14:textId="19CEBC2F" w:rsidR="000013A0" w:rsidRPr="000013A0" w:rsidRDefault="000013A0" w:rsidP="00770002">
      <w:pPr>
        <w:spacing w:line="360" w:lineRule="auto"/>
        <w:rPr>
          <w:rFonts w:ascii="Calibri" w:hAnsi="Calibri" w:cs="Calibri"/>
          <w:sz w:val="24"/>
          <w:szCs w:val="24"/>
        </w:rPr>
      </w:pPr>
      <w:r w:rsidRPr="000013A0">
        <w:rPr>
          <w:rFonts w:ascii="Calibri" w:hAnsi="Calibri" w:cs="Calibri"/>
          <w:sz w:val="24"/>
          <w:szCs w:val="24"/>
        </w:rPr>
        <w:t>Nonetheless, challenges remain. There are concerns about the consistency of learner experiences across different schools and local authorities, due in part to the high degree of professional autonomy granted under the new model (Power,</w:t>
      </w:r>
      <w:r w:rsidR="00A22BD0" w:rsidRPr="00A22BD0">
        <w:rPr>
          <w:rFonts w:ascii="Calibri" w:hAnsi="Calibri" w:cs="Calibri"/>
          <w:sz w:val="24"/>
          <w:szCs w:val="24"/>
        </w:rPr>
        <w:t xml:space="preserve"> Newton and Taylor,</w:t>
      </w:r>
      <w:r w:rsidRPr="000013A0">
        <w:rPr>
          <w:rFonts w:ascii="Calibri" w:hAnsi="Calibri" w:cs="Calibri"/>
          <w:sz w:val="24"/>
          <w:szCs w:val="24"/>
        </w:rPr>
        <w:t xml:space="preserve"> 20</w:t>
      </w:r>
      <w:r w:rsidR="009A1457" w:rsidRPr="00A22BD0">
        <w:rPr>
          <w:rFonts w:ascii="Calibri" w:hAnsi="Calibri" w:cs="Calibri"/>
          <w:sz w:val="24"/>
          <w:szCs w:val="24"/>
        </w:rPr>
        <w:t>20</w:t>
      </w:r>
      <w:r w:rsidRPr="000013A0">
        <w:rPr>
          <w:rFonts w:ascii="Calibri" w:hAnsi="Calibri" w:cs="Calibri"/>
          <w:sz w:val="24"/>
          <w:szCs w:val="24"/>
        </w:rPr>
        <w:t xml:space="preserve">). </w:t>
      </w:r>
      <w:r w:rsidR="00A67A02" w:rsidRPr="00770002">
        <w:rPr>
          <w:rFonts w:ascii="Calibri" w:hAnsi="Calibri" w:cs="Calibri"/>
          <w:sz w:val="24"/>
          <w:szCs w:val="24"/>
        </w:rPr>
        <w:t>This variability may lead to inequities in curriculum delivery and learner outcomes, as differences in school capacity, teacher expertise, and resource availability can result in uneven implementation across settings. Such disparities risk undermining the curriculum’s equity ambitions unless they are addressed through robust quality assurance processes, sustained professional support, and clear national guidance to ensure consistency without compromising professional autonomy.</w:t>
      </w:r>
    </w:p>
    <w:p w14:paraId="4B34F7B5" w14:textId="5AB464F3" w:rsidR="000013A0" w:rsidRPr="000013A0" w:rsidRDefault="00CF2E4E" w:rsidP="00770002">
      <w:pPr>
        <w:spacing w:line="360" w:lineRule="auto"/>
        <w:rPr>
          <w:rFonts w:ascii="Calibri" w:hAnsi="Calibri" w:cs="Calibri"/>
          <w:sz w:val="24"/>
          <w:szCs w:val="24"/>
        </w:rPr>
      </w:pPr>
      <w:r w:rsidRPr="00770002">
        <w:rPr>
          <w:rFonts w:ascii="Calibri" w:hAnsi="Calibri" w:cs="Calibri"/>
          <w:sz w:val="24"/>
          <w:szCs w:val="24"/>
        </w:rPr>
        <w:t xml:space="preserve">Moreover, while learner wellbeing is a foundational aim of the </w:t>
      </w:r>
      <w:proofErr w:type="spellStart"/>
      <w:r w:rsidRPr="00770002">
        <w:rPr>
          <w:rFonts w:ascii="Calibri" w:hAnsi="Calibri" w:cs="Calibri"/>
          <w:sz w:val="24"/>
          <w:szCs w:val="24"/>
        </w:rPr>
        <w:t>CfW</w:t>
      </w:r>
      <w:proofErr w:type="spellEnd"/>
      <w:r w:rsidRPr="00770002">
        <w:rPr>
          <w:rFonts w:ascii="Calibri" w:hAnsi="Calibri" w:cs="Calibri"/>
          <w:sz w:val="24"/>
          <w:szCs w:val="24"/>
        </w:rPr>
        <w:t>, evidence of its direct and sustained impact in this area remains in the early stages of development. The curriculum places significant emphasis on fostering emotionally and socially resilient learners, embedding wellbeing across all Areas of Learning and Experience (</w:t>
      </w:r>
      <w:proofErr w:type="spellStart"/>
      <w:r w:rsidRPr="00770002">
        <w:rPr>
          <w:rFonts w:ascii="Calibri" w:hAnsi="Calibri" w:cs="Calibri"/>
          <w:sz w:val="24"/>
          <w:szCs w:val="24"/>
        </w:rPr>
        <w:t>AoLEs</w:t>
      </w:r>
      <w:proofErr w:type="spellEnd"/>
      <w:r w:rsidRPr="00770002">
        <w:rPr>
          <w:rFonts w:ascii="Calibri" w:hAnsi="Calibri" w:cs="Calibri"/>
          <w:sz w:val="24"/>
          <w:szCs w:val="24"/>
        </w:rPr>
        <w:t>). Early evaluations indicate that learners value the increased focus on personal and social education, particularly the new emphasis on ethical citi</w:t>
      </w:r>
      <w:r w:rsidR="00233CA8" w:rsidRPr="00770002">
        <w:rPr>
          <w:rFonts w:ascii="Calibri" w:hAnsi="Calibri" w:cs="Calibri"/>
          <w:sz w:val="24"/>
          <w:szCs w:val="24"/>
        </w:rPr>
        <w:t>z</w:t>
      </w:r>
      <w:r w:rsidRPr="00770002">
        <w:rPr>
          <w:rFonts w:ascii="Calibri" w:hAnsi="Calibri" w:cs="Calibri"/>
          <w:sz w:val="24"/>
          <w:szCs w:val="24"/>
        </w:rPr>
        <w:t xml:space="preserve">enship, mental health, and emotional literacy (Estyn, 2023). Teachers have reported improved learner engagement during sessions focused on wellbeing-related themes, suggesting that the curriculum’s holistic intentions are resonating with pupils. However, current findings are largely based on small-scale or anecdotal evidence. Comprehensive longitudinal studies are still needed to </w:t>
      </w:r>
      <w:r w:rsidRPr="00770002">
        <w:rPr>
          <w:rFonts w:ascii="Calibri" w:hAnsi="Calibri" w:cs="Calibri"/>
          <w:sz w:val="24"/>
          <w:szCs w:val="24"/>
        </w:rPr>
        <w:lastRenderedPageBreak/>
        <w:t>evaluate the long-term impact of the curriculum on learners’ psychological wellbeing, social development, and overall life satisfaction, especially across diverse demographic and socio-economic contexts</w:t>
      </w:r>
      <w:r w:rsidR="000013A0" w:rsidRPr="000013A0">
        <w:rPr>
          <w:rFonts w:ascii="Calibri" w:hAnsi="Calibri" w:cs="Calibri"/>
          <w:sz w:val="24"/>
          <w:szCs w:val="24"/>
        </w:rPr>
        <w:t>.</w:t>
      </w:r>
    </w:p>
    <w:p w14:paraId="4A0FAB60" w14:textId="77777777" w:rsidR="000013A0" w:rsidRPr="000013A0" w:rsidRDefault="000013A0" w:rsidP="00770002">
      <w:pPr>
        <w:spacing w:line="360" w:lineRule="auto"/>
        <w:rPr>
          <w:rFonts w:ascii="Calibri" w:hAnsi="Calibri" w:cs="Calibri"/>
          <w:sz w:val="24"/>
          <w:szCs w:val="24"/>
        </w:rPr>
      </w:pPr>
      <w:r w:rsidRPr="000013A0">
        <w:rPr>
          <w:rFonts w:ascii="Calibri" w:hAnsi="Calibri" w:cs="Calibri"/>
          <w:sz w:val="24"/>
          <w:szCs w:val="24"/>
        </w:rPr>
        <w:t>In summary, the early evidence suggests that the Curriculum for Wales holds the potential to positively impact learners by promoting agency, inclusion, and holistic development. However, the scale and consistency of this impact will likely depend on the ongoing professional learning of teachers, the strength of curriculum design, and the effectiveness of school-level leadership and evaluation systems.</w:t>
      </w:r>
    </w:p>
    <w:p w14:paraId="37429611" w14:textId="0C30DD23" w:rsidR="00AE0071" w:rsidRPr="003409F7" w:rsidRDefault="00AE0071" w:rsidP="003409F7">
      <w:pPr>
        <w:spacing w:line="360" w:lineRule="auto"/>
        <w:rPr>
          <w:rFonts w:ascii="Calibri" w:hAnsi="Calibri" w:cs="Calibri"/>
          <w:b/>
          <w:bCs/>
          <w:sz w:val="24"/>
          <w:szCs w:val="24"/>
          <w:u w:val="single"/>
        </w:rPr>
      </w:pPr>
      <w:r w:rsidRPr="003409F7">
        <w:rPr>
          <w:rFonts w:ascii="Calibri" w:hAnsi="Calibri" w:cs="Calibri"/>
          <w:b/>
          <w:bCs/>
          <w:sz w:val="24"/>
          <w:szCs w:val="24"/>
          <w:u w:val="single"/>
        </w:rPr>
        <w:t xml:space="preserve">Conclusion </w:t>
      </w:r>
    </w:p>
    <w:p w14:paraId="45C748B8" w14:textId="60EC7260" w:rsidR="00CC6D60" w:rsidRPr="00CC6D60" w:rsidRDefault="00CC6D60" w:rsidP="00C135CC">
      <w:pPr>
        <w:spacing w:line="360" w:lineRule="auto"/>
        <w:rPr>
          <w:rFonts w:ascii="Calibri" w:hAnsi="Calibri" w:cs="Calibri"/>
          <w:sz w:val="24"/>
          <w:szCs w:val="24"/>
        </w:rPr>
      </w:pPr>
      <w:r w:rsidRPr="00CC6D60">
        <w:rPr>
          <w:rFonts w:ascii="Calibri" w:hAnsi="Calibri" w:cs="Calibri"/>
          <w:sz w:val="24"/>
          <w:szCs w:val="24"/>
        </w:rPr>
        <w:t xml:space="preserve">The literature reviewed presents a multifaceted understanding of the </w:t>
      </w:r>
      <w:proofErr w:type="spellStart"/>
      <w:r w:rsidRPr="00CC6D60">
        <w:rPr>
          <w:rFonts w:ascii="Calibri" w:hAnsi="Calibri" w:cs="Calibri"/>
          <w:sz w:val="24"/>
          <w:szCs w:val="24"/>
        </w:rPr>
        <w:t>CfW</w:t>
      </w:r>
      <w:proofErr w:type="spellEnd"/>
      <w:r w:rsidRPr="00CC6D60">
        <w:rPr>
          <w:rFonts w:ascii="Calibri" w:hAnsi="Calibri" w:cs="Calibri"/>
          <w:sz w:val="24"/>
          <w:szCs w:val="24"/>
        </w:rPr>
        <w:t xml:space="preserve">, positioning it as a bold and transformative reform grounded in a vision of holistic, inclusive, and future-oriented education. At its core, the curriculum is designed to develop ambitious, capable learners and ethical, informed citizens through an integrated, purpose-led structure that values progression, wellbeing, and cross-disciplinary skills. The policy context surrounding the </w:t>
      </w:r>
      <w:proofErr w:type="spellStart"/>
      <w:r w:rsidRPr="00CC6D60">
        <w:rPr>
          <w:rFonts w:ascii="Calibri" w:hAnsi="Calibri" w:cs="Calibri"/>
          <w:sz w:val="24"/>
          <w:szCs w:val="24"/>
        </w:rPr>
        <w:t>CfW</w:t>
      </w:r>
      <w:proofErr w:type="spellEnd"/>
      <w:r w:rsidRPr="00CC6D60">
        <w:rPr>
          <w:rFonts w:ascii="Calibri" w:hAnsi="Calibri" w:cs="Calibri"/>
          <w:sz w:val="24"/>
          <w:szCs w:val="24"/>
        </w:rPr>
        <w:t xml:space="preserve"> is similarly ambitious, emphasising school-level autonomy, practitioner agency, and a departure from overly prescriptive content models in favour of professional trust and contextual relevance.</w:t>
      </w:r>
    </w:p>
    <w:p w14:paraId="093D9C67" w14:textId="77777777" w:rsidR="00CC6D60" w:rsidRPr="00CC6D60" w:rsidRDefault="00CC6D60" w:rsidP="00C135CC">
      <w:pPr>
        <w:spacing w:line="360" w:lineRule="auto"/>
        <w:rPr>
          <w:rFonts w:ascii="Calibri" w:hAnsi="Calibri" w:cs="Calibri"/>
          <w:sz w:val="24"/>
          <w:szCs w:val="24"/>
        </w:rPr>
      </w:pPr>
      <w:r w:rsidRPr="00CC6D60">
        <w:rPr>
          <w:rFonts w:ascii="Calibri" w:hAnsi="Calibri" w:cs="Calibri"/>
          <w:sz w:val="24"/>
          <w:szCs w:val="24"/>
        </w:rPr>
        <w:t>The implementation of this vision has been both promising and complex. While many practitioners express broad support for the curriculum’s aims, the literature reveals that realising these ambitions requires a substantial shift in pedagogical thinking and curriculum design capacity. Success is closely tied to the quality of professional development available to educators. Research indicates that collaborative approaches, such as Professional Learning Communities (PLCs), coaching, mentoring, and enquiry-led professional learning, are essential in supporting practitioners to develop the skills, confidence, and critical understanding needed to co-construct the curriculum within their contexts.</w:t>
      </w:r>
    </w:p>
    <w:p w14:paraId="1BA5E1EE" w14:textId="77777777" w:rsidR="00CC6D60" w:rsidRPr="00CC6D60" w:rsidRDefault="00CC6D60" w:rsidP="00C135CC">
      <w:pPr>
        <w:spacing w:line="360" w:lineRule="auto"/>
        <w:rPr>
          <w:rFonts w:ascii="Calibri" w:hAnsi="Calibri" w:cs="Calibri"/>
          <w:sz w:val="24"/>
          <w:szCs w:val="24"/>
        </w:rPr>
      </w:pPr>
      <w:r w:rsidRPr="00CC6D60">
        <w:rPr>
          <w:rFonts w:ascii="Calibri" w:hAnsi="Calibri" w:cs="Calibri"/>
          <w:sz w:val="24"/>
          <w:szCs w:val="24"/>
        </w:rPr>
        <w:t xml:space="preserve">Practitioner perspectives across the literature reveal a mix of optimism and uncertainty. While teachers welcome the flexibility and autonomy offered by the </w:t>
      </w:r>
      <w:proofErr w:type="spellStart"/>
      <w:r w:rsidRPr="00CC6D60">
        <w:rPr>
          <w:rFonts w:ascii="Calibri" w:hAnsi="Calibri" w:cs="Calibri"/>
          <w:sz w:val="24"/>
          <w:szCs w:val="24"/>
        </w:rPr>
        <w:t>CfW</w:t>
      </w:r>
      <w:proofErr w:type="spellEnd"/>
      <w:r w:rsidRPr="00CC6D60">
        <w:rPr>
          <w:rFonts w:ascii="Calibri" w:hAnsi="Calibri" w:cs="Calibri"/>
          <w:sz w:val="24"/>
          <w:szCs w:val="24"/>
        </w:rPr>
        <w:t xml:space="preserve">, many also highlight challenges related to workload, curriculum design, and inconsistent access to support. A common concern is the variation in school-level implementation, raising questions about equity and consistency across the system. This tension between autonomy </w:t>
      </w:r>
      <w:r w:rsidRPr="00CC6D60">
        <w:rPr>
          <w:rFonts w:ascii="Calibri" w:hAnsi="Calibri" w:cs="Calibri"/>
          <w:sz w:val="24"/>
          <w:szCs w:val="24"/>
        </w:rPr>
        <w:lastRenderedPageBreak/>
        <w:t>and accountability underscores the need for a more coherent national framework of guidance, professional learning, and evaluation.</w:t>
      </w:r>
    </w:p>
    <w:p w14:paraId="45D91804" w14:textId="77777777" w:rsidR="00CC6D60" w:rsidRPr="00CC6D60" w:rsidRDefault="00CC6D60" w:rsidP="00C135CC">
      <w:pPr>
        <w:spacing w:line="360" w:lineRule="auto"/>
        <w:rPr>
          <w:rFonts w:ascii="Calibri" w:hAnsi="Calibri" w:cs="Calibri"/>
          <w:sz w:val="24"/>
          <w:szCs w:val="24"/>
        </w:rPr>
      </w:pPr>
      <w:r w:rsidRPr="00CC6D60">
        <w:rPr>
          <w:rFonts w:ascii="Calibri" w:hAnsi="Calibri" w:cs="Calibri"/>
          <w:sz w:val="24"/>
          <w:szCs w:val="24"/>
        </w:rPr>
        <w:t xml:space="preserve">Emerging evidence on the impact of the </w:t>
      </w:r>
      <w:proofErr w:type="spellStart"/>
      <w:r w:rsidRPr="00CC6D60">
        <w:rPr>
          <w:rFonts w:ascii="Calibri" w:hAnsi="Calibri" w:cs="Calibri"/>
          <w:sz w:val="24"/>
          <w:szCs w:val="24"/>
        </w:rPr>
        <w:t>CfW</w:t>
      </w:r>
      <w:proofErr w:type="spellEnd"/>
      <w:r w:rsidRPr="00CC6D60">
        <w:rPr>
          <w:rFonts w:ascii="Calibri" w:hAnsi="Calibri" w:cs="Calibri"/>
          <w:sz w:val="24"/>
          <w:szCs w:val="24"/>
        </w:rPr>
        <w:t xml:space="preserve"> on learners is cautiously optimistic. Early qualitative findings suggest improvements in learner engagement, independence, and wellbeing, particularly where schools have embedded enquiry-based and inclusive approaches. The curriculum’s emphasis on progression over performance, along with its focus on ethical citizenship and personal development, appears to resonate positively with learners. However, the lack of robust, long-term data means that the true impact remains largely speculative at this stage. More longitudinal research is required to understand the sustained effects on educational equity, attainment, and learner wellbeing.</w:t>
      </w:r>
    </w:p>
    <w:p w14:paraId="347B1FE7" w14:textId="77777777" w:rsidR="00CC6D60" w:rsidRPr="00CC6D60" w:rsidRDefault="00CC6D60" w:rsidP="00C135CC">
      <w:pPr>
        <w:spacing w:line="360" w:lineRule="auto"/>
        <w:rPr>
          <w:rFonts w:ascii="Calibri" w:hAnsi="Calibri" w:cs="Calibri"/>
          <w:sz w:val="24"/>
          <w:szCs w:val="24"/>
        </w:rPr>
      </w:pPr>
      <w:r w:rsidRPr="00CC6D60">
        <w:rPr>
          <w:rFonts w:ascii="Calibri" w:hAnsi="Calibri" w:cs="Calibri"/>
          <w:sz w:val="24"/>
          <w:szCs w:val="24"/>
        </w:rPr>
        <w:t xml:space="preserve">Critical perspectives in the literature offer valuable insights into the broader structural and socio-political challenges that may shape the success of the </w:t>
      </w:r>
      <w:proofErr w:type="spellStart"/>
      <w:r w:rsidRPr="00CC6D60">
        <w:rPr>
          <w:rFonts w:ascii="Calibri" w:hAnsi="Calibri" w:cs="Calibri"/>
          <w:sz w:val="24"/>
          <w:szCs w:val="24"/>
        </w:rPr>
        <w:t>CfW</w:t>
      </w:r>
      <w:proofErr w:type="spellEnd"/>
      <w:r w:rsidRPr="00CC6D60">
        <w:rPr>
          <w:rFonts w:ascii="Calibri" w:hAnsi="Calibri" w:cs="Calibri"/>
          <w:sz w:val="24"/>
          <w:szCs w:val="24"/>
        </w:rPr>
        <w:t>. Concerns about policy coherence, the capacity of the system to manage large-scale reform, and the risk of perpetuating inequalities through uneven implementation suggest that the curriculum’s long-term success will depend not only on local innovation but also on national leadership, system-wide investment, and continuous evaluation.</w:t>
      </w:r>
    </w:p>
    <w:p w14:paraId="7283C193" w14:textId="1E64367F" w:rsidR="00CC6D60" w:rsidRPr="00CC6D60" w:rsidRDefault="00CC6D60" w:rsidP="00C135CC">
      <w:pPr>
        <w:spacing w:line="360" w:lineRule="auto"/>
        <w:rPr>
          <w:rFonts w:ascii="Calibri" w:hAnsi="Calibri" w:cs="Calibri"/>
          <w:sz w:val="24"/>
          <w:szCs w:val="24"/>
        </w:rPr>
      </w:pPr>
      <w:r w:rsidRPr="00CC6D60">
        <w:rPr>
          <w:rFonts w:ascii="Calibri" w:hAnsi="Calibri" w:cs="Calibri"/>
          <w:sz w:val="24"/>
          <w:szCs w:val="24"/>
        </w:rPr>
        <w:t>In conclusion, while the Curriculum for Wales represents a significant departure from traditional curriculum models, its success is not guaranteed. The literature suggests that meaningful implementation will rely on a system-wide commitment to professional development, equity in support structures, and sustained research into learner outcomes. This review highlights both the promise and the complexity of the reform, and it reinforces the importance of investigating how teachers</w:t>
      </w:r>
      <w:r w:rsidR="00C135CC" w:rsidRPr="00C135CC">
        <w:rPr>
          <w:rFonts w:ascii="Calibri" w:hAnsi="Calibri" w:cs="Calibri"/>
          <w:sz w:val="24"/>
          <w:szCs w:val="24"/>
        </w:rPr>
        <w:t xml:space="preserve">, </w:t>
      </w:r>
      <w:r w:rsidRPr="00CC6D60">
        <w:rPr>
          <w:rFonts w:ascii="Calibri" w:hAnsi="Calibri" w:cs="Calibri"/>
          <w:sz w:val="24"/>
          <w:szCs w:val="24"/>
        </w:rPr>
        <w:t>particularly those in the early stages of their careers</w:t>
      </w:r>
      <w:r w:rsidR="00C135CC" w:rsidRPr="00C135CC">
        <w:rPr>
          <w:rFonts w:ascii="Calibri" w:hAnsi="Calibri" w:cs="Calibri"/>
          <w:sz w:val="24"/>
          <w:szCs w:val="24"/>
        </w:rPr>
        <w:t xml:space="preserve">, </w:t>
      </w:r>
      <w:r w:rsidRPr="00CC6D60">
        <w:rPr>
          <w:rFonts w:ascii="Calibri" w:hAnsi="Calibri" w:cs="Calibri"/>
          <w:sz w:val="24"/>
          <w:szCs w:val="24"/>
        </w:rPr>
        <w:t>are navigating the demands of this evolving educational landscape.</w:t>
      </w:r>
    </w:p>
    <w:p w14:paraId="4170B38E" w14:textId="77777777" w:rsidR="0059120B" w:rsidRDefault="0059120B"/>
    <w:p w14:paraId="28662248" w14:textId="77777777" w:rsidR="0059120B" w:rsidRDefault="0059120B"/>
    <w:p w14:paraId="71011FEB" w14:textId="77777777" w:rsidR="0059120B" w:rsidRDefault="0059120B"/>
    <w:p w14:paraId="5352E29D" w14:textId="77777777" w:rsidR="0059120B" w:rsidRDefault="0059120B"/>
    <w:p w14:paraId="19088FBF" w14:textId="77777777" w:rsidR="0059120B" w:rsidRDefault="0059120B"/>
    <w:p w14:paraId="49037A4A" w14:textId="77777777" w:rsidR="0059120B" w:rsidRDefault="0059120B"/>
    <w:p w14:paraId="664CD03C" w14:textId="77777777" w:rsidR="0059120B" w:rsidRDefault="0059120B"/>
    <w:p w14:paraId="489307CE" w14:textId="5F31BCEA" w:rsidR="00FF6997" w:rsidRPr="00B00A73" w:rsidRDefault="0059120B">
      <w:r>
        <w:lastRenderedPageBreak/>
        <w:t xml:space="preserve">Reference List </w:t>
      </w:r>
    </w:p>
    <w:p w14:paraId="4B9F4D7D" w14:textId="77777777" w:rsidR="00FF6997" w:rsidRPr="00FF6997" w:rsidRDefault="00FF6997">
      <w:pPr>
        <w:rPr>
          <w:rFonts w:ascii="Calibri" w:hAnsi="Calibri" w:cs="Calibri"/>
        </w:rPr>
      </w:pPr>
      <w:r w:rsidRPr="00FF6997">
        <w:rPr>
          <w:rFonts w:ascii="Calibri" w:hAnsi="Calibri" w:cs="Calibri"/>
        </w:rPr>
        <w:t>Boyle, B. and Charles, M., (2016). Curriculum development: A guide for educators.</w:t>
      </w:r>
    </w:p>
    <w:p w14:paraId="396CA494" w14:textId="77777777" w:rsidR="00FF6997" w:rsidRPr="00FF6997" w:rsidRDefault="00FF6997">
      <w:pPr>
        <w:rPr>
          <w:rFonts w:ascii="Calibri" w:hAnsi="Calibri" w:cs="Calibri"/>
        </w:rPr>
      </w:pPr>
      <w:r w:rsidRPr="00FF6997">
        <w:rPr>
          <w:rFonts w:ascii="Calibri" w:hAnsi="Calibri" w:cs="Calibri"/>
        </w:rPr>
        <w:t>Bruce, T., (2012). </w:t>
      </w:r>
      <w:r w:rsidRPr="00FF6997">
        <w:rPr>
          <w:rFonts w:ascii="Calibri" w:hAnsi="Calibri" w:cs="Calibri"/>
          <w:i/>
          <w:iCs/>
        </w:rPr>
        <w:t>Universities and constitutional change in the UK: the impact of devolution on the higher education sector</w:t>
      </w:r>
      <w:r w:rsidRPr="00FF6997">
        <w:rPr>
          <w:rFonts w:ascii="Calibri" w:hAnsi="Calibri" w:cs="Calibri"/>
        </w:rPr>
        <w:t>. Oxford: Higher Education Policy Institute.</w:t>
      </w:r>
    </w:p>
    <w:p w14:paraId="17F29863" w14:textId="77777777" w:rsidR="00FF6997" w:rsidRPr="00FF6997" w:rsidRDefault="00FF6997">
      <w:pPr>
        <w:rPr>
          <w:rFonts w:ascii="Calibri" w:hAnsi="Calibri" w:cs="Calibri"/>
        </w:rPr>
      </w:pPr>
      <w:r w:rsidRPr="00FF6997">
        <w:rPr>
          <w:rFonts w:ascii="Calibri" w:hAnsi="Calibri" w:cs="Calibri"/>
        </w:rPr>
        <w:t xml:space="preserve">Bruner, J. S. (1960). </w:t>
      </w:r>
      <w:r w:rsidRPr="00FF6997">
        <w:rPr>
          <w:rFonts w:ascii="Calibri" w:hAnsi="Calibri" w:cs="Calibri"/>
          <w:i/>
          <w:iCs/>
        </w:rPr>
        <w:t>The Process of Education</w:t>
      </w:r>
      <w:r w:rsidRPr="00FF6997">
        <w:rPr>
          <w:rFonts w:ascii="Calibri" w:hAnsi="Calibri" w:cs="Calibri"/>
        </w:rPr>
        <w:t>. Cambridge, MA: Harvard University Press.</w:t>
      </w:r>
    </w:p>
    <w:p w14:paraId="50CCC08A" w14:textId="77777777" w:rsidR="00FF6997" w:rsidRPr="00FF6997" w:rsidRDefault="00FF6997">
      <w:pPr>
        <w:rPr>
          <w:rFonts w:ascii="Calibri" w:hAnsi="Calibri" w:cs="Calibri"/>
        </w:rPr>
      </w:pPr>
      <w:r w:rsidRPr="00FF6997">
        <w:rPr>
          <w:rFonts w:ascii="Calibri" w:hAnsi="Calibri" w:cs="Calibri"/>
        </w:rPr>
        <w:t>Chapman, S., (2020). The significance of context: Autonomy and curriculum reform in rural schools. </w:t>
      </w:r>
      <w:r w:rsidRPr="00FF6997">
        <w:rPr>
          <w:rFonts w:ascii="Calibri" w:hAnsi="Calibri" w:cs="Calibri"/>
          <w:i/>
          <w:iCs/>
        </w:rPr>
        <w:t>The Curriculum Journal</w:t>
      </w:r>
      <w:r w:rsidRPr="00FF6997">
        <w:rPr>
          <w:rFonts w:ascii="Calibri" w:hAnsi="Calibri" w:cs="Calibri"/>
        </w:rPr>
        <w:t>, </w:t>
      </w:r>
      <w:r w:rsidRPr="00FF6997">
        <w:rPr>
          <w:rFonts w:ascii="Calibri" w:hAnsi="Calibri" w:cs="Calibri"/>
          <w:i/>
          <w:iCs/>
        </w:rPr>
        <w:t>31</w:t>
      </w:r>
      <w:r w:rsidRPr="00FF6997">
        <w:rPr>
          <w:rFonts w:ascii="Calibri" w:hAnsi="Calibri" w:cs="Calibri"/>
        </w:rPr>
        <w:t>(2), pp.231-243.</w:t>
      </w:r>
    </w:p>
    <w:p w14:paraId="5A035F46" w14:textId="77777777" w:rsidR="00FF6997" w:rsidRPr="00FF6997" w:rsidRDefault="00FF6997">
      <w:pPr>
        <w:rPr>
          <w:rFonts w:ascii="Calibri" w:hAnsi="Calibri" w:cs="Calibri"/>
        </w:rPr>
      </w:pPr>
      <w:r w:rsidRPr="00FF6997">
        <w:rPr>
          <w:rFonts w:ascii="Calibri" w:hAnsi="Calibri" w:cs="Calibri"/>
        </w:rPr>
        <w:t>Collen, I., Liu, M. and O'Boyle, A., (2023). Language Trends Wales 2022: Language Teaching in Primary Schools, Secondary Schools and Post-16 Colleges in Wales.</w:t>
      </w:r>
    </w:p>
    <w:p w14:paraId="4E6AE4E8" w14:textId="77777777" w:rsidR="00FF6997" w:rsidRPr="00FF6997" w:rsidRDefault="00FF6997">
      <w:pPr>
        <w:rPr>
          <w:rFonts w:ascii="Calibri" w:hAnsi="Calibri" w:cs="Calibri"/>
        </w:rPr>
      </w:pPr>
      <w:r w:rsidRPr="00FF6997">
        <w:rPr>
          <w:rFonts w:ascii="Calibri" w:hAnsi="Calibri" w:cs="Calibri"/>
        </w:rPr>
        <w:t>Cordingley, P., Higgins, S., Greany, T., Buckler, N., Coles-Jordan, D., Crisp, B., Saunders, L. and Coe, R., (2015). Developing great teaching: Lessons from the international reviews into effective professional development.</w:t>
      </w:r>
    </w:p>
    <w:p w14:paraId="75DC885F" w14:textId="77777777" w:rsidR="00FF6997" w:rsidRPr="00FF6997" w:rsidRDefault="00FF6997">
      <w:pPr>
        <w:rPr>
          <w:rFonts w:ascii="Calibri" w:hAnsi="Calibri" w:cs="Calibri"/>
        </w:rPr>
      </w:pPr>
      <w:r w:rsidRPr="00FF6997">
        <w:rPr>
          <w:rFonts w:ascii="Calibri" w:hAnsi="Calibri" w:cs="Calibri"/>
        </w:rPr>
        <w:t>Davies, A., Morgan, A., Connolly, M. &amp; Milton, E., (2024) “Education in Wales since Devolution: Three Waves of Policy, and the Pressing and Reoccurring Challenge of Implementation”, </w:t>
      </w:r>
      <w:r w:rsidRPr="00FF6997">
        <w:rPr>
          <w:rFonts w:ascii="Calibri" w:hAnsi="Calibri" w:cs="Calibri"/>
          <w:i/>
          <w:iCs/>
        </w:rPr>
        <w:t>Wales Journal of Education</w:t>
      </w:r>
      <w:r w:rsidRPr="00FF6997">
        <w:rPr>
          <w:rFonts w:ascii="Calibri" w:hAnsi="Calibri" w:cs="Calibri"/>
        </w:rPr>
        <w:t xml:space="preserve"> 26(2), 23–38. </w:t>
      </w:r>
      <w:proofErr w:type="spellStart"/>
      <w:r w:rsidRPr="00FF6997">
        <w:rPr>
          <w:rFonts w:ascii="Calibri" w:hAnsi="Calibri" w:cs="Calibri"/>
        </w:rPr>
        <w:t>doi</w:t>
      </w:r>
      <w:proofErr w:type="spellEnd"/>
      <w:r w:rsidRPr="00FF6997">
        <w:rPr>
          <w:rFonts w:ascii="Calibri" w:hAnsi="Calibri" w:cs="Calibri"/>
        </w:rPr>
        <w:t>: </w:t>
      </w:r>
      <w:hyperlink r:id="rId9" w:history="1">
        <w:r w:rsidRPr="00FF6997">
          <w:rPr>
            <w:rStyle w:val="Hyperlink"/>
            <w:rFonts w:ascii="Calibri" w:hAnsi="Calibri" w:cs="Calibri"/>
          </w:rPr>
          <w:t>https://doi.org/10.16922/wje.26.2.3</w:t>
        </w:r>
      </w:hyperlink>
    </w:p>
    <w:p w14:paraId="28689A87" w14:textId="77777777" w:rsidR="00FF6997" w:rsidRPr="00FF6997" w:rsidRDefault="00FF6997">
      <w:pPr>
        <w:rPr>
          <w:rFonts w:ascii="Calibri" w:hAnsi="Calibri" w:cs="Calibri"/>
        </w:rPr>
      </w:pPr>
      <w:proofErr w:type="spellStart"/>
      <w:r w:rsidRPr="00FF6997">
        <w:rPr>
          <w:rFonts w:ascii="Calibri" w:hAnsi="Calibri" w:cs="Calibri"/>
        </w:rPr>
        <w:t>DeMatthews</w:t>
      </w:r>
      <w:proofErr w:type="spellEnd"/>
      <w:r w:rsidRPr="00FF6997">
        <w:rPr>
          <w:rFonts w:ascii="Calibri" w:hAnsi="Calibri" w:cs="Calibri"/>
        </w:rPr>
        <w:t>, D., Carrola, P., Reyes, P. and Knight, D., (2021). School leadership burnout and job-related stress: Recommendations for district administrators and principals. </w:t>
      </w:r>
      <w:r w:rsidRPr="00FF6997">
        <w:rPr>
          <w:rFonts w:ascii="Calibri" w:hAnsi="Calibri" w:cs="Calibri"/>
          <w:i/>
          <w:iCs/>
        </w:rPr>
        <w:t>The Clearing House: A Journal of Educational Strategies, Issues and Ideas</w:t>
      </w:r>
      <w:r w:rsidRPr="00FF6997">
        <w:rPr>
          <w:rFonts w:ascii="Calibri" w:hAnsi="Calibri" w:cs="Calibri"/>
        </w:rPr>
        <w:t>, </w:t>
      </w:r>
      <w:r w:rsidRPr="00FF6997">
        <w:rPr>
          <w:rFonts w:ascii="Calibri" w:hAnsi="Calibri" w:cs="Calibri"/>
          <w:i/>
          <w:iCs/>
        </w:rPr>
        <w:t>94</w:t>
      </w:r>
      <w:r w:rsidRPr="00FF6997">
        <w:rPr>
          <w:rFonts w:ascii="Calibri" w:hAnsi="Calibri" w:cs="Calibri"/>
        </w:rPr>
        <w:t>(4), pp.159-167.</w:t>
      </w:r>
    </w:p>
    <w:p w14:paraId="4FFCE3D1" w14:textId="77777777" w:rsidR="00FF6997" w:rsidRPr="00FF6997" w:rsidRDefault="00FF6997" w:rsidP="004A6102">
      <w:pPr>
        <w:rPr>
          <w:rFonts w:ascii="Calibri" w:hAnsi="Calibri" w:cs="Calibri"/>
        </w:rPr>
      </w:pPr>
      <w:r w:rsidRPr="00FF6997">
        <w:rPr>
          <w:rFonts w:ascii="Calibri" w:hAnsi="Calibri" w:cs="Calibri"/>
        </w:rPr>
        <w:t xml:space="preserve">Dewey, J. (1938). </w:t>
      </w:r>
      <w:r w:rsidRPr="00FF6997">
        <w:rPr>
          <w:rFonts w:ascii="Calibri" w:hAnsi="Calibri" w:cs="Calibri"/>
          <w:i/>
          <w:iCs/>
        </w:rPr>
        <w:t>Experience and Education</w:t>
      </w:r>
      <w:r w:rsidRPr="00FF6997">
        <w:rPr>
          <w:rFonts w:ascii="Calibri" w:hAnsi="Calibri" w:cs="Calibri"/>
        </w:rPr>
        <w:t>. New York: Macmillan.</w:t>
      </w:r>
    </w:p>
    <w:p w14:paraId="33BC9A4D" w14:textId="77777777" w:rsidR="00FF6997" w:rsidRPr="00FF6997" w:rsidRDefault="00FF6997">
      <w:pPr>
        <w:rPr>
          <w:rFonts w:ascii="Calibri" w:hAnsi="Calibri" w:cs="Calibri"/>
        </w:rPr>
      </w:pPr>
      <w:r w:rsidRPr="00FF6997">
        <w:rPr>
          <w:rFonts w:ascii="Calibri" w:hAnsi="Calibri" w:cs="Calibri"/>
        </w:rPr>
        <w:t xml:space="preserve">Donaldson, G. (2015) </w:t>
      </w:r>
      <w:r w:rsidRPr="00FF6997">
        <w:rPr>
          <w:rFonts w:ascii="Calibri" w:hAnsi="Calibri" w:cs="Calibri"/>
          <w:i/>
          <w:iCs/>
        </w:rPr>
        <w:t>Successful Futures: Independent Review of Curriculum and Assessment Arrangements in Wales</w:t>
      </w:r>
      <w:r w:rsidRPr="00FF6997">
        <w:rPr>
          <w:rFonts w:ascii="Calibri" w:hAnsi="Calibri" w:cs="Calibri"/>
        </w:rPr>
        <w:t>. Welsh Government. Available at: https://www.gov.wales/sites/default/files/publications/2018-03/successful-futures.pdf (Accessed: 30/04/2025).</w:t>
      </w:r>
    </w:p>
    <w:p w14:paraId="6578397D" w14:textId="77777777" w:rsidR="00FF6997" w:rsidRPr="00FF6997" w:rsidRDefault="00FF6997">
      <w:pPr>
        <w:rPr>
          <w:rFonts w:ascii="Calibri" w:hAnsi="Calibri" w:cs="Calibri"/>
        </w:rPr>
      </w:pPr>
      <w:r w:rsidRPr="00FF6997">
        <w:rPr>
          <w:rFonts w:ascii="Calibri" w:hAnsi="Calibri" w:cs="Calibri"/>
        </w:rPr>
        <w:t xml:space="preserve">Donaldson, G., (2020). Leading and transforming education systems: A system approach to curriculum reform in </w:t>
      </w:r>
      <w:proofErr w:type="spellStart"/>
      <w:r w:rsidRPr="00FF6997">
        <w:rPr>
          <w:rFonts w:ascii="Calibri" w:hAnsi="Calibri" w:cs="Calibri"/>
        </w:rPr>
        <w:t>wales</w:t>
      </w:r>
      <w:proofErr w:type="spellEnd"/>
      <w:r w:rsidRPr="00FF6997">
        <w:rPr>
          <w:rFonts w:ascii="Calibri" w:hAnsi="Calibri" w:cs="Calibri"/>
        </w:rPr>
        <w:t>. </w:t>
      </w:r>
      <w:r w:rsidRPr="00FF6997">
        <w:rPr>
          <w:rFonts w:ascii="Calibri" w:hAnsi="Calibri" w:cs="Calibri"/>
          <w:i/>
          <w:iCs/>
        </w:rPr>
        <w:t>Leading and transforming education systems: Evidence, insights, critique and reflections</w:t>
      </w:r>
      <w:r w:rsidRPr="00FF6997">
        <w:rPr>
          <w:rFonts w:ascii="Calibri" w:hAnsi="Calibri" w:cs="Calibri"/>
        </w:rPr>
        <w:t>, pp.19-31.</w:t>
      </w:r>
    </w:p>
    <w:p w14:paraId="50424F1E" w14:textId="77777777" w:rsidR="00FF6997" w:rsidRPr="00FF6997" w:rsidRDefault="00FF6997">
      <w:pPr>
        <w:rPr>
          <w:rFonts w:ascii="Calibri" w:hAnsi="Calibri" w:cs="Calibri"/>
        </w:rPr>
      </w:pPr>
      <w:r w:rsidRPr="009B5988">
        <w:rPr>
          <w:rFonts w:ascii="Calibri" w:hAnsi="Calibri" w:cs="Calibri"/>
        </w:rPr>
        <w:t>E. J., D.-M. </w:t>
      </w:r>
      <w:r w:rsidRPr="009B5988">
        <w:rPr>
          <w:rFonts w:ascii="Calibri" w:hAnsi="Calibri" w:cs="Calibri"/>
          <w:i/>
          <w:iCs/>
        </w:rPr>
        <w:t>et al.</w:t>
      </w:r>
      <w:r w:rsidRPr="009B5988">
        <w:rPr>
          <w:rFonts w:ascii="Calibri" w:hAnsi="Calibri" w:cs="Calibri"/>
        </w:rPr>
        <w:t> (2024) ‘Evaluating the implementation of curriculum reform: the perspectives of Welsh teachers navigating the new health and wellbeing area of learning experience’, </w:t>
      </w:r>
      <w:r w:rsidRPr="009B5988">
        <w:rPr>
          <w:rFonts w:ascii="Calibri" w:hAnsi="Calibri" w:cs="Calibri"/>
          <w:i/>
          <w:iCs/>
        </w:rPr>
        <w:t>Journal of Education for Teaching</w:t>
      </w:r>
      <w:r w:rsidRPr="009B5988">
        <w:rPr>
          <w:rFonts w:ascii="Calibri" w:hAnsi="Calibri" w:cs="Calibri"/>
        </w:rPr>
        <w:t xml:space="preserve">, 51(1), pp. 6–27. </w:t>
      </w:r>
      <w:proofErr w:type="spellStart"/>
      <w:r w:rsidRPr="009B5988">
        <w:rPr>
          <w:rFonts w:ascii="Calibri" w:hAnsi="Calibri" w:cs="Calibri"/>
        </w:rPr>
        <w:t>doi</w:t>
      </w:r>
      <w:proofErr w:type="spellEnd"/>
      <w:r w:rsidRPr="009B5988">
        <w:rPr>
          <w:rFonts w:ascii="Calibri" w:hAnsi="Calibri" w:cs="Calibri"/>
        </w:rPr>
        <w:t>: 10.1080/02607476.2024.2371308.</w:t>
      </w:r>
    </w:p>
    <w:p w14:paraId="1AE22285" w14:textId="77777777" w:rsidR="00FF6997" w:rsidRPr="00FF6997" w:rsidRDefault="00FF6997">
      <w:pPr>
        <w:rPr>
          <w:rFonts w:ascii="Calibri" w:hAnsi="Calibri" w:cs="Calibri"/>
        </w:rPr>
      </w:pPr>
      <w:r w:rsidRPr="00FF6997">
        <w:rPr>
          <w:rFonts w:ascii="Calibri" w:hAnsi="Calibri" w:cs="Calibri"/>
        </w:rPr>
        <w:t>Erickson, H.L. and Lanning, L.A., (2013). </w:t>
      </w:r>
      <w:r w:rsidRPr="00FF6997">
        <w:rPr>
          <w:rFonts w:ascii="Calibri" w:hAnsi="Calibri" w:cs="Calibri"/>
          <w:i/>
          <w:iCs/>
        </w:rPr>
        <w:t>Transitioning to concept-based curriculum and instruction: How to bring content and process together</w:t>
      </w:r>
      <w:r w:rsidRPr="00FF6997">
        <w:rPr>
          <w:rFonts w:ascii="Calibri" w:hAnsi="Calibri" w:cs="Calibri"/>
        </w:rPr>
        <w:t>. Corwin Press.</w:t>
      </w:r>
    </w:p>
    <w:p w14:paraId="7052FC04" w14:textId="77777777" w:rsidR="00FF6997" w:rsidRPr="00FF6997" w:rsidRDefault="00FF6997">
      <w:pPr>
        <w:rPr>
          <w:rFonts w:ascii="Calibri" w:hAnsi="Calibri" w:cs="Calibri"/>
        </w:rPr>
      </w:pPr>
      <w:r w:rsidRPr="00FF6997">
        <w:rPr>
          <w:rFonts w:ascii="Calibri" w:hAnsi="Calibri" w:cs="Calibri"/>
        </w:rPr>
        <w:t xml:space="preserve">Estyn. (2022) Curriculum for Wales: Annual report 2022. Cardiff: Estyn., Available at: </w:t>
      </w:r>
      <w:hyperlink r:id="rId10" w:history="1">
        <w:r w:rsidRPr="00FF6997">
          <w:rPr>
            <w:rStyle w:val="Hyperlink"/>
            <w:rFonts w:ascii="Calibri" w:hAnsi="Calibri" w:cs="Calibri"/>
          </w:rPr>
          <w:t>https://www.gov.wales/curriculum-wales-annual-report-2022</w:t>
        </w:r>
      </w:hyperlink>
      <w:r w:rsidRPr="00FF6997">
        <w:rPr>
          <w:rFonts w:ascii="Calibri" w:hAnsi="Calibri" w:cs="Calibri"/>
        </w:rPr>
        <w:t xml:space="preserve"> (Accessed on 05/07/2025)</w:t>
      </w:r>
    </w:p>
    <w:p w14:paraId="3A9B0C08" w14:textId="77777777" w:rsidR="00FF6997" w:rsidRPr="00FF6997" w:rsidRDefault="00FF6997">
      <w:pPr>
        <w:rPr>
          <w:rFonts w:ascii="Calibri" w:hAnsi="Calibri" w:cs="Calibri"/>
        </w:rPr>
      </w:pPr>
      <w:r w:rsidRPr="00FF6997">
        <w:rPr>
          <w:rFonts w:ascii="Calibri" w:hAnsi="Calibri" w:cs="Calibri"/>
        </w:rPr>
        <w:t xml:space="preserve">Estyn. (2023a). </w:t>
      </w:r>
      <w:r w:rsidRPr="00FF6997">
        <w:rPr>
          <w:rFonts w:ascii="Calibri" w:hAnsi="Calibri" w:cs="Calibri"/>
          <w:i/>
          <w:iCs/>
        </w:rPr>
        <w:t>Curriculum for Wales: Progress in primary and secondary schools</w:t>
      </w:r>
      <w:r w:rsidRPr="00FF6997">
        <w:rPr>
          <w:rFonts w:ascii="Calibri" w:hAnsi="Calibri" w:cs="Calibri"/>
        </w:rPr>
        <w:t>. Cardiff: Estyn.</w:t>
      </w:r>
    </w:p>
    <w:p w14:paraId="69295C01" w14:textId="77777777" w:rsidR="00FF6997" w:rsidRPr="00FF6997" w:rsidRDefault="00FF6997">
      <w:pPr>
        <w:rPr>
          <w:rFonts w:ascii="Calibri" w:hAnsi="Calibri" w:cs="Calibri"/>
        </w:rPr>
      </w:pPr>
      <w:r w:rsidRPr="00FF6997">
        <w:rPr>
          <w:rFonts w:ascii="Calibri" w:hAnsi="Calibri" w:cs="Calibri"/>
        </w:rPr>
        <w:t xml:space="preserve">Estyn. (2023b). </w:t>
      </w:r>
      <w:r w:rsidRPr="00FF6997">
        <w:rPr>
          <w:rFonts w:ascii="Calibri" w:hAnsi="Calibri" w:cs="Calibri"/>
          <w:i/>
          <w:iCs/>
        </w:rPr>
        <w:t>The Annual Report of His Majesty’s Chief Inspector of Education and Training in Wales 2022-2023</w:t>
      </w:r>
      <w:r w:rsidRPr="00FF6997">
        <w:rPr>
          <w:rFonts w:ascii="Calibri" w:hAnsi="Calibri" w:cs="Calibri"/>
        </w:rPr>
        <w:t>. Estyn. Available at: https://estyn.gov.wales/annual-report/ [Accessed 7 May 2025].</w:t>
      </w:r>
    </w:p>
    <w:p w14:paraId="72BB8F0B" w14:textId="77777777" w:rsidR="00FF6997" w:rsidRPr="00FF6997" w:rsidRDefault="00FF6997">
      <w:pPr>
        <w:rPr>
          <w:rFonts w:ascii="Calibri" w:hAnsi="Calibri" w:cs="Calibri"/>
        </w:rPr>
      </w:pPr>
      <w:r w:rsidRPr="00FF6997">
        <w:rPr>
          <w:rFonts w:ascii="Calibri" w:hAnsi="Calibri" w:cs="Calibri"/>
        </w:rPr>
        <w:t xml:space="preserve">Estyn. (2025). </w:t>
      </w:r>
      <w:r w:rsidRPr="00FF6997">
        <w:rPr>
          <w:rFonts w:ascii="Calibri" w:hAnsi="Calibri" w:cs="Calibri"/>
          <w:i/>
          <w:iCs/>
        </w:rPr>
        <w:t>Annual Report 2023-2024</w:t>
      </w:r>
      <w:r w:rsidRPr="00FF6997">
        <w:rPr>
          <w:rFonts w:ascii="Calibri" w:hAnsi="Calibri" w:cs="Calibri"/>
        </w:rPr>
        <w:t>. Estyn. Available at: https://estyn.gov.wales/ [Accessed 13/05/2025).</w:t>
      </w:r>
    </w:p>
    <w:p w14:paraId="206B7C6E" w14:textId="77777777" w:rsidR="00FF6997" w:rsidRPr="00FF6997" w:rsidRDefault="00FF6997">
      <w:pPr>
        <w:rPr>
          <w:rFonts w:ascii="Calibri" w:hAnsi="Calibri" w:cs="Calibri"/>
        </w:rPr>
      </w:pPr>
      <w:r w:rsidRPr="00FF6997">
        <w:rPr>
          <w:rFonts w:ascii="Calibri" w:hAnsi="Calibri" w:cs="Calibri"/>
        </w:rPr>
        <w:lastRenderedPageBreak/>
        <w:t>Evans, G., (2022). Back to the future? Reflections on three phases of education policy reform in Wales and their implications for teachers. </w:t>
      </w:r>
      <w:r w:rsidRPr="00FF6997">
        <w:rPr>
          <w:rFonts w:ascii="Calibri" w:hAnsi="Calibri" w:cs="Calibri"/>
          <w:i/>
          <w:iCs/>
        </w:rPr>
        <w:t>Journal of educational change</w:t>
      </w:r>
      <w:r w:rsidRPr="00FF6997">
        <w:rPr>
          <w:rFonts w:ascii="Calibri" w:hAnsi="Calibri" w:cs="Calibri"/>
        </w:rPr>
        <w:t>, </w:t>
      </w:r>
      <w:r w:rsidRPr="00FF6997">
        <w:rPr>
          <w:rFonts w:ascii="Calibri" w:hAnsi="Calibri" w:cs="Calibri"/>
          <w:i/>
          <w:iCs/>
        </w:rPr>
        <w:t>23</w:t>
      </w:r>
      <w:r w:rsidRPr="00FF6997">
        <w:rPr>
          <w:rFonts w:ascii="Calibri" w:hAnsi="Calibri" w:cs="Calibri"/>
        </w:rPr>
        <w:t>(3), pp.371-396.</w:t>
      </w:r>
    </w:p>
    <w:p w14:paraId="56913CEF" w14:textId="77777777" w:rsidR="00FF6997" w:rsidRPr="00FF6997" w:rsidRDefault="00FF6997">
      <w:pPr>
        <w:rPr>
          <w:rFonts w:ascii="Calibri" w:hAnsi="Calibri" w:cs="Calibri"/>
        </w:rPr>
      </w:pPr>
      <w:r w:rsidRPr="00FF6997">
        <w:rPr>
          <w:rFonts w:ascii="Calibri" w:hAnsi="Calibri" w:cs="Calibri"/>
        </w:rPr>
        <w:t>Evans, G., (2023). A new dawn or false hope? Exploring the early implementation of Curriculum for Wales. </w:t>
      </w:r>
      <w:r w:rsidRPr="00FF6997">
        <w:rPr>
          <w:rFonts w:ascii="Calibri" w:hAnsi="Calibri" w:cs="Calibri"/>
          <w:i/>
          <w:iCs/>
        </w:rPr>
        <w:t>Education Inquiry</w:t>
      </w:r>
      <w:r w:rsidRPr="00FF6997">
        <w:rPr>
          <w:rFonts w:ascii="Calibri" w:hAnsi="Calibri" w:cs="Calibri"/>
        </w:rPr>
        <w:t>, pp.1-15.</w:t>
      </w:r>
    </w:p>
    <w:p w14:paraId="1CDB86C6" w14:textId="77777777" w:rsidR="00FF6997" w:rsidRPr="00FF6997" w:rsidRDefault="00FF6997">
      <w:pPr>
        <w:rPr>
          <w:rFonts w:ascii="Calibri" w:hAnsi="Calibri" w:cs="Calibri"/>
        </w:rPr>
      </w:pPr>
      <w:r w:rsidRPr="00FF6997">
        <w:rPr>
          <w:rFonts w:ascii="Calibri" w:hAnsi="Calibri" w:cs="Calibri"/>
        </w:rPr>
        <w:t xml:space="preserve">Ffion, R., Hughes, L. and Parry, S. (2023). ‘Teacher workload and curriculum reform in Wales: The cost of autonomy’. </w:t>
      </w:r>
      <w:r w:rsidRPr="00FF6997">
        <w:rPr>
          <w:rFonts w:ascii="Calibri" w:hAnsi="Calibri" w:cs="Calibri"/>
          <w:i/>
          <w:iCs/>
        </w:rPr>
        <w:t>Wales Journal of Education</w:t>
      </w:r>
      <w:r w:rsidRPr="00FF6997">
        <w:rPr>
          <w:rFonts w:ascii="Calibri" w:hAnsi="Calibri" w:cs="Calibri"/>
        </w:rPr>
        <w:t>, 25(1), pp. 44–61.</w:t>
      </w:r>
    </w:p>
    <w:p w14:paraId="2CCE2DA0" w14:textId="77777777" w:rsidR="00FF6997" w:rsidRPr="00FF6997" w:rsidRDefault="00FF6997">
      <w:pPr>
        <w:rPr>
          <w:rFonts w:ascii="Calibri" w:hAnsi="Calibri" w:cs="Calibri"/>
        </w:rPr>
      </w:pPr>
      <w:r w:rsidRPr="00FF6997">
        <w:rPr>
          <w:rFonts w:ascii="Calibri" w:hAnsi="Calibri" w:cs="Calibri"/>
        </w:rPr>
        <w:t>Fogarty, R.J. and Pete, B.M., (2009). </w:t>
      </w:r>
      <w:r w:rsidRPr="00FF6997">
        <w:rPr>
          <w:rFonts w:ascii="Calibri" w:hAnsi="Calibri" w:cs="Calibri"/>
          <w:i/>
          <w:iCs/>
        </w:rPr>
        <w:t>How to integrate the curricula</w:t>
      </w:r>
      <w:r w:rsidRPr="00FF6997">
        <w:rPr>
          <w:rFonts w:ascii="Calibri" w:hAnsi="Calibri" w:cs="Calibri"/>
        </w:rPr>
        <w:t>. Corwin Press.</w:t>
      </w:r>
    </w:p>
    <w:p w14:paraId="7CB928D7" w14:textId="77777777" w:rsidR="00FF6997" w:rsidRPr="00FF6997" w:rsidRDefault="00FF6997">
      <w:pPr>
        <w:rPr>
          <w:rFonts w:ascii="Calibri" w:hAnsi="Calibri" w:cs="Calibri"/>
        </w:rPr>
      </w:pPr>
      <w:r w:rsidRPr="00FF6997">
        <w:rPr>
          <w:rFonts w:ascii="Calibri" w:hAnsi="Calibri" w:cs="Calibri"/>
        </w:rPr>
        <w:t>Furlong, J., Griffiths, J., Hannigan-Davies, C., Harris, A. and Jones, M., (2021). The reform of initial teacher education in Wales: from vision to reality. </w:t>
      </w:r>
      <w:r w:rsidRPr="00FF6997">
        <w:rPr>
          <w:rFonts w:ascii="Calibri" w:hAnsi="Calibri" w:cs="Calibri"/>
          <w:i/>
          <w:iCs/>
        </w:rPr>
        <w:t>Oxford Review of Education</w:t>
      </w:r>
      <w:r w:rsidRPr="00FF6997">
        <w:rPr>
          <w:rFonts w:ascii="Calibri" w:hAnsi="Calibri" w:cs="Calibri"/>
        </w:rPr>
        <w:t>, </w:t>
      </w:r>
      <w:r w:rsidRPr="00FF6997">
        <w:rPr>
          <w:rFonts w:ascii="Calibri" w:hAnsi="Calibri" w:cs="Calibri"/>
          <w:i/>
          <w:iCs/>
        </w:rPr>
        <w:t>47</w:t>
      </w:r>
      <w:r w:rsidRPr="00FF6997">
        <w:rPr>
          <w:rFonts w:ascii="Calibri" w:hAnsi="Calibri" w:cs="Calibri"/>
        </w:rPr>
        <w:t>(1), pp.61-78.</w:t>
      </w:r>
    </w:p>
    <w:p w14:paraId="6660B883" w14:textId="77777777" w:rsidR="00FF6997" w:rsidRPr="00FF6997" w:rsidRDefault="00FF6997">
      <w:pPr>
        <w:rPr>
          <w:rFonts w:ascii="Calibri" w:hAnsi="Calibri" w:cs="Calibri"/>
        </w:rPr>
      </w:pPr>
      <w:r w:rsidRPr="00FF6997">
        <w:rPr>
          <w:rFonts w:ascii="Calibri" w:hAnsi="Calibri" w:cs="Calibri"/>
        </w:rPr>
        <w:t xml:space="preserve">Gatley, J., (2020). Can the New Welsh Curriculum achieve its </w:t>
      </w:r>
      <w:proofErr w:type="gramStart"/>
      <w:r w:rsidRPr="00FF6997">
        <w:rPr>
          <w:rFonts w:ascii="Calibri" w:hAnsi="Calibri" w:cs="Calibri"/>
        </w:rPr>
        <w:t>purposes?.</w:t>
      </w:r>
      <w:proofErr w:type="gramEnd"/>
      <w:r w:rsidRPr="00FF6997">
        <w:rPr>
          <w:rFonts w:ascii="Calibri" w:hAnsi="Calibri" w:cs="Calibri"/>
        </w:rPr>
        <w:t> </w:t>
      </w:r>
      <w:r w:rsidRPr="00FF6997">
        <w:rPr>
          <w:rFonts w:ascii="Calibri" w:hAnsi="Calibri" w:cs="Calibri"/>
          <w:i/>
          <w:iCs/>
        </w:rPr>
        <w:t>The Curriculum Journal</w:t>
      </w:r>
      <w:r w:rsidRPr="00FF6997">
        <w:rPr>
          <w:rFonts w:ascii="Calibri" w:hAnsi="Calibri" w:cs="Calibri"/>
        </w:rPr>
        <w:t>, </w:t>
      </w:r>
      <w:r w:rsidRPr="00FF6997">
        <w:rPr>
          <w:rFonts w:ascii="Calibri" w:hAnsi="Calibri" w:cs="Calibri"/>
          <w:i/>
          <w:iCs/>
        </w:rPr>
        <w:t>31</w:t>
      </w:r>
      <w:r w:rsidRPr="00FF6997">
        <w:rPr>
          <w:rFonts w:ascii="Calibri" w:hAnsi="Calibri" w:cs="Calibri"/>
        </w:rPr>
        <w:t>(2), pp.202-214.</w:t>
      </w:r>
    </w:p>
    <w:p w14:paraId="279375E6" w14:textId="77777777" w:rsidR="00FF6997" w:rsidRPr="00FF6997" w:rsidRDefault="00FF6997">
      <w:pPr>
        <w:rPr>
          <w:rFonts w:ascii="Calibri" w:hAnsi="Calibri" w:cs="Calibri"/>
        </w:rPr>
      </w:pPr>
      <w:r w:rsidRPr="00FF6997">
        <w:rPr>
          <w:rFonts w:ascii="Calibri" w:hAnsi="Calibri" w:cs="Calibri"/>
        </w:rPr>
        <w:t>Glover, A. and Hutchinson, S., (2023). Delivering education reform in Wales: a flexible route into teaching. </w:t>
      </w:r>
      <w:r w:rsidRPr="00FF6997">
        <w:rPr>
          <w:rFonts w:ascii="Calibri" w:hAnsi="Calibri" w:cs="Calibri"/>
          <w:i/>
          <w:iCs/>
        </w:rPr>
        <w:t>Education Inquiry</w:t>
      </w:r>
      <w:r w:rsidRPr="00FF6997">
        <w:rPr>
          <w:rFonts w:ascii="Calibri" w:hAnsi="Calibri" w:cs="Calibri"/>
        </w:rPr>
        <w:t>, </w:t>
      </w:r>
      <w:r w:rsidRPr="00FF6997">
        <w:rPr>
          <w:rFonts w:ascii="Calibri" w:hAnsi="Calibri" w:cs="Calibri"/>
          <w:i/>
          <w:iCs/>
        </w:rPr>
        <w:t>14</w:t>
      </w:r>
      <w:r w:rsidRPr="00FF6997">
        <w:rPr>
          <w:rFonts w:ascii="Calibri" w:hAnsi="Calibri" w:cs="Calibri"/>
        </w:rPr>
        <w:t>(4), pp.442-457.</w:t>
      </w:r>
    </w:p>
    <w:p w14:paraId="5F1EB924" w14:textId="77777777" w:rsidR="00FF6997" w:rsidRPr="00FF6997" w:rsidRDefault="00FF6997">
      <w:pPr>
        <w:rPr>
          <w:rFonts w:ascii="Calibri" w:hAnsi="Calibri" w:cs="Calibri"/>
        </w:rPr>
      </w:pPr>
      <w:r w:rsidRPr="00FF6997">
        <w:rPr>
          <w:rFonts w:ascii="Calibri" w:hAnsi="Calibri" w:cs="Calibri"/>
        </w:rPr>
        <w:t xml:space="preserve">Hansard (1993) </w:t>
      </w:r>
      <w:r w:rsidRPr="00FF6997">
        <w:rPr>
          <w:rFonts w:ascii="Calibri" w:hAnsi="Calibri" w:cs="Calibri"/>
          <w:i/>
          <w:iCs/>
        </w:rPr>
        <w:t>Education Bill Lords, 10 May 1993</w:t>
      </w:r>
      <w:r w:rsidRPr="00FF6997">
        <w:rPr>
          <w:rFonts w:ascii="Calibri" w:hAnsi="Calibri" w:cs="Calibri"/>
        </w:rPr>
        <w:t xml:space="preserve">, Columns 1125–1126. Available at: https://api.parliament.uk/historic-hansard/lords/1993/may/10/education-bill  (Accessed: 27 June 2025). </w:t>
      </w:r>
    </w:p>
    <w:p w14:paraId="38B189F2" w14:textId="77777777" w:rsidR="00FF6997" w:rsidRPr="00FF6997" w:rsidRDefault="00FF6997">
      <w:pPr>
        <w:rPr>
          <w:rFonts w:ascii="Calibri" w:hAnsi="Calibri" w:cs="Calibri"/>
        </w:rPr>
      </w:pPr>
      <w:r w:rsidRPr="00FF6997">
        <w:rPr>
          <w:rFonts w:ascii="Calibri" w:hAnsi="Calibri" w:cs="Calibri"/>
        </w:rPr>
        <w:t>Harper, M.H., (2009). </w:t>
      </w:r>
      <w:r w:rsidRPr="00FF6997">
        <w:rPr>
          <w:rFonts w:ascii="Calibri" w:hAnsi="Calibri" w:cs="Calibri"/>
          <w:i/>
          <w:iCs/>
        </w:rPr>
        <w:t>Re-thinking professionalism in further education in post-devolution Wales</w:t>
      </w:r>
      <w:r w:rsidRPr="00FF6997">
        <w:rPr>
          <w:rFonts w:ascii="Calibri" w:hAnsi="Calibri" w:cs="Calibri"/>
        </w:rPr>
        <w:t>. Cardiff University (United Kingdom).</w:t>
      </w:r>
    </w:p>
    <w:p w14:paraId="0E05EA06" w14:textId="77777777" w:rsidR="00FF6997" w:rsidRPr="00FF6997" w:rsidRDefault="00FF6997">
      <w:pPr>
        <w:rPr>
          <w:rFonts w:ascii="Calibri" w:hAnsi="Calibri" w:cs="Calibri"/>
        </w:rPr>
      </w:pPr>
      <w:r w:rsidRPr="00FF6997">
        <w:rPr>
          <w:rFonts w:ascii="Calibri" w:hAnsi="Calibri" w:cs="Calibri"/>
        </w:rPr>
        <w:t xml:space="preserve">Hobson, A.J. and </w:t>
      </w:r>
      <w:proofErr w:type="spellStart"/>
      <w:r w:rsidRPr="00FF6997">
        <w:rPr>
          <w:rFonts w:ascii="Calibri" w:hAnsi="Calibri" w:cs="Calibri"/>
        </w:rPr>
        <w:t>Malderez</w:t>
      </w:r>
      <w:proofErr w:type="spellEnd"/>
      <w:r w:rsidRPr="00FF6997">
        <w:rPr>
          <w:rFonts w:ascii="Calibri" w:hAnsi="Calibri" w:cs="Calibri"/>
        </w:rPr>
        <w:t xml:space="preserve">, A., (2013). </w:t>
      </w:r>
      <w:proofErr w:type="spellStart"/>
      <w:r w:rsidRPr="00FF6997">
        <w:rPr>
          <w:rFonts w:ascii="Calibri" w:hAnsi="Calibri" w:cs="Calibri"/>
        </w:rPr>
        <w:t>Judgementoring</w:t>
      </w:r>
      <w:proofErr w:type="spellEnd"/>
      <w:r w:rsidRPr="00FF6997">
        <w:rPr>
          <w:rFonts w:ascii="Calibri" w:hAnsi="Calibri" w:cs="Calibri"/>
        </w:rPr>
        <w:t xml:space="preserve"> and other threats to realizing the potential of school‐based mentoring in teacher education. </w:t>
      </w:r>
      <w:r w:rsidRPr="00FF6997">
        <w:rPr>
          <w:rFonts w:ascii="Calibri" w:hAnsi="Calibri" w:cs="Calibri"/>
          <w:i/>
          <w:iCs/>
        </w:rPr>
        <w:t>International journal of mentoring and coaching in education</w:t>
      </w:r>
      <w:r w:rsidRPr="00FF6997">
        <w:rPr>
          <w:rFonts w:ascii="Calibri" w:hAnsi="Calibri" w:cs="Calibri"/>
        </w:rPr>
        <w:t>, </w:t>
      </w:r>
      <w:r w:rsidRPr="00FF6997">
        <w:rPr>
          <w:rFonts w:ascii="Calibri" w:hAnsi="Calibri" w:cs="Calibri"/>
          <w:i/>
          <w:iCs/>
        </w:rPr>
        <w:t>2</w:t>
      </w:r>
      <w:r w:rsidRPr="00FF6997">
        <w:rPr>
          <w:rFonts w:ascii="Calibri" w:hAnsi="Calibri" w:cs="Calibri"/>
        </w:rPr>
        <w:t>(2), pp.89-108.</w:t>
      </w:r>
    </w:p>
    <w:p w14:paraId="13EFAB3E" w14:textId="77777777" w:rsidR="00FF6997" w:rsidRPr="00FF6997" w:rsidRDefault="00FF6997">
      <w:pPr>
        <w:rPr>
          <w:rFonts w:ascii="Calibri" w:hAnsi="Calibri" w:cs="Calibri"/>
        </w:rPr>
      </w:pPr>
      <w:r w:rsidRPr="00FF6997">
        <w:rPr>
          <w:rFonts w:ascii="Calibri" w:hAnsi="Calibri" w:cs="Calibri"/>
        </w:rPr>
        <w:t>Hutt, M., Smith, K. and Jones, K., 2024. Professional learning in education: policy and practice in Wales since devolution. </w:t>
      </w:r>
      <w:r w:rsidRPr="00FF6997">
        <w:rPr>
          <w:rFonts w:ascii="Calibri" w:hAnsi="Calibri" w:cs="Calibri"/>
          <w:i/>
          <w:iCs/>
        </w:rPr>
        <w:t>Wales Journal of Education</w:t>
      </w:r>
      <w:r w:rsidRPr="00FF6997">
        <w:rPr>
          <w:rFonts w:ascii="Calibri" w:hAnsi="Calibri" w:cs="Calibri"/>
        </w:rPr>
        <w:t>, </w:t>
      </w:r>
      <w:r w:rsidRPr="00FF6997">
        <w:rPr>
          <w:rFonts w:ascii="Calibri" w:hAnsi="Calibri" w:cs="Calibri"/>
          <w:i/>
          <w:iCs/>
        </w:rPr>
        <w:t>26</w:t>
      </w:r>
      <w:r w:rsidRPr="00FF6997">
        <w:rPr>
          <w:rFonts w:ascii="Calibri" w:hAnsi="Calibri" w:cs="Calibri"/>
        </w:rPr>
        <w:t>(2).</w:t>
      </w:r>
    </w:p>
    <w:p w14:paraId="6C8932CD" w14:textId="77777777" w:rsidR="00FF6997" w:rsidRPr="00FF6997" w:rsidRDefault="00FF6997">
      <w:pPr>
        <w:rPr>
          <w:rFonts w:ascii="Calibri" w:hAnsi="Calibri" w:cs="Calibri"/>
        </w:rPr>
      </w:pPr>
      <w:r w:rsidRPr="00FF6997">
        <w:rPr>
          <w:rFonts w:ascii="Calibri" w:hAnsi="Calibri" w:cs="Calibri"/>
        </w:rPr>
        <w:t>Ingersoll, R.M. and Strong, M., (2011). The impact of induction and mentoring programs for beginning teachers: A critical review of the research. </w:t>
      </w:r>
      <w:r w:rsidRPr="00FF6997">
        <w:rPr>
          <w:rFonts w:ascii="Calibri" w:hAnsi="Calibri" w:cs="Calibri"/>
          <w:i/>
          <w:iCs/>
        </w:rPr>
        <w:t>Review of educational research</w:t>
      </w:r>
      <w:r w:rsidRPr="00FF6997">
        <w:rPr>
          <w:rFonts w:ascii="Calibri" w:hAnsi="Calibri" w:cs="Calibri"/>
        </w:rPr>
        <w:t>, </w:t>
      </w:r>
      <w:r w:rsidRPr="00FF6997">
        <w:rPr>
          <w:rFonts w:ascii="Calibri" w:hAnsi="Calibri" w:cs="Calibri"/>
          <w:i/>
          <w:iCs/>
        </w:rPr>
        <w:t>81</w:t>
      </w:r>
      <w:r w:rsidRPr="00FF6997">
        <w:rPr>
          <w:rFonts w:ascii="Calibri" w:hAnsi="Calibri" w:cs="Calibri"/>
        </w:rPr>
        <w:t>(2), pp.201-233.</w:t>
      </w:r>
    </w:p>
    <w:p w14:paraId="666ED509" w14:textId="77777777" w:rsidR="00FF6997" w:rsidRPr="00FF6997" w:rsidRDefault="00FF6997">
      <w:pPr>
        <w:rPr>
          <w:rFonts w:ascii="Calibri" w:hAnsi="Calibri" w:cs="Calibri"/>
        </w:rPr>
      </w:pPr>
      <w:r w:rsidRPr="00FF6997">
        <w:rPr>
          <w:rFonts w:ascii="Calibri" w:hAnsi="Calibri" w:cs="Calibri"/>
        </w:rPr>
        <w:t xml:space="preserve">John, A., Friedmann, Y., DelPozo-Banos, M., </w:t>
      </w:r>
      <w:proofErr w:type="spellStart"/>
      <w:r w:rsidRPr="00FF6997">
        <w:rPr>
          <w:rFonts w:ascii="Calibri" w:hAnsi="Calibri" w:cs="Calibri"/>
        </w:rPr>
        <w:t>Frizzati</w:t>
      </w:r>
      <w:proofErr w:type="spellEnd"/>
      <w:r w:rsidRPr="00FF6997">
        <w:rPr>
          <w:rFonts w:ascii="Calibri" w:hAnsi="Calibri" w:cs="Calibri"/>
        </w:rPr>
        <w:t>, A., Ford, T. and Thapar, A., (2022). Association of school absence and exclusion with recorded neurodevelopmental disorders, mental disorders, or self-harm: a nationwide, retrospective, electronic cohort study of children and young people in Wales, UK. </w:t>
      </w:r>
      <w:r w:rsidRPr="00FF6997">
        <w:rPr>
          <w:rFonts w:ascii="Calibri" w:hAnsi="Calibri" w:cs="Calibri"/>
          <w:i/>
          <w:iCs/>
        </w:rPr>
        <w:t>The Lancet Psychiatry</w:t>
      </w:r>
      <w:r w:rsidRPr="00FF6997">
        <w:rPr>
          <w:rFonts w:ascii="Calibri" w:hAnsi="Calibri" w:cs="Calibri"/>
        </w:rPr>
        <w:t>, </w:t>
      </w:r>
      <w:r w:rsidRPr="00FF6997">
        <w:rPr>
          <w:rFonts w:ascii="Calibri" w:hAnsi="Calibri" w:cs="Calibri"/>
          <w:i/>
          <w:iCs/>
        </w:rPr>
        <w:t>9</w:t>
      </w:r>
      <w:r w:rsidRPr="00FF6997">
        <w:rPr>
          <w:rFonts w:ascii="Calibri" w:hAnsi="Calibri" w:cs="Calibri"/>
        </w:rPr>
        <w:t>(1), pp.23-34.</w:t>
      </w:r>
    </w:p>
    <w:p w14:paraId="44EFB022" w14:textId="77777777" w:rsidR="00FF6997" w:rsidRPr="00FF6997" w:rsidRDefault="00FF6997">
      <w:pPr>
        <w:rPr>
          <w:rFonts w:ascii="Calibri" w:hAnsi="Calibri" w:cs="Calibri"/>
        </w:rPr>
      </w:pPr>
      <w:r w:rsidRPr="00FF6997">
        <w:rPr>
          <w:rFonts w:ascii="Calibri" w:hAnsi="Calibri" w:cs="Calibri"/>
        </w:rPr>
        <w:t>Jones, K. and Evans, G., (2023). Co-constructing a new approach to professional learning in Wales: Implementing a national vision. In </w:t>
      </w:r>
      <w:r w:rsidRPr="00FF6997">
        <w:rPr>
          <w:rFonts w:ascii="Calibri" w:hAnsi="Calibri" w:cs="Calibri"/>
          <w:i/>
          <w:iCs/>
        </w:rPr>
        <w:t>Innovation in Teacher Professional Learning in Europe</w:t>
      </w:r>
      <w:r w:rsidRPr="00FF6997">
        <w:rPr>
          <w:rFonts w:ascii="Calibri" w:hAnsi="Calibri" w:cs="Calibri"/>
        </w:rPr>
        <w:t> (pp. 103-116). Routledge.</w:t>
      </w:r>
    </w:p>
    <w:p w14:paraId="3A44D77A" w14:textId="77777777" w:rsidR="00FF6997" w:rsidRPr="00FF6997" w:rsidRDefault="00FF6997">
      <w:pPr>
        <w:rPr>
          <w:rFonts w:ascii="Calibri" w:hAnsi="Calibri" w:cs="Calibri"/>
        </w:rPr>
      </w:pPr>
      <w:r w:rsidRPr="00FF6997">
        <w:rPr>
          <w:rFonts w:ascii="Calibri" w:hAnsi="Calibri" w:cs="Calibri"/>
        </w:rPr>
        <w:t>Jones, K. and Evans, G., (2023). Co-constructing a new approach to professional learning in Wales. </w:t>
      </w:r>
      <w:r w:rsidRPr="00FF6997">
        <w:rPr>
          <w:rFonts w:ascii="Calibri" w:hAnsi="Calibri" w:cs="Calibri"/>
          <w:i/>
          <w:iCs/>
        </w:rPr>
        <w:t>Innovation in Teacher Professional Learning in Europe: Research, Policy and Practice</w:t>
      </w:r>
      <w:r w:rsidRPr="00FF6997">
        <w:rPr>
          <w:rFonts w:ascii="Calibri" w:hAnsi="Calibri" w:cs="Calibri"/>
        </w:rPr>
        <w:t>.</w:t>
      </w:r>
    </w:p>
    <w:p w14:paraId="7E0B35F6" w14:textId="77777777" w:rsidR="00FF6997" w:rsidRPr="00FF6997" w:rsidRDefault="00FF6997">
      <w:pPr>
        <w:rPr>
          <w:rFonts w:ascii="Calibri" w:hAnsi="Calibri" w:cs="Calibri"/>
        </w:rPr>
      </w:pPr>
      <w:r w:rsidRPr="00FF6997">
        <w:rPr>
          <w:rFonts w:ascii="Calibri" w:hAnsi="Calibri" w:cs="Calibri"/>
        </w:rPr>
        <w:t>Jones, N., (2023). </w:t>
      </w:r>
      <w:r w:rsidRPr="00FF6997">
        <w:rPr>
          <w:rFonts w:ascii="Calibri" w:hAnsi="Calibri" w:cs="Calibri"/>
          <w:i/>
          <w:iCs/>
        </w:rPr>
        <w:t>Progressive early-years approaches and the disadvantaged learner–the case of the Welsh foundation phase</w:t>
      </w:r>
      <w:r w:rsidRPr="00FF6997">
        <w:rPr>
          <w:rFonts w:ascii="Calibri" w:hAnsi="Calibri" w:cs="Calibri"/>
        </w:rPr>
        <w:t> (Doctoral dissertation, Cardiff University).</w:t>
      </w:r>
    </w:p>
    <w:p w14:paraId="0F222BFC" w14:textId="77777777" w:rsidR="00FF6997" w:rsidRPr="00FF6997" w:rsidRDefault="00FF6997">
      <w:pPr>
        <w:rPr>
          <w:rFonts w:ascii="Calibri" w:hAnsi="Calibri" w:cs="Calibri"/>
        </w:rPr>
      </w:pPr>
      <w:r w:rsidRPr="00FF6997">
        <w:rPr>
          <w:rFonts w:ascii="Calibri" w:hAnsi="Calibri" w:cs="Calibri"/>
        </w:rPr>
        <w:t xml:space="preserve">Makara Fuller, K., Morrison-Love, D. and Borquez Sanchez, E., (2023). Steps to the Future </w:t>
      </w:r>
      <w:proofErr w:type="spellStart"/>
      <w:r w:rsidRPr="00FF6997">
        <w:rPr>
          <w:rFonts w:ascii="Calibri" w:hAnsi="Calibri" w:cs="Calibri"/>
        </w:rPr>
        <w:t>for'Curriculum</w:t>
      </w:r>
      <w:proofErr w:type="spellEnd"/>
      <w:r w:rsidRPr="00FF6997">
        <w:rPr>
          <w:rFonts w:ascii="Calibri" w:hAnsi="Calibri" w:cs="Calibri"/>
        </w:rPr>
        <w:t xml:space="preserve"> for Wales': Developing Coherence, Co-construction, and Praxis.</w:t>
      </w:r>
    </w:p>
    <w:p w14:paraId="2CFE21B7" w14:textId="77777777" w:rsidR="00FF6997" w:rsidRPr="00FF6997" w:rsidRDefault="00FF6997">
      <w:pPr>
        <w:rPr>
          <w:rFonts w:ascii="Calibri" w:hAnsi="Calibri" w:cs="Calibri"/>
        </w:rPr>
      </w:pPr>
      <w:r w:rsidRPr="00FF6997">
        <w:rPr>
          <w:rFonts w:ascii="Calibri" w:hAnsi="Calibri" w:cs="Calibri"/>
        </w:rPr>
        <w:lastRenderedPageBreak/>
        <w:t xml:space="preserve">OECD (2020). </w:t>
      </w:r>
      <w:r w:rsidRPr="00FF6997">
        <w:rPr>
          <w:rFonts w:ascii="Calibri" w:hAnsi="Calibri" w:cs="Calibri"/>
          <w:i/>
          <w:iCs/>
        </w:rPr>
        <w:t>Achieving the New Curriculum for Wales</w:t>
      </w:r>
      <w:r w:rsidRPr="00FF6997">
        <w:rPr>
          <w:rFonts w:ascii="Calibri" w:hAnsi="Calibri" w:cs="Calibri"/>
        </w:rPr>
        <w:t xml:space="preserve">. OECD Education Policy Perspectives, No. 7. Paris: OECD Publishing. </w:t>
      </w:r>
      <w:proofErr w:type="spellStart"/>
      <w:r w:rsidRPr="00FF6997">
        <w:rPr>
          <w:rFonts w:ascii="Calibri" w:hAnsi="Calibri" w:cs="Calibri"/>
        </w:rPr>
        <w:t>doi</w:t>
      </w:r>
      <w:proofErr w:type="spellEnd"/>
      <w:r w:rsidRPr="00FF6997">
        <w:rPr>
          <w:rFonts w:ascii="Calibri" w:hAnsi="Calibri" w:cs="Calibri"/>
        </w:rPr>
        <w:t>: 10.1787/4b483953-en.</w:t>
      </w:r>
    </w:p>
    <w:p w14:paraId="2C6021AE" w14:textId="77777777" w:rsidR="00FF6997" w:rsidRPr="00FF6997" w:rsidRDefault="00FF6997">
      <w:pPr>
        <w:rPr>
          <w:rFonts w:ascii="Calibri" w:hAnsi="Calibri" w:cs="Calibri"/>
        </w:rPr>
      </w:pPr>
      <w:r w:rsidRPr="00FF6997">
        <w:rPr>
          <w:rFonts w:ascii="Calibri" w:hAnsi="Calibri" w:cs="Calibri"/>
        </w:rPr>
        <w:t xml:space="preserve">OECD (2025) </w:t>
      </w:r>
      <w:r w:rsidRPr="00FF6997">
        <w:rPr>
          <w:rFonts w:ascii="Calibri" w:hAnsi="Calibri" w:cs="Calibri"/>
          <w:i/>
          <w:iCs/>
        </w:rPr>
        <w:t>Programme for International Student Assessment (PISA)</w:t>
      </w:r>
      <w:r w:rsidRPr="00FF6997">
        <w:rPr>
          <w:rFonts w:ascii="Calibri" w:hAnsi="Calibri" w:cs="Calibri"/>
        </w:rPr>
        <w:t>. Available at: https://www.oecd.org/en/about/programmes/pisa.html (Accessed: 30/04/2025).</w:t>
      </w:r>
    </w:p>
    <w:p w14:paraId="7EF8CC86" w14:textId="77777777" w:rsidR="00FF6997" w:rsidRPr="00FF6997" w:rsidRDefault="00FF6997">
      <w:pPr>
        <w:rPr>
          <w:rFonts w:ascii="Calibri" w:hAnsi="Calibri" w:cs="Calibri"/>
        </w:rPr>
      </w:pPr>
      <w:r w:rsidRPr="00FF6997">
        <w:rPr>
          <w:rFonts w:ascii="Calibri" w:hAnsi="Calibri" w:cs="Calibri"/>
        </w:rPr>
        <w:t>Power, S., Newton, N. and Taylor, C., 2020. ‘Successful futures’ for all in Wales? The challenges of curriculum reform for addressing educational inequalities. </w:t>
      </w:r>
      <w:r w:rsidRPr="00FF6997">
        <w:rPr>
          <w:rFonts w:ascii="Calibri" w:hAnsi="Calibri" w:cs="Calibri"/>
          <w:i/>
          <w:iCs/>
        </w:rPr>
        <w:t>The curriculum journal</w:t>
      </w:r>
      <w:r w:rsidRPr="00FF6997">
        <w:rPr>
          <w:rFonts w:ascii="Calibri" w:hAnsi="Calibri" w:cs="Calibri"/>
        </w:rPr>
        <w:t>, </w:t>
      </w:r>
      <w:r w:rsidRPr="00FF6997">
        <w:rPr>
          <w:rFonts w:ascii="Calibri" w:hAnsi="Calibri" w:cs="Calibri"/>
          <w:i/>
          <w:iCs/>
        </w:rPr>
        <w:t>31</w:t>
      </w:r>
      <w:r w:rsidRPr="00FF6997">
        <w:rPr>
          <w:rFonts w:ascii="Calibri" w:hAnsi="Calibri" w:cs="Calibri"/>
        </w:rPr>
        <w:t>(2), pp.317-333.</w:t>
      </w:r>
    </w:p>
    <w:p w14:paraId="29CB395A" w14:textId="77777777" w:rsidR="00FF6997" w:rsidRPr="00FF6997" w:rsidRDefault="00FF6997">
      <w:pPr>
        <w:rPr>
          <w:rFonts w:ascii="Calibri" w:hAnsi="Calibri" w:cs="Calibri"/>
        </w:rPr>
      </w:pPr>
      <w:r w:rsidRPr="00FF6997">
        <w:rPr>
          <w:rFonts w:ascii="Calibri" w:hAnsi="Calibri" w:cs="Calibri"/>
        </w:rPr>
        <w:t>Priestley, M. and Philippou, S., (2019). Curriculum is–or should be–at the heart of educational practice. </w:t>
      </w:r>
      <w:r w:rsidRPr="00FF6997">
        <w:rPr>
          <w:rFonts w:ascii="Calibri" w:hAnsi="Calibri" w:cs="Calibri"/>
          <w:i/>
          <w:iCs/>
        </w:rPr>
        <w:t>The Curriculum Journal</w:t>
      </w:r>
      <w:r w:rsidRPr="00FF6997">
        <w:rPr>
          <w:rFonts w:ascii="Calibri" w:hAnsi="Calibri" w:cs="Calibri"/>
        </w:rPr>
        <w:t>, </w:t>
      </w:r>
      <w:r w:rsidRPr="00FF6997">
        <w:rPr>
          <w:rFonts w:ascii="Calibri" w:hAnsi="Calibri" w:cs="Calibri"/>
          <w:i/>
          <w:iCs/>
        </w:rPr>
        <w:t>30</w:t>
      </w:r>
      <w:r w:rsidRPr="00FF6997">
        <w:rPr>
          <w:rFonts w:ascii="Calibri" w:hAnsi="Calibri" w:cs="Calibri"/>
        </w:rPr>
        <w:t>(1), pp.1-7.</w:t>
      </w:r>
    </w:p>
    <w:p w14:paraId="7463F128" w14:textId="77777777" w:rsidR="00FF6997" w:rsidRPr="00FF6997" w:rsidRDefault="00FF6997">
      <w:pPr>
        <w:rPr>
          <w:rFonts w:ascii="Calibri" w:hAnsi="Calibri" w:cs="Calibri"/>
        </w:rPr>
      </w:pPr>
      <w:r w:rsidRPr="00FF6997">
        <w:rPr>
          <w:rFonts w:ascii="Calibri" w:hAnsi="Calibri" w:cs="Calibri"/>
        </w:rPr>
        <w:t>Scott, S., Limbert, C. and Sykes, P., (2024). Work-related stress among headteachers in Wales: Prevalence, sources, and solutions. </w:t>
      </w:r>
      <w:r w:rsidRPr="00FF6997">
        <w:rPr>
          <w:rFonts w:ascii="Calibri" w:hAnsi="Calibri" w:cs="Calibri"/>
          <w:i/>
          <w:iCs/>
        </w:rPr>
        <w:t>Educational Management Administration &amp; Leadership</w:t>
      </w:r>
      <w:r w:rsidRPr="00FF6997">
        <w:rPr>
          <w:rFonts w:ascii="Calibri" w:hAnsi="Calibri" w:cs="Calibri"/>
        </w:rPr>
        <w:t>, </w:t>
      </w:r>
      <w:r w:rsidRPr="00FF6997">
        <w:rPr>
          <w:rFonts w:ascii="Calibri" w:hAnsi="Calibri" w:cs="Calibri"/>
          <w:i/>
          <w:iCs/>
        </w:rPr>
        <w:t>52</w:t>
      </w:r>
      <w:r w:rsidRPr="00FF6997">
        <w:rPr>
          <w:rFonts w:ascii="Calibri" w:hAnsi="Calibri" w:cs="Calibri"/>
        </w:rPr>
        <w:t>(1), pp.208-229.</w:t>
      </w:r>
    </w:p>
    <w:p w14:paraId="392785F7" w14:textId="77777777" w:rsidR="00FF6997" w:rsidRPr="00FF6997" w:rsidRDefault="00FF6997">
      <w:pPr>
        <w:rPr>
          <w:rFonts w:ascii="Calibri" w:hAnsi="Calibri" w:cs="Calibri"/>
        </w:rPr>
      </w:pPr>
      <w:r w:rsidRPr="00FF6997">
        <w:rPr>
          <w:rFonts w:ascii="Calibri" w:hAnsi="Calibri" w:cs="Calibri"/>
        </w:rPr>
        <w:t xml:space="preserve">Sinnema, C., </w:t>
      </w:r>
      <w:proofErr w:type="spellStart"/>
      <w:r w:rsidRPr="00FF6997">
        <w:rPr>
          <w:rFonts w:ascii="Calibri" w:hAnsi="Calibri" w:cs="Calibri"/>
        </w:rPr>
        <w:t>Nieveen</w:t>
      </w:r>
      <w:proofErr w:type="spellEnd"/>
      <w:r w:rsidRPr="00FF6997">
        <w:rPr>
          <w:rFonts w:ascii="Calibri" w:hAnsi="Calibri" w:cs="Calibri"/>
        </w:rPr>
        <w:t xml:space="preserve">, N. and Priestley, M., (2020). Successful futures, successful curriculum: What can Wales learn from international curriculum </w:t>
      </w:r>
      <w:proofErr w:type="gramStart"/>
      <w:r w:rsidRPr="00FF6997">
        <w:rPr>
          <w:rFonts w:ascii="Calibri" w:hAnsi="Calibri" w:cs="Calibri"/>
        </w:rPr>
        <w:t>reforms?.</w:t>
      </w:r>
      <w:proofErr w:type="gramEnd"/>
      <w:r w:rsidRPr="00FF6997">
        <w:rPr>
          <w:rFonts w:ascii="Calibri" w:hAnsi="Calibri" w:cs="Calibri"/>
        </w:rPr>
        <w:t> </w:t>
      </w:r>
      <w:r w:rsidRPr="00FF6997">
        <w:rPr>
          <w:rFonts w:ascii="Calibri" w:hAnsi="Calibri" w:cs="Calibri"/>
          <w:i/>
          <w:iCs/>
        </w:rPr>
        <w:t>The Curriculum Journal</w:t>
      </w:r>
      <w:r w:rsidRPr="00FF6997">
        <w:rPr>
          <w:rFonts w:ascii="Calibri" w:hAnsi="Calibri" w:cs="Calibri"/>
        </w:rPr>
        <w:t>, </w:t>
      </w:r>
      <w:r w:rsidRPr="00FF6997">
        <w:rPr>
          <w:rFonts w:ascii="Calibri" w:hAnsi="Calibri" w:cs="Calibri"/>
          <w:i/>
          <w:iCs/>
        </w:rPr>
        <w:t>31</w:t>
      </w:r>
      <w:r w:rsidRPr="00FF6997">
        <w:rPr>
          <w:rFonts w:ascii="Calibri" w:hAnsi="Calibri" w:cs="Calibri"/>
        </w:rPr>
        <w:t>(2), pp.181-201.</w:t>
      </w:r>
    </w:p>
    <w:p w14:paraId="3C4B2714" w14:textId="77777777" w:rsidR="00FF6997" w:rsidRPr="00FF6997" w:rsidRDefault="00FF6997">
      <w:pPr>
        <w:rPr>
          <w:rFonts w:ascii="Calibri" w:hAnsi="Calibri" w:cs="Calibri"/>
        </w:rPr>
      </w:pPr>
      <w:r w:rsidRPr="00FF6997">
        <w:rPr>
          <w:rFonts w:ascii="Calibri" w:hAnsi="Calibri" w:cs="Calibri"/>
        </w:rPr>
        <w:t>Smith, K., (2024). Reconceptualising Curriculum in a new era of Welsh Education. </w:t>
      </w:r>
      <w:r w:rsidRPr="00FF6997">
        <w:rPr>
          <w:rFonts w:ascii="Calibri" w:hAnsi="Calibri" w:cs="Calibri"/>
          <w:i/>
          <w:iCs/>
        </w:rPr>
        <w:t>Wales Journal of Education</w:t>
      </w:r>
      <w:r w:rsidRPr="00FF6997">
        <w:rPr>
          <w:rFonts w:ascii="Calibri" w:hAnsi="Calibri" w:cs="Calibri"/>
        </w:rPr>
        <w:t>, </w:t>
      </w:r>
      <w:r w:rsidRPr="00FF6997">
        <w:rPr>
          <w:rFonts w:ascii="Calibri" w:hAnsi="Calibri" w:cs="Calibri"/>
          <w:i/>
          <w:iCs/>
        </w:rPr>
        <w:t>26</w:t>
      </w:r>
      <w:r w:rsidRPr="00FF6997">
        <w:rPr>
          <w:rFonts w:ascii="Calibri" w:hAnsi="Calibri" w:cs="Calibri"/>
        </w:rPr>
        <w:t>(2), pp.54-71.</w:t>
      </w:r>
    </w:p>
    <w:p w14:paraId="2A26F5A5" w14:textId="77777777" w:rsidR="00FF6997" w:rsidRPr="00FF6997" w:rsidRDefault="00FF6997">
      <w:pPr>
        <w:rPr>
          <w:rFonts w:ascii="Calibri" w:hAnsi="Calibri" w:cs="Calibri"/>
        </w:rPr>
      </w:pPr>
      <w:r w:rsidRPr="00FF6997">
        <w:rPr>
          <w:rFonts w:ascii="Calibri" w:hAnsi="Calibri" w:cs="Calibri"/>
        </w:rPr>
        <w:t>Stoll, L., Bolam, R., McMahon, A., Thomas, S., Wallace, M., Greenwood, A. and Hawkey, K., (2018). Professional learning communities: Source materials for school leaders and other leaders of professional learning.</w:t>
      </w:r>
    </w:p>
    <w:p w14:paraId="33AA8A71" w14:textId="77777777" w:rsidR="00FF6997" w:rsidRPr="00FF6997" w:rsidRDefault="00FF6997">
      <w:pPr>
        <w:rPr>
          <w:rFonts w:ascii="Calibri" w:hAnsi="Calibri" w:cs="Calibri"/>
        </w:rPr>
      </w:pPr>
      <w:r w:rsidRPr="00FF6997">
        <w:rPr>
          <w:rFonts w:ascii="Calibri" w:hAnsi="Calibri" w:cs="Calibri"/>
        </w:rPr>
        <w:t>Taylor, C., Rhys, M. and Waldron, S., (2019). Implementing curriculum reform in Wales: the case of the Foundation Phase. In </w:t>
      </w:r>
      <w:r w:rsidRPr="00FF6997">
        <w:rPr>
          <w:rFonts w:ascii="Calibri" w:hAnsi="Calibri" w:cs="Calibri"/>
          <w:i/>
          <w:iCs/>
        </w:rPr>
        <w:t>Education in a Federal UK</w:t>
      </w:r>
      <w:r w:rsidRPr="00FF6997">
        <w:rPr>
          <w:rFonts w:ascii="Calibri" w:hAnsi="Calibri" w:cs="Calibri"/>
        </w:rPr>
        <w:t> (pp. 51-67). Routledge.</w:t>
      </w:r>
    </w:p>
    <w:p w14:paraId="308DE02D" w14:textId="77777777" w:rsidR="00FF6997" w:rsidRPr="00FF6997" w:rsidRDefault="00FF6997">
      <w:pPr>
        <w:rPr>
          <w:rFonts w:ascii="Calibri" w:hAnsi="Calibri" w:cs="Calibri"/>
        </w:rPr>
      </w:pPr>
      <w:r w:rsidRPr="00FF6997">
        <w:rPr>
          <w:rFonts w:ascii="Calibri" w:hAnsi="Calibri" w:cs="Calibri"/>
        </w:rPr>
        <w:t>Thomas, H., Duggan, B., McAlister-Wilson, S., Roberts, L., Sinnema, C., Cole Jones, N. and Glover, A., 2023. Research on the early implementation of Curriculum for Wales: Wave 2 report.</w:t>
      </w:r>
    </w:p>
    <w:p w14:paraId="4DDDF0FE" w14:textId="77777777" w:rsidR="00FF6997" w:rsidRPr="00FF6997" w:rsidRDefault="00FF6997">
      <w:pPr>
        <w:rPr>
          <w:rFonts w:ascii="Calibri" w:hAnsi="Calibri" w:cs="Calibri"/>
        </w:rPr>
      </w:pPr>
      <w:r w:rsidRPr="00FF6997">
        <w:rPr>
          <w:rFonts w:ascii="Calibri" w:hAnsi="Calibri" w:cs="Calibri"/>
        </w:rPr>
        <w:t>Titley, E., (2024). </w:t>
      </w:r>
      <w:r w:rsidRPr="00FF6997">
        <w:rPr>
          <w:rFonts w:ascii="Calibri" w:hAnsi="Calibri" w:cs="Calibri"/>
          <w:i/>
          <w:iCs/>
        </w:rPr>
        <w:t>A Critical Examination of Pupil and Teacher Perspectives on the Revised Qualification and Curriculum Arrangements in Wales</w:t>
      </w:r>
      <w:r w:rsidRPr="00FF6997">
        <w:rPr>
          <w:rFonts w:ascii="Calibri" w:hAnsi="Calibri" w:cs="Calibri"/>
        </w:rPr>
        <w:t> (Doctoral dissertation, School of Education, Aberystwyth University).</w:t>
      </w:r>
    </w:p>
    <w:p w14:paraId="56732786" w14:textId="77777777" w:rsidR="00FF6997" w:rsidRPr="00FF6997" w:rsidRDefault="00FF6997">
      <w:pPr>
        <w:rPr>
          <w:rFonts w:ascii="Calibri" w:hAnsi="Calibri" w:cs="Calibri"/>
        </w:rPr>
      </w:pPr>
      <w:r w:rsidRPr="00FF6997">
        <w:rPr>
          <w:rFonts w:ascii="Calibri" w:hAnsi="Calibri" w:cs="Calibri"/>
        </w:rPr>
        <w:t>Titley, E., Davies, A.J. and Atherton, S., (2020). ‘[It] isn’t designed to be assessed how we assess’: rethinking assessment for qualification in the context of the implementation of the Curriculum for Wales. </w:t>
      </w:r>
      <w:r w:rsidRPr="00FF6997">
        <w:rPr>
          <w:rFonts w:ascii="Calibri" w:hAnsi="Calibri" w:cs="Calibri"/>
          <w:i/>
          <w:iCs/>
        </w:rPr>
        <w:t>The Curriculum Journal</w:t>
      </w:r>
      <w:r w:rsidRPr="00FF6997">
        <w:rPr>
          <w:rFonts w:ascii="Calibri" w:hAnsi="Calibri" w:cs="Calibri"/>
        </w:rPr>
        <w:t>, </w:t>
      </w:r>
      <w:r w:rsidRPr="00FF6997">
        <w:rPr>
          <w:rFonts w:ascii="Calibri" w:hAnsi="Calibri" w:cs="Calibri"/>
          <w:i/>
          <w:iCs/>
        </w:rPr>
        <w:t>31</w:t>
      </w:r>
      <w:r w:rsidRPr="00FF6997">
        <w:rPr>
          <w:rFonts w:ascii="Calibri" w:hAnsi="Calibri" w:cs="Calibri"/>
        </w:rPr>
        <w:t>(2), pp.303-316.</w:t>
      </w:r>
    </w:p>
    <w:p w14:paraId="1AC0250F" w14:textId="77777777" w:rsidR="00FF6997" w:rsidRPr="00FF6997" w:rsidRDefault="00FF6997">
      <w:pPr>
        <w:rPr>
          <w:rFonts w:ascii="Calibri" w:hAnsi="Calibri" w:cs="Calibri"/>
        </w:rPr>
      </w:pPr>
      <w:r w:rsidRPr="00FF6997">
        <w:rPr>
          <w:rFonts w:ascii="Calibri" w:hAnsi="Calibri" w:cs="Calibri"/>
        </w:rPr>
        <w:t xml:space="preserve">UK Government (1988) </w:t>
      </w:r>
      <w:r w:rsidRPr="00FF6997">
        <w:rPr>
          <w:rFonts w:ascii="Calibri" w:hAnsi="Calibri" w:cs="Calibri"/>
          <w:i/>
          <w:iCs/>
        </w:rPr>
        <w:t xml:space="preserve">Education Reform Act 1988, Section 2. </w:t>
      </w:r>
      <w:r w:rsidRPr="00FF6997">
        <w:rPr>
          <w:rFonts w:ascii="Calibri" w:hAnsi="Calibri" w:cs="Calibri"/>
        </w:rPr>
        <w:t xml:space="preserve">Available at: </w:t>
      </w:r>
      <w:hyperlink r:id="rId11" w:history="1">
        <w:r w:rsidRPr="00FF6997">
          <w:rPr>
            <w:rStyle w:val="Hyperlink"/>
            <w:rFonts w:ascii="Calibri" w:hAnsi="Calibri" w:cs="Calibri"/>
          </w:rPr>
          <w:t>https://www.legislation.gov.uk/ukpga/1988/40/section/2</w:t>
        </w:r>
      </w:hyperlink>
      <w:r w:rsidRPr="00FF6997">
        <w:rPr>
          <w:rFonts w:ascii="Calibri" w:hAnsi="Calibri" w:cs="Calibri"/>
        </w:rPr>
        <w:t xml:space="preserve"> (Accessed on 30/04/2025)</w:t>
      </w:r>
    </w:p>
    <w:p w14:paraId="585A8112" w14:textId="77777777" w:rsidR="00FF6997" w:rsidRPr="00FF6997" w:rsidRDefault="00FF6997">
      <w:pPr>
        <w:rPr>
          <w:rFonts w:ascii="Calibri" w:hAnsi="Calibri" w:cs="Calibri"/>
        </w:rPr>
      </w:pPr>
      <w:r w:rsidRPr="00FF6997">
        <w:rPr>
          <w:rFonts w:ascii="Calibri" w:hAnsi="Calibri" w:cs="Calibri"/>
        </w:rPr>
        <w:t>Wall, J., (2024). </w:t>
      </w:r>
      <w:r w:rsidRPr="00FF6997">
        <w:rPr>
          <w:rFonts w:ascii="Calibri" w:hAnsi="Calibri" w:cs="Calibri"/>
          <w:i/>
          <w:iCs/>
        </w:rPr>
        <w:t>Can heads of department be agents of change? Preparing for the new curriculum for Wales in a Welsh secondary school</w:t>
      </w:r>
      <w:r w:rsidRPr="00FF6997">
        <w:rPr>
          <w:rFonts w:ascii="Calibri" w:hAnsi="Calibri" w:cs="Calibri"/>
        </w:rPr>
        <w:t> (Doctoral dissertation, Cardiff University).</w:t>
      </w:r>
    </w:p>
    <w:p w14:paraId="23167A77" w14:textId="77777777" w:rsidR="00FF6997" w:rsidRPr="00FF6997" w:rsidRDefault="00FF6997">
      <w:pPr>
        <w:rPr>
          <w:rFonts w:ascii="Calibri" w:hAnsi="Calibri" w:cs="Calibri"/>
        </w:rPr>
      </w:pPr>
      <w:r w:rsidRPr="00FF6997">
        <w:rPr>
          <w:rFonts w:ascii="Calibri" w:hAnsi="Calibri" w:cs="Calibri"/>
        </w:rPr>
        <w:t>Waters, M., (2020). Learning to be a teacher for Wales: The induction of teachers into the profession. </w:t>
      </w:r>
      <w:r w:rsidRPr="00FF6997">
        <w:rPr>
          <w:rFonts w:ascii="Calibri" w:hAnsi="Calibri" w:cs="Calibri"/>
          <w:i/>
          <w:iCs/>
        </w:rPr>
        <w:t>Welsh Government. Retrieved August</w:t>
      </w:r>
      <w:r w:rsidRPr="00FF6997">
        <w:rPr>
          <w:rFonts w:ascii="Calibri" w:hAnsi="Calibri" w:cs="Calibri"/>
        </w:rPr>
        <w:t>, </w:t>
      </w:r>
      <w:r w:rsidRPr="00FF6997">
        <w:rPr>
          <w:rFonts w:ascii="Calibri" w:hAnsi="Calibri" w:cs="Calibri"/>
          <w:i/>
          <w:iCs/>
        </w:rPr>
        <w:t>24</w:t>
      </w:r>
      <w:r w:rsidRPr="00FF6997">
        <w:rPr>
          <w:rFonts w:ascii="Calibri" w:hAnsi="Calibri" w:cs="Calibri"/>
        </w:rPr>
        <w:t>(2022), pp.2020-11.</w:t>
      </w:r>
    </w:p>
    <w:p w14:paraId="3064E26D" w14:textId="77777777" w:rsidR="00FF6997" w:rsidRPr="00FF6997" w:rsidRDefault="00FF6997">
      <w:pPr>
        <w:rPr>
          <w:rFonts w:ascii="Calibri" w:hAnsi="Calibri" w:cs="Calibri"/>
        </w:rPr>
      </w:pPr>
      <w:r w:rsidRPr="00FF6997">
        <w:rPr>
          <w:rFonts w:ascii="Calibri" w:hAnsi="Calibri" w:cs="Calibri"/>
        </w:rPr>
        <w:t xml:space="preserve">Welsh Government (2025) </w:t>
      </w:r>
      <w:r w:rsidRPr="00FF6997">
        <w:rPr>
          <w:rFonts w:ascii="Calibri" w:hAnsi="Calibri" w:cs="Calibri"/>
          <w:i/>
          <w:iCs/>
        </w:rPr>
        <w:t>Curriculum for Wales</w:t>
      </w:r>
      <w:r w:rsidRPr="00FF6997">
        <w:rPr>
          <w:rFonts w:ascii="Calibri" w:hAnsi="Calibri" w:cs="Calibri"/>
        </w:rPr>
        <w:t>. Available at: https://hwb.gov.wales/curriculum-for-wales (Accessed: 02/05/2025).</w:t>
      </w:r>
    </w:p>
    <w:p w14:paraId="294F361B" w14:textId="77777777" w:rsidR="00FF6997" w:rsidRPr="00FF6997" w:rsidRDefault="00FF6997">
      <w:pPr>
        <w:rPr>
          <w:rFonts w:ascii="Calibri" w:hAnsi="Calibri" w:cs="Calibri"/>
        </w:rPr>
      </w:pPr>
      <w:r w:rsidRPr="00FF6997">
        <w:rPr>
          <w:rFonts w:ascii="Calibri" w:hAnsi="Calibri" w:cs="Calibri"/>
        </w:rPr>
        <w:t xml:space="preserve">Welsh Government., (2020)., Curriculum for Wales guidance., Available at: </w:t>
      </w:r>
      <w:hyperlink r:id="rId12" w:history="1">
        <w:r w:rsidRPr="00FF6997">
          <w:rPr>
            <w:rStyle w:val="Hyperlink"/>
            <w:rFonts w:ascii="Calibri" w:hAnsi="Calibri" w:cs="Calibri"/>
          </w:rPr>
          <w:t>curriculum-for-wales-guidance.pdf</w:t>
        </w:r>
      </w:hyperlink>
      <w:r w:rsidRPr="00FF6997">
        <w:rPr>
          <w:rFonts w:ascii="Calibri" w:hAnsi="Calibri" w:cs="Calibri"/>
        </w:rPr>
        <w:t xml:space="preserve"> (Accessed on 06/07/2025)</w:t>
      </w:r>
    </w:p>
    <w:p w14:paraId="5EDB80B9" w14:textId="77777777" w:rsidR="00FF6997" w:rsidRPr="00FF6997" w:rsidRDefault="00FF6997">
      <w:pPr>
        <w:rPr>
          <w:rFonts w:ascii="Calibri" w:hAnsi="Calibri" w:cs="Calibri"/>
        </w:rPr>
      </w:pPr>
      <w:r w:rsidRPr="00FF6997">
        <w:rPr>
          <w:rFonts w:ascii="Calibri" w:hAnsi="Calibri" w:cs="Calibri"/>
        </w:rPr>
        <w:lastRenderedPageBreak/>
        <w:t>Welsh Government., (2022</w:t>
      </w:r>
      <w:r w:rsidRPr="00FF6997">
        <w:rPr>
          <w:rFonts w:ascii="Calibri" w:hAnsi="Calibri" w:cs="Calibri"/>
          <w:i/>
          <w:iCs/>
        </w:rPr>
        <w:t>)., Latest updates on School Self-evaluation, Accountability and Progression</w:t>
      </w:r>
      <w:r w:rsidRPr="00FF6997">
        <w:rPr>
          <w:rFonts w:ascii="Calibri" w:hAnsi="Calibri" w:cs="Calibri"/>
        </w:rPr>
        <w:t xml:space="preserve">., Available at: </w:t>
      </w:r>
      <w:hyperlink r:id="rId13" w:history="1">
        <w:r w:rsidRPr="00FF6997">
          <w:rPr>
            <w:rStyle w:val="Hyperlink"/>
            <w:rFonts w:ascii="Calibri" w:hAnsi="Calibri" w:cs="Calibri"/>
          </w:rPr>
          <w:t>https://education.blog.gov.wales/2022/06/30/latest-updates-on-school-self-evaluation-accountability-and-progression/</w:t>
        </w:r>
      </w:hyperlink>
      <w:r w:rsidRPr="00FF6997">
        <w:rPr>
          <w:rFonts w:ascii="Calibri" w:hAnsi="Calibri" w:cs="Calibri"/>
        </w:rPr>
        <w:t xml:space="preserve"> Accessed on: (05/07/2025)</w:t>
      </w:r>
    </w:p>
    <w:p w14:paraId="25E62E06" w14:textId="77777777" w:rsidR="00FF6997" w:rsidRPr="00FF6997" w:rsidRDefault="00FF6997">
      <w:pPr>
        <w:rPr>
          <w:rFonts w:ascii="Calibri" w:hAnsi="Calibri" w:cs="Calibri"/>
        </w:rPr>
      </w:pPr>
      <w:r w:rsidRPr="00FF6997">
        <w:rPr>
          <w:rFonts w:ascii="Calibri" w:hAnsi="Calibri" w:cs="Calibri"/>
        </w:rPr>
        <w:t xml:space="preserve">Welsh Government., (2023)., </w:t>
      </w:r>
      <w:r w:rsidRPr="00FF6997">
        <w:rPr>
          <w:rFonts w:ascii="Calibri" w:hAnsi="Calibri" w:cs="Calibri"/>
          <w:i/>
          <w:iCs/>
        </w:rPr>
        <w:t>Curriculum for Wales: annual report 2023</w:t>
      </w:r>
      <w:r w:rsidRPr="00FF6997">
        <w:rPr>
          <w:rFonts w:ascii="Calibri" w:hAnsi="Calibri" w:cs="Calibri"/>
        </w:rPr>
        <w:t xml:space="preserve">., Available at: </w:t>
      </w:r>
      <w:hyperlink r:id="rId14" w:history="1">
        <w:r w:rsidRPr="00FF6997">
          <w:rPr>
            <w:rStyle w:val="Hyperlink"/>
            <w:rFonts w:ascii="Calibri" w:hAnsi="Calibri" w:cs="Calibri"/>
          </w:rPr>
          <w:t>Curriculum for Wales: annual report 2023 [HTML] | GOV.WALES</w:t>
        </w:r>
      </w:hyperlink>
      <w:r w:rsidRPr="00FF6997">
        <w:rPr>
          <w:rFonts w:ascii="Calibri" w:hAnsi="Calibri" w:cs="Calibri"/>
        </w:rPr>
        <w:t xml:space="preserve"> (Accessed on: 05/07/2025)</w:t>
      </w:r>
    </w:p>
    <w:p w14:paraId="0A80567A" w14:textId="77777777" w:rsidR="00FF6997" w:rsidRPr="00FF6997" w:rsidRDefault="00FF6997">
      <w:pPr>
        <w:rPr>
          <w:rFonts w:ascii="Calibri" w:hAnsi="Calibri" w:cs="Calibri"/>
        </w:rPr>
      </w:pPr>
      <w:r w:rsidRPr="00FF6997">
        <w:rPr>
          <w:rFonts w:ascii="Calibri" w:hAnsi="Calibri" w:cs="Calibri"/>
        </w:rPr>
        <w:t>White, J. ed., (2003). </w:t>
      </w:r>
      <w:r w:rsidRPr="00FF6997">
        <w:rPr>
          <w:rFonts w:ascii="Calibri" w:hAnsi="Calibri" w:cs="Calibri"/>
          <w:i/>
          <w:iCs/>
        </w:rPr>
        <w:t>Rethinking the school curriculum</w:t>
      </w:r>
      <w:r w:rsidRPr="00FF6997">
        <w:rPr>
          <w:rFonts w:ascii="Calibri" w:hAnsi="Calibri" w:cs="Calibri"/>
        </w:rPr>
        <w:t>. Taylor &amp; Francis.</w:t>
      </w:r>
    </w:p>
    <w:p w14:paraId="788245EE" w14:textId="77777777" w:rsidR="00FF6997" w:rsidRPr="00FF6997" w:rsidRDefault="00FF6997">
      <w:pPr>
        <w:rPr>
          <w:rFonts w:ascii="Calibri" w:hAnsi="Calibri" w:cs="Calibri"/>
        </w:rPr>
      </w:pPr>
      <w:r w:rsidRPr="00FF6997">
        <w:rPr>
          <w:rFonts w:ascii="Calibri" w:hAnsi="Calibri" w:cs="Calibri"/>
        </w:rPr>
        <w:t>WJEC (2024</w:t>
      </w:r>
      <w:r w:rsidRPr="00FF6997">
        <w:rPr>
          <w:rFonts w:ascii="Calibri" w:hAnsi="Calibri" w:cs="Calibri"/>
          <w:i/>
          <w:iCs/>
        </w:rPr>
        <w:t>)., Wave 2 draft made-for-Wales specifications</w:t>
      </w:r>
      <w:r w:rsidRPr="00FF6997">
        <w:rPr>
          <w:rFonts w:ascii="Calibri" w:hAnsi="Calibri" w:cs="Calibri"/>
        </w:rPr>
        <w:t xml:space="preserve">. Available at: </w:t>
      </w:r>
      <w:hyperlink r:id="rId15" w:history="1">
        <w:r w:rsidRPr="00FF6997">
          <w:rPr>
            <w:rStyle w:val="Hyperlink"/>
            <w:rFonts w:ascii="Calibri" w:hAnsi="Calibri" w:cs="Calibri"/>
          </w:rPr>
          <w:t>Wave 2 draft Made-for-Wales specifications now available</w:t>
        </w:r>
      </w:hyperlink>
      <w:r w:rsidRPr="00FF6997">
        <w:rPr>
          <w:rFonts w:ascii="Calibri" w:hAnsi="Calibri" w:cs="Calibri"/>
        </w:rPr>
        <w:t xml:space="preserve"> (Accessed on 05/07/2025)</w:t>
      </w:r>
    </w:p>
    <w:sectPr w:rsidR="00FF6997" w:rsidRPr="00FF6997" w:rsidSect="00335568">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C4F9A" w14:textId="77777777" w:rsidR="00746605" w:rsidRDefault="00746605" w:rsidP="00683465">
      <w:pPr>
        <w:spacing w:after="0" w:line="240" w:lineRule="auto"/>
      </w:pPr>
      <w:r>
        <w:separator/>
      </w:r>
    </w:p>
  </w:endnote>
  <w:endnote w:type="continuationSeparator" w:id="0">
    <w:p w14:paraId="49924DD9" w14:textId="77777777" w:rsidR="00746605" w:rsidRDefault="00746605" w:rsidP="00683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406790"/>
      <w:docPartObj>
        <w:docPartGallery w:val="Page Numbers (Bottom of Page)"/>
        <w:docPartUnique/>
      </w:docPartObj>
    </w:sdtPr>
    <w:sdtEndPr>
      <w:rPr>
        <w:noProof/>
      </w:rPr>
    </w:sdtEndPr>
    <w:sdtContent>
      <w:p w14:paraId="729D52E8" w14:textId="3EA84F78" w:rsidR="00683465" w:rsidRDefault="006834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E20B69" w14:textId="77777777" w:rsidR="00683465" w:rsidRDefault="00683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7FF9F" w14:textId="77777777" w:rsidR="00746605" w:rsidRDefault="00746605" w:rsidP="00683465">
      <w:pPr>
        <w:spacing w:after="0" w:line="240" w:lineRule="auto"/>
      </w:pPr>
      <w:r>
        <w:separator/>
      </w:r>
    </w:p>
  </w:footnote>
  <w:footnote w:type="continuationSeparator" w:id="0">
    <w:p w14:paraId="2E8750AA" w14:textId="77777777" w:rsidR="00746605" w:rsidRDefault="00746605" w:rsidP="006834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80CA8"/>
    <w:multiLevelType w:val="multilevel"/>
    <w:tmpl w:val="5446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714D09"/>
    <w:multiLevelType w:val="multilevel"/>
    <w:tmpl w:val="2C0A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7968DD"/>
    <w:multiLevelType w:val="multilevel"/>
    <w:tmpl w:val="46709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E92A72"/>
    <w:multiLevelType w:val="multilevel"/>
    <w:tmpl w:val="2F48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039CE"/>
    <w:multiLevelType w:val="multilevel"/>
    <w:tmpl w:val="99D8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990F6F"/>
    <w:multiLevelType w:val="multilevel"/>
    <w:tmpl w:val="9C66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1B1218"/>
    <w:multiLevelType w:val="hybridMultilevel"/>
    <w:tmpl w:val="9054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BE07C5"/>
    <w:multiLevelType w:val="multilevel"/>
    <w:tmpl w:val="71F6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E03D5A"/>
    <w:multiLevelType w:val="multilevel"/>
    <w:tmpl w:val="DC44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D02B94"/>
    <w:multiLevelType w:val="hybridMultilevel"/>
    <w:tmpl w:val="1B4C9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922415"/>
    <w:multiLevelType w:val="multilevel"/>
    <w:tmpl w:val="C97C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066C73"/>
    <w:multiLevelType w:val="hybridMultilevel"/>
    <w:tmpl w:val="9950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5052D2"/>
    <w:multiLevelType w:val="multilevel"/>
    <w:tmpl w:val="F386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2830A9"/>
    <w:multiLevelType w:val="multilevel"/>
    <w:tmpl w:val="0426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576303">
    <w:abstractNumId w:val="5"/>
  </w:num>
  <w:num w:numId="2" w16cid:durableId="929505935">
    <w:abstractNumId w:val="4"/>
  </w:num>
  <w:num w:numId="3" w16cid:durableId="1851261703">
    <w:abstractNumId w:val="6"/>
  </w:num>
  <w:num w:numId="4" w16cid:durableId="1747919200">
    <w:abstractNumId w:val="1"/>
  </w:num>
  <w:num w:numId="5" w16cid:durableId="170879632">
    <w:abstractNumId w:val="11"/>
  </w:num>
  <w:num w:numId="6" w16cid:durableId="1933973697">
    <w:abstractNumId w:val="9"/>
  </w:num>
  <w:num w:numId="7" w16cid:durableId="614019646">
    <w:abstractNumId w:val="0"/>
  </w:num>
  <w:num w:numId="8" w16cid:durableId="1741099082">
    <w:abstractNumId w:val="12"/>
  </w:num>
  <w:num w:numId="9" w16cid:durableId="2130928250">
    <w:abstractNumId w:val="2"/>
  </w:num>
  <w:num w:numId="10" w16cid:durableId="883105181">
    <w:abstractNumId w:val="10"/>
  </w:num>
  <w:num w:numId="11" w16cid:durableId="1290016677">
    <w:abstractNumId w:val="7"/>
  </w:num>
  <w:num w:numId="12" w16cid:durableId="1579636766">
    <w:abstractNumId w:val="8"/>
  </w:num>
  <w:num w:numId="13" w16cid:durableId="11420058">
    <w:abstractNumId w:val="13"/>
  </w:num>
  <w:num w:numId="14" w16cid:durableId="17201333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71"/>
    <w:rsid w:val="000013A0"/>
    <w:rsid w:val="00005812"/>
    <w:rsid w:val="00007697"/>
    <w:rsid w:val="00023053"/>
    <w:rsid w:val="00027EB9"/>
    <w:rsid w:val="000427F2"/>
    <w:rsid w:val="00043263"/>
    <w:rsid w:val="00052302"/>
    <w:rsid w:val="0006238B"/>
    <w:rsid w:val="00062A3C"/>
    <w:rsid w:val="000630CB"/>
    <w:rsid w:val="00084EB2"/>
    <w:rsid w:val="0008563E"/>
    <w:rsid w:val="000A5260"/>
    <w:rsid w:val="000B74D0"/>
    <w:rsid w:val="000C474B"/>
    <w:rsid w:val="000C6D26"/>
    <w:rsid w:val="000D138B"/>
    <w:rsid w:val="000D7DAF"/>
    <w:rsid w:val="000F4669"/>
    <w:rsid w:val="00101598"/>
    <w:rsid w:val="00104151"/>
    <w:rsid w:val="00110782"/>
    <w:rsid w:val="0011679A"/>
    <w:rsid w:val="00116C17"/>
    <w:rsid w:val="00120B7C"/>
    <w:rsid w:val="00120F52"/>
    <w:rsid w:val="0012191D"/>
    <w:rsid w:val="0012441C"/>
    <w:rsid w:val="00131003"/>
    <w:rsid w:val="001369E4"/>
    <w:rsid w:val="001377FC"/>
    <w:rsid w:val="00142A17"/>
    <w:rsid w:val="001457D5"/>
    <w:rsid w:val="00163B01"/>
    <w:rsid w:val="00180B62"/>
    <w:rsid w:val="00185CA2"/>
    <w:rsid w:val="00186EE9"/>
    <w:rsid w:val="0019725C"/>
    <w:rsid w:val="001B1EB4"/>
    <w:rsid w:val="001C7D41"/>
    <w:rsid w:val="001E5F77"/>
    <w:rsid w:val="00200BDC"/>
    <w:rsid w:val="0020656B"/>
    <w:rsid w:val="00212F43"/>
    <w:rsid w:val="00232AD2"/>
    <w:rsid w:val="00233CA8"/>
    <w:rsid w:val="00233EB8"/>
    <w:rsid w:val="00234A30"/>
    <w:rsid w:val="00234D50"/>
    <w:rsid w:val="00243128"/>
    <w:rsid w:val="00243EA5"/>
    <w:rsid w:val="002547C9"/>
    <w:rsid w:val="00260FD4"/>
    <w:rsid w:val="00264334"/>
    <w:rsid w:val="00282CE2"/>
    <w:rsid w:val="00286F3B"/>
    <w:rsid w:val="002909BB"/>
    <w:rsid w:val="002912E9"/>
    <w:rsid w:val="002956ED"/>
    <w:rsid w:val="002C487E"/>
    <w:rsid w:val="002D1C2B"/>
    <w:rsid w:val="002E485C"/>
    <w:rsid w:val="002F686A"/>
    <w:rsid w:val="002F78EA"/>
    <w:rsid w:val="00303BAB"/>
    <w:rsid w:val="00316F6C"/>
    <w:rsid w:val="00320ED0"/>
    <w:rsid w:val="00327B63"/>
    <w:rsid w:val="00332951"/>
    <w:rsid w:val="00332B26"/>
    <w:rsid w:val="00335568"/>
    <w:rsid w:val="003409F7"/>
    <w:rsid w:val="0035397D"/>
    <w:rsid w:val="00355103"/>
    <w:rsid w:val="00365386"/>
    <w:rsid w:val="00366F44"/>
    <w:rsid w:val="00370EC4"/>
    <w:rsid w:val="00372C51"/>
    <w:rsid w:val="00374EAF"/>
    <w:rsid w:val="003800FA"/>
    <w:rsid w:val="0038075F"/>
    <w:rsid w:val="00382B25"/>
    <w:rsid w:val="00386EEC"/>
    <w:rsid w:val="003905EC"/>
    <w:rsid w:val="00391C5F"/>
    <w:rsid w:val="003A57B4"/>
    <w:rsid w:val="003B078F"/>
    <w:rsid w:val="003B14AD"/>
    <w:rsid w:val="003B4835"/>
    <w:rsid w:val="003B63A0"/>
    <w:rsid w:val="003D12F4"/>
    <w:rsid w:val="003D540A"/>
    <w:rsid w:val="003D554B"/>
    <w:rsid w:val="003E7E0A"/>
    <w:rsid w:val="003F09D5"/>
    <w:rsid w:val="003F3FE0"/>
    <w:rsid w:val="0040125D"/>
    <w:rsid w:val="00401EB1"/>
    <w:rsid w:val="0041104F"/>
    <w:rsid w:val="004136FE"/>
    <w:rsid w:val="00426150"/>
    <w:rsid w:val="004565ED"/>
    <w:rsid w:val="00465821"/>
    <w:rsid w:val="00467A15"/>
    <w:rsid w:val="00474C9E"/>
    <w:rsid w:val="0048123E"/>
    <w:rsid w:val="0048211B"/>
    <w:rsid w:val="004A09AE"/>
    <w:rsid w:val="004A225D"/>
    <w:rsid w:val="004A5A41"/>
    <w:rsid w:val="004A6102"/>
    <w:rsid w:val="004B0DF8"/>
    <w:rsid w:val="004C7371"/>
    <w:rsid w:val="004D263E"/>
    <w:rsid w:val="004D6CA0"/>
    <w:rsid w:val="004F4976"/>
    <w:rsid w:val="00501625"/>
    <w:rsid w:val="00512F36"/>
    <w:rsid w:val="005134DD"/>
    <w:rsid w:val="005136AD"/>
    <w:rsid w:val="0052166A"/>
    <w:rsid w:val="00522369"/>
    <w:rsid w:val="00523B02"/>
    <w:rsid w:val="00524574"/>
    <w:rsid w:val="00545F08"/>
    <w:rsid w:val="00546DFC"/>
    <w:rsid w:val="0055359F"/>
    <w:rsid w:val="005562D7"/>
    <w:rsid w:val="005632F5"/>
    <w:rsid w:val="00567B87"/>
    <w:rsid w:val="00570F13"/>
    <w:rsid w:val="00571294"/>
    <w:rsid w:val="00581663"/>
    <w:rsid w:val="00581F0A"/>
    <w:rsid w:val="00587013"/>
    <w:rsid w:val="0059120B"/>
    <w:rsid w:val="005A24A9"/>
    <w:rsid w:val="005A5172"/>
    <w:rsid w:val="005A6C3C"/>
    <w:rsid w:val="005C00FF"/>
    <w:rsid w:val="005C6C44"/>
    <w:rsid w:val="005D0A5D"/>
    <w:rsid w:val="005F61D5"/>
    <w:rsid w:val="00607F99"/>
    <w:rsid w:val="00610B2A"/>
    <w:rsid w:val="00624353"/>
    <w:rsid w:val="006315E1"/>
    <w:rsid w:val="006511A7"/>
    <w:rsid w:val="0065329D"/>
    <w:rsid w:val="00655CCE"/>
    <w:rsid w:val="00661A2A"/>
    <w:rsid w:val="00670D76"/>
    <w:rsid w:val="00670F61"/>
    <w:rsid w:val="00671E7C"/>
    <w:rsid w:val="006804D0"/>
    <w:rsid w:val="00683465"/>
    <w:rsid w:val="0068436A"/>
    <w:rsid w:val="0068581B"/>
    <w:rsid w:val="0068735D"/>
    <w:rsid w:val="00697C7B"/>
    <w:rsid w:val="00697D30"/>
    <w:rsid w:val="006A09DB"/>
    <w:rsid w:val="006A22B3"/>
    <w:rsid w:val="006A5F00"/>
    <w:rsid w:val="006C0F94"/>
    <w:rsid w:val="006C12AA"/>
    <w:rsid w:val="006C3130"/>
    <w:rsid w:val="006C3434"/>
    <w:rsid w:val="006C5E98"/>
    <w:rsid w:val="006C761E"/>
    <w:rsid w:val="006D4713"/>
    <w:rsid w:val="006D68D3"/>
    <w:rsid w:val="006E263C"/>
    <w:rsid w:val="006E4A33"/>
    <w:rsid w:val="006E74AE"/>
    <w:rsid w:val="006F2972"/>
    <w:rsid w:val="006F54EB"/>
    <w:rsid w:val="006F63BD"/>
    <w:rsid w:val="0072083C"/>
    <w:rsid w:val="00724915"/>
    <w:rsid w:val="00732081"/>
    <w:rsid w:val="00732D7C"/>
    <w:rsid w:val="0074525B"/>
    <w:rsid w:val="00746605"/>
    <w:rsid w:val="007478A7"/>
    <w:rsid w:val="00751C38"/>
    <w:rsid w:val="007608AC"/>
    <w:rsid w:val="00766FE0"/>
    <w:rsid w:val="00770002"/>
    <w:rsid w:val="007734B8"/>
    <w:rsid w:val="00774999"/>
    <w:rsid w:val="00777663"/>
    <w:rsid w:val="007847D3"/>
    <w:rsid w:val="0079447B"/>
    <w:rsid w:val="007A1638"/>
    <w:rsid w:val="007A4F44"/>
    <w:rsid w:val="007A53AB"/>
    <w:rsid w:val="007B4BEE"/>
    <w:rsid w:val="007C3376"/>
    <w:rsid w:val="007D6CE3"/>
    <w:rsid w:val="007D7639"/>
    <w:rsid w:val="008048FC"/>
    <w:rsid w:val="008068F4"/>
    <w:rsid w:val="0080735B"/>
    <w:rsid w:val="008102F1"/>
    <w:rsid w:val="00810C38"/>
    <w:rsid w:val="0081512F"/>
    <w:rsid w:val="008171E7"/>
    <w:rsid w:val="00823F55"/>
    <w:rsid w:val="0083547D"/>
    <w:rsid w:val="00837A36"/>
    <w:rsid w:val="00840BDB"/>
    <w:rsid w:val="00850CBD"/>
    <w:rsid w:val="00856C9D"/>
    <w:rsid w:val="00864669"/>
    <w:rsid w:val="0086553E"/>
    <w:rsid w:val="00873D73"/>
    <w:rsid w:val="00887FC1"/>
    <w:rsid w:val="008915E8"/>
    <w:rsid w:val="008A7C5E"/>
    <w:rsid w:val="008C45C4"/>
    <w:rsid w:val="008C5DEC"/>
    <w:rsid w:val="008C623C"/>
    <w:rsid w:val="008C7953"/>
    <w:rsid w:val="008D11B5"/>
    <w:rsid w:val="008D2DC2"/>
    <w:rsid w:val="008D330B"/>
    <w:rsid w:val="008D3B7C"/>
    <w:rsid w:val="008D5434"/>
    <w:rsid w:val="008E7E9D"/>
    <w:rsid w:val="008F18DF"/>
    <w:rsid w:val="008F18F2"/>
    <w:rsid w:val="009012B1"/>
    <w:rsid w:val="009028E2"/>
    <w:rsid w:val="00902EA5"/>
    <w:rsid w:val="00906D76"/>
    <w:rsid w:val="0092269F"/>
    <w:rsid w:val="00926FAD"/>
    <w:rsid w:val="00940892"/>
    <w:rsid w:val="00943316"/>
    <w:rsid w:val="00956F44"/>
    <w:rsid w:val="009575C4"/>
    <w:rsid w:val="00960078"/>
    <w:rsid w:val="00965FDB"/>
    <w:rsid w:val="009809D9"/>
    <w:rsid w:val="0098572F"/>
    <w:rsid w:val="00986EF2"/>
    <w:rsid w:val="009A1457"/>
    <w:rsid w:val="009A185C"/>
    <w:rsid w:val="009A4FFB"/>
    <w:rsid w:val="009B0596"/>
    <w:rsid w:val="009B0F82"/>
    <w:rsid w:val="009B5988"/>
    <w:rsid w:val="009C49EE"/>
    <w:rsid w:val="009D0047"/>
    <w:rsid w:val="009D79D1"/>
    <w:rsid w:val="009E2D8E"/>
    <w:rsid w:val="009E4D20"/>
    <w:rsid w:val="009E597C"/>
    <w:rsid w:val="009F669D"/>
    <w:rsid w:val="00A05359"/>
    <w:rsid w:val="00A133C7"/>
    <w:rsid w:val="00A14BBB"/>
    <w:rsid w:val="00A2048B"/>
    <w:rsid w:val="00A22BD0"/>
    <w:rsid w:val="00A2652D"/>
    <w:rsid w:val="00A37ADE"/>
    <w:rsid w:val="00A530C3"/>
    <w:rsid w:val="00A5492E"/>
    <w:rsid w:val="00A54C07"/>
    <w:rsid w:val="00A67A02"/>
    <w:rsid w:val="00A70965"/>
    <w:rsid w:val="00A846BA"/>
    <w:rsid w:val="00A908EF"/>
    <w:rsid w:val="00A91E1B"/>
    <w:rsid w:val="00AA1503"/>
    <w:rsid w:val="00AA4EE2"/>
    <w:rsid w:val="00AC05AC"/>
    <w:rsid w:val="00AC6912"/>
    <w:rsid w:val="00AC7B7B"/>
    <w:rsid w:val="00AD7C03"/>
    <w:rsid w:val="00AE0071"/>
    <w:rsid w:val="00AE03AC"/>
    <w:rsid w:val="00AF49D1"/>
    <w:rsid w:val="00B00A73"/>
    <w:rsid w:val="00B0639D"/>
    <w:rsid w:val="00B114AC"/>
    <w:rsid w:val="00B22E44"/>
    <w:rsid w:val="00B235B0"/>
    <w:rsid w:val="00B27502"/>
    <w:rsid w:val="00B44750"/>
    <w:rsid w:val="00B52424"/>
    <w:rsid w:val="00B52F06"/>
    <w:rsid w:val="00B53122"/>
    <w:rsid w:val="00B5500C"/>
    <w:rsid w:val="00B61E51"/>
    <w:rsid w:val="00B9131E"/>
    <w:rsid w:val="00B92CC3"/>
    <w:rsid w:val="00BA3530"/>
    <w:rsid w:val="00BA46D4"/>
    <w:rsid w:val="00BA707A"/>
    <w:rsid w:val="00BC0817"/>
    <w:rsid w:val="00BC4AAE"/>
    <w:rsid w:val="00BC50F3"/>
    <w:rsid w:val="00BD2E01"/>
    <w:rsid w:val="00C07C0B"/>
    <w:rsid w:val="00C130AB"/>
    <w:rsid w:val="00C135CC"/>
    <w:rsid w:val="00C15586"/>
    <w:rsid w:val="00C24F45"/>
    <w:rsid w:val="00C34822"/>
    <w:rsid w:val="00C42921"/>
    <w:rsid w:val="00C4664E"/>
    <w:rsid w:val="00C4674D"/>
    <w:rsid w:val="00C51377"/>
    <w:rsid w:val="00C518A8"/>
    <w:rsid w:val="00C52C15"/>
    <w:rsid w:val="00C64177"/>
    <w:rsid w:val="00C77B15"/>
    <w:rsid w:val="00C93E87"/>
    <w:rsid w:val="00C94156"/>
    <w:rsid w:val="00C95351"/>
    <w:rsid w:val="00C963A2"/>
    <w:rsid w:val="00CB22CF"/>
    <w:rsid w:val="00CC1B11"/>
    <w:rsid w:val="00CC1D82"/>
    <w:rsid w:val="00CC6D60"/>
    <w:rsid w:val="00CD158E"/>
    <w:rsid w:val="00CD7E73"/>
    <w:rsid w:val="00CE1410"/>
    <w:rsid w:val="00CF09AB"/>
    <w:rsid w:val="00CF2E4E"/>
    <w:rsid w:val="00CF3989"/>
    <w:rsid w:val="00D00815"/>
    <w:rsid w:val="00D00EA6"/>
    <w:rsid w:val="00D137E1"/>
    <w:rsid w:val="00D34EBB"/>
    <w:rsid w:val="00D44E4A"/>
    <w:rsid w:val="00D502EF"/>
    <w:rsid w:val="00D50AE5"/>
    <w:rsid w:val="00D51991"/>
    <w:rsid w:val="00D60B38"/>
    <w:rsid w:val="00D60F73"/>
    <w:rsid w:val="00D72A26"/>
    <w:rsid w:val="00D8769F"/>
    <w:rsid w:val="00D93261"/>
    <w:rsid w:val="00D95B80"/>
    <w:rsid w:val="00DA0DB7"/>
    <w:rsid w:val="00DB0226"/>
    <w:rsid w:val="00DB02BD"/>
    <w:rsid w:val="00DB0E4F"/>
    <w:rsid w:val="00DB54CD"/>
    <w:rsid w:val="00DB6576"/>
    <w:rsid w:val="00DC3EE8"/>
    <w:rsid w:val="00DC4AE8"/>
    <w:rsid w:val="00DC56E0"/>
    <w:rsid w:val="00DC70B2"/>
    <w:rsid w:val="00DC7F7F"/>
    <w:rsid w:val="00DD06C0"/>
    <w:rsid w:val="00DD1D3A"/>
    <w:rsid w:val="00DD6381"/>
    <w:rsid w:val="00DD6EB8"/>
    <w:rsid w:val="00DE6A3B"/>
    <w:rsid w:val="00DF08C4"/>
    <w:rsid w:val="00DF2197"/>
    <w:rsid w:val="00DF4637"/>
    <w:rsid w:val="00E00E70"/>
    <w:rsid w:val="00E05E89"/>
    <w:rsid w:val="00E3058D"/>
    <w:rsid w:val="00E36527"/>
    <w:rsid w:val="00E458D7"/>
    <w:rsid w:val="00E50F87"/>
    <w:rsid w:val="00E61473"/>
    <w:rsid w:val="00E7259A"/>
    <w:rsid w:val="00E73AC9"/>
    <w:rsid w:val="00E754B4"/>
    <w:rsid w:val="00E82880"/>
    <w:rsid w:val="00E832E6"/>
    <w:rsid w:val="00E8340E"/>
    <w:rsid w:val="00E9063F"/>
    <w:rsid w:val="00EA1A9A"/>
    <w:rsid w:val="00EB2670"/>
    <w:rsid w:val="00EE4761"/>
    <w:rsid w:val="00EF41CD"/>
    <w:rsid w:val="00F0408B"/>
    <w:rsid w:val="00F12406"/>
    <w:rsid w:val="00F25114"/>
    <w:rsid w:val="00F25DC2"/>
    <w:rsid w:val="00F26AB1"/>
    <w:rsid w:val="00F32AD6"/>
    <w:rsid w:val="00F3510F"/>
    <w:rsid w:val="00F42790"/>
    <w:rsid w:val="00F4392F"/>
    <w:rsid w:val="00F70D1A"/>
    <w:rsid w:val="00F77AD5"/>
    <w:rsid w:val="00F81135"/>
    <w:rsid w:val="00F86633"/>
    <w:rsid w:val="00F97977"/>
    <w:rsid w:val="00FB5F29"/>
    <w:rsid w:val="00FB6DAD"/>
    <w:rsid w:val="00FC003E"/>
    <w:rsid w:val="00FC2465"/>
    <w:rsid w:val="00FE15C8"/>
    <w:rsid w:val="00FE15EF"/>
    <w:rsid w:val="00FE51ED"/>
    <w:rsid w:val="00FE6197"/>
    <w:rsid w:val="00FF109C"/>
    <w:rsid w:val="00FF2172"/>
    <w:rsid w:val="00FF3544"/>
    <w:rsid w:val="00FF55F8"/>
    <w:rsid w:val="00FF63DB"/>
    <w:rsid w:val="00FF6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35A40"/>
  <w15:chartTrackingRefBased/>
  <w15:docId w15:val="{288076A4-E1A0-4484-ABA5-7B24CF5C2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071"/>
    <w:rPr>
      <w:rFonts w:eastAsiaTheme="majorEastAsia" w:cstheme="majorBidi"/>
      <w:color w:val="272727" w:themeColor="text1" w:themeTint="D8"/>
    </w:rPr>
  </w:style>
  <w:style w:type="paragraph" w:styleId="Title">
    <w:name w:val="Title"/>
    <w:basedOn w:val="Normal"/>
    <w:next w:val="Normal"/>
    <w:link w:val="TitleChar"/>
    <w:uiPriority w:val="10"/>
    <w:qFormat/>
    <w:rsid w:val="00AE0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071"/>
    <w:pPr>
      <w:spacing w:before="160"/>
      <w:jc w:val="center"/>
    </w:pPr>
    <w:rPr>
      <w:i/>
      <w:iCs/>
      <w:color w:val="404040" w:themeColor="text1" w:themeTint="BF"/>
    </w:rPr>
  </w:style>
  <w:style w:type="character" w:customStyle="1" w:styleId="QuoteChar">
    <w:name w:val="Quote Char"/>
    <w:basedOn w:val="DefaultParagraphFont"/>
    <w:link w:val="Quote"/>
    <w:uiPriority w:val="29"/>
    <w:rsid w:val="00AE0071"/>
    <w:rPr>
      <w:i/>
      <w:iCs/>
      <w:color w:val="404040" w:themeColor="text1" w:themeTint="BF"/>
    </w:rPr>
  </w:style>
  <w:style w:type="paragraph" w:styleId="ListParagraph">
    <w:name w:val="List Paragraph"/>
    <w:basedOn w:val="Normal"/>
    <w:uiPriority w:val="34"/>
    <w:qFormat/>
    <w:rsid w:val="00AE0071"/>
    <w:pPr>
      <w:ind w:left="720"/>
      <w:contextualSpacing/>
    </w:pPr>
  </w:style>
  <w:style w:type="character" w:styleId="IntenseEmphasis">
    <w:name w:val="Intense Emphasis"/>
    <w:basedOn w:val="DefaultParagraphFont"/>
    <w:uiPriority w:val="21"/>
    <w:qFormat/>
    <w:rsid w:val="00AE0071"/>
    <w:rPr>
      <w:i/>
      <w:iCs/>
      <w:color w:val="0F4761" w:themeColor="accent1" w:themeShade="BF"/>
    </w:rPr>
  </w:style>
  <w:style w:type="paragraph" w:styleId="IntenseQuote">
    <w:name w:val="Intense Quote"/>
    <w:basedOn w:val="Normal"/>
    <w:next w:val="Normal"/>
    <w:link w:val="IntenseQuoteChar"/>
    <w:uiPriority w:val="30"/>
    <w:qFormat/>
    <w:rsid w:val="00AE0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071"/>
    <w:rPr>
      <w:i/>
      <w:iCs/>
      <w:color w:val="0F4761" w:themeColor="accent1" w:themeShade="BF"/>
    </w:rPr>
  </w:style>
  <w:style w:type="character" w:styleId="IntenseReference">
    <w:name w:val="Intense Reference"/>
    <w:basedOn w:val="DefaultParagraphFont"/>
    <w:uiPriority w:val="32"/>
    <w:qFormat/>
    <w:rsid w:val="00AE0071"/>
    <w:rPr>
      <w:b/>
      <w:bCs/>
      <w:smallCaps/>
      <w:color w:val="0F4761" w:themeColor="accent1" w:themeShade="BF"/>
      <w:spacing w:val="5"/>
    </w:rPr>
  </w:style>
  <w:style w:type="character" w:styleId="Hyperlink">
    <w:name w:val="Hyperlink"/>
    <w:basedOn w:val="DefaultParagraphFont"/>
    <w:uiPriority w:val="99"/>
    <w:unhideWhenUsed/>
    <w:rsid w:val="001E5F77"/>
    <w:rPr>
      <w:color w:val="467886" w:themeColor="hyperlink"/>
      <w:u w:val="single"/>
    </w:rPr>
  </w:style>
  <w:style w:type="character" w:styleId="UnresolvedMention">
    <w:name w:val="Unresolved Mention"/>
    <w:basedOn w:val="DefaultParagraphFont"/>
    <w:uiPriority w:val="99"/>
    <w:semiHidden/>
    <w:unhideWhenUsed/>
    <w:rsid w:val="001E5F77"/>
    <w:rPr>
      <w:color w:val="605E5C"/>
      <w:shd w:val="clear" w:color="auto" w:fill="E1DFDD"/>
    </w:rPr>
  </w:style>
  <w:style w:type="character" w:styleId="FollowedHyperlink">
    <w:name w:val="FollowedHyperlink"/>
    <w:basedOn w:val="DefaultParagraphFont"/>
    <w:uiPriority w:val="99"/>
    <w:semiHidden/>
    <w:unhideWhenUsed/>
    <w:rsid w:val="0012441C"/>
    <w:rPr>
      <w:color w:val="96607D" w:themeColor="followedHyperlink"/>
      <w:u w:val="single"/>
    </w:rPr>
  </w:style>
  <w:style w:type="table" w:styleId="TableGrid">
    <w:name w:val="Table Grid"/>
    <w:basedOn w:val="TableNormal"/>
    <w:uiPriority w:val="59"/>
    <w:rsid w:val="00655CCE"/>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3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465"/>
  </w:style>
  <w:style w:type="paragraph" w:styleId="Footer">
    <w:name w:val="footer"/>
    <w:basedOn w:val="Normal"/>
    <w:link w:val="FooterChar"/>
    <w:uiPriority w:val="99"/>
    <w:unhideWhenUsed/>
    <w:rsid w:val="00683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465"/>
  </w:style>
  <w:style w:type="paragraph" w:styleId="NoSpacing">
    <w:name w:val="No Spacing"/>
    <w:link w:val="NoSpacingChar"/>
    <w:uiPriority w:val="1"/>
    <w:qFormat/>
    <w:rsid w:val="0033556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3556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9451">
      <w:bodyDiv w:val="1"/>
      <w:marLeft w:val="0"/>
      <w:marRight w:val="0"/>
      <w:marTop w:val="0"/>
      <w:marBottom w:val="0"/>
      <w:divBdr>
        <w:top w:val="none" w:sz="0" w:space="0" w:color="auto"/>
        <w:left w:val="none" w:sz="0" w:space="0" w:color="auto"/>
        <w:bottom w:val="none" w:sz="0" w:space="0" w:color="auto"/>
        <w:right w:val="none" w:sz="0" w:space="0" w:color="auto"/>
      </w:divBdr>
    </w:div>
    <w:div w:id="86970468">
      <w:bodyDiv w:val="1"/>
      <w:marLeft w:val="0"/>
      <w:marRight w:val="0"/>
      <w:marTop w:val="0"/>
      <w:marBottom w:val="0"/>
      <w:divBdr>
        <w:top w:val="none" w:sz="0" w:space="0" w:color="auto"/>
        <w:left w:val="none" w:sz="0" w:space="0" w:color="auto"/>
        <w:bottom w:val="none" w:sz="0" w:space="0" w:color="auto"/>
        <w:right w:val="none" w:sz="0" w:space="0" w:color="auto"/>
      </w:divBdr>
    </w:div>
    <w:div w:id="110319514">
      <w:bodyDiv w:val="1"/>
      <w:marLeft w:val="0"/>
      <w:marRight w:val="0"/>
      <w:marTop w:val="0"/>
      <w:marBottom w:val="0"/>
      <w:divBdr>
        <w:top w:val="none" w:sz="0" w:space="0" w:color="auto"/>
        <w:left w:val="none" w:sz="0" w:space="0" w:color="auto"/>
        <w:bottom w:val="none" w:sz="0" w:space="0" w:color="auto"/>
        <w:right w:val="none" w:sz="0" w:space="0" w:color="auto"/>
      </w:divBdr>
    </w:div>
    <w:div w:id="128205925">
      <w:bodyDiv w:val="1"/>
      <w:marLeft w:val="0"/>
      <w:marRight w:val="0"/>
      <w:marTop w:val="0"/>
      <w:marBottom w:val="0"/>
      <w:divBdr>
        <w:top w:val="none" w:sz="0" w:space="0" w:color="auto"/>
        <w:left w:val="none" w:sz="0" w:space="0" w:color="auto"/>
        <w:bottom w:val="none" w:sz="0" w:space="0" w:color="auto"/>
        <w:right w:val="none" w:sz="0" w:space="0" w:color="auto"/>
      </w:divBdr>
    </w:div>
    <w:div w:id="174468935">
      <w:bodyDiv w:val="1"/>
      <w:marLeft w:val="0"/>
      <w:marRight w:val="0"/>
      <w:marTop w:val="0"/>
      <w:marBottom w:val="0"/>
      <w:divBdr>
        <w:top w:val="none" w:sz="0" w:space="0" w:color="auto"/>
        <w:left w:val="none" w:sz="0" w:space="0" w:color="auto"/>
        <w:bottom w:val="none" w:sz="0" w:space="0" w:color="auto"/>
        <w:right w:val="none" w:sz="0" w:space="0" w:color="auto"/>
      </w:divBdr>
    </w:div>
    <w:div w:id="189610107">
      <w:bodyDiv w:val="1"/>
      <w:marLeft w:val="0"/>
      <w:marRight w:val="0"/>
      <w:marTop w:val="0"/>
      <w:marBottom w:val="0"/>
      <w:divBdr>
        <w:top w:val="none" w:sz="0" w:space="0" w:color="auto"/>
        <w:left w:val="none" w:sz="0" w:space="0" w:color="auto"/>
        <w:bottom w:val="none" w:sz="0" w:space="0" w:color="auto"/>
        <w:right w:val="none" w:sz="0" w:space="0" w:color="auto"/>
      </w:divBdr>
    </w:div>
    <w:div w:id="224686861">
      <w:bodyDiv w:val="1"/>
      <w:marLeft w:val="0"/>
      <w:marRight w:val="0"/>
      <w:marTop w:val="0"/>
      <w:marBottom w:val="0"/>
      <w:divBdr>
        <w:top w:val="none" w:sz="0" w:space="0" w:color="auto"/>
        <w:left w:val="none" w:sz="0" w:space="0" w:color="auto"/>
        <w:bottom w:val="none" w:sz="0" w:space="0" w:color="auto"/>
        <w:right w:val="none" w:sz="0" w:space="0" w:color="auto"/>
      </w:divBdr>
    </w:div>
    <w:div w:id="243683822">
      <w:bodyDiv w:val="1"/>
      <w:marLeft w:val="0"/>
      <w:marRight w:val="0"/>
      <w:marTop w:val="0"/>
      <w:marBottom w:val="0"/>
      <w:divBdr>
        <w:top w:val="none" w:sz="0" w:space="0" w:color="auto"/>
        <w:left w:val="none" w:sz="0" w:space="0" w:color="auto"/>
        <w:bottom w:val="none" w:sz="0" w:space="0" w:color="auto"/>
        <w:right w:val="none" w:sz="0" w:space="0" w:color="auto"/>
      </w:divBdr>
    </w:div>
    <w:div w:id="302201399">
      <w:bodyDiv w:val="1"/>
      <w:marLeft w:val="0"/>
      <w:marRight w:val="0"/>
      <w:marTop w:val="0"/>
      <w:marBottom w:val="0"/>
      <w:divBdr>
        <w:top w:val="none" w:sz="0" w:space="0" w:color="auto"/>
        <w:left w:val="none" w:sz="0" w:space="0" w:color="auto"/>
        <w:bottom w:val="none" w:sz="0" w:space="0" w:color="auto"/>
        <w:right w:val="none" w:sz="0" w:space="0" w:color="auto"/>
      </w:divBdr>
    </w:div>
    <w:div w:id="324284248">
      <w:bodyDiv w:val="1"/>
      <w:marLeft w:val="0"/>
      <w:marRight w:val="0"/>
      <w:marTop w:val="0"/>
      <w:marBottom w:val="0"/>
      <w:divBdr>
        <w:top w:val="none" w:sz="0" w:space="0" w:color="auto"/>
        <w:left w:val="none" w:sz="0" w:space="0" w:color="auto"/>
        <w:bottom w:val="none" w:sz="0" w:space="0" w:color="auto"/>
        <w:right w:val="none" w:sz="0" w:space="0" w:color="auto"/>
      </w:divBdr>
    </w:div>
    <w:div w:id="332336727">
      <w:bodyDiv w:val="1"/>
      <w:marLeft w:val="0"/>
      <w:marRight w:val="0"/>
      <w:marTop w:val="0"/>
      <w:marBottom w:val="0"/>
      <w:divBdr>
        <w:top w:val="none" w:sz="0" w:space="0" w:color="auto"/>
        <w:left w:val="none" w:sz="0" w:space="0" w:color="auto"/>
        <w:bottom w:val="none" w:sz="0" w:space="0" w:color="auto"/>
        <w:right w:val="none" w:sz="0" w:space="0" w:color="auto"/>
      </w:divBdr>
    </w:div>
    <w:div w:id="356542970">
      <w:bodyDiv w:val="1"/>
      <w:marLeft w:val="0"/>
      <w:marRight w:val="0"/>
      <w:marTop w:val="0"/>
      <w:marBottom w:val="0"/>
      <w:divBdr>
        <w:top w:val="none" w:sz="0" w:space="0" w:color="auto"/>
        <w:left w:val="none" w:sz="0" w:space="0" w:color="auto"/>
        <w:bottom w:val="none" w:sz="0" w:space="0" w:color="auto"/>
        <w:right w:val="none" w:sz="0" w:space="0" w:color="auto"/>
      </w:divBdr>
    </w:div>
    <w:div w:id="384178152">
      <w:bodyDiv w:val="1"/>
      <w:marLeft w:val="0"/>
      <w:marRight w:val="0"/>
      <w:marTop w:val="0"/>
      <w:marBottom w:val="0"/>
      <w:divBdr>
        <w:top w:val="none" w:sz="0" w:space="0" w:color="auto"/>
        <w:left w:val="none" w:sz="0" w:space="0" w:color="auto"/>
        <w:bottom w:val="none" w:sz="0" w:space="0" w:color="auto"/>
        <w:right w:val="none" w:sz="0" w:space="0" w:color="auto"/>
      </w:divBdr>
    </w:div>
    <w:div w:id="398794213">
      <w:bodyDiv w:val="1"/>
      <w:marLeft w:val="0"/>
      <w:marRight w:val="0"/>
      <w:marTop w:val="0"/>
      <w:marBottom w:val="0"/>
      <w:divBdr>
        <w:top w:val="none" w:sz="0" w:space="0" w:color="auto"/>
        <w:left w:val="none" w:sz="0" w:space="0" w:color="auto"/>
        <w:bottom w:val="none" w:sz="0" w:space="0" w:color="auto"/>
        <w:right w:val="none" w:sz="0" w:space="0" w:color="auto"/>
      </w:divBdr>
    </w:div>
    <w:div w:id="428282045">
      <w:bodyDiv w:val="1"/>
      <w:marLeft w:val="0"/>
      <w:marRight w:val="0"/>
      <w:marTop w:val="0"/>
      <w:marBottom w:val="0"/>
      <w:divBdr>
        <w:top w:val="none" w:sz="0" w:space="0" w:color="auto"/>
        <w:left w:val="none" w:sz="0" w:space="0" w:color="auto"/>
        <w:bottom w:val="none" w:sz="0" w:space="0" w:color="auto"/>
        <w:right w:val="none" w:sz="0" w:space="0" w:color="auto"/>
      </w:divBdr>
    </w:div>
    <w:div w:id="462425093">
      <w:bodyDiv w:val="1"/>
      <w:marLeft w:val="0"/>
      <w:marRight w:val="0"/>
      <w:marTop w:val="0"/>
      <w:marBottom w:val="0"/>
      <w:divBdr>
        <w:top w:val="none" w:sz="0" w:space="0" w:color="auto"/>
        <w:left w:val="none" w:sz="0" w:space="0" w:color="auto"/>
        <w:bottom w:val="none" w:sz="0" w:space="0" w:color="auto"/>
        <w:right w:val="none" w:sz="0" w:space="0" w:color="auto"/>
      </w:divBdr>
    </w:div>
    <w:div w:id="473832560">
      <w:bodyDiv w:val="1"/>
      <w:marLeft w:val="0"/>
      <w:marRight w:val="0"/>
      <w:marTop w:val="0"/>
      <w:marBottom w:val="0"/>
      <w:divBdr>
        <w:top w:val="none" w:sz="0" w:space="0" w:color="auto"/>
        <w:left w:val="none" w:sz="0" w:space="0" w:color="auto"/>
        <w:bottom w:val="none" w:sz="0" w:space="0" w:color="auto"/>
        <w:right w:val="none" w:sz="0" w:space="0" w:color="auto"/>
      </w:divBdr>
    </w:div>
    <w:div w:id="486673226">
      <w:bodyDiv w:val="1"/>
      <w:marLeft w:val="0"/>
      <w:marRight w:val="0"/>
      <w:marTop w:val="0"/>
      <w:marBottom w:val="0"/>
      <w:divBdr>
        <w:top w:val="none" w:sz="0" w:space="0" w:color="auto"/>
        <w:left w:val="none" w:sz="0" w:space="0" w:color="auto"/>
        <w:bottom w:val="none" w:sz="0" w:space="0" w:color="auto"/>
        <w:right w:val="none" w:sz="0" w:space="0" w:color="auto"/>
      </w:divBdr>
    </w:div>
    <w:div w:id="487089820">
      <w:bodyDiv w:val="1"/>
      <w:marLeft w:val="0"/>
      <w:marRight w:val="0"/>
      <w:marTop w:val="0"/>
      <w:marBottom w:val="0"/>
      <w:divBdr>
        <w:top w:val="none" w:sz="0" w:space="0" w:color="auto"/>
        <w:left w:val="none" w:sz="0" w:space="0" w:color="auto"/>
        <w:bottom w:val="none" w:sz="0" w:space="0" w:color="auto"/>
        <w:right w:val="none" w:sz="0" w:space="0" w:color="auto"/>
      </w:divBdr>
    </w:div>
    <w:div w:id="542058235">
      <w:bodyDiv w:val="1"/>
      <w:marLeft w:val="0"/>
      <w:marRight w:val="0"/>
      <w:marTop w:val="0"/>
      <w:marBottom w:val="0"/>
      <w:divBdr>
        <w:top w:val="none" w:sz="0" w:space="0" w:color="auto"/>
        <w:left w:val="none" w:sz="0" w:space="0" w:color="auto"/>
        <w:bottom w:val="none" w:sz="0" w:space="0" w:color="auto"/>
        <w:right w:val="none" w:sz="0" w:space="0" w:color="auto"/>
      </w:divBdr>
    </w:div>
    <w:div w:id="545486737">
      <w:bodyDiv w:val="1"/>
      <w:marLeft w:val="0"/>
      <w:marRight w:val="0"/>
      <w:marTop w:val="0"/>
      <w:marBottom w:val="0"/>
      <w:divBdr>
        <w:top w:val="none" w:sz="0" w:space="0" w:color="auto"/>
        <w:left w:val="none" w:sz="0" w:space="0" w:color="auto"/>
        <w:bottom w:val="none" w:sz="0" w:space="0" w:color="auto"/>
        <w:right w:val="none" w:sz="0" w:space="0" w:color="auto"/>
      </w:divBdr>
    </w:div>
    <w:div w:id="548491118">
      <w:bodyDiv w:val="1"/>
      <w:marLeft w:val="0"/>
      <w:marRight w:val="0"/>
      <w:marTop w:val="0"/>
      <w:marBottom w:val="0"/>
      <w:divBdr>
        <w:top w:val="none" w:sz="0" w:space="0" w:color="auto"/>
        <w:left w:val="none" w:sz="0" w:space="0" w:color="auto"/>
        <w:bottom w:val="none" w:sz="0" w:space="0" w:color="auto"/>
        <w:right w:val="none" w:sz="0" w:space="0" w:color="auto"/>
      </w:divBdr>
    </w:div>
    <w:div w:id="558983882">
      <w:bodyDiv w:val="1"/>
      <w:marLeft w:val="0"/>
      <w:marRight w:val="0"/>
      <w:marTop w:val="0"/>
      <w:marBottom w:val="0"/>
      <w:divBdr>
        <w:top w:val="none" w:sz="0" w:space="0" w:color="auto"/>
        <w:left w:val="none" w:sz="0" w:space="0" w:color="auto"/>
        <w:bottom w:val="none" w:sz="0" w:space="0" w:color="auto"/>
        <w:right w:val="none" w:sz="0" w:space="0" w:color="auto"/>
      </w:divBdr>
    </w:div>
    <w:div w:id="572158587">
      <w:bodyDiv w:val="1"/>
      <w:marLeft w:val="0"/>
      <w:marRight w:val="0"/>
      <w:marTop w:val="0"/>
      <w:marBottom w:val="0"/>
      <w:divBdr>
        <w:top w:val="none" w:sz="0" w:space="0" w:color="auto"/>
        <w:left w:val="none" w:sz="0" w:space="0" w:color="auto"/>
        <w:bottom w:val="none" w:sz="0" w:space="0" w:color="auto"/>
        <w:right w:val="none" w:sz="0" w:space="0" w:color="auto"/>
      </w:divBdr>
    </w:div>
    <w:div w:id="600643927">
      <w:bodyDiv w:val="1"/>
      <w:marLeft w:val="0"/>
      <w:marRight w:val="0"/>
      <w:marTop w:val="0"/>
      <w:marBottom w:val="0"/>
      <w:divBdr>
        <w:top w:val="none" w:sz="0" w:space="0" w:color="auto"/>
        <w:left w:val="none" w:sz="0" w:space="0" w:color="auto"/>
        <w:bottom w:val="none" w:sz="0" w:space="0" w:color="auto"/>
        <w:right w:val="none" w:sz="0" w:space="0" w:color="auto"/>
      </w:divBdr>
      <w:divsChild>
        <w:div w:id="428355228">
          <w:marLeft w:val="0"/>
          <w:marRight w:val="0"/>
          <w:marTop w:val="0"/>
          <w:marBottom w:val="0"/>
          <w:divBdr>
            <w:top w:val="none" w:sz="0" w:space="0" w:color="auto"/>
            <w:left w:val="none" w:sz="0" w:space="0" w:color="auto"/>
            <w:bottom w:val="none" w:sz="0" w:space="0" w:color="auto"/>
            <w:right w:val="none" w:sz="0" w:space="0" w:color="auto"/>
          </w:divBdr>
          <w:divsChild>
            <w:div w:id="165872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92731">
      <w:bodyDiv w:val="1"/>
      <w:marLeft w:val="0"/>
      <w:marRight w:val="0"/>
      <w:marTop w:val="0"/>
      <w:marBottom w:val="0"/>
      <w:divBdr>
        <w:top w:val="none" w:sz="0" w:space="0" w:color="auto"/>
        <w:left w:val="none" w:sz="0" w:space="0" w:color="auto"/>
        <w:bottom w:val="none" w:sz="0" w:space="0" w:color="auto"/>
        <w:right w:val="none" w:sz="0" w:space="0" w:color="auto"/>
      </w:divBdr>
    </w:div>
    <w:div w:id="711463743">
      <w:bodyDiv w:val="1"/>
      <w:marLeft w:val="0"/>
      <w:marRight w:val="0"/>
      <w:marTop w:val="0"/>
      <w:marBottom w:val="0"/>
      <w:divBdr>
        <w:top w:val="none" w:sz="0" w:space="0" w:color="auto"/>
        <w:left w:val="none" w:sz="0" w:space="0" w:color="auto"/>
        <w:bottom w:val="none" w:sz="0" w:space="0" w:color="auto"/>
        <w:right w:val="none" w:sz="0" w:space="0" w:color="auto"/>
      </w:divBdr>
    </w:div>
    <w:div w:id="734818352">
      <w:bodyDiv w:val="1"/>
      <w:marLeft w:val="0"/>
      <w:marRight w:val="0"/>
      <w:marTop w:val="0"/>
      <w:marBottom w:val="0"/>
      <w:divBdr>
        <w:top w:val="none" w:sz="0" w:space="0" w:color="auto"/>
        <w:left w:val="none" w:sz="0" w:space="0" w:color="auto"/>
        <w:bottom w:val="none" w:sz="0" w:space="0" w:color="auto"/>
        <w:right w:val="none" w:sz="0" w:space="0" w:color="auto"/>
      </w:divBdr>
    </w:div>
    <w:div w:id="742529390">
      <w:bodyDiv w:val="1"/>
      <w:marLeft w:val="0"/>
      <w:marRight w:val="0"/>
      <w:marTop w:val="0"/>
      <w:marBottom w:val="0"/>
      <w:divBdr>
        <w:top w:val="none" w:sz="0" w:space="0" w:color="auto"/>
        <w:left w:val="none" w:sz="0" w:space="0" w:color="auto"/>
        <w:bottom w:val="none" w:sz="0" w:space="0" w:color="auto"/>
        <w:right w:val="none" w:sz="0" w:space="0" w:color="auto"/>
      </w:divBdr>
    </w:div>
    <w:div w:id="831525762">
      <w:bodyDiv w:val="1"/>
      <w:marLeft w:val="0"/>
      <w:marRight w:val="0"/>
      <w:marTop w:val="0"/>
      <w:marBottom w:val="0"/>
      <w:divBdr>
        <w:top w:val="none" w:sz="0" w:space="0" w:color="auto"/>
        <w:left w:val="none" w:sz="0" w:space="0" w:color="auto"/>
        <w:bottom w:val="none" w:sz="0" w:space="0" w:color="auto"/>
        <w:right w:val="none" w:sz="0" w:space="0" w:color="auto"/>
      </w:divBdr>
    </w:div>
    <w:div w:id="871767230">
      <w:bodyDiv w:val="1"/>
      <w:marLeft w:val="0"/>
      <w:marRight w:val="0"/>
      <w:marTop w:val="0"/>
      <w:marBottom w:val="0"/>
      <w:divBdr>
        <w:top w:val="none" w:sz="0" w:space="0" w:color="auto"/>
        <w:left w:val="none" w:sz="0" w:space="0" w:color="auto"/>
        <w:bottom w:val="none" w:sz="0" w:space="0" w:color="auto"/>
        <w:right w:val="none" w:sz="0" w:space="0" w:color="auto"/>
      </w:divBdr>
    </w:div>
    <w:div w:id="988942395">
      <w:bodyDiv w:val="1"/>
      <w:marLeft w:val="0"/>
      <w:marRight w:val="0"/>
      <w:marTop w:val="0"/>
      <w:marBottom w:val="0"/>
      <w:divBdr>
        <w:top w:val="none" w:sz="0" w:space="0" w:color="auto"/>
        <w:left w:val="none" w:sz="0" w:space="0" w:color="auto"/>
        <w:bottom w:val="none" w:sz="0" w:space="0" w:color="auto"/>
        <w:right w:val="none" w:sz="0" w:space="0" w:color="auto"/>
      </w:divBdr>
    </w:div>
    <w:div w:id="995062821">
      <w:bodyDiv w:val="1"/>
      <w:marLeft w:val="0"/>
      <w:marRight w:val="0"/>
      <w:marTop w:val="0"/>
      <w:marBottom w:val="0"/>
      <w:divBdr>
        <w:top w:val="none" w:sz="0" w:space="0" w:color="auto"/>
        <w:left w:val="none" w:sz="0" w:space="0" w:color="auto"/>
        <w:bottom w:val="none" w:sz="0" w:space="0" w:color="auto"/>
        <w:right w:val="none" w:sz="0" w:space="0" w:color="auto"/>
      </w:divBdr>
    </w:div>
    <w:div w:id="1001814582">
      <w:bodyDiv w:val="1"/>
      <w:marLeft w:val="0"/>
      <w:marRight w:val="0"/>
      <w:marTop w:val="0"/>
      <w:marBottom w:val="0"/>
      <w:divBdr>
        <w:top w:val="none" w:sz="0" w:space="0" w:color="auto"/>
        <w:left w:val="none" w:sz="0" w:space="0" w:color="auto"/>
        <w:bottom w:val="none" w:sz="0" w:space="0" w:color="auto"/>
        <w:right w:val="none" w:sz="0" w:space="0" w:color="auto"/>
      </w:divBdr>
    </w:div>
    <w:div w:id="1016419426">
      <w:bodyDiv w:val="1"/>
      <w:marLeft w:val="0"/>
      <w:marRight w:val="0"/>
      <w:marTop w:val="0"/>
      <w:marBottom w:val="0"/>
      <w:divBdr>
        <w:top w:val="none" w:sz="0" w:space="0" w:color="auto"/>
        <w:left w:val="none" w:sz="0" w:space="0" w:color="auto"/>
        <w:bottom w:val="none" w:sz="0" w:space="0" w:color="auto"/>
        <w:right w:val="none" w:sz="0" w:space="0" w:color="auto"/>
      </w:divBdr>
    </w:div>
    <w:div w:id="1037318926">
      <w:bodyDiv w:val="1"/>
      <w:marLeft w:val="0"/>
      <w:marRight w:val="0"/>
      <w:marTop w:val="0"/>
      <w:marBottom w:val="0"/>
      <w:divBdr>
        <w:top w:val="none" w:sz="0" w:space="0" w:color="auto"/>
        <w:left w:val="none" w:sz="0" w:space="0" w:color="auto"/>
        <w:bottom w:val="none" w:sz="0" w:space="0" w:color="auto"/>
        <w:right w:val="none" w:sz="0" w:space="0" w:color="auto"/>
      </w:divBdr>
    </w:div>
    <w:div w:id="1057243964">
      <w:bodyDiv w:val="1"/>
      <w:marLeft w:val="0"/>
      <w:marRight w:val="0"/>
      <w:marTop w:val="0"/>
      <w:marBottom w:val="0"/>
      <w:divBdr>
        <w:top w:val="none" w:sz="0" w:space="0" w:color="auto"/>
        <w:left w:val="none" w:sz="0" w:space="0" w:color="auto"/>
        <w:bottom w:val="none" w:sz="0" w:space="0" w:color="auto"/>
        <w:right w:val="none" w:sz="0" w:space="0" w:color="auto"/>
      </w:divBdr>
    </w:div>
    <w:div w:id="1075977719">
      <w:bodyDiv w:val="1"/>
      <w:marLeft w:val="0"/>
      <w:marRight w:val="0"/>
      <w:marTop w:val="0"/>
      <w:marBottom w:val="0"/>
      <w:divBdr>
        <w:top w:val="none" w:sz="0" w:space="0" w:color="auto"/>
        <w:left w:val="none" w:sz="0" w:space="0" w:color="auto"/>
        <w:bottom w:val="none" w:sz="0" w:space="0" w:color="auto"/>
        <w:right w:val="none" w:sz="0" w:space="0" w:color="auto"/>
      </w:divBdr>
    </w:div>
    <w:div w:id="1165320010">
      <w:bodyDiv w:val="1"/>
      <w:marLeft w:val="0"/>
      <w:marRight w:val="0"/>
      <w:marTop w:val="0"/>
      <w:marBottom w:val="0"/>
      <w:divBdr>
        <w:top w:val="none" w:sz="0" w:space="0" w:color="auto"/>
        <w:left w:val="none" w:sz="0" w:space="0" w:color="auto"/>
        <w:bottom w:val="none" w:sz="0" w:space="0" w:color="auto"/>
        <w:right w:val="none" w:sz="0" w:space="0" w:color="auto"/>
      </w:divBdr>
    </w:div>
    <w:div w:id="1204168582">
      <w:bodyDiv w:val="1"/>
      <w:marLeft w:val="0"/>
      <w:marRight w:val="0"/>
      <w:marTop w:val="0"/>
      <w:marBottom w:val="0"/>
      <w:divBdr>
        <w:top w:val="none" w:sz="0" w:space="0" w:color="auto"/>
        <w:left w:val="none" w:sz="0" w:space="0" w:color="auto"/>
        <w:bottom w:val="none" w:sz="0" w:space="0" w:color="auto"/>
        <w:right w:val="none" w:sz="0" w:space="0" w:color="auto"/>
      </w:divBdr>
    </w:div>
    <w:div w:id="1230848257">
      <w:bodyDiv w:val="1"/>
      <w:marLeft w:val="0"/>
      <w:marRight w:val="0"/>
      <w:marTop w:val="0"/>
      <w:marBottom w:val="0"/>
      <w:divBdr>
        <w:top w:val="none" w:sz="0" w:space="0" w:color="auto"/>
        <w:left w:val="none" w:sz="0" w:space="0" w:color="auto"/>
        <w:bottom w:val="none" w:sz="0" w:space="0" w:color="auto"/>
        <w:right w:val="none" w:sz="0" w:space="0" w:color="auto"/>
      </w:divBdr>
      <w:divsChild>
        <w:div w:id="1636719414">
          <w:marLeft w:val="0"/>
          <w:marRight w:val="0"/>
          <w:marTop w:val="0"/>
          <w:marBottom w:val="0"/>
          <w:divBdr>
            <w:top w:val="none" w:sz="0" w:space="0" w:color="auto"/>
            <w:left w:val="none" w:sz="0" w:space="0" w:color="auto"/>
            <w:bottom w:val="none" w:sz="0" w:space="0" w:color="auto"/>
            <w:right w:val="none" w:sz="0" w:space="0" w:color="auto"/>
          </w:divBdr>
          <w:divsChild>
            <w:div w:id="163217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98197">
      <w:bodyDiv w:val="1"/>
      <w:marLeft w:val="0"/>
      <w:marRight w:val="0"/>
      <w:marTop w:val="0"/>
      <w:marBottom w:val="0"/>
      <w:divBdr>
        <w:top w:val="none" w:sz="0" w:space="0" w:color="auto"/>
        <w:left w:val="none" w:sz="0" w:space="0" w:color="auto"/>
        <w:bottom w:val="none" w:sz="0" w:space="0" w:color="auto"/>
        <w:right w:val="none" w:sz="0" w:space="0" w:color="auto"/>
      </w:divBdr>
    </w:div>
    <w:div w:id="1258445856">
      <w:bodyDiv w:val="1"/>
      <w:marLeft w:val="0"/>
      <w:marRight w:val="0"/>
      <w:marTop w:val="0"/>
      <w:marBottom w:val="0"/>
      <w:divBdr>
        <w:top w:val="none" w:sz="0" w:space="0" w:color="auto"/>
        <w:left w:val="none" w:sz="0" w:space="0" w:color="auto"/>
        <w:bottom w:val="none" w:sz="0" w:space="0" w:color="auto"/>
        <w:right w:val="none" w:sz="0" w:space="0" w:color="auto"/>
      </w:divBdr>
    </w:div>
    <w:div w:id="1262296944">
      <w:bodyDiv w:val="1"/>
      <w:marLeft w:val="0"/>
      <w:marRight w:val="0"/>
      <w:marTop w:val="0"/>
      <w:marBottom w:val="0"/>
      <w:divBdr>
        <w:top w:val="none" w:sz="0" w:space="0" w:color="auto"/>
        <w:left w:val="none" w:sz="0" w:space="0" w:color="auto"/>
        <w:bottom w:val="none" w:sz="0" w:space="0" w:color="auto"/>
        <w:right w:val="none" w:sz="0" w:space="0" w:color="auto"/>
      </w:divBdr>
    </w:div>
    <w:div w:id="1276865329">
      <w:bodyDiv w:val="1"/>
      <w:marLeft w:val="0"/>
      <w:marRight w:val="0"/>
      <w:marTop w:val="0"/>
      <w:marBottom w:val="0"/>
      <w:divBdr>
        <w:top w:val="none" w:sz="0" w:space="0" w:color="auto"/>
        <w:left w:val="none" w:sz="0" w:space="0" w:color="auto"/>
        <w:bottom w:val="none" w:sz="0" w:space="0" w:color="auto"/>
        <w:right w:val="none" w:sz="0" w:space="0" w:color="auto"/>
      </w:divBdr>
    </w:div>
    <w:div w:id="1320424921">
      <w:bodyDiv w:val="1"/>
      <w:marLeft w:val="0"/>
      <w:marRight w:val="0"/>
      <w:marTop w:val="0"/>
      <w:marBottom w:val="0"/>
      <w:divBdr>
        <w:top w:val="none" w:sz="0" w:space="0" w:color="auto"/>
        <w:left w:val="none" w:sz="0" w:space="0" w:color="auto"/>
        <w:bottom w:val="none" w:sz="0" w:space="0" w:color="auto"/>
        <w:right w:val="none" w:sz="0" w:space="0" w:color="auto"/>
      </w:divBdr>
    </w:div>
    <w:div w:id="1365325323">
      <w:bodyDiv w:val="1"/>
      <w:marLeft w:val="0"/>
      <w:marRight w:val="0"/>
      <w:marTop w:val="0"/>
      <w:marBottom w:val="0"/>
      <w:divBdr>
        <w:top w:val="none" w:sz="0" w:space="0" w:color="auto"/>
        <w:left w:val="none" w:sz="0" w:space="0" w:color="auto"/>
        <w:bottom w:val="none" w:sz="0" w:space="0" w:color="auto"/>
        <w:right w:val="none" w:sz="0" w:space="0" w:color="auto"/>
      </w:divBdr>
    </w:div>
    <w:div w:id="1412508473">
      <w:bodyDiv w:val="1"/>
      <w:marLeft w:val="0"/>
      <w:marRight w:val="0"/>
      <w:marTop w:val="0"/>
      <w:marBottom w:val="0"/>
      <w:divBdr>
        <w:top w:val="none" w:sz="0" w:space="0" w:color="auto"/>
        <w:left w:val="none" w:sz="0" w:space="0" w:color="auto"/>
        <w:bottom w:val="none" w:sz="0" w:space="0" w:color="auto"/>
        <w:right w:val="none" w:sz="0" w:space="0" w:color="auto"/>
      </w:divBdr>
    </w:div>
    <w:div w:id="1414818356">
      <w:bodyDiv w:val="1"/>
      <w:marLeft w:val="0"/>
      <w:marRight w:val="0"/>
      <w:marTop w:val="0"/>
      <w:marBottom w:val="0"/>
      <w:divBdr>
        <w:top w:val="none" w:sz="0" w:space="0" w:color="auto"/>
        <w:left w:val="none" w:sz="0" w:space="0" w:color="auto"/>
        <w:bottom w:val="none" w:sz="0" w:space="0" w:color="auto"/>
        <w:right w:val="none" w:sz="0" w:space="0" w:color="auto"/>
      </w:divBdr>
    </w:div>
    <w:div w:id="1480221154">
      <w:bodyDiv w:val="1"/>
      <w:marLeft w:val="0"/>
      <w:marRight w:val="0"/>
      <w:marTop w:val="0"/>
      <w:marBottom w:val="0"/>
      <w:divBdr>
        <w:top w:val="none" w:sz="0" w:space="0" w:color="auto"/>
        <w:left w:val="none" w:sz="0" w:space="0" w:color="auto"/>
        <w:bottom w:val="none" w:sz="0" w:space="0" w:color="auto"/>
        <w:right w:val="none" w:sz="0" w:space="0" w:color="auto"/>
      </w:divBdr>
    </w:div>
    <w:div w:id="1482574592">
      <w:bodyDiv w:val="1"/>
      <w:marLeft w:val="0"/>
      <w:marRight w:val="0"/>
      <w:marTop w:val="0"/>
      <w:marBottom w:val="0"/>
      <w:divBdr>
        <w:top w:val="none" w:sz="0" w:space="0" w:color="auto"/>
        <w:left w:val="none" w:sz="0" w:space="0" w:color="auto"/>
        <w:bottom w:val="none" w:sz="0" w:space="0" w:color="auto"/>
        <w:right w:val="none" w:sz="0" w:space="0" w:color="auto"/>
      </w:divBdr>
    </w:div>
    <w:div w:id="1521506688">
      <w:bodyDiv w:val="1"/>
      <w:marLeft w:val="0"/>
      <w:marRight w:val="0"/>
      <w:marTop w:val="0"/>
      <w:marBottom w:val="0"/>
      <w:divBdr>
        <w:top w:val="none" w:sz="0" w:space="0" w:color="auto"/>
        <w:left w:val="none" w:sz="0" w:space="0" w:color="auto"/>
        <w:bottom w:val="none" w:sz="0" w:space="0" w:color="auto"/>
        <w:right w:val="none" w:sz="0" w:space="0" w:color="auto"/>
      </w:divBdr>
    </w:div>
    <w:div w:id="1554658337">
      <w:bodyDiv w:val="1"/>
      <w:marLeft w:val="0"/>
      <w:marRight w:val="0"/>
      <w:marTop w:val="0"/>
      <w:marBottom w:val="0"/>
      <w:divBdr>
        <w:top w:val="none" w:sz="0" w:space="0" w:color="auto"/>
        <w:left w:val="none" w:sz="0" w:space="0" w:color="auto"/>
        <w:bottom w:val="none" w:sz="0" w:space="0" w:color="auto"/>
        <w:right w:val="none" w:sz="0" w:space="0" w:color="auto"/>
      </w:divBdr>
    </w:div>
    <w:div w:id="1567302794">
      <w:bodyDiv w:val="1"/>
      <w:marLeft w:val="0"/>
      <w:marRight w:val="0"/>
      <w:marTop w:val="0"/>
      <w:marBottom w:val="0"/>
      <w:divBdr>
        <w:top w:val="none" w:sz="0" w:space="0" w:color="auto"/>
        <w:left w:val="none" w:sz="0" w:space="0" w:color="auto"/>
        <w:bottom w:val="none" w:sz="0" w:space="0" w:color="auto"/>
        <w:right w:val="none" w:sz="0" w:space="0" w:color="auto"/>
      </w:divBdr>
    </w:div>
    <w:div w:id="1587420320">
      <w:bodyDiv w:val="1"/>
      <w:marLeft w:val="0"/>
      <w:marRight w:val="0"/>
      <w:marTop w:val="0"/>
      <w:marBottom w:val="0"/>
      <w:divBdr>
        <w:top w:val="none" w:sz="0" w:space="0" w:color="auto"/>
        <w:left w:val="none" w:sz="0" w:space="0" w:color="auto"/>
        <w:bottom w:val="none" w:sz="0" w:space="0" w:color="auto"/>
        <w:right w:val="none" w:sz="0" w:space="0" w:color="auto"/>
      </w:divBdr>
    </w:div>
    <w:div w:id="1595741734">
      <w:bodyDiv w:val="1"/>
      <w:marLeft w:val="0"/>
      <w:marRight w:val="0"/>
      <w:marTop w:val="0"/>
      <w:marBottom w:val="0"/>
      <w:divBdr>
        <w:top w:val="none" w:sz="0" w:space="0" w:color="auto"/>
        <w:left w:val="none" w:sz="0" w:space="0" w:color="auto"/>
        <w:bottom w:val="none" w:sz="0" w:space="0" w:color="auto"/>
        <w:right w:val="none" w:sz="0" w:space="0" w:color="auto"/>
      </w:divBdr>
    </w:div>
    <w:div w:id="1653833399">
      <w:bodyDiv w:val="1"/>
      <w:marLeft w:val="0"/>
      <w:marRight w:val="0"/>
      <w:marTop w:val="0"/>
      <w:marBottom w:val="0"/>
      <w:divBdr>
        <w:top w:val="none" w:sz="0" w:space="0" w:color="auto"/>
        <w:left w:val="none" w:sz="0" w:space="0" w:color="auto"/>
        <w:bottom w:val="none" w:sz="0" w:space="0" w:color="auto"/>
        <w:right w:val="none" w:sz="0" w:space="0" w:color="auto"/>
      </w:divBdr>
    </w:div>
    <w:div w:id="1787264555">
      <w:bodyDiv w:val="1"/>
      <w:marLeft w:val="0"/>
      <w:marRight w:val="0"/>
      <w:marTop w:val="0"/>
      <w:marBottom w:val="0"/>
      <w:divBdr>
        <w:top w:val="none" w:sz="0" w:space="0" w:color="auto"/>
        <w:left w:val="none" w:sz="0" w:space="0" w:color="auto"/>
        <w:bottom w:val="none" w:sz="0" w:space="0" w:color="auto"/>
        <w:right w:val="none" w:sz="0" w:space="0" w:color="auto"/>
      </w:divBdr>
    </w:div>
    <w:div w:id="1794863645">
      <w:bodyDiv w:val="1"/>
      <w:marLeft w:val="0"/>
      <w:marRight w:val="0"/>
      <w:marTop w:val="0"/>
      <w:marBottom w:val="0"/>
      <w:divBdr>
        <w:top w:val="none" w:sz="0" w:space="0" w:color="auto"/>
        <w:left w:val="none" w:sz="0" w:space="0" w:color="auto"/>
        <w:bottom w:val="none" w:sz="0" w:space="0" w:color="auto"/>
        <w:right w:val="none" w:sz="0" w:space="0" w:color="auto"/>
      </w:divBdr>
    </w:div>
    <w:div w:id="1867670199">
      <w:bodyDiv w:val="1"/>
      <w:marLeft w:val="0"/>
      <w:marRight w:val="0"/>
      <w:marTop w:val="0"/>
      <w:marBottom w:val="0"/>
      <w:divBdr>
        <w:top w:val="none" w:sz="0" w:space="0" w:color="auto"/>
        <w:left w:val="none" w:sz="0" w:space="0" w:color="auto"/>
        <w:bottom w:val="none" w:sz="0" w:space="0" w:color="auto"/>
        <w:right w:val="none" w:sz="0" w:space="0" w:color="auto"/>
      </w:divBdr>
    </w:div>
    <w:div w:id="1902985531">
      <w:bodyDiv w:val="1"/>
      <w:marLeft w:val="0"/>
      <w:marRight w:val="0"/>
      <w:marTop w:val="0"/>
      <w:marBottom w:val="0"/>
      <w:divBdr>
        <w:top w:val="none" w:sz="0" w:space="0" w:color="auto"/>
        <w:left w:val="none" w:sz="0" w:space="0" w:color="auto"/>
        <w:bottom w:val="none" w:sz="0" w:space="0" w:color="auto"/>
        <w:right w:val="none" w:sz="0" w:space="0" w:color="auto"/>
      </w:divBdr>
    </w:div>
    <w:div w:id="1947229972">
      <w:bodyDiv w:val="1"/>
      <w:marLeft w:val="0"/>
      <w:marRight w:val="0"/>
      <w:marTop w:val="0"/>
      <w:marBottom w:val="0"/>
      <w:divBdr>
        <w:top w:val="none" w:sz="0" w:space="0" w:color="auto"/>
        <w:left w:val="none" w:sz="0" w:space="0" w:color="auto"/>
        <w:bottom w:val="none" w:sz="0" w:space="0" w:color="auto"/>
        <w:right w:val="none" w:sz="0" w:space="0" w:color="auto"/>
      </w:divBdr>
    </w:div>
    <w:div w:id="1970435887">
      <w:bodyDiv w:val="1"/>
      <w:marLeft w:val="0"/>
      <w:marRight w:val="0"/>
      <w:marTop w:val="0"/>
      <w:marBottom w:val="0"/>
      <w:divBdr>
        <w:top w:val="none" w:sz="0" w:space="0" w:color="auto"/>
        <w:left w:val="none" w:sz="0" w:space="0" w:color="auto"/>
        <w:bottom w:val="none" w:sz="0" w:space="0" w:color="auto"/>
        <w:right w:val="none" w:sz="0" w:space="0" w:color="auto"/>
      </w:divBdr>
    </w:div>
    <w:div w:id="2017878629">
      <w:bodyDiv w:val="1"/>
      <w:marLeft w:val="0"/>
      <w:marRight w:val="0"/>
      <w:marTop w:val="0"/>
      <w:marBottom w:val="0"/>
      <w:divBdr>
        <w:top w:val="none" w:sz="0" w:space="0" w:color="auto"/>
        <w:left w:val="none" w:sz="0" w:space="0" w:color="auto"/>
        <w:bottom w:val="none" w:sz="0" w:space="0" w:color="auto"/>
        <w:right w:val="none" w:sz="0" w:space="0" w:color="auto"/>
      </w:divBdr>
    </w:div>
    <w:div w:id="2036687469">
      <w:bodyDiv w:val="1"/>
      <w:marLeft w:val="0"/>
      <w:marRight w:val="0"/>
      <w:marTop w:val="0"/>
      <w:marBottom w:val="0"/>
      <w:divBdr>
        <w:top w:val="none" w:sz="0" w:space="0" w:color="auto"/>
        <w:left w:val="none" w:sz="0" w:space="0" w:color="auto"/>
        <w:bottom w:val="none" w:sz="0" w:space="0" w:color="auto"/>
        <w:right w:val="none" w:sz="0" w:space="0" w:color="auto"/>
      </w:divBdr>
    </w:div>
    <w:div w:id="2061055332">
      <w:bodyDiv w:val="1"/>
      <w:marLeft w:val="0"/>
      <w:marRight w:val="0"/>
      <w:marTop w:val="0"/>
      <w:marBottom w:val="0"/>
      <w:divBdr>
        <w:top w:val="none" w:sz="0" w:space="0" w:color="auto"/>
        <w:left w:val="none" w:sz="0" w:space="0" w:color="auto"/>
        <w:bottom w:val="none" w:sz="0" w:space="0" w:color="auto"/>
        <w:right w:val="none" w:sz="0" w:space="0" w:color="auto"/>
      </w:divBdr>
    </w:div>
    <w:div w:id="2092268075">
      <w:bodyDiv w:val="1"/>
      <w:marLeft w:val="0"/>
      <w:marRight w:val="0"/>
      <w:marTop w:val="0"/>
      <w:marBottom w:val="0"/>
      <w:divBdr>
        <w:top w:val="none" w:sz="0" w:space="0" w:color="auto"/>
        <w:left w:val="none" w:sz="0" w:space="0" w:color="auto"/>
        <w:bottom w:val="none" w:sz="0" w:space="0" w:color="auto"/>
        <w:right w:val="none" w:sz="0" w:space="0" w:color="auto"/>
      </w:divBdr>
    </w:div>
    <w:div w:id="212654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ducation.blog.gov.wales/2022/06/30/latest-updates-on-school-self-evaluation-accountability-and-progressio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file:///C:\Users\tyler\Downloads\curriculum-for-wales-guidanc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1988/40/section/2" TargetMode="External"/><Relationship Id="rId5" Type="http://schemas.openxmlformats.org/officeDocument/2006/relationships/settings" Target="settings.xml"/><Relationship Id="rId15" Type="http://schemas.openxmlformats.org/officeDocument/2006/relationships/hyperlink" Target="https://www.wjec.co.uk/articles/wave-2-draft-made-for-wales-specifications-now-available/" TargetMode="External"/><Relationship Id="rId10" Type="http://schemas.openxmlformats.org/officeDocument/2006/relationships/hyperlink" Target="https://www.gov.wales/curriculum-wales-annual-report-2022" TargetMode="External"/><Relationship Id="rId4" Type="http://schemas.openxmlformats.org/officeDocument/2006/relationships/styles" Target="styles.xml"/><Relationship Id="rId9" Type="http://schemas.openxmlformats.org/officeDocument/2006/relationships/hyperlink" Target="https://doi.org/10.16922/wje.26.2.3" TargetMode="External"/><Relationship Id="rId14" Type="http://schemas.openxmlformats.org/officeDocument/2006/relationships/hyperlink" Target="https://www.gov.wales/curriculum-wales-annual-report-20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ECWB7002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9080F4-7E69-4B16-90E9-CB4A73312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113925</TotalTime>
  <Pages>21</Pages>
  <Words>6913</Words>
  <Characters>39405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2008275</Company>
  <LinksUpToDate>false</LinksUpToDate>
  <CharactersWithSpaces>46226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Project</dc:title>
  <dc:subject>By Tyler King 2008275</dc:subject>
  <dc:creator>Tyler King</dc:creator>
  <cp:keywords/>
  <dc:description/>
  <cp:lastModifiedBy>Tyler King</cp:lastModifiedBy>
  <cp:revision>401</cp:revision>
  <dcterms:created xsi:type="dcterms:W3CDTF">2025-04-10T20:11:00Z</dcterms:created>
  <dcterms:modified xsi:type="dcterms:W3CDTF">2025-07-07T08:25:00Z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5a311b34-dce2-4bf2-b272-dc0e0e42ae99</vt:lpwstr>
  </property>
</Properties>
</file>