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7E19B" w14:textId="77777777" w:rsidR="00122A95" w:rsidRDefault="00122A95">
      <w:pPr>
        <w:rPr>
          <w:rFonts w:ascii="Quattrocento Sans" w:eastAsia="Quattrocento Sans" w:hAnsi="Quattrocento Sans" w:cs="Quattrocento Sans"/>
          <w:b/>
          <w:color w:val="000000"/>
          <w:sz w:val="24"/>
          <w:szCs w:val="24"/>
        </w:rPr>
      </w:pPr>
    </w:p>
    <w:p w14:paraId="65CD0C01" w14:textId="77777777" w:rsidR="00122A95" w:rsidRDefault="00122A95">
      <w:pPr>
        <w:rPr>
          <w:rFonts w:ascii="Quattrocento Sans" w:eastAsia="Quattrocento Sans" w:hAnsi="Quattrocento Sans" w:cs="Quattrocento Sans"/>
          <w:b/>
          <w:color w:val="000000"/>
          <w:sz w:val="24"/>
          <w:szCs w:val="24"/>
        </w:rPr>
      </w:pPr>
    </w:p>
    <w:p w14:paraId="24A75A86" w14:textId="77777777" w:rsidR="00122A95" w:rsidRDefault="00122A95">
      <w:pPr>
        <w:rPr>
          <w:rFonts w:ascii="Quattrocento Sans" w:eastAsia="Quattrocento Sans" w:hAnsi="Quattrocento Sans" w:cs="Quattrocento Sans"/>
          <w:b/>
          <w:color w:val="000000"/>
          <w:sz w:val="24"/>
          <w:szCs w:val="24"/>
        </w:rPr>
      </w:pPr>
    </w:p>
    <w:p w14:paraId="52CD30CD" w14:textId="77777777" w:rsidR="00122A95" w:rsidRDefault="00122A95">
      <w:pPr>
        <w:rPr>
          <w:rFonts w:ascii="Quattrocento Sans" w:eastAsia="Quattrocento Sans" w:hAnsi="Quattrocento Sans" w:cs="Quattrocento Sans"/>
          <w:b/>
          <w:color w:val="000000"/>
          <w:sz w:val="24"/>
          <w:szCs w:val="24"/>
        </w:rPr>
      </w:pPr>
    </w:p>
    <w:p w14:paraId="40DE8BD7" w14:textId="77777777" w:rsidR="00122A95" w:rsidRDefault="00122A95">
      <w:pPr>
        <w:rPr>
          <w:rFonts w:ascii="Quattrocento Sans" w:eastAsia="Quattrocento Sans" w:hAnsi="Quattrocento Sans" w:cs="Quattrocento Sans"/>
          <w:b/>
          <w:color w:val="000000"/>
          <w:sz w:val="24"/>
          <w:szCs w:val="24"/>
        </w:rPr>
      </w:pPr>
    </w:p>
    <w:p w14:paraId="18F2424D" w14:textId="2043946A" w:rsidR="00122A95" w:rsidRPr="003E7A64" w:rsidRDefault="00122A95">
      <w:pPr>
        <w:rPr>
          <w:rFonts w:ascii="Arial" w:eastAsia="Quattrocento Sans" w:hAnsi="Arial" w:cs="Arial"/>
          <w:b/>
          <w:color w:val="000000"/>
          <w:sz w:val="32"/>
          <w:szCs w:val="32"/>
        </w:rPr>
      </w:pPr>
      <w:r w:rsidRPr="003E7A64">
        <w:rPr>
          <w:rFonts w:ascii="Arial" w:eastAsia="Quattrocento Sans" w:hAnsi="Arial" w:cs="Arial"/>
          <w:b/>
          <w:color w:val="000000"/>
          <w:sz w:val="32"/>
          <w:szCs w:val="32"/>
        </w:rPr>
        <w:t>University of Wales Trinity Saint David</w:t>
      </w:r>
    </w:p>
    <w:p w14:paraId="2D1503D5" w14:textId="7DCF0A31" w:rsidR="00122A95" w:rsidRPr="00122A95" w:rsidRDefault="00122A95">
      <w:pPr>
        <w:rPr>
          <w:rFonts w:ascii="Arial" w:eastAsia="Quattrocento Sans" w:hAnsi="Arial" w:cs="Arial"/>
          <w:b/>
          <w:color w:val="000000"/>
          <w:sz w:val="24"/>
          <w:szCs w:val="24"/>
        </w:rPr>
      </w:pPr>
    </w:p>
    <w:p w14:paraId="0AC7082B" w14:textId="2704DC02" w:rsidR="00122A95" w:rsidRPr="00122A95" w:rsidRDefault="00122A95">
      <w:pPr>
        <w:rPr>
          <w:rFonts w:ascii="Arial" w:eastAsia="Quattrocento Sans" w:hAnsi="Arial" w:cs="Arial"/>
          <w:b/>
          <w:color w:val="000000"/>
          <w:sz w:val="24"/>
          <w:szCs w:val="24"/>
        </w:rPr>
      </w:pPr>
      <w:r w:rsidRPr="00122A95">
        <w:rPr>
          <w:rFonts w:ascii="Arial" w:eastAsia="Quattrocento Sans" w:hAnsi="Arial" w:cs="Arial"/>
          <w:b/>
          <w:color w:val="000000"/>
          <w:sz w:val="24"/>
          <w:szCs w:val="24"/>
        </w:rPr>
        <w:t xml:space="preserve">Student </w:t>
      </w:r>
      <w:proofErr w:type="gramStart"/>
      <w:r w:rsidRPr="00122A95">
        <w:rPr>
          <w:rFonts w:ascii="Arial" w:eastAsia="Quattrocento Sans" w:hAnsi="Arial" w:cs="Arial"/>
          <w:b/>
          <w:color w:val="000000"/>
          <w:sz w:val="24"/>
          <w:szCs w:val="24"/>
        </w:rPr>
        <w:t>ID :</w:t>
      </w:r>
      <w:proofErr w:type="gramEnd"/>
      <w:r w:rsidRPr="00122A95">
        <w:rPr>
          <w:rFonts w:ascii="Arial" w:eastAsia="Quattrocento Sans" w:hAnsi="Arial" w:cs="Arial"/>
          <w:b/>
          <w:color w:val="000000"/>
          <w:sz w:val="24"/>
          <w:szCs w:val="24"/>
        </w:rPr>
        <w:t xml:space="preserve">  2235233</w:t>
      </w:r>
    </w:p>
    <w:p w14:paraId="3C82BC1C" w14:textId="77777777" w:rsidR="00122A95" w:rsidRPr="00122A95" w:rsidRDefault="00122A95">
      <w:pPr>
        <w:rPr>
          <w:rFonts w:ascii="Arial" w:eastAsia="Quattrocento Sans" w:hAnsi="Arial" w:cs="Arial"/>
          <w:b/>
          <w:color w:val="000000"/>
          <w:sz w:val="24"/>
          <w:szCs w:val="24"/>
        </w:rPr>
      </w:pPr>
    </w:p>
    <w:p w14:paraId="43A3B528" w14:textId="0078FCB1" w:rsidR="00122A95" w:rsidRPr="00122A95" w:rsidRDefault="00122A95">
      <w:pPr>
        <w:rPr>
          <w:rFonts w:ascii="Arial" w:eastAsia="Quattrocento Sans" w:hAnsi="Arial" w:cs="Arial"/>
          <w:b/>
          <w:color w:val="000000"/>
          <w:sz w:val="24"/>
          <w:szCs w:val="24"/>
        </w:rPr>
      </w:pPr>
      <w:r w:rsidRPr="00122A95">
        <w:rPr>
          <w:rFonts w:ascii="Arial" w:eastAsia="Quattrocento Sans" w:hAnsi="Arial" w:cs="Arial"/>
          <w:b/>
          <w:color w:val="000000"/>
          <w:sz w:val="24"/>
          <w:szCs w:val="24"/>
        </w:rPr>
        <w:t xml:space="preserve">Module </w:t>
      </w:r>
      <w:proofErr w:type="gramStart"/>
      <w:r w:rsidRPr="00122A95">
        <w:rPr>
          <w:rFonts w:ascii="Arial" w:eastAsia="Quattrocento Sans" w:hAnsi="Arial" w:cs="Arial"/>
          <w:b/>
          <w:color w:val="000000"/>
          <w:sz w:val="24"/>
          <w:szCs w:val="24"/>
        </w:rPr>
        <w:t>code :</w:t>
      </w:r>
      <w:proofErr w:type="gramEnd"/>
      <w:r w:rsidRPr="00122A95">
        <w:rPr>
          <w:rFonts w:ascii="Arial" w:eastAsia="Quattrocento Sans" w:hAnsi="Arial" w:cs="Arial"/>
          <w:b/>
          <w:color w:val="000000"/>
          <w:sz w:val="24"/>
          <w:szCs w:val="24"/>
        </w:rPr>
        <w:t xml:space="preserve"> HKBM 7006</w:t>
      </w:r>
    </w:p>
    <w:p w14:paraId="4224E2A4" w14:textId="1C178B2B" w:rsidR="00122A95" w:rsidRPr="00122A95" w:rsidRDefault="00122A95">
      <w:pPr>
        <w:rPr>
          <w:rFonts w:ascii="Arial" w:eastAsia="Quattrocento Sans" w:hAnsi="Arial" w:cs="Arial"/>
          <w:bCs/>
          <w:color w:val="000000"/>
          <w:sz w:val="24"/>
          <w:szCs w:val="24"/>
        </w:rPr>
      </w:pPr>
    </w:p>
    <w:p w14:paraId="75CCC678" w14:textId="77777777" w:rsidR="00122A95" w:rsidRPr="00122A95" w:rsidRDefault="00122A95" w:rsidP="00122A95">
      <w:pPr>
        <w:pBdr>
          <w:top w:val="nil"/>
          <w:left w:val="nil"/>
          <w:bottom w:val="nil"/>
          <w:right w:val="nil"/>
          <w:between w:val="nil"/>
        </w:pBdr>
        <w:spacing w:line="240" w:lineRule="auto"/>
        <w:rPr>
          <w:rFonts w:ascii="Arial" w:eastAsia="Quattrocento Sans" w:hAnsi="Arial" w:cs="Arial"/>
          <w:bCs/>
          <w:sz w:val="24"/>
          <w:szCs w:val="24"/>
        </w:rPr>
      </w:pPr>
      <w:r w:rsidRPr="00122A95">
        <w:rPr>
          <w:rFonts w:ascii="Arial" w:eastAsia="Quattrocento Sans" w:hAnsi="Arial" w:cs="Arial"/>
          <w:bCs/>
          <w:color w:val="000000"/>
          <w:sz w:val="24"/>
          <w:szCs w:val="24"/>
        </w:rPr>
        <w:t xml:space="preserve">Title of the </w:t>
      </w:r>
      <w:proofErr w:type="gramStart"/>
      <w:r w:rsidRPr="00122A95">
        <w:rPr>
          <w:rFonts w:ascii="Arial" w:eastAsia="Quattrocento Sans" w:hAnsi="Arial" w:cs="Arial"/>
          <w:bCs/>
          <w:color w:val="000000"/>
          <w:sz w:val="24"/>
          <w:szCs w:val="24"/>
        </w:rPr>
        <w:t>paper :</w:t>
      </w:r>
      <w:proofErr w:type="gramEnd"/>
      <w:r w:rsidRPr="00122A95">
        <w:rPr>
          <w:rFonts w:ascii="Arial" w:eastAsia="Quattrocento Sans" w:hAnsi="Arial" w:cs="Arial"/>
          <w:bCs/>
          <w:color w:val="000000"/>
          <w:sz w:val="24"/>
          <w:szCs w:val="24"/>
        </w:rPr>
        <w:t xml:space="preserve"> </w:t>
      </w:r>
      <w:r w:rsidRPr="00122A95">
        <w:rPr>
          <w:rFonts w:ascii="Arial" w:eastAsia="Quattrocento Sans" w:hAnsi="Arial" w:cs="Arial"/>
          <w:bCs/>
          <w:sz w:val="24"/>
          <w:szCs w:val="24"/>
        </w:rPr>
        <w:t xml:space="preserve"> </w:t>
      </w:r>
    </w:p>
    <w:p w14:paraId="6CDD8D6B" w14:textId="7C983240" w:rsidR="00122A95" w:rsidRPr="00122A95" w:rsidRDefault="00122A95" w:rsidP="00122A95">
      <w:pPr>
        <w:pBdr>
          <w:top w:val="nil"/>
          <w:left w:val="nil"/>
          <w:bottom w:val="nil"/>
          <w:right w:val="nil"/>
          <w:between w:val="nil"/>
        </w:pBdr>
        <w:spacing w:line="240" w:lineRule="auto"/>
        <w:rPr>
          <w:rFonts w:ascii="Arial" w:eastAsia="Quattrocento Sans" w:hAnsi="Arial" w:cs="Arial"/>
          <w:bCs/>
          <w:sz w:val="24"/>
          <w:szCs w:val="24"/>
        </w:rPr>
      </w:pPr>
      <w:proofErr w:type="gramStart"/>
      <w:r w:rsidRPr="00122A95">
        <w:rPr>
          <w:rFonts w:ascii="Arial" w:eastAsia="Quattrocento Sans" w:hAnsi="Arial" w:cs="Arial"/>
          <w:bCs/>
          <w:sz w:val="24"/>
          <w:szCs w:val="24"/>
        </w:rPr>
        <w:t>Three Dimensional</w:t>
      </w:r>
      <w:proofErr w:type="gramEnd"/>
      <w:r w:rsidRPr="00122A95">
        <w:rPr>
          <w:rFonts w:ascii="Arial" w:eastAsia="Quattrocento Sans" w:hAnsi="Arial" w:cs="Arial"/>
          <w:bCs/>
          <w:sz w:val="24"/>
          <w:szCs w:val="24"/>
        </w:rPr>
        <w:t xml:space="preserve"> Customer-Centric Business Approach: Enabling MTR to Become the World Leading Public Transportation Company in Terms of Operational Efficiency and Profitability</w:t>
      </w:r>
    </w:p>
    <w:p w14:paraId="4E429F13" w14:textId="77777777" w:rsidR="00122A95" w:rsidRPr="00122A95" w:rsidRDefault="00122A95">
      <w:pPr>
        <w:rPr>
          <w:rFonts w:ascii="Arial" w:eastAsia="Quattrocento Sans" w:hAnsi="Arial" w:cs="Arial"/>
          <w:bCs/>
          <w:color w:val="000000"/>
          <w:sz w:val="24"/>
          <w:szCs w:val="24"/>
        </w:rPr>
      </w:pPr>
    </w:p>
    <w:p w14:paraId="39F89350" w14:textId="0417692B" w:rsidR="00122A95" w:rsidRPr="00122A95" w:rsidRDefault="00122A95">
      <w:pPr>
        <w:rPr>
          <w:rFonts w:ascii="Arial" w:eastAsia="Quattrocento Sans" w:hAnsi="Arial" w:cs="Arial"/>
          <w:bCs/>
          <w:color w:val="000000"/>
          <w:sz w:val="24"/>
          <w:szCs w:val="24"/>
        </w:rPr>
      </w:pPr>
      <w:proofErr w:type="gramStart"/>
      <w:r w:rsidRPr="00122A95">
        <w:rPr>
          <w:rFonts w:ascii="Arial" w:eastAsia="Quattrocento Sans" w:hAnsi="Arial" w:cs="Arial"/>
          <w:bCs/>
          <w:color w:val="000000"/>
          <w:sz w:val="24"/>
          <w:szCs w:val="24"/>
        </w:rPr>
        <w:t>Date :</w:t>
      </w:r>
      <w:proofErr w:type="gramEnd"/>
      <w:r w:rsidRPr="00122A95">
        <w:rPr>
          <w:rFonts w:ascii="Arial" w:eastAsia="Quattrocento Sans" w:hAnsi="Arial" w:cs="Arial"/>
          <w:bCs/>
          <w:color w:val="000000"/>
          <w:sz w:val="24"/>
          <w:szCs w:val="24"/>
        </w:rPr>
        <w:t xml:space="preserve"> July 31, 2023</w:t>
      </w:r>
    </w:p>
    <w:p w14:paraId="112A3C3D" w14:textId="1C55AAAF" w:rsidR="00122A95" w:rsidRPr="00122A95" w:rsidRDefault="00122A95">
      <w:pPr>
        <w:rPr>
          <w:rFonts w:ascii="Arial" w:eastAsia="Quattrocento Sans" w:hAnsi="Arial" w:cs="Arial"/>
          <w:bCs/>
          <w:color w:val="000000"/>
          <w:sz w:val="24"/>
          <w:szCs w:val="24"/>
        </w:rPr>
      </w:pPr>
    </w:p>
    <w:p w14:paraId="1D81A9BC" w14:textId="17644C47" w:rsidR="00122A95" w:rsidRPr="00122A95" w:rsidRDefault="00122A95">
      <w:pPr>
        <w:rPr>
          <w:rFonts w:ascii="Arial" w:eastAsia="Quattrocento Sans" w:hAnsi="Arial" w:cs="Arial"/>
          <w:bCs/>
          <w:color w:val="000000"/>
          <w:sz w:val="24"/>
          <w:szCs w:val="24"/>
        </w:rPr>
      </w:pPr>
      <w:proofErr w:type="gramStart"/>
      <w:r w:rsidRPr="00122A95">
        <w:rPr>
          <w:rFonts w:ascii="Arial" w:eastAsia="Quattrocento Sans" w:hAnsi="Arial" w:cs="Arial"/>
          <w:bCs/>
          <w:color w:val="000000"/>
          <w:sz w:val="24"/>
          <w:szCs w:val="24"/>
        </w:rPr>
        <w:t>Words :</w:t>
      </w:r>
      <w:proofErr w:type="gramEnd"/>
      <w:r w:rsidRPr="00122A95">
        <w:rPr>
          <w:rFonts w:ascii="Arial" w:eastAsia="Quattrocento Sans" w:hAnsi="Arial" w:cs="Arial"/>
          <w:bCs/>
          <w:color w:val="000000"/>
          <w:sz w:val="24"/>
          <w:szCs w:val="24"/>
        </w:rPr>
        <w:t xml:space="preserve"> 7924</w:t>
      </w:r>
    </w:p>
    <w:p w14:paraId="58BCD7D0" w14:textId="77777777" w:rsidR="00122A95" w:rsidRDefault="00122A95">
      <w:pPr>
        <w:rPr>
          <w:rFonts w:ascii="Quattrocento Sans" w:eastAsia="Quattrocento Sans" w:hAnsi="Quattrocento Sans" w:cs="Quattrocento Sans"/>
          <w:b/>
          <w:color w:val="000000"/>
          <w:sz w:val="24"/>
          <w:szCs w:val="24"/>
        </w:rPr>
      </w:pPr>
    </w:p>
    <w:p w14:paraId="04D1CA55" w14:textId="77777777" w:rsidR="00122A95" w:rsidRDefault="00122A95">
      <w:pPr>
        <w:rPr>
          <w:rFonts w:ascii="Quattrocento Sans" w:eastAsia="Quattrocento Sans" w:hAnsi="Quattrocento Sans" w:cs="Quattrocento Sans"/>
          <w:b/>
          <w:color w:val="000000"/>
          <w:sz w:val="24"/>
          <w:szCs w:val="24"/>
        </w:rPr>
      </w:pPr>
    </w:p>
    <w:p w14:paraId="1B4A794D" w14:textId="77777777" w:rsidR="00122A95" w:rsidRDefault="00122A95">
      <w:pPr>
        <w:rPr>
          <w:rFonts w:ascii="Quattrocento Sans" w:eastAsia="Quattrocento Sans" w:hAnsi="Quattrocento Sans" w:cs="Quattrocento Sans"/>
          <w:b/>
          <w:color w:val="000000"/>
          <w:sz w:val="24"/>
          <w:szCs w:val="24"/>
        </w:rPr>
      </w:pPr>
    </w:p>
    <w:p w14:paraId="3E8597E5" w14:textId="77777777" w:rsidR="00122A95" w:rsidRDefault="00122A95">
      <w:pPr>
        <w:rPr>
          <w:rFonts w:ascii="Quattrocento Sans" w:eastAsia="Quattrocento Sans" w:hAnsi="Quattrocento Sans" w:cs="Quattrocento Sans"/>
          <w:b/>
          <w:color w:val="000000"/>
          <w:sz w:val="24"/>
          <w:szCs w:val="24"/>
        </w:rPr>
      </w:pPr>
    </w:p>
    <w:p w14:paraId="5AA98152" w14:textId="77777777" w:rsidR="00122A95" w:rsidRDefault="00122A95">
      <w:pPr>
        <w:rPr>
          <w:rFonts w:ascii="Quattrocento Sans" w:eastAsia="Quattrocento Sans" w:hAnsi="Quattrocento Sans" w:cs="Quattrocento Sans"/>
          <w:b/>
          <w:color w:val="000000"/>
          <w:sz w:val="24"/>
          <w:szCs w:val="24"/>
        </w:rPr>
      </w:pPr>
    </w:p>
    <w:p w14:paraId="1BEB97A7" w14:textId="77777777" w:rsidR="003E7A64" w:rsidRDefault="003E7A64">
      <w:pPr>
        <w:rPr>
          <w:rFonts w:ascii="Quattrocento Sans" w:eastAsia="Quattrocento Sans" w:hAnsi="Quattrocento Sans" w:cs="Quattrocento Sans"/>
          <w:b/>
          <w:color w:val="000000"/>
          <w:sz w:val="24"/>
          <w:szCs w:val="24"/>
        </w:rPr>
      </w:pPr>
      <w:r>
        <w:rPr>
          <w:rFonts w:ascii="Quattrocento Sans" w:eastAsia="Quattrocento Sans" w:hAnsi="Quattrocento Sans" w:cs="Quattrocento Sans"/>
          <w:b/>
          <w:color w:val="000000"/>
          <w:sz w:val="24"/>
          <w:szCs w:val="24"/>
        </w:rPr>
        <w:br w:type="page"/>
      </w:r>
    </w:p>
    <w:p w14:paraId="6A4C5138" w14:textId="3922FDD9" w:rsidR="00B4396A" w:rsidRDefault="00B4396A">
      <w:pPr>
        <w:pStyle w:val="TOC1"/>
        <w:tabs>
          <w:tab w:val="right" w:leader="dot" w:pos="9016"/>
        </w:tabs>
        <w:rPr>
          <w:noProof/>
        </w:rPr>
      </w:pPr>
      <w:r>
        <w:rPr>
          <w:rFonts w:ascii="Quattrocento Sans" w:eastAsia="Quattrocento Sans" w:hAnsi="Quattrocento Sans" w:cs="Quattrocento Sans"/>
          <w:b/>
          <w:color w:val="000000"/>
          <w:sz w:val="24"/>
          <w:szCs w:val="24"/>
        </w:rPr>
        <w:lastRenderedPageBreak/>
        <w:fldChar w:fldCharType="begin"/>
      </w:r>
      <w:r>
        <w:rPr>
          <w:rFonts w:ascii="Quattrocento Sans" w:eastAsia="Quattrocento Sans" w:hAnsi="Quattrocento Sans" w:cs="Quattrocento Sans"/>
          <w:b/>
          <w:color w:val="000000"/>
          <w:sz w:val="24"/>
          <w:szCs w:val="24"/>
        </w:rPr>
        <w:instrText xml:space="preserve"> TOC \o "1-3" \h \z \u </w:instrText>
      </w:r>
      <w:r>
        <w:rPr>
          <w:rFonts w:ascii="Quattrocento Sans" w:eastAsia="Quattrocento Sans" w:hAnsi="Quattrocento Sans" w:cs="Quattrocento Sans"/>
          <w:b/>
          <w:color w:val="000000"/>
          <w:sz w:val="24"/>
          <w:szCs w:val="24"/>
        </w:rPr>
        <w:fldChar w:fldCharType="separate"/>
      </w:r>
      <w:hyperlink w:anchor="_Toc141479851" w:history="1">
        <w:r w:rsidRPr="00D6329F">
          <w:rPr>
            <w:rStyle w:val="Hyperlink"/>
            <w:noProof/>
          </w:rPr>
          <w:t>Executive Summary</w:t>
        </w:r>
        <w:r>
          <w:rPr>
            <w:noProof/>
            <w:webHidden/>
          </w:rPr>
          <w:tab/>
        </w:r>
        <w:r>
          <w:rPr>
            <w:noProof/>
            <w:webHidden/>
          </w:rPr>
          <w:fldChar w:fldCharType="begin"/>
        </w:r>
        <w:r>
          <w:rPr>
            <w:noProof/>
            <w:webHidden/>
          </w:rPr>
          <w:instrText xml:space="preserve"> PAGEREF _Toc141479851 \h </w:instrText>
        </w:r>
        <w:r>
          <w:rPr>
            <w:noProof/>
            <w:webHidden/>
          </w:rPr>
        </w:r>
        <w:r>
          <w:rPr>
            <w:noProof/>
            <w:webHidden/>
          </w:rPr>
          <w:fldChar w:fldCharType="separate"/>
        </w:r>
        <w:r>
          <w:rPr>
            <w:noProof/>
            <w:webHidden/>
          </w:rPr>
          <w:t>2</w:t>
        </w:r>
        <w:r>
          <w:rPr>
            <w:noProof/>
            <w:webHidden/>
          </w:rPr>
          <w:fldChar w:fldCharType="end"/>
        </w:r>
      </w:hyperlink>
    </w:p>
    <w:p w14:paraId="0CD4CE7A" w14:textId="1C87FCAA" w:rsidR="00B4396A" w:rsidRDefault="00B4396A">
      <w:pPr>
        <w:pStyle w:val="TOC1"/>
        <w:tabs>
          <w:tab w:val="right" w:leader="dot" w:pos="9016"/>
        </w:tabs>
        <w:rPr>
          <w:noProof/>
        </w:rPr>
      </w:pPr>
      <w:hyperlink w:anchor="_Toc141479852" w:history="1">
        <w:r w:rsidRPr="00D6329F">
          <w:rPr>
            <w:rStyle w:val="Hyperlink"/>
            <w:noProof/>
          </w:rPr>
          <w:t>Introduction</w:t>
        </w:r>
        <w:r>
          <w:rPr>
            <w:noProof/>
            <w:webHidden/>
          </w:rPr>
          <w:tab/>
        </w:r>
        <w:r>
          <w:rPr>
            <w:noProof/>
            <w:webHidden/>
          </w:rPr>
          <w:fldChar w:fldCharType="begin"/>
        </w:r>
        <w:r>
          <w:rPr>
            <w:noProof/>
            <w:webHidden/>
          </w:rPr>
          <w:instrText xml:space="preserve"> PAGEREF _Toc141479852 \h </w:instrText>
        </w:r>
        <w:r>
          <w:rPr>
            <w:noProof/>
            <w:webHidden/>
          </w:rPr>
        </w:r>
        <w:r>
          <w:rPr>
            <w:noProof/>
            <w:webHidden/>
          </w:rPr>
          <w:fldChar w:fldCharType="separate"/>
        </w:r>
        <w:r>
          <w:rPr>
            <w:noProof/>
            <w:webHidden/>
          </w:rPr>
          <w:t>3</w:t>
        </w:r>
        <w:r>
          <w:rPr>
            <w:noProof/>
            <w:webHidden/>
          </w:rPr>
          <w:fldChar w:fldCharType="end"/>
        </w:r>
      </w:hyperlink>
    </w:p>
    <w:p w14:paraId="5B01DED5" w14:textId="7F74E204" w:rsidR="00B4396A" w:rsidRDefault="00B4396A">
      <w:pPr>
        <w:pStyle w:val="TOC1"/>
        <w:tabs>
          <w:tab w:val="right" w:leader="dot" w:pos="9016"/>
        </w:tabs>
        <w:rPr>
          <w:noProof/>
        </w:rPr>
      </w:pPr>
      <w:hyperlink w:anchor="_Toc141479853" w:history="1">
        <w:r w:rsidRPr="00D6329F">
          <w:rPr>
            <w:rStyle w:val="Hyperlink"/>
            <w:noProof/>
          </w:rPr>
          <w:t>Research Aim</w:t>
        </w:r>
        <w:r>
          <w:rPr>
            <w:noProof/>
            <w:webHidden/>
          </w:rPr>
          <w:tab/>
        </w:r>
        <w:r>
          <w:rPr>
            <w:noProof/>
            <w:webHidden/>
          </w:rPr>
          <w:fldChar w:fldCharType="begin"/>
        </w:r>
        <w:r>
          <w:rPr>
            <w:noProof/>
            <w:webHidden/>
          </w:rPr>
          <w:instrText xml:space="preserve"> PAGEREF _Toc141479853 \h </w:instrText>
        </w:r>
        <w:r>
          <w:rPr>
            <w:noProof/>
            <w:webHidden/>
          </w:rPr>
        </w:r>
        <w:r>
          <w:rPr>
            <w:noProof/>
            <w:webHidden/>
          </w:rPr>
          <w:fldChar w:fldCharType="separate"/>
        </w:r>
        <w:r>
          <w:rPr>
            <w:noProof/>
            <w:webHidden/>
          </w:rPr>
          <w:t>5</w:t>
        </w:r>
        <w:r>
          <w:rPr>
            <w:noProof/>
            <w:webHidden/>
          </w:rPr>
          <w:fldChar w:fldCharType="end"/>
        </w:r>
      </w:hyperlink>
    </w:p>
    <w:p w14:paraId="71CE7A47" w14:textId="2739C7EF" w:rsidR="00B4396A" w:rsidRDefault="00B4396A">
      <w:pPr>
        <w:pStyle w:val="TOC1"/>
        <w:tabs>
          <w:tab w:val="right" w:leader="dot" w:pos="9016"/>
        </w:tabs>
        <w:rPr>
          <w:noProof/>
        </w:rPr>
      </w:pPr>
      <w:hyperlink w:anchor="_Toc141479854" w:history="1">
        <w:r w:rsidRPr="00D6329F">
          <w:rPr>
            <w:rStyle w:val="Hyperlink"/>
            <w:noProof/>
          </w:rPr>
          <w:t>Company Background of KCRC &amp; MTRCL</w:t>
        </w:r>
        <w:r>
          <w:rPr>
            <w:noProof/>
            <w:webHidden/>
          </w:rPr>
          <w:tab/>
        </w:r>
        <w:r>
          <w:rPr>
            <w:noProof/>
            <w:webHidden/>
          </w:rPr>
          <w:fldChar w:fldCharType="begin"/>
        </w:r>
        <w:r>
          <w:rPr>
            <w:noProof/>
            <w:webHidden/>
          </w:rPr>
          <w:instrText xml:space="preserve"> PAGEREF _Toc141479854 \h </w:instrText>
        </w:r>
        <w:r>
          <w:rPr>
            <w:noProof/>
            <w:webHidden/>
          </w:rPr>
        </w:r>
        <w:r>
          <w:rPr>
            <w:noProof/>
            <w:webHidden/>
          </w:rPr>
          <w:fldChar w:fldCharType="separate"/>
        </w:r>
        <w:r>
          <w:rPr>
            <w:noProof/>
            <w:webHidden/>
          </w:rPr>
          <w:t>6</w:t>
        </w:r>
        <w:r>
          <w:rPr>
            <w:noProof/>
            <w:webHidden/>
          </w:rPr>
          <w:fldChar w:fldCharType="end"/>
        </w:r>
      </w:hyperlink>
    </w:p>
    <w:p w14:paraId="1935DB06" w14:textId="5AD63846" w:rsidR="00B4396A" w:rsidRDefault="00B4396A">
      <w:pPr>
        <w:pStyle w:val="TOC1"/>
        <w:tabs>
          <w:tab w:val="right" w:leader="dot" w:pos="9016"/>
        </w:tabs>
        <w:rPr>
          <w:noProof/>
        </w:rPr>
      </w:pPr>
      <w:hyperlink w:anchor="_Toc141479855" w:history="1">
        <w:r w:rsidRPr="00D6329F">
          <w:rPr>
            <w:rStyle w:val="Hyperlink"/>
            <w:noProof/>
          </w:rPr>
          <w:t>The Merger</w:t>
        </w:r>
        <w:r>
          <w:rPr>
            <w:noProof/>
            <w:webHidden/>
          </w:rPr>
          <w:tab/>
        </w:r>
        <w:r>
          <w:rPr>
            <w:noProof/>
            <w:webHidden/>
          </w:rPr>
          <w:fldChar w:fldCharType="begin"/>
        </w:r>
        <w:r>
          <w:rPr>
            <w:noProof/>
            <w:webHidden/>
          </w:rPr>
          <w:instrText xml:space="preserve"> PAGEREF _Toc141479855 \h </w:instrText>
        </w:r>
        <w:r>
          <w:rPr>
            <w:noProof/>
            <w:webHidden/>
          </w:rPr>
        </w:r>
        <w:r>
          <w:rPr>
            <w:noProof/>
            <w:webHidden/>
          </w:rPr>
          <w:fldChar w:fldCharType="separate"/>
        </w:r>
        <w:r>
          <w:rPr>
            <w:noProof/>
            <w:webHidden/>
          </w:rPr>
          <w:t>7</w:t>
        </w:r>
        <w:r>
          <w:rPr>
            <w:noProof/>
            <w:webHidden/>
          </w:rPr>
          <w:fldChar w:fldCharType="end"/>
        </w:r>
      </w:hyperlink>
    </w:p>
    <w:p w14:paraId="422037F1" w14:textId="48756DD5" w:rsidR="00B4396A" w:rsidRDefault="00B4396A">
      <w:pPr>
        <w:pStyle w:val="TOC2"/>
        <w:tabs>
          <w:tab w:val="right" w:leader="dot" w:pos="9016"/>
        </w:tabs>
        <w:rPr>
          <w:noProof/>
        </w:rPr>
      </w:pPr>
      <w:hyperlink w:anchor="_Toc141479856" w:history="1">
        <w:r w:rsidRPr="00D6329F">
          <w:rPr>
            <w:rStyle w:val="Hyperlink"/>
            <w:noProof/>
          </w:rPr>
          <w:t>1.  Initiative to Enhance Value:</w:t>
        </w:r>
        <w:r>
          <w:rPr>
            <w:noProof/>
            <w:webHidden/>
          </w:rPr>
          <w:tab/>
        </w:r>
        <w:r>
          <w:rPr>
            <w:noProof/>
            <w:webHidden/>
          </w:rPr>
          <w:fldChar w:fldCharType="begin"/>
        </w:r>
        <w:r>
          <w:rPr>
            <w:noProof/>
            <w:webHidden/>
          </w:rPr>
          <w:instrText xml:space="preserve"> PAGEREF _Toc141479856 \h </w:instrText>
        </w:r>
        <w:r>
          <w:rPr>
            <w:noProof/>
            <w:webHidden/>
          </w:rPr>
        </w:r>
        <w:r>
          <w:rPr>
            <w:noProof/>
            <w:webHidden/>
          </w:rPr>
          <w:fldChar w:fldCharType="separate"/>
        </w:r>
        <w:r>
          <w:rPr>
            <w:noProof/>
            <w:webHidden/>
          </w:rPr>
          <w:t>7</w:t>
        </w:r>
        <w:r>
          <w:rPr>
            <w:noProof/>
            <w:webHidden/>
          </w:rPr>
          <w:fldChar w:fldCharType="end"/>
        </w:r>
      </w:hyperlink>
    </w:p>
    <w:p w14:paraId="690EEC52" w14:textId="773276DA" w:rsidR="00B4396A" w:rsidRDefault="00B4396A">
      <w:pPr>
        <w:pStyle w:val="TOC2"/>
        <w:tabs>
          <w:tab w:val="right" w:leader="dot" w:pos="9016"/>
        </w:tabs>
        <w:rPr>
          <w:noProof/>
        </w:rPr>
      </w:pPr>
      <w:hyperlink w:anchor="_Toc141479857" w:history="1">
        <w:r w:rsidRPr="00D6329F">
          <w:rPr>
            <w:rStyle w:val="Hyperlink"/>
            <w:noProof/>
          </w:rPr>
          <w:t>2.  Benefits to Rail Business:</w:t>
        </w:r>
        <w:r>
          <w:rPr>
            <w:noProof/>
            <w:webHidden/>
          </w:rPr>
          <w:tab/>
        </w:r>
        <w:r>
          <w:rPr>
            <w:noProof/>
            <w:webHidden/>
          </w:rPr>
          <w:fldChar w:fldCharType="begin"/>
        </w:r>
        <w:r>
          <w:rPr>
            <w:noProof/>
            <w:webHidden/>
          </w:rPr>
          <w:instrText xml:space="preserve"> PAGEREF _Toc141479857 \h </w:instrText>
        </w:r>
        <w:r>
          <w:rPr>
            <w:noProof/>
            <w:webHidden/>
          </w:rPr>
        </w:r>
        <w:r>
          <w:rPr>
            <w:noProof/>
            <w:webHidden/>
          </w:rPr>
          <w:fldChar w:fldCharType="separate"/>
        </w:r>
        <w:r>
          <w:rPr>
            <w:noProof/>
            <w:webHidden/>
          </w:rPr>
          <w:t>8</w:t>
        </w:r>
        <w:r>
          <w:rPr>
            <w:noProof/>
            <w:webHidden/>
          </w:rPr>
          <w:fldChar w:fldCharType="end"/>
        </w:r>
      </w:hyperlink>
    </w:p>
    <w:p w14:paraId="7C8CE279" w14:textId="60EAA464" w:rsidR="00B4396A" w:rsidRDefault="00B4396A">
      <w:pPr>
        <w:pStyle w:val="TOC2"/>
        <w:tabs>
          <w:tab w:val="right" w:leader="dot" w:pos="9016"/>
        </w:tabs>
        <w:rPr>
          <w:noProof/>
        </w:rPr>
      </w:pPr>
      <w:hyperlink w:anchor="_Toc141479858" w:history="1">
        <w:r w:rsidRPr="00D6329F">
          <w:rPr>
            <w:rStyle w:val="Hyperlink"/>
            <w:noProof/>
          </w:rPr>
          <w:t>3.  Benefits to Property Business:</w:t>
        </w:r>
        <w:r>
          <w:rPr>
            <w:noProof/>
            <w:webHidden/>
          </w:rPr>
          <w:tab/>
        </w:r>
        <w:r>
          <w:rPr>
            <w:noProof/>
            <w:webHidden/>
          </w:rPr>
          <w:fldChar w:fldCharType="begin"/>
        </w:r>
        <w:r>
          <w:rPr>
            <w:noProof/>
            <w:webHidden/>
          </w:rPr>
          <w:instrText xml:space="preserve"> PAGEREF _Toc141479858 \h </w:instrText>
        </w:r>
        <w:r>
          <w:rPr>
            <w:noProof/>
            <w:webHidden/>
          </w:rPr>
        </w:r>
        <w:r>
          <w:rPr>
            <w:noProof/>
            <w:webHidden/>
          </w:rPr>
          <w:fldChar w:fldCharType="separate"/>
        </w:r>
        <w:r>
          <w:rPr>
            <w:noProof/>
            <w:webHidden/>
          </w:rPr>
          <w:t>8</w:t>
        </w:r>
        <w:r>
          <w:rPr>
            <w:noProof/>
            <w:webHidden/>
          </w:rPr>
          <w:fldChar w:fldCharType="end"/>
        </w:r>
      </w:hyperlink>
    </w:p>
    <w:p w14:paraId="43D9303F" w14:textId="0EEDF8C7" w:rsidR="00B4396A" w:rsidRDefault="00B4396A">
      <w:pPr>
        <w:pStyle w:val="TOC2"/>
        <w:tabs>
          <w:tab w:val="right" w:leader="dot" w:pos="9016"/>
        </w:tabs>
        <w:rPr>
          <w:noProof/>
        </w:rPr>
      </w:pPr>
      <w:hyperlink w:anchor="_Toc141479859" w:history="1">
        <w:r w:rsidRPr="00D6329F">
          <w:rPr>
            <w:rStyle w:val="Hyperlink"/>
            <w:noProof/>
          </w:rPr>
          <w:t>4.  Benefits of the Rail Merger Transaction Structure:</w:t>
        </w:r>
        <w:r>
          <w:rPr>
            <w:noProof/>
            <w:webHidden/>
          </w:rPr>
          <w:tab/>
        </w:r>
        <w:r>
          <w:rPr>
            <w:noProof/>
            <w:webHidden/>
          </w:rPr>
          <w:fldChar w:fldCharType="begin"/>
        </w:r>
        <w:r>
          <w:rPr>
            <w:noProof/>
            <w:webHidden/>
          </w:rPr>
          <w:instrText xml:space="preserve"> PAGEREF _Toc141479859 \h </w:instrText>
        </w:r>
        <w:r>
          <w:rPr>
            <w:noProof/>
            <w:webHidden/>
          </w:rPr>
        </w:r>
        <w:r>
          <w:rPr>
            <w:noProof/>
            <w:webHidden/>
          </w:rPr>
          <w:fldChar w:fldCharType="separate"/>
        </w:r>
        <w:r>
          <w:rPr>
            <w:noProof/>
            <w:webHidden/>
          </w:rPr>
          <w:t>8</w:t>
        </w:r>
        <w:r>
          <w:rPr>
            <w:noProof/>
            <w:webHidden/>
          </w:rPr>
          <w:fldChar w:fldCharType="end"/>
        </w:r>
      </w:hyperlink>
    </w:p>
    <w:p w14:paraId="7E1CB720" w14:textId="1A0DE661" w:rsidR="00B4396A" w:rsidRDefault="00B4396A">
      <w:pPr>
        <w:pStyle w:val="TOC1"/>
        <w:tabs>
          <w:tab w:val="right" w:leader="dot" w:pos="9016"/>
        </w:tabs>
        <w:rPr>
          <w:noProof/>
        </w:rPr>
      </w:pPr>
      <w:hyperlink w:anchor="_Toc141479860" w:history="1">
        <w:r w:rsidRPr="00D6329F">
          <w:rPr>
            <w:rStyle w:val="Hyperlink"/>
            <w:noProof/>
          </w:rPr>
          <w:t>Abell’s Three-dimensional Business Model</w:t>
        </w:r>
        <w:r>
          <w:rPr>
            <w:noProof/>
            <w:webHidden/>
          </w:rPr>
          <w:tab/>
        </w:r>
        <w:r>
          <w:rPr>
            <w:noProof/>
            <w:webHidden/>
          </w:rPr>
          <w:fldChar w:fldCharType="begin"/>
        </w:r>
        <w:r>
          <w:rPr>
            <w:noProof/>
            <w:webHidden/>
          </w:rPr>
          <w:instrText xml:space="preserve"> PAGEREF _Toc141479860 \h </w:instrText>
        </w:r>
        <w:r>
          <w:rPr>
            <w:noProof/>
            <w:webHidden/>
          </w:rPr>
        </w:r>
        <w:r>
          <w:rPr>
            <w:noProof/>
            <w:webHidden/>
          </w:rPr>
          <w:fldChar w:fldCharType="separate"/>
        </w:r>
        <w:r>
          <w:rPr>
            <w:noProof/>
            <w:webHidden/>
          </w:rPr>
          <w:t>9</w:t>
        </w:r>
        <w:r>
          <w:rPr>
            <w:noProof/>
            <w:webHidden/>
          </w:rPr>
          <w:fldChar w:fldCharType="end"/>
        </w:r>
      </w:hyperlink>
    </w:p>
    <w:p w14:paraId="2EAA4974" w14:textId="46F99D97" w:rsidR="00B4396A" w:rsidRDefault="00B4396A">
      <w:pPr>
        <w:pStyle w:val="TOC2"/>
        <w:tabs>
          <w:tab w:val="right" w:leader="dot" w:pos="9016"/>
        </w:tabs>
        <w:rPr>
          <w:noProof/>
        </w:rPr>
      </w:pPr>
      <w:r>
        <w:rPr>
          <w:rStyle w:val="Hyperlink"/>
          <w:noProof/>
        </w:rPr>
        <w:t xml:space="preserve">1) </w:t>
      </w:r>
      <w:hyperlink w:anchor="_Toc141479861" w:history="1">
        <w:r w:rsidRPr="00D6329F">
          <w:rPr>
            <w:rStyle w:val="Hyperlink"/>
            <w:noProof/>
          </w:rPr>
          <w:t>Core Business Customers – Railway Operations</w:t>
        </w:r>
        <w:r>
          <w:rPr>
            <w:noProof/>
            <w:webHidden/>
          </w:rPr>
          <w:tab/>
        </w:r>
        <w:r>
          <w:rPr>
            <w:noProof/>
            <w:webHidden/>
          </w:rPr>
          <w:fldChar w:fldCharType="begin"/>
        </w:r>
        <w:r>
          <w:rPr>
            <w:noProof/>
            <w:webHidden/>
          </w:rPr>
          <w:instrText xml:space="preserve"> PAGEREF _Toc141479861 \h </w:instrText>
        </w:r>
        <w:r>
          <w:rPr>
            <w:noProof/>
            <w:webHidden/>
          </w:rPr>
        </w:r>
        <w:r>
          <w:rPr>
            <w:noProof/>
            <w:webHidden/>
          </w:rPr>
          <w:fldChar w:fldCharType="separate"/>
        </w:r>
        <w:r>
          <w:rPr>
            <w:noProof/>
            <w:webHidden/>
          </w:rPr>
          <w:t>9</w:t>
        </w:r>
        <w:r>
          <w:rPr>
            <w:noProof/>
            <w:webHidden/>
          </w:rPr>
          <w:fldChar w:fldCharType="end"/>
        </w:r>
      </w:hyperlink>
    </w:p>
    <w:p w14:paraId="55D0A04F" w14:textId="6644D58A" w:rsidR="00B4396A" w:rsidRDefault="00B4396A">
      <w:pPr>
        <w:pStyle w:val="TOC2"/>
        <w:tabs>
          <w:tab w:val="right" w:leader="dot" w:pos="9016"/>
        </w:tabs>
        <w:rPr>
          <w:noProof/>
        </w:rPr>
      </w:pPr>
      <w:hyperlink w:anchor="_Toc141479862" w:history="1">
        <w:r w:rsidRPr="00D6329F">
          <w:rPr>
            <w:rStyle w:val="Hyperlink"/>
            <w:noProof/>
          </w:rPr>
          <w:t>2) Core related business - station commercial business</w:t>
        </w:r>
        <w:r>
          <w:rPr>
            <w:noProof/>
            <w:webHidden/>
          </w:rPr>
          <w:tab/>
        </w:r>
        <w:r>
          <w:rPr>
            <w:noProof/>
            <w:webHidden/>
          </w:rPr>
          <w:fldChar w:fldCharType="begin"/>
        </w:r>
        <w:r>
          <w:rPr>
            <w:noProof/>
            <w:webHidden/>
          </w:rPr>
          <w:instrText xml:space="preserve"> PAGEREF _Toc141479862 \h </w:instrText>
        </w:r>
        <w:r>
          <w:rPr>
            <w:noProof/>
            <w:webHidden/>
          </w:rPr>
        </w:r>
        <w:r>
          <w:rPr>
            <w:noProof/>
            <w:webHidden/>
          </w:rPr>
          <w:fldChar w:fldCharType="separate"/>
        </w:r>
        <w:r>
          <w:rPr>
            <w:noProof/>
            <w:webHidden/>
          </w:rPr>
          <w:t>12</w:t>
        </w:r>
        <w:r>
          <w:rPr>
            <w:noProof/>
            <w:webHidden/>
          </w:rPr>
          <w:fldChar w:fldCharType="end"/>
        </w:r>
      </w:hyperlink>
    </w:p>
    <w:p w14:paraId="3FA2E73E" w14:textId="711F7549" w:rsidR="00B4396A" w:rsidRDefault="00B4396A">
      <w:pPr>
        <w:pStyle w:val="TOC2"/>
        <w:tabs>
          <w:tab w:val="right" w:leader="dot" w:pos="9016"/>
        </w:tabs>
        <w:rPr>
          <w:noProof/>
        </w:rPr>
      </w:pPr>
      <w:hyperlink w:anchor="_Toc141479863" w:history="1">
        <w:r w:rsidRPr="00D6329F">
          <w:rPr>
            <w:rStyle w:val="Hyperlink"/>
            <w:noProof/>
          </w:rPr>
          <w:t>3) Property Business</w:t>
        </w:r>
        <w:r>
          <w:rPr>
            <w:noProof/>
            <w:webHidden/>
          </w:rPr>
          <w:tab/>
        </w:r>
        <w:r>
          <w:rPr>
            <w:noProof/>
            <w:webHidden/>
          </w:rPr>
          <w:fldChar w:fldCharType="begin"/>
        </w:r>
        <w:r>
          <w:rPr>
            <w:noProof/>
            <w:webHidden/>
          </w:rPr>
          <w:instrText xml:space="preserve"> PAGEREF _Toc141479863 \h </w:instrText>
        </w:r>
        <w:r>
          <w:rPr>
            <w:noProof/>
            <w:webHidden/>
          </w:rPr>
        </w:r>
        <w:r>
          <w:rPr>
            <w:noProof/>
            <w:webHidden/>
          </w:rPr>
          <w:fldChar w:fldCharType="separate"/>
        </w:r>
        <w:r>
          <w:rPr>
            <w:noProof/>
            <w:webHidden/>
          </w:rPr>
          <w:t>13</w:t>
        </w:r>
        <w:r>
          <w:rPr>
            <w:noProof/>
            <w:webHidden/>
          </w:rPr>
          <w:fldChar w:fldCharType="end"/>
        </w:r>
      </w:hyperlink>
    </w:p>
    <w:p w14:paraId="678E089E" w14:textId="7125C619" w:rsidR="00B4396A" w:rsidRDefault="00B4396A">
      <w:pPr>
        <w:pStyle w:val="TOC2"/>
        <w:tabs>
          <w:tab w:val="right" w:leader="dot" w:pos="9016"/>
        </w:tabs>
        <w:rPr>
          <w:noProof/>
        </w:rPr>
      </w:pPr>
      <w:hyperlink w:anchor="_Toc141479864" w:history="1">
        <w:r w:rsidRPr="00D6329F">
          <w:rPr>
            <w:rStyle w:val="Hyperlink"/>
            <w:noProof/>
          </w:rPr>
          <w:t>4) Other business - international business</w:t>
        </w:r>
        <w:r>
          <w:rPr>
            <w:noProof/>
            <w:webHidden/>
          </w:rPr>
          <w:tab/>
        </w:r>
        <w:r>
          <w:rPr>
            <w:noProof/>
            <w:webHidden/>
          </w:rPr>
          <w:fldChar w:fldCharType="begin"/>
        </w:r>
        <w:r>
          <w:rPr>
            <w:noProof/>
            <w:webHidden/>
          </w:rPr>
          <w:instrText xml:space="preserve"> PAGEREF _Toc141479864 \h </w:instrText>
        </w:r>
        <w:r>
          <w:rPr>
            <w:noProof/>
            <w:webHidden/>
          </w:rPr>
        </w:r>
        <w:r>
          <w:rPr>
            <w:noProof/>
            <w:webHidden/>
          </w:rPr>
          <w:fldChar w:fldCharType="separate"/>
        </w:r>
        <w:r>
          <w:rPr>
            <w:noProof/>
            <w:webHidden/>
          </w:rPr>
          <w:t>15</w:t>
        </w:r>
        <w:r>
          <w:rPr>
            <w:noProof/>
            <w:webHidden/>
          </w:rPr>
          <w:fldChar w:fldCharType="end"/>
        </w:r>
      </w:hyperlink>
    </w:p>
    <w:p w14:paraId="4EED8019" w14:textId="1AEC3E7B" w:rsidR="00B4396A" w:rsidRDefault="00B4396A">
      <w:pPr>
        <w:pStyle w:val="TOC1"/>
        <w:tabs>
          <w:tab w:val="right" w:leader="dot" w:pos="9016"/>
        </w:tabs>
        <w:rPr>
          <w:noProof/>
        </w:rPr>
      </w:pPr>
      <w:hyperlink w:anchor="_Toc141479865" w:history="1">
        <w:r w:rsidRPr="00D6329F">
          <w:rPr>
            <w:rStyle w:val="Hyperlink"/>
            <w:noProof/>
          </w:rPr>
          <w:t>3H framework</w:t>
        </w:r>
        <w:r>
          <w:rPr>
            <w:noProof/>
            <w:webHidden/>
          </w:rPr>
          <w:tab/>
        </w:r>
        <w:r>
          <w:rPr>
            <w:noProof/>
            <w:webHidden/>
          </w:rPr>
          <w:fldChar w:fldCharType="begin"/>
        </w:r>
        <w:r>
          <w:rPr>
            <w:noProof/>
            <w:webHidden/>
          </w:rPr>
          <w:instrText xml:space="preserve"> PAGEREF _Toc141479865 \h </w:instrText>
        </w:r>
        <w:r>
          <w:rPr>
            <w:noProof/>
            <w:webHidden/>
          </w:rPr>
        </w:r>
        <w:r>
          <w:rPr>
            <w:noProof/>
            <w:webHidden/>
          </w:rPr>
          <w:fldChar w:fldCharType="separate"/>
        </w:r>
        <w:r>
          <w:rPr>
            <w:noProof/>
            <w:webHidden/>
          </w:rPr>
          <w:t>16</w:t>
        </w:r>
        <w:r>
          <w:rPr>
            <w:noProof/>
            <w:webHidden/>
          </w:rPr>
          <w:fldChar w:fldCharType="end"/>
        </w:r>
      </w:hyperlink>
    </w:p>
    <w:p w14:paraId="08580BBD" w14:textId="51F56101" w:rsidR="00B4396A" w:rsidRDefault="00B4396A">
      <w:pPr>
        <w:pStyle w:val="TOC2"/>
        <w:tabs>
          <w:tab w:val="right" w:leader="dot" w:pos="9016"/>
        </w:tabs>
        <w:rPr>
          <w:noProof/>
        </w:rPr>
      </w:pPr>
      <w:hyperlink w:anchor="_Toc141479866" w:history="1">
        <w:r w:rsidRPr="00D6329F">
          <w:rPr>
            <w:rStyle w:val="Hyperlink"/>
            <w:noProof/>
          </w:rPr>
          <w:t>HAND approach</w:t>
        </w:r>
        <w:r>
          <w:rPr>
            <w:noProof/>
            <w:webHidden/>
          </w:rPr>
          <w:tab/>
        </w:r>
        <w:r>
          <w:rPr>
            <w:noProof/>
            <w:webHidden/>
          </w:rPr>
          <w:fldChar w:fldCharType="begin"/>
        </w:r>
        <w:r>
          <w:rPr>
            <w:noProof/>
            <w:webHidden/>
          </w:rPr>
          <w:instrText xml:space="preserve"> PAGEREF _Toc141479866 \h </w:instrText>
        </w:r>
        <w:r>
          <w:rPr>
            <w:noProof/>
            <w:webHidden/>
          </w:rPr>
        </w:r>
        <w:r>
          <w:rPr>
            <w:noProof/>
            <w:webHidden/>
          </w:rPr>
          <w:fldChar w:fldCharType="separate"/>
        </w:r>
        <w:r>
          <w:rPr>
            <w:noProof/>
            <w:webHidden/>
          </w:rPr>
          <w:t>18</w:t>
        </w:r>
        <w:r>
          <w:rPr>
            <w:noProof/>
            <w:webHidden/>
          </w:rPr>
          <w:fldChar w:fldCharType="end"/>
        </w:r>
      </w:hyperlink>
    </w:p>
    <w:p w14:paraId="34C6FE2B" w14:textId="0027EA88" w:rsidR="00B4396A" w:rsidRDefault="00B4396A">
      <w:pPr>
        <w:pStyle w:val="TOC1"/>
        <w:tabs>
          <w:tab w:val="right" w:leader="dot" w:pos="9016"/>
        </w:tabs>
        <w:rPr>
          <w:noProof/>
        </w:rPr>
      </w:pPr>
      <w:hyperlink w:anchor="_Toc141479867" w:history="1">
        <w:r w:rsidRPr="00D6329F">
          <w:rPr>
            <w:rStyle w:val="Hyperlink"/>
            <w:noProof/>
          </w:rPr>
          <w:t>Conclusion</w:t>
        </w:r>
        <w:r>
          <w:rPr>
            <w:noProof/>
            <w:webHidden/>
          </w:rPr>
          <w:tab/>
        </w:r>
        <w:r>
          <w:rPr>
            <w:noProof/>
            <w:webHidden/>
          </w:rPr>
          <w:fldChar w:fldCharType="begin"/>
        </w:r>
        <w:r>
          <w:rPr>
            <w:noProof/>
            <w:webHidden/>
          </w:rPr>
          <w:instrText xml:space="preserve"> PAGEREF _Toc141479867 \h </w:instrText>
        </w:r>
        <w:r>
          <w:rPr>
            <w:noProof/>
            <w:webHidden/>
          </w:rPr>
        </w:r>
        <w:r>
          <w:rPr>
            <w:noProof/>
            <w:webHidden/>
          </w:rPr>
          <w:fldChar w:fldCharType="separate"/>
        </w:r>
        <w:r>
          <w:rPr>
            <w:noProof/>
            <w:webHidden/>
          </w:rPr>
          <w:t>19</w:t>
        </w:r>
        <w:r>
          <w:rPr>
            <w:noProof/>
            <w:webHidden/>
          </w:rPr>
          <w:fldChar w:fldCharType="end"/>
        </w:r>
      </w:hyperlink>
    </w:p>
    <w:p w14:paraId="7D2DF416" w14:textId="51118D6A" w:rsidR="00122A95" w:rsidRDefault="00B4396A">
      <w:pPr>
        <w:rPr>
          <w:rFonts w:ascii="Quattrocento Sans" w:eastAsia="Quattrocento Sans" w:hAnsi="Quattrocento Sans" w:cs="Quattrocento Sans"/>
          <w:b/>
          <w:color w:val="000000"/>
          <w:sz w:val="24"/>
          <w:szCs w:val="24"/>
        </w:rPr>
      </w:pPr>
      <w:r>
        <w:rPr>
          <w:rFonts w:ascii="Quattrocento Sans" w:eastAsia="Quattrocento Sans" w:hAnsi="Quattrocento Sans" w:cs="Quattrocento Sans"/>
          <w:b/>
          <w:color w:val="000000"/>
          <w:sz w:val="24"/>
          <w:szCs w:val="24"/>
        </w:rPr>
        <w:fldChar w:fldCharType="end"/>
      </w:r>
      <w:r w:rsidR="00122A95">
        <w:rPr>
          <w:rFonts w:ascii="Quattrocento Sans" w:eastAsia="Quattrocento Sans" w:hAnsi="Quattrocento Sans" w:cs="Quattrocento Sans"/>
          <w:b/>
          <w:color w:val="000000"/>
          <w:sz w:val="24"/>
          <w:szCs w:val="24"/>
        </w:rPr>
        <w:br w:type="page"/>
      </w:r>
    </w:p>
    <w:p w14:paraId="00000002" w14:textId="77777777" w:rsidR="006C712E" w:rsidRDefault="006C712E">
      <w:pPr>
        <w:pBdr>
          <w:top w:val="nil"/>
          <w:left w:val="nil"/>
          <w:bottom w:val="nil"/>
          <w:right w:val="nil"/>
          <w:between w:val="nil"/>
        </w:pBdr>
        <w:spacing w:line="240" w:lineRule="auto"/>
        <w:rPr>
          <w:rFonts w:ascii="Quattrocento Sans" w:eastAsia="Quattrocento Sans" w:hAnsi="Quattrocento Sans" w:cs="Quattrocento Sans"/>
          <w:b/>
          <w:sz w:val="24"/>
          <w:szCs w:val="24"/>
        </w:rPr>
      </w:pPr>
    </w:p>
    <w:p w14:paraId="00000003" w14:textId="77777777" w:rsidR="006C712E" w:rsidRPr="00B4396A" w:rsidRDefault="00EF3881" w:rsidP="00B4396A">
      <w:pPr>
        <w:pStyle w:val="Heading1"/>
        <w:rPr>
          <w:sz w:val="28"/>
          <w:szCs w:val="28"/>
        </w:rPr>
      </w:pPr>
      <w:bookmarkStart w:id="0" w:name="_Toc141479851"/>
      <w:r w:rsidRPr="00B4396A">
        <w:rPr>
          <w:sz w:val="28"/>
          <w:szCs w:val="28"/>
        </w:rPr>
        <w:t>Executive Summary</w:t>
      </w:r>
      <w:bookmarkEnd w:id="0"/>
    </w:p>
    <w:p w14:paraId="00000004"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5"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This report evaluates the factors that have contributed to</w:t>
      </w:r>
      <w:r>
        <w:rPr>
          <w:rFonts w:ascii="Arial" w:eastAsia="Arial" w:hAnsi="Arial" w:cs="Arial"/>
          <w:sz w:val="24"/>
          <w:szCs w:val="24"/>
        </w:rPr>
        <w:t xml:space="preserve"> the success of the MTR Corporation as one of the world's leading public transport operators.  Using Abell's three-dimensional business model, the report identifies customer segments, customer needs, and technology as crucial factors in MTR's success.  The</w:t>
      </w:r>
      <w:r>
        <w:rPr>
          <w:rFonts w:ascii="Arial" w:eastAsia="Arial" w:hAnsi="Arial" w:cs="Arial"/>
          <w:sz w:val="24"/>
          <w:szCs w:val="24"/>
        </w:rPr>
        <w:t xml:space="preserve"> "Rail plus property" model, transformational leadership, and strong learning and development culture are also identified as crucial factors in the company's growth and continued success.</w:t>
      </w:r>
    </w:p>
    <w:p w14:paraId="00000006"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7"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Moreover, the report recognizes the importance of the 3H holistic f</w:t>
      </w:r>
      <w:r>
        <w:rPr>
          <w:rFonts w:ascii="Arial" w:eastAsia="Arial" w:hAnsi="Arial" w:cs="Arial"/>
          <w:sz w:val="24"/>
          <w:szCs w:val="24"/>
        </w:rPr>
        <w:t>ramework in managing people and organizational performance.  MTR's focus on the "HEART" aspect, which refers to the company's commitment to customer-centricity and sustainability, has enabled it to establish a strong reputation as a reliable and customer-f</w:t>
      </w:r>
      <w:r>
        <w:rPr>
          <w:rFonts w:ascii="Arial" w:eastAsia="Arial" w:hAnsi="Arial" w:cs="Arial"/>
          <w:sz w:val="24"/>
          <w:szCs w:val="24"/>
        </w:rPr>
        <w:t xml:space="preserve">ocused provider of public transport services.  The "HEAD" aspect, which refers to the company's adoption of technology and innovation, has allowed it to enhance customer service efficiency and convenience.  The "HAND" aspect, which refers to the company's </w:t>
      </w:r>
      <w:r>
        <w:rPr>
          <w:rFonts w:ascii="Arial" w:eastAsia="Arial" w:hAnsi="Arial" w:cs="Arial"/>
          <w:sz w:val="24"/>
          <w:szCs w:val="24"/>
        </w:rPr>
        <w:t>emphasis on expertise development and talent management, has helped to create a highly competent and motivated workforce.</w:t>
      </w:r>
    </w:p>
    <w:p w14:paraId="00000008"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9"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As MTR continues to expand its operations globally, it will be necessary for the company to focus on these critical factors and adapt</w:t>
      </w:r>
      <w:r>
        <w:rPr>
          <w:rFonts w:ascii="Arial" w:eastAsia="Arial" w:hAnsi="Arial" w:cs="Arial"/>
          <w:sz w:val="24"/>
          <w:szCs w:val="24"/>
        </w:rPr>
        <w:t xml:space="preserve"> its business model to meet its customers' and stakeholders' evolving needs and expectations.  By prioritizing customer-centricity, innovation, sustainability, and organizational culture, MTR will be well-positioned to continue its growth and success as a </w:t>
      </w:r>
      <w:r>
        <w:rPr>
          <w:rFonts w:ascii="Arial" w:eastAsia="Arial" w:hAnsi="Arial" w:cs="Arial"/>
          <w:sz w:val="24"/>
          <w:szCs w:val="24"/>
        </w:rPr>
        <w:t>leading public transport operator.</w:t>
      </w:r>
    </w:p>
    <w:p w14:paraId="0000000A" w14:textId="0185482F" w:rsidR="003E7A64" w:rsidRDefault="003E7A64">
      <w:pPr>
        <w:rPr>
          <w:rFonts w:ascii="Quattrocento Sans" w:eastAsia="Quattrocento Sans" w:hAnsi="Quattrocento Sans" w:cs="Quattrocento Sans"/>
          <w:b/>
          <w:sz w:val="24"/>
          <w:szCs w:val="24"/>
        </w:rPr>
      </w:pPr>
      <w:r>
        <w:rPr>
          <w:rFonts w:ascii="Quattrocento Sans" w:eastAsia="Quattrocento Sans" w:hAnsi="Quattrocento Sans" w:cs="Quattrocento Sans"/>
          <w:b/>
          <w:sz w:val="24"/>
          <w:szCs w:val="24"/>
        </w:rPr>
        <w:br w:type="page"/>
      </w:r>
    </w:p>
    <w:p w14:paraId="712ED17E" w14:textId="77777777" w:rsidR="006C712E" w:rsidRDefault="006C712E">
      <w:pPr>
        <w:pBdr>
          <w:top w:val="nil"/>
          <w:left w:val="nil"/>
          <w:bottom w:val="nil"/>
          <w:right w:val="nil"/>
          <w:between w:val="nil"/>
        </w:pBdr>
        <w:spacing w:line="240" w:lineRule="auto"/>
        <w:rPr>
          <w:rFonts w:ascii="Quattrocento Sans" w:eastAsia="Quattrocento Sans" w:hAnsi="Quattrocento Sans" w:cs="Quattrocento Sans"/>
          <w:b/>
          <w:sz w:val="24"/>
          <w:szCs w:val="24"/>
        </w:rPr>
      </w:pPr>
    </w:p>
    <w:p w14:paraId="0000000B" w14:textId="77777777" w:rsidR="006C712E" w:rsidRPr="00B4396A" w:rsidRDefault="00EF3881" w:rsidP="00B4396A">
      <w:pPr>
        <w:pStyle w:val="Heading1"/>
        <w:rPr>
          <w:sz w:val="24"/>
          <w:szCs w:val="24"/>
        </w:rPr>
      </w:pPr>
      <w:bookmarkStart w:id="1" w:name="_Toc141479852"/>
      <w:r w:rsidRPr="00B4396A">
        <w:rPr>
          <w:sz w:val="24"/>
          <w:szCs w:val="24"/>
        </w:rPr>
        <w:t>Introduction</w:t>
      </w:r>
      <w:bookmarkEnd w:id="1"/>
    </w:p>
    <w:p w14:paraId="0CC67AEC" w14:textId="77777777" w:rsidR="003E7A64" w:rsidRDefault="003E7A64">
      <w:pPr>
        <w:pBdr>
          <w:top w:val="nil"/>
          <w:left w:val="nil"/>
          <w:bottom w:val="nil"/>
          <w:right w:val="nil"/>
          <w:between w:val="nil"/>
        </w:pBdr>
        <w:spacing w:line="240" w:lineRule="auto"/>
        <w:rPr>
          <w:rFonts w:ascii="Arial" w:eastAsia="Arial" w:hAnsi="Arial" w:cs="Arial"/>
          <w:sz w:val="24"/>
          <w:szCs w:val="24"/>
        </w:rPr>
      </w:pPr>
    </w:p>
    <w:p w14:paraId="0000000C" w14:textId="2C27C53D"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Strategic planning is absolutely essential for organizations to achieve their business goals, attain desired profitability, and strive for nothing less than operational excellence.  Many early studies (</w:t>
      </w:r>
      <w:proofErr w:type="gramStart"/>
      <w:r>
        <w:rPr>
          <w:rFonts w:ascii="Arial" w:eastAsia="Arial" w:hAnsi="Arial" w:cs="Arial"/>
          <w:sz w:val="24"/>
          <w:szCs w:val="24"/>
        </w:rPr>
        <w:t>i.e.</w:t>
      </w:r>
      <w:proofErr w:type="gramEnd"/>
      <w:r>
        <w:rPr>
          <w:rFonts w:ascii="Arial" w:eastAsia="Arial" w:hAnsi="Arial" w:cs="Arial"/>
          <w:sz w:val="24"/>
          <w:szCs w:val="24"/>
        </w:rPr>
        <w:t xml:space="preserve"> </w:t>
      </w:r>
      <w:r>
        <w:rPr>
          <w:rFonts w:ascii="Arial" w:eastAsia="Arial" w:hAnsi="Arial" w:cs="Arial"/>
          <w:sz w:val="24"/>
          <w:szCs w:val="24"/>
        </w:rPr>
        <w:t>in 1980s) had shown organizations mainly focused mainly on developing plans to achieve economic, social, and political goals. Development planning involved determining implementation processes, rollout timelines, monitoring results, and identifying develop</w:t>
      </w:r>
      <w:r>
        <w:rPr>
          <w:rFonts w:ascii="Arial" w:eastAsia="Arial" w:hAnsi="Arial" w:cs="Arial"/>
          <w:sz w:val="24"/>
          <w:szCs w:val="24"/>
        </w:rPr>
        <w:t>ment goals, policies, and plans.  However, as the business market evolved, strategic planning became a crucial responsibility for senior management seeking growth, brand differentiation, innovative customer service, operational efficiency, and future expan</w:t>
      </w:r>
      <w:r>
        <w:rPr>
          <w:rFonts w:ascii="Arial" w:eastAsia="Arial" w:hAnsi="Arial" w:cs="Arial"/>
          <w:sz w:val="24"/>
          <w:szCs w:val="24"/>
        </w:rPr>
        <w:t>sion.  More studies expanded the theory and suggested strategic planning is essential for decision-making, information processing, and future expansion (Day, 1997). It involved identifying potential threats and weaknesses to avoid and strengths and opportu</w:t>
      </w:r>
      <w:r>
        <w:rPr>
          <w:rFonts w:ascii="Arial" w:eastAsia="Arial" w:hAnsi="Arial" w:cs="Arial"/>
          <w:sz w:val="24"/>
          <w:szCs w:val="24"/>
        </w:rPr>
        <w:t xml:space="preserve">nities to pursue, making informed decisions for a secure future. Peter Drucker described strategic planning as an ongoing process of making organizational decisions based on comprehensive knowledge and analytical information about the future, implementing </w:t>
      </w:r>
      <w:r>
        <w:rPr>
          <w:rFonts w:ascii="Arial" w:eastAsia="Arial" w:hAnsi="Arial" w:cs="Arial"/>
          <w:sz w:val="24"/>
          <w:szCs w:val="24"/>
        </w:rPr>
        <w:t xml:space="preserve">systematic methods to execute these decisions and measuring deliverables against expectations through feedback (Drucker, 1996).   </w:t>
      </w:r>
    </w:p>
    <w:p w14:paraId="0000000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0E"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a recent study, David (2015) further elaborated on Ducker’s theory and suggested that strategic management is the combina</w:t>
      </w:r>
      <w:r>
        <w:rPr>
          <w:rFonts w:ascii="Arial" w:eastAsia="Arial" w:hAnsi="Arial" w:cs="Arial"/>
          <w:sz w:val="24"/>
          <w:szCs w:val="24"/>
        </w:rPr>
        <w:t>tion of formulating, implementing, and evaluating plans to achieve business goals. Therefore, a strategic plan becomes a company's game plan for expansion and growth, including a vision and mission to engage and motivate staff towards common goals. His stu</w:t>
      </w:r>
      <w:r>
        <w:rPr>
          <w:rFonts w:ascii="Arial" w:eastAsia="Arial" w:hAnsi="Arial" w:cs="Arial"/>
          <w:sz w:val="24"/>
          <w:szCs w:val="24"/>
        </w:rPr>
        <w:t>dy also mentioned that strategic planning should include:</w:t>
      </w:r>
    </w:p>
    <w:p w14:paraId="0000000F"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Cultivating a supportive culture</w:t>
      </w:r>
    </w:p>
    <w:p w14:paraId="00000010"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Creating effective human resource management</w:t>
      </w:r>
    </w:p>
    <w:p w14:paraId="00000011"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Maximizing marketing impact</w:t>
      </w:r>
    </w:p>
    <w:p w14:paraId="00000012"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Planning an effective budget </w:t>
      </w:r>
    </w:p>
    <w:p w14:paraId="00000013" w14:textId="77777777" w:rsidR="006C712E" w:rsidRDefault="00EF3881">
      <w:pPr>
        <w:numPr>
          <w:ilvl w:val="0"/>
          <w:numId w:val="1"/>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Adopting innovative information systems or infrastructure </w:t>
      </w:r>
    </w:p>
    <w:p w14:paraId="00000014" w14:textId="77777777" w:rsidR="006C712E" w:rsidRDefault="00EF3881">
      <w:pPr>
        <w:numPr>
          <w:ilvl w:val="0"/>
          <w:numId w:val="1"/>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Linking employee compensation to organization performance</w:t>
      </w:r>
    </w:p>
    <w:p w14:paraId="00000015" w14:textId="77777777" w:rsidR="006C712E" w:rsidRDefault="006C712E">
      <w:pPr>
        <w:spacing w:after="0" w:line="276" w:lineRule="auto"/>
        <w:rPr>
          <w:rFonts w:ascii="Arial" w:eastAsia="Arial" w:hAnsi="Arial" w:cs="Arial"/>
          <w:sz w:val="24"/>
          <w:szCs w:val="24"/>
        </w:rPr>
      </w:pPr>
    </w:p>
    <w:p w14:paraId="00000016" w14:textId="77777777" w:rsidR="006C712E" w:rsidRDefault="00EF3881">
      <w:pPr>
        <w:spacing w:after="0" w:line="276" w:lineRule="auto"/>
        <w:rPr>
          <w:rFonts w:ascii="Arial" w:eastAsia="Arial" w:hAnsi="Arial" w:cs="Arial"/>
          <w:sz w:val="24"/>
          <w:szCs w:val="24"/>
        </w:rPr>
      </w:pPr>
      <w:r>
        <w:rPr>
          <w:rFonts w:ascii="Arial" w:eastAsia="Arial" w:hAnsi="Arial" w:cs="Arial"/>
          <w:sz w:val="24"/>
          <w:szCs w:val="24"/>
        </w:rPr>
        <w:t>In today's volatile market environment, organizations must remain adaptable to change in response to external challenges and manage their internal capabilities, competencies, and resources effectively to achieve sustained competitive advantage (David, 2015</w:t>
      </w:r>
      <w:r>
        <w:rPr>
          <w:rFonts w:ascii="Arial" w:eastAsia="Arial" w:hAnsi="Arial" w:cs="Arial"/>
          <w:sz w:val="24"/>
          <w:szCs w:val="24"/>
        </w:rPr>
        <w:t>). In particular, the senior management team should be able to lead the organization through challenges and overcome obstacles. Abell (2014) emphasized that executives must comprehend the relationship between their challenges and the specific approaches th</w:t>
      </w:r>
      <w:r>
        <w:rPr>
          <w:rFonts w:ascii="Arial" w:eastAsia="Arial" w:hAnsi="Arial" w:cs="Arial"/>
          <w:sz w:val="24"/>
          <w:szCs w:val="24"/>
        </w:rPr>
        <w:t xml:space="preserve">at can be adopted to overcome them. The scope of strategy continually evolves due to new business challenges arising from various factors, such as the environment, research insights, business development, change </w:t>
      </w:r>
      <w:r>
        <w:rPr>
          <w:rFonts w:ascii="Arial" w:eastAsia="Arial" w:hAnsi="Arial" w:cs="Arial"/>
          <w:sz w:val="24"/>
          <w:szCs w:val="24"/>
        </w:rPr>
        <w:lastRenderedPageBreak/>
        <w:t>management, and leadership. Strategy plannin</w:t>
      </w:r>
      <w:r>
        <w:rPr>
          <w:rFonts w:ascii="Arial" w:eastAsia="Arial" w:hAnsi="Arial" w:cs="Arial"/>
          <w:sz w:val="24"/>
          <w:szCs w:val="24"/>
        </w:rPr>
        <w:t xml:space="preserve">g can overlap, and strategic thinking should adapt to new challenges. </w:t>
      </w:r>
    </w:p>
    <w:p w14:paraId="00000017" w14:textId="77777777" w:rsidR="006C712E" w:rsidRDefault="006C712E">
      <w:pPr>
        <w:spacing w:after="0" w:line="276" w:lineRule="auto"/>
        <w:rPr>
          <w:rFonts w:ascii="Arial" w:eastAsia="Arial" w:hAnsi="Arial" w:cs="Arial"/>
          <w:sz w:val="24"/>
          <w:szCs w:val="24"/>
        </w:rPr>
      </w:pPr>
    </w:p>
    <w:p w14:paraId="00000018" w14:textId="77777777" w:rsidR="006C712E" w:rsidRDefault="00EF3881">
      <w:pPr>
        <w:spacing w:after="0" w:line="276" w:lineRule="auto"/>
        <w:rPr>
          <w:rFonts w:ascii="Arial" w:eastAsia="Arial" w:hAnsi="Arial" w:cs="Arial"/>
          <w:strike/>
          <w:sz w:val="24"/>
          <w:szCs w:val="24"/>
        </w:rPr>
      </w:pPr>
      <w:r>
        <w:rPr>
          <w:rFonts w:ascii="Arial" w:eastAsia="Arial" w:hAnsi="Arial" w:cs="Arial"/>
          <w:sz w:val="24"/>
          <w:szCs w:val="24"/>
        </w:rPr>
        <w:t>In addition, setting a strategic direction is essential as executives often deal with conflicting and pressing dilemmas and different directions, such as striking the right balance bet</w:t>
      </w:r>
      <w:r>
        <w:rPr>
          <w:rFonts w:ascii="Arial" w:eastAsia="Arial" w:hAnsi="Arial" w:cs="Arial"/>
          <w:sz w:val="24"/>
          <w:szCs w:val="24"/>
        </w:rPr>
        <w:t>ween short and long-term business goals.  Achieving this balance could be challenging because it is complicated, and the balance changes constantly as business cycles evolve, and financial markets fluctuate.   Meanwhile, many organizations are driving glob</w:t>
      </w:r>
      <w:r>
        <w:rPr>
          <w:rFonts w:ascii="Arial" w:eastAsia="Arial" w:hAnsi="Arial" w:cs="Arial"/>
          <w:sz w:val="24"/>
          <w:szCs w:val="24"/>
        </w:rPr>
        <w:t>alization to maintain competitiveness or improve their competitive edge. In doing so, organizations are taking more financial risks and adhering to financial performance. The growing calls and needs for higher corporate responsibilities and care towards co</w:t>
      </w:r>
      <w:r>
        <w:rPr>
          <w:rFonts w:ascii="Arial" w:eastAsia="Arial" w:hAnsi="Arial" w:cs="Arial"/>
          <w:sz w:val="24"/>
          <w:szCs w:val="24"/>
        </w:rPr>
        <w:t xml:space="preserve">mmunities could also increase additional organizations' focus and efforts. </w:t>
      </w:r>
    </w:p>
    <w:p w14:paraId="00000019" w14:textId="77777777" w:rsidR="006C712E" w:rsidRDefault="006C712E">
      <w:pPr>
        <w:spacing w:after="0" w:line="276" w:lineRule="auto"/>
        <w:rPr>
          <w:rFonts w:ascii="Arial" w:eastAsia="Arial" w:hAnsi="Arial" w:cs="Arial"/>
          <w:strike/>
          <w:sz w:val="24"/>
          <w:szCs w:val="24"/>
        </w:rPr>
      </w:pPr>
    </w:p>
    <w:p w14:paraId="0000001A" w14:textId="77777777" w:rsidR="006C712E" w:rsidRDefault="006C712E">
      <w:pPr>
        <w:spacing w:after="0" w:line="276" w:lineRule="auto"/>
        <w:rPr>
          <w:rFonts w:ascii="Arial" w:eastAsia="Arial" w:hAnsi="Arial" w:cs="Arial"/>
          <w:sz w:val="24"/>
          <w:szCs w:val="24"/>
        </w:rPr>
      </w:pPr>
    </w:p>
    <w:p w14:paraId="0000001B" w14:textId="77777777" w:rsidR="006C712E" w:rsidRDefault="00EF3881">
      <w:pPr>
        <w:spacing w:after="0" w:line="276" w:lineRule="auto"/>
        <w:rPr>
          <w:rFonts w:ascii="Arial" w:eastAsia="Arial" w:hAnsi="Arial" w:cs="Arial"/>
          <w:sz w:val="24"/>
          <w:szCs w:val="24"/>
        </w:rPr>
      </w:pPr>
      <w:r>
        <w:rPr>
          <w:rFonts w:ascii="Arial" w:eastAsia="Arial" w:hAnsi="Arial" w:cs="Arial"/>
          <w:sz w:val="24"/>
          <w:szCs w:val="24"/>
        </w:rPr>
        <w:t>Addressing these questions, Abell (2014) mentioned that organizations could adopt a DUAL strategies approach to tackle the competitive market environment and achieve short- and l</w:t>
      </w:r>
      <w:r>
        <w:rPr>
          <w:rFonts w:ascii="Arial" w:eastAsia="Arial" w:hAnsi="Arial" w:cs="Arial"/>
          <w:sz w:val="24"/>
          <w:szCs w:val="24"/>
        </w:rPr>
        <w:t xml:space="preserve">ong-term goals. The first strategy is called the "Today Strategy" (namely strategy to succeed today), which helps management lead and manage current day-to-day plans and activities. The "Today Strategy" requires leaders to set clear business objectives to </w:t>
      </w:r>
      <w:r>
        <w:rPr>
          <w:rFonts w:ascii="Arial" w:eastAsia="Arial" w:hAnsi="Arial" w:cs="Arial"/>
          <w:sz w:val="24"/>
          <w:szCs w:val="24"/>
        </w:rPr>
        <w:t>provide purpose to a series of action plans. The organization would need to define the business definition and scope in horizontal and vertical terms. Horizontally, the organization ensures that the customer groups served, customer functions performed, and</w:t>
      </w:r>
      <w:r>
        <w:rPr>
          <w:rFonts w:ascii="Arial" w:eastAsia="Arial" w:hAnsi="Arial" w:cs="Arial"/>
          <w:sz w:val="24"/>
          <w:szCs w:val="24"/>
        </w:rPr>
        <w:t xml:space="preserve"> technology used meet these requirements. Vertically, the organization learns where and how the organization uses the value chain to gain competitive advantages. Abell also mentioned reinforcing organization positioning in terms of perceived value and deli</w:t>
      </w:r>
      <w:r>
        <w:rPr>
          <w:rFonts w:ascii="Arial" w:eastAsia="Arial" w:hAnsi="Arial" w:cs="Arial"/>
          <w:sz w:val="24"/>
          <w:szCs w:val="24"/>
        </w:rPr>
        <w:t>vered cost/price to help the organization compete in the future. Specific client segmentation would help develop focused strategic plans and products/services to gain a competitive edge. Finally, the organization will continue to build brand differentiatio</w:t>
      </w:r>
      <w:r>
        <w:rPr>
          <w:rFonts w:ascii="Arial" w:eastAsia="Arial" w:hAnsi="Arial" w:cs="Arial"/>
          <w:sz w:val="24"/>
          <w:szCs w:val="24"/>
        </w:rPr>
        <w:t xml:space="preserve">n by identifying unique selling propositions and listening to clients' feedback.  The second strategy is called the "Tomorrow Strategy" (namely strategy for the future), which means the organization should adopt a disruptive approach by resetting business </w:t>
      </w:r>
      <w:r>
        <w:rPr>
          <w:rFonts w:ascii="Arial" w:eastAsia="Arial" w:hAnsi="Arial" w:cs="Arial"/>
          <w:sz w:val="24"/>
          <w:szCs w:val="24"/>
        </w:rPr>
        <w:t>objectives, redefining the business definition, repositioning, resegmentation, refocus, and redifferentiation to outperform competitors, create customer value, and increase the effectiveness and efficiency of operations. However, to implement the "Tomorrow</w:t>
      </w:r>
      <w:r>
        <w:rPr>
          <w:rFonts w:ascii="Arial" w:eastAsia="Arial" w:hAnsi="Arial" w:cs="Arial"/>
          <w:sz w:val="24"/>
          <w:szCs w:val="24"/>
        </w:rPr>
        <w:t xml:space="preserve"> Strategy," organizations should consider three crucial instruments of change, i.e., transformational leaders who help navigate the team to the future, digital innovation to improve effectiveness and efficiency, and investment in both internal and external</w:t>
      </w:r>
      <w:r>
        <w:rPr>
          <w:rFonts w:ascii="Arial" w:eastAsia="Arial" w:hAnsi="Arial" w:cs="Arial"/>
          <w:sz w:val="24"/>
          <w:szCs w:val="24"/>
        </w:rPr>
        <w:t xml:space="preserve"> platforms for the organization to grow and expand.</w:t>
      </w:r>
    </w:p>
    <w:p w14:paraId="0000001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1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1E"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lastRenderedPageBreak/>
        <w:t>Many multinational companies engage external consultants to conduct strategic planning or new strategy formation to create "Blue Ocean Strategies" (Kim &amp; Mauborgne, 2005). This approach involves creating untapped market space and making competition irrelev</w:t>
      </w:r>
      <w:r>
        <w:rPr>
          <w:rFonts w:ascii="Arial" w:eastAsia="Arial" w:hAnsi="Arial" w:cs="Arial"/>
          <w:sz w:val="24"/>
          <w:szCs w:val="24"/>
        </w:rPr>
        <w:t>ant to pursue brand differentiation. The aim is to create and capture new customer demands at a low cost and align the whole organization or system with this purpose. Organizations often seek external consultant services due to a lack of in-house expertise</w:t>
      </w:r>
      <w:r>
        <w:rPr>
          <w:rFonts w:ascii="Arial" w:eastAsia="Arial" w:hAnsi="Arial" w:cs="Arial"/>
          <w:sz w:val="24"/>
          <w:szCs w:val="24"/>
        </w:rPr>
        <w:t>, knowledge, and staffing constraints.  However, despite the potential benefits of consultancy services, such as developing effective implementation plans, the outcomes can be uncertain and costly.  Negative staff responses can also arise during the implem</w:t>
      </w:r>
      <w:r>
        <w:rPr>
          <w:rFonts w:ascii="Arial" w:eastAsia="Arial" w:hAnsi="Arial" w:cs="Arial"/>
          <w:sz w:val="24"/>
          <w:szCs w:val="24"/>
        </w:rPr>
        <w:t>entation planning process, including fear of job loss, increased workload, and staff disengagement due to a lack of communication and information.  Therefore, the researcher intends to use a real business scenario to assess and evaluate a business model th</w:t>
      </w:r>
      <w:r>
        <w:rPr>
          <w:rFonts w:ascii="Arial" w:eastAsia="Arial" w:hAnsi="Arial" w:cs="Arial"/>
          <w:sz w:val="24"/>
          <w:szCs w:val="24"/>
        </w:rPr>
        <w:t>at an organization can learn, adopt, implement, and bring transformational business results.</w:t>
      </w:r>
    </w:p>
    <w:p w14:paraId="0000001F"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0" w14:textId="77777777" w:rsidR="006C712E" w:rsidRPr="00B4396A" w:rsidRDefault="00EF3881" w:rsidP="00B4396A">
      <w:pPr>
        <w:pStyle w:val="Heading1"/>
        <w:rPr>
          <w:sz w:val="24"/>
          <w:szCs w:val="24"/>
        </w:rPr>
      </w:pPr>
      <w:bookmarkStart w:id="2" w:name="_Toc141479853"/>
      <w:r w:rsidRPr="00B4396A">
        <w:rPr>
          <w:sz w:val="24"/>
          <w:szCs w:val="24"/>
        </w:rPr>
        <w:t>Research Aim</w:t>
      </w:r>
      <w:bookmarkEnd w:id="2"/>
      <w:r w:rsidRPr="00B4396A">
        <w:rPr>
          <w:sz w:val="24"/>
          <w:szCs w:val="24"/>
        </w:rPr>
        <w:t xml:space="preserve"> </w:t>
      </w:r>
    </w:p>
    <w:p w14:paraId="00000021"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This report aims to provide insights into why the Mass Transit Railway Corporation (MTRC) is regarded as the world's leading public transportation c</w:t>
      </w:r>
      <w:r>
        <w:rPr>
          <w:rFonts w:ascii="Arial" w:eastAsia="Arial" w:hAnsi="Arial" w:cs="Arial"/>
          <w:sz w:val="24"/>
          <w:szCs w:val="24"/>
        </w:rPr>
        <w:t>ompany in terms of operational efficiency and profitability. The MTRC is Hong Kong's largest franchised public transport operator, and it operates on a self-sustaining basis without requiring any government subsidies. This is made possible through its succ</w:t>
      </w:r>
      <w:r>
        <w:rPr>
          <w:rFonts w:ascii="Arial" w:eastAsia="Arial" w:hAnsi="Arial" w:cs="Arial"/>
          <w:sz w:val="24"/>
          <w:szCs w:val="24"/>
        </w:rPr>
        <w:t>essful implementation of the "Rail Plus Property" (R+P) development model, which has gained global recognition. For over three decades, the MTRC has overcome numerous challenges and continues to deliver significant financial and social benefits, such as fa</w:t>
      </w:r>
      <w:r>
        <w:rPr>
          <w:rFonts w:ascii="Arial" w:eastAsia="Arial" w:hAnsi="Arial" w:cs="Arial"/>
          <w:sz w:val="24"/>
          <w:szCs w:val="24"/>
        </w:rPr>
        <w:t>st and accessible transit, vibrant neighborhoods, opportunities for property developers and small businesses, and open space conversions.  To evaluate the effectiveness of the R+P development plan, this report will use Abell's three-dimensional business de</w:t>
      </w:r>
      <w:r>
        <w:rPr>
          <w:rFonts w:ascii="Arial" w:eastAsia="Arial" w:hAnsi="Arial" w:cs="Arial"/>
          <w:sz w:val="24"/>
          <w:szCs w:val="24"/>
        </w:rPr>
        <w:t>finition theory to analyze the MTRC's business model. According to Mun (2002), this theory is helpful in examining an organization through the customer's perspective and involves three main questions: who are the organization's customers, what are their ne</w:t>
      </w:r>
      <w:r>
        <w:rPr>
          <w:rFonts w:ascii="Arial" w:eastAsia="Arial" w:hAnsi="Arial" w:cs="Arial"/>
          <w:sz w:val="24"/>
          <w:szCs w:val="24"/>
        </w:rPr>
        <w:t>eds, and what techniques are used to meet or satisfy their needs. The researcher will apply this theory to the MTRC to evaluate the effectiveness of the “R+P” model.</w:t>
      </w:r>
    </w:p>
    <w:p w14:paraId="00000022"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3"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In addition, this report will adopt the 3 H (HEART, HEAD, HAND) holistic management frame</w:t>
      </w:r>
      <w:r>
        <w:rPr>
          <w:rFonts w:ascii="Arial" w:eastAsia="Arial" w:hAnsi="Arial" w:cs="Arial"/>
          <w:sz w:val="24"/>
          <w:szCs w:val="24"/>
        </w:rPr>
        <w:t>work (Yu, 2022) to explain the effectiveness and efficacy of the MTRC's business model implementation. This framework asserts that effective leadership (HEART - H1), effective strategies (HEAD - H2), and workplace competence (HAND - H3) are necessary but n</w:t>
      </w:r>
      <w:r>
        <w:rPr>
          <w:rFonts w:ascii="Arial" w:eastAsia="Arial" w:hAnsi="Arial" w:cs="Arial"/>
          <w:sz w:val="24"/>
          <w:szCs w:val="24"/>
        </w:rPr>
        <w:t>ot sufficient conditions for achieving effective and efficient organizational performance. The researcher will examine the leadership of the MTRC since the merger of KCRC and MTR in 2007 and how it influenced the strategic directions of the company.  Moreo</w:t>
      </w:r>
      <w:r>
        <w:rPr>
          <w:rFonts w:ascii="Arial" w:eastAsia="Arial" w:hAnsi="Arial" w:cs="Arial"/>
          <w:sz w:val="24"/>
          <w:szCs w:val="24"/>
        </w:rPr>
        <w:t>ver, the researcher will analyze how the MTRC engaged staff commitment and enhanced staff competence and capabilities in the long run. It is worth noting that the synergistic integration among the 3H domain factors does not happen by coincidence. Leaders m</w:t>
      </w:r>
      <w:r>
        <w:rPr>
          <w:rFonts w:ascii="Arial" w:eastAsia="Arial" w:hAnsi="Arial" w:cs="Arial"/>
          <w:sz w:val="24"/>
          <w:szCs w:val="24"/>
        </w:rPr>
        <w:t xml:space="preserve">ust make it happen through deliberate efforts in developing and cultivating a conducive culture, </w:t>
      </w:r>
      <w:r>
        <w:rPr>
          <w:rFonts w:ascii="Arial" w:eastAsia="Arial" w:hAnsi="Arial" w:cs="Arial"/>
          <w:sz w:val="24"/>
          <w:szCs w:val="24"/>
        </w:rPr>
        <w:lastRenderedPageBreak/>
        <w:t xml:space="preserve">ensuring strong and supportive communication, providing guiding policies and relevant code of practice, reinforcing practical staff performance evaluation and </w:t>
      </w:r>
      <w:r>
        <w:rPr>
          <w:rFonts w:ascii="Arial" w:eastAsia="Arial" w:hAnsi="Arial" w:cs="Arial"/>
          <w:sz w:val="24"/>
          <w:szCs w:val="24"/>
        </w:rPr>
        <w:t>remuneration systems, and other people engagement measures.  By examining these factors, this report aims to provide insights into how the MTRC has been able to successfully implement the R+P model and sustain its competitiveness, as well as continue to tr</w:t>
      </w:r>
      <w:r>
        <w:rPr>
          <w:rFonts w:ascii="Arial" w:eastAsia="Arial" w:hAnsi="Arial" w:cs="Arial"/>
          <w:sz w:val="24"/>
          <w:szCs w:val="24"/>
        </w:rPr>
        <w:t>ansform the organization's future.</w:t>
      </w:r>
    </w:p>
    <w:p w14:paraId="00000024"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5" w14:textId="77777777" w:rsidR="006C712E" w:rsidRPr="00B4396A" w:rsidRDefault="00EF3881" w:rsidP="00B4396A">
      <w:pPr>
        <w:pStyle w:val="Heading1"/>
        <w:rPr>
          <w:sz w:val="24"/>
          <w:szCs w:val="24"/>
        </w:rPr>
      </w:pPr>
      <w:bookmarkStart w:id="3" w:name="_Toc141479854"/>
      <w:r w:rsidRPr="00B4396A">
        <w:rPr>
          <w:sz w:val="24"/>
          <w:szCs w:val="24"/>
        </w:rPr>
        <w:t>Company Background of KCRC &amp; MTRCL</w:t>
      </w:r>
      <w:bookmarkEnd w:id="3"/>
    </w:p>
    <w:p w14:paraId="00000026"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7"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To properly evaluate the success of the "R+P" business model of MTRC, it is advisable to first examine the backgrounds of the two separate business entities, KCRC (Kowloon Canton Railw</w:t>
      </w:r>
      <w:r>
        <w:rPr>
          <w:rFonts w:ascii="Arial" w:eastAsia="Arial" w:hAnsi="Arial" w:cs="Arial"/>
          <w:sz w:val="24"/>
          <w:szCs w:val="24"/>
        </w:rPr>
        <w:t>ay Corporation) and MTRCL (Mass Transit Railways Corporation Limited) before their merger in 2007. Both MTR and KCRC adopted the same "Rail+Property" business model, in which they collaborated with property developers to build crucial residential and comme</w:t>
      </w:r>
      <w:r>
        <w:rPr>
          <w:rFonts w:ascii="Arial" w:eastAsia="Arial" w:hAnsi="Arial" w:cs="Arial"/>
          <w:sz w:val="24"/>
          <w:szCs w:val="24"/>
        </w:rPr>
        <w:t>rcial environments at stations and nearby areas. They believed that an urban rail network should provide a convenient living and commercial environment in which high-quality community ties can be developed, with residents creating patronage for the railway</w:t>
      </w:r>
      <w:r>
        <w:rPr>
          <w:rFonts w:ascii="Arial" w:eastAsia="Arial" w:hAnsi="Arial" w:cs="Arial"/>
          <w:sz w:val="24"/>
          <w:szCs w:val="24"/>
        </w:rPr>
        <w:t xml:space="preserve">s (MTR annual report, 2006). </w:t>
      </w:r>
    </w:p>
    <w:p w14:paraId="00000028"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9"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KCRC is a government-owned entity governed by the Kowloon-Canton Railway Corporation Ordinance (Chapter 372 of the Laws of Hong Kong) (KCRC business review 2022). KCRC provides a variety of transportation services, including </w:t>
      </w:r>
      <w:r>
        <w:rPr>
          <w:rFonts w:ascii="Arial" w:eastAsia="Arial" w:hAnsi="Arial" w:cs="Arial"/>
          <w:sz w:val="24"/>
          <w:szCs w:val="24"/>
        </w:rPr>
        <w:t>East Rail, West Rail, bus, Light Rail, intercity, and freight services. Different shareholders jointly own MTRC, and The Hong Kong SAR government owns 74.72% of the total shares. Both MTR and KCRC shared the same four business strategic pillars, which were</w:t>
      </w:r>
      <w:r>
        <w:rPr>
          <w:rFonts w:ascii="Arial" w:eastAsia="Arial" w:hAnsi="Arial" w:cs="Arial"/>
          <w:sz w:val="24"/>
          <w:szCs w:val="24"/>
        </w:rPr>
        <w:t>:</w:t>
      </w:r>
    </w:p>
    <w:p w14:paraId="0000002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2B" w14:textId="77777777" w:rsidR="006C712E" w:rsidRDefault="00EF3881">
      <w:pPr>
        <w:numPr>
          <w:ilvl w:val="0"/>
          <w:numId w:val="2"/>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Railway operations: aim to operate and provide the most efficient, safe, and reliable train services around Hong Kong.</w:t>
      </w:r>
    </w:p>
    <w:p w14:paraId="0000002C" w14:textId="77777777" w:rsidR="006C712E" w:rsidRDefault="00EF3881">
      <w:pPr>
        <w:numPr>
          <w:ilvl w:val="0"/>
          <w:numId w:val="2"/>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Station commercial and other businesses: aim to leverage railway assets and expertise into additional businesses such as renting stati</w:t>
      </w:r>
      <w:r>
        <w:rPr>
          <w:rFonts w:ascii="Arial" w:eastAsia="Arial" w:hAnsi="Arial" w:cs="Arial"/>
          <w:sz w:val="24"/>
          <w:szCs w:val="24"/>
        </w:rPr>
        <w:t>on retail units, advertising in trains and station platforms and concourse areas, telecommunication income, Octopus card, rail consulting, and other related facilities.</w:t>
      </w:r>
    </w:p>
    <w:p w14:paraId="0000002D" w14:textId="77777777" w:rsidR="006C712E" w:rsidRDefault="00EF3881">
      <w:pPr>
        <w:numPr>
          <w:ilvl w:val="0"/>
          <w:numId w:val="2"/>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Property business: aim to develop mainly residential properties, in conjunction with pr</w:t>
      </w:r>
      <w:r>
        <w:rPr>
          <w:rFonts w:ascii="Arial" w:eastAsia="Arial" w:hAnsi="Arial" w:cs="Arial"/>
          <w:sz w:val="24"/>
          <w:szCs w:val="24"/>
        </w:rPr>
        <w:t>operty developers. They own investment properties, primarily shopping centers and offices, and manage their properties and others.</w:t>
      </w:r>
    </w:p>
    <w:p w14:paraId="0000002E" w14:textId="77777777" w:rsidR="006C712E" w:rsidRDefault="00EF3881">
      <w:pPr>
        <w:numPr>
          <w:ilvl w:val="0"/>
          <w:numId w:val="2"/>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Overseas growth: aim to expand and grow overseas by investing in urban rail networks in Mainland. In particular, MTR was actively pursuing "asset-light" operating contracts in European markets that are deregulated or opening to new entrants.</w:t>
      </w:r>
    </w:p>
    <w:p w14:paraId="0000002F" w14:textId="77777777" w:rsidR="006C712E" w:rsidRDefault="006C712E">
      <w:pPr>
        <w:spacing w:line="240" w:lineRule="auto"/>
        <w:rPr>
          <w:rFonts w:ascii="Arial" w:eastAsia="Arial" w:hAnsi="Arial" w:cs="Arial"/>
          <w:sz w:val="24"/>
          <w:szCs w:val="24"/>
        </w:rPr>
      </w:pPr>
    </w:p>
    <w:p w14:paraId="00000030"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lastRenderedPageBreak/>
        <w:t xml:space="preserve">Railways are </w:t>
      </w:r>
      <w:r>
        <w:rPr>
          <w:rFonts w:ascii="Arial" w:eastAsia="Arial" w:hAnsi="Arial" w:cs="Arial"/>
          <w:sz w:val="24"/>
          <w:szCs w:val="24"/>
        </w:rPr>
        <w:t>complicated industries which require blending engineering excellence and skills, meeting business requirements and developing vital social functions.  In 2004, the Hong Kong government invited MTRCL and KCRC to discuss the Rail Merger.  According to Rothsc</w:t>
      </w:r>
      <w:r>
        <w:rPr>
          <w:rFonts w:ascii="Arial" w:eastAsia="Arial" w:hAnsi="Arial" w:cs="Arial"/>
          <w:sz w:val="24"/>
          <w:szCs w:val="24"/>
        </w:rPr>
        <w:t>hild &amp; Sons (2004), this merger proposal was favourable and was the right direction to take as it helped to balance the investable business proposition and shareholder value with the need for the Government to facilitate fare reductions in a deflationary e</w:t>
      </w:r>
      <w:r>
        <w:rPr>
          <w:rFonts w:ascii="Arial" w:eastAsia="Arial" w:hAnsi="Arial" w:cs="Arial"/>
          <w:sz w:val="24"/>
          <w:szCs w:val="24"/>
        </w:rPr>
        <w:t>nvironment.  One of the parameters set by the government for the merger discussion was the resolution of the interchange arrangement for the Shatin to Central Link (SCL) Scheme. Subsequently, MTRC and KCRC jointly developed an SCL implementation plan under</w:t>
      </w:r>
      <w:r>
        <w:rPr>
          <w:rFonts w:ascii="Arial" w:eastAsia="Arial" w:hAnsi="Arial" w:cs="Arial"/>
          <w:sz w:val="24"/>
          <w:szCs w:val="24"/>
        </w:rPr>
        <w:t xml:space="preserve"> the merger scheme and submitted a project proposal to the government in 2005, which was approved. The government stated that the SCL scheme proposes to locate a station at Kai Tak and an Exhibition Station at Wan Chai North. The implementation program for</w:t>
      </w:r>
      <w:r>
        <w:rPr>
          <w:rFonts w:ascii="Arial" w:eastAsia="Arial" w:hAnsi="Arial" w:cs="Arial"/>
          <w:sz w:val="24"/>
          <w:szCs w:val="24"/>
        </w:rPr>
        <w:t xml:space="preserve"> the SCL will be subject to the progress of the Kai Tak Planning review and development plan.   </w:t>
      </w:r>
    </w:p>
    <w:p w14:paraId="00000031"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2" w14:textId="77777777" w:rsidR="006C712E" w:rsidRPr="00B4396A" w:rsidRDefault="00EF3881" w:rsidP="00B4396A">
      <w:pPr>
        <w:pStyle w:val="Heading1"/>
        <w:rPr>
          <w:sz w:val="24"/>
          <w:szCs w:val="24"/>
        </w:rPr>
      </w:pPr>
      <w:bookmarkStart w:id="4" w:name="_Toc141479855"/>
      <w:r w:rsidRPr="00B4396A">
        <w:rPr>
          <w:sz w:val="24"/>
          <w:szCs w:val="24"/>
        </w:rPr>
        <w:t>The Merger</w:t>
      </w:r>
      <w:bookmarkEnd w:id="4"/>
      <w:r w:rsidRPr="00B4396A">
        <w:rPr>
          <w:sz w:val="24"/>
          <w:szCs w:val="24"/>
        </w:rPr>
        <w:t xml:space="preserve"> </w:t>
      </w:r>
    </w:p>
    <w:p w14:paraId="00000033"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4"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August 2007, the Hong Kong Government, the MTRCL (Mass Transit Railway Corporation Limited), and KCRC (Kowloon Canton Railway Corporation) sig</w:t>
      </w:r>
      <w:r>
        <w:rPr>
          <w:rFonts w:ascii="Arial" w:eastAsia="Arial" w:hAnsi="Arial" w:cs="Arial"/>
          <w:sz w:val="24"/>
          <w:szCs w:val="24"/>
        </w:rPr>
        <w:t>ned the transaction agreements to implement the Rail Merger. The transaction agreement is inter-conditional and subject to certain conditions, including the Company being required to obtain approval from Independent Shareholders (Merrill Lynch, 2007). This</w:t>
      </w:r>
      <w:r>
        <w:rPr>
          <w:rFonts w:ascii="Arial" w:eastAsia="Arial" w:hAnsi="Arial" w:cs="Arial"/>
          <w:sz w:val="24"/>
          <w:szCs w:val="24"/>
        </w:rPr>
        <w:t xml:space="preserve"> merger represents a remarkable milestone in MTRC's business development and made it the largest public transport operator in Hong Kong. With the merger According to Merrill Lynch (Asia Pacific) Limited (2007), there are four significant benefits of this m</w:t>
      </w:r>
      <w:r>
        <w:rPr>
          <w:rFonts w:ascii="Arial" w:eastAsia="Arial" w:hAnsi="Arial" w:cs="Arial"/>
          <w:sz w:val="24"/>
          <w:szCs w:val="24"/>
        </w:rPr>
        <w:t xml:space="preserve">erger which are the crucial successful factors in making MTRC one of the top world leaders in transport </w:t>
      </w:r>
      <w:proofErr w:type="gramStart"/>
      <w:r>
        <w:rPr>
          <w:rFonts w:ascii="Arial" w:eastAsia="Arial" w:hAnsi="Arial" w:cs="Arial"/>
          <w:sz w:val="24"/>
          <w:szCs w:val="24"/>
        </w:rPr>
        <w:t>operations :</w:t>
      </w:r>
      <w:proofErr w:type="gramEnd"/>
    </w:p>
    <w:p w14:paraId="00000035"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6" w14:textId="77777777" w:rsidR="006C712E" w:rsidRPr="00B4396A" w:rsidRDefault="00EF3881" w:rsidP="00B4396A">
      <w:pPr>
        <w:pStyle w:val="Heading2"/>
        <w:rPr>
          <w:sz w:val="24"/>
          <w:szCs w:val="24"/>
        </w:rPr>
      </w:pPr>
      <w:bookmarkStart w:id="5" w:name="_Toc141479856"/>
      <w:r w:rsidRPr="00B4396A">
        <w:rPr>
          <w:sz w:val="24"/>
          <w:szCs w:val="24"/>
        </w:rPr>
        <w:t>1.  Initiative to Enhance Value:</w:t>
      </w:r>
      <w:bookmarkEnd w:id="5"/>
    </w:p>
    <w:p w14:paraId="00000037"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merger between MTRC and KCRC aimed to enhance the company’s value.  Several initiatives were implemen</w:t>
      </w:r>
      <w:r>
        <w:rPr>
          <w:rFonts w:ascii="Arial" w:eastAsia="Arial" w:hAnsi="Arial" w:cs="Arial"/>
          <w:sz w:val="24"/>
          <w:szCs w:val="24"/>
        </w:rPr>
        <w:t xml:space="preserve">ted to achieve this, such as fare reduction, fare adjustment mechanism, variable annual payment, and estimated full synergies.  The fare reduction initiative aimed to make public transport more affordable for the general public and increase ridership </w:t>
      </w:r>
      <w:proofErr w:type="gramStart"/>
      <w:r>
        <w:rPr>
          <w:rFonts w:ascii="Arial" w:eastAsia="Arial" w:hAnsi="Arial" w:cs="Arial"/>
          <w:sz w:val="24"/>
          <w:szCs w:val="24"/>
        </w:rPr>
        <w:t>i.e.</w:t>
      </w:r>
      <w:proofErr w:type="gramEnd"/>
      <w:r>
        <w:rPr>
          <w:rFonts w:ascii="Arial" w:eastAsia="Arial" w:hAnsi="Arial" w:cs="Arial"/>
          <w:sz w:val="24"/>
          <w:szCs w:val="24"/>
        </w:rPr>
        <w:t xml:space="preserve"> </w:t>
      </w:r>
      <w:r>
        <w:rPr>
          <w:rFonts w:ascii="Arial" w:eastAsia="Arial" w:hAnsi="Arial" w:cs="Arial"/>
          <w:sz w:val="24"/>
          <w:szCs w:val="24"/>
        </w:rPr>
        <w:t>passengers would expect a consistent fare structure (Fitchratings Research, 2004).  The fare adjustment mechanism was designed to provide a predictable, fair, and transparent solution to fare adjustment, which would help to increase revenue and reduce fina</w:t>
      </w:r>
      <w:r>
        <w:rPr>
          <w:rFonts w:ascii="Arial" w:eastAsia="Arial" w:hAnsi="Arial" w:cs="Arial"/>
          <w:sz w:val="24"/>
          <w:szCs w:val="24"/>
        </w:rPr>
        <w:t>ncial risks.  The variable annual payment was aimed at reducing the financial burden of the merger by allowing payments to be made annually and adjusted based on the company’s economic performance.  Finally, the estimated full synergies were expected to be</w:t>
      </w:r>
      <w:r>
        <w:rPr>
          <w:rFonts w:ascii="Arial" w:eastAsia="Arial" w:hAnsi="Arial" w:cs="Arial"/>
          <w:sz w:val="24"/>
          <w:szCs w:val="24"/>
        </w:rPr>
        <w:t xml:space="preserve"> realized over the first three years after the merger date.  All these initiatives aim to improve the merged company's underlying earnings per share (EPS).</w:t>
      </w:r>
    </w:p>
    <w:p w14:paraId="00000038" w14:textId="35666755" w:rsidR="003E7A64" w:rsidRDefault="003E7A64">
      <w:pPr>
        <w:rPr>
          <w:rFonts w:ascii="Arial" w:eastAsia="Arial" w:hAnsi="Arial" w:cs="Arial"/>
          <w:sz w:val="24"/>
          <w:szCs w:val="24"/>
        </w:rPr>
      </w:pPr>
      <w:r>
        <w:rPr>
          <w:rFonts w:ascii="Arial" w:eastAsia="Arial" w:hAnsi="Arial" w:cs="Arial"/>
          <w:sz w:val="24"/>
          <w:szCs w:val="24"/>
        </w:rPr>
        <w:br w:type="page"/>
      </w:r>
    </w:p>
    <w:p w14:paraId="3496F92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9" w14:textId="77777777" w:rsidR="006C712E" w:rsidRPr="00B4396A" w:rsidRDefault="00EF3881" w:rsidP="00B4396A">
      <w:pPr>
        <w:pStyle w:val="Heading2"/>
        <w:rPr>
          <w:sz w:val="24"/>
          <w:szCs w:val="24"/>
        </w:rPr>
      </w:pPr>
      <w:bookmarkStart w:id="6" w:name="_Toc141479857"/>
      <w:r w:rsidRPr="00B4396A">
        <w:rPr>
          <w:sz w:val="24"/>
          <w:szCs w:val="24"/>
        </w:rPr>
        <w:t>2.  Benefits to Rail Business:</w:t>
      </w:r>
      <w:bookmarkEnd w:id="6"/>
    </w:p>
    <w:p w14:paraId="0000003A"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merger between MTRC and KCRC was expected to bring significant b</w:t>
      </w:r>
      <w:r>
        <w:rPr>
          <w:rFonts w:ascii="Arial" w:eastAsia="Arial" w:hAnsi="Arial" w:cs="Arial"/>
          <w:sz w:val="24"/>
          <w:szCs w:val="24"/>
        </w:rPr>
        <w:t>usiness growth through the expanded rail network.  The expanded rail network will increase the company’s franchised public transport market share from approximately 25% to 40%, significantly boosting revenue.  Further rail network expansions were also expe</w:t>
      </w:r>
      <w:r>
        <w:rPr>
          <w:rFonts w:ascii="Arial" w:eastAsia="Arial" w:hAnsi="Arial" w:cs="Arial"/>
          <w:sz w:val="24"/>
          <w:szCs w:val="24"/>
        </w:rPr>
        <w:t>cted in Kowloon Southern Link, Northern Link, Express Rail Link, and Shatin to Central Link.  The rail network expansion is expected to lead to a significant increase in non-fare rail-rated revenues.  The fare adjustment mechanism, introduced as part of th</w:t>
      </w:r>
      <w:r>
        <w:rPr>
          <w:rFonts w:ascii="Arial" w:eastAsia="Arial" w:hAnsi="Arial" w:cs="Arial"/>
          <w:sz w:val="24"/>
          <w:szCs w:val="24"/>
        </w:rPr>
        <w:t>e merger, is expected to offer a predictable, fair, and transparent solution to fare adjustment, which would help increase revenue and reduce financial risks.</w:t>
      </w:r>
    </w:p>
    <w:p w14:paraId="0000003B"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C" w14:textId="77777777" w:rsidR="006C712E" w:rsidRPr="00B4396A" w:rsidRDefault="00EF3881" w:rsidP="00B4396A">
      <w:pPr>
        <w:pStyle w:val="Heading2"/>
        <w:rPr>
          <w:sz w:val="24"/>
          <w:szCs w:val="24"/>
        </w:rPr>
      </w:pPr>
      <w:bookmarkStart w:id="7" w:name="_Toc141479858"/>
      <w:r w:rsidRPr="00B4396A">
        <w:rPr>
          <w:sz w:val="24"/>
          <w:szCs w:val="24"/>
        </w:rPr>
        <w:t>3.  Benefits to Property Business:</w:t>
      </w:r>
      <w:bookmarkEnd w:id="7"/>
    </w:p>
    <w:p w14:paraId="0000003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merger between MTRC and KCRC also included a property pac</w:t>
      </w:r>
      <w:r>
        <w:rPr>
          <w:rFonts w:ascii="Arial" w:eastAsia="Arial" w:hAnsi="Arial" w:cs="Arial"/>
          <w:sz w:val="24"/>
          <w:szCs w:val="24"/>
        </w:rPr>
        <w:t>kage, which included development rights, investment properties, and a property management business.  The MTRC development land bank was expected to increase by 54%, and the gross floor area for investment properties would increase by approximately 22%.  MT</w:t>
      </w:r>
      <w:r>
        <w:rPr>
          <w:rFonts w:ascii="Arial" w:eastAsia="Arial" w:hAnsi="Arial" w:cs="Arial"/>
          <w:sz w:val="24"/>
          <w:szCs w:val="24"/>
        </w:rPr>
        <w:t xml:space="preserve">RC will also become the development agent and receive a fee of 0.75% of the gross sales sold along the West Rail development sites and 10% of relevant profits accrued to the West Rail Subsidiaries. </w:t>
      </w:r>
    </w:p>
    <w:p w14:paraId="0000003E"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3F" w14:textId="77777777" w:rsidR="006C712E" w:rsidRPr="00B4396A" w:rsidRDefault="00EF3881" w:rsidP="00B4396A">
      <w:pPr>
        <w:pStyle w:val="Heading2"/>
        <w:rPr>
          <w:sz w:val="24"/>
          <w:szCs w:val="24"/>
        </w:rPr>
      </w:pPr>
      <w:bookmarkStart w:id="8" w:name="_Toc141479859"/>
      <w:r w:rsidRPr="00B4396A">
        <w:rPr>
          <w:sz w:val="24"/>
          <w:szCs w:val="24"/>
        </w:rPr>
        <w:t>4.  Benefits of the Rail Merger Transaction Structure:</w:t>
      </w:r>
      <w:bookmarkEnd w:id="8"/>
    </w:p>
    <w:p w14:paraId="00000040"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Under this agreement, they also introduced a service concession payment structure that grants MTRC access rights and the opportunity to operate the KCRC system without being accountable for KCRC’s exis</w:t>
      </w:r>
      <w:r>
        <w:rPr>
          <w:rFonts w:ascii="Arial" w:eastAsia="Arial" w:hAnsi="Arial" w:cs="Arial"/>
          <w:sz w:val="24"/>
          <w:szCs w:val="24"/>
        </w:rPr>
        <w:t>ting debts or paying a more significant upfront payment.  This payment structure allows MTRC to avoid making huge upfront payments, fund a substantial portion of the consideration from internal resources each year and debt, and provide the company with a s</w:t>
      </w:r>
      <w:r>
        <w:rPr>
          <w:rFonts w:ascii="Arial" w:eastAsia="Arial" w:hAnsi="Arial" w:cs="Arial"/>
          <w:sz w:val="24"/>
          <w:szCs w:val="24"/>
        </w:rPr>
        <w:t>afety net against risks associated with future adverse changes.  The adoption of the gearing ratio on a pro-forma basis, including fixed annualized payments and variable annual payments, will also help to reduce financial risks and provide flexibility in f</w:t>
      </w:r>
      <w:r>
        <w:rPr>
          <w:rFonts w:ascii="Arial" w:eastAsia="Arial" w:hAnsi="Arial" w:cs="Arial"/>
          <w:sz w:val="24"/>
          <w:szCs w:val="24"/>
        </w:rPr>
        <w:t xml:space="preserve">unding the merger.  This proposed transaction structure allows MTRC to operate KCRC system with reduced financial risks, which will provide a significant boost to revenue and profit.  </w:t>
      </w:r>
    </w:p>
    <w:p w14:paraId="00000041"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2"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merger between KCRC and MTR has proven to be a successful outcome,</w:t>
      </w:r>
      <w:r>
        <w:rPr>
          <w:rFonts w:ascii="Arial" w:eastAsia="Arial" w:hAnsi="Arial" w:cs="Arial"/>
          <w:sz w:val="24"/>
          <w:szCs w:val="24"/>
        </w:rPr>
        <w:t xml:space="preserve"> resulting from a comprehensive evaluation of the benefits for various stakeholders and with strong and specific governance guidelines.  With access to additional resources and assets from KCRC, MTR has expanded its business operations extensively. The rev</w:t>
      </w:r>
      <w:r>
        <w:rPr>
          <w:rFonts w:ascii="Arial" w:eastAsia="Arial" w:hAnsi="Arial" w:cs="Arial"/>
          <w:sz w:val="24"/>
          <w:szCs w:val="24"/>
        </w:rPr>
        <w:t>amped fare systems have been well-received by commuters, who consider MTR as their first choice in the transportation sector.  It is noteworthy that not only do local residents find MTR user-friendly, highly efficient, safe, and cost-effective, but tourist</w:t>
      </w:r>
      <w:r>
        <w:rPr>
          <w:rFonts w:ascii="Arial" w:eastAsia="Arial" w:hAnsi="Arial" w:cs="Arial"/>
          <w:sz w:val="24"/>
          <w:szCs w:val="24"/>
        </w:rPr>
        <w:t xml:space="preserve">s also share the same sentiment. Additionally, MTR's staff has received recognition for being the most helpful and caring among other </w:t>
      </w:r>
      <w:r>
        <w:rPr>
          <w:rFonts w:ascii="Arial" w:eastAsia="Arial" w:hAnsi="Arial" w:cs="Arial"/>
          <w:sz w:val="24"/>
          <w:szCs w:val="24"/>
        </w:rPr>
        <w:lastRenderedPageBreak/>
        <w:t>organizations (Pang, 2022).  Over the years, MTR has achieved outstanding business performance, winning numerous top-notch</w:t>
      </w:r>
      <w:r>
        <w:rPr>
          <w:rFonts w:ascii="Arial" w:eastAsia="Arial" w:hAnsi="Arial" w:cs="Arial"/>
          <w:sz w:val="24"/>
          <w:szCs w:val="24"/>
        </w:rPr>
        <w:t xml:space="preserve"> awards and reputable recognitions in public transportation, safety cultivation, market leadership, brand award in corporate responsibility, anti-pandemic measures, web accessibility, customer service, and market leadership in the shopping environment. The</w:t>
      </w:r>
      <w:r>
        <w:rPr>
          <w:rFonts w:ascii="Arial" w:eastAsia="Arial" w:hAnsi="Arial" w:cs="Arial"/>
          <w:sz w:val="24"/>
          <w:szCs w:val="24"/>
        </w:rPr>
        <w:t xml:space="preserve"> success of MTRC serves as a great example that can be studied and followed as a role model. </w:t>
      </w:r>
    </w:p>
    <w:p w14:paraId="00000043" w14:textId="77777777" w:rsidR="006C712E" w:rsidRDefault="006C712E">
      <w:pPr>
        <w:pBdr>
          <w:top w:val="nil"/>
          <w:left w:val="nil"/>
          <w:bottom w:val="nil"/>
          <w:right w:val="nil"/>
          <w:between w:val="nil"/>
        </w:pBdr>
        <w:spacing w:line="240" w:lineRule="auto"/>
        <w:rPr>
          <w:rFonts w:ascii="Arial" w:eastAsia="Arial" w:hAnsi="Arial" w:cs="Arial"/>
          <w:b/>
          <w:sz w:val="24"/>
          <w:szCs w:val="24"/>
        </w:rPr>
      </w:pPr>
    </w:p>
    <w:p w14:paraId="00000044" w14:textId="30ADD5DA"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This report will adopt Abell's three</w:t>
      </w:r>
      <w:r w:rsidR="003E7A64">
        <w:rPr>
          <w:rFonts w:ascii="Arial" w:eastAsia="Arial" w:hAnsi="Arial" w:cs="Arial"/>
          <w:sz w:val="24"/>
          <w:szCs w:val="24"/>
        </w:rPr>
        <w:t>-</w:t>
      </w:r>
      <w:r>
        <w:rPr>
          <w:rFonts w:ascii="Arial" w:eastAsia="Arial" w:hAnsi="Arial" w:cs="Arial"/>
          <w:sz w:val="24"/>
          <w:szCs w:val="24"/>
        </w:rPr>
        <w:t>dimensional business model to evaluate the success of the MTR “R+P” business model.  In Abell’s theory (1980), a business ca</w:t>
      </w:r>
      <w:r>
        <w:rPr>
          <w:rFonts w:ascii="Arial" w:eastAsia="Arial" w:hAnsi="Arial" w:cs="Arial"/>
          <w:sz w:val="24"/>
          <w:szCs w:val="24"/>
        </w:rPr>
        <w:t>n be defined by three dimensions: customer groups, which describe the segmentation of customers whom the organization wants to satisfy; customer functions, which address customer needs or what is being satisfied; and technologies, which represent the way t</w:t>
      </w:r>
      <w:r>
        <w:rPr>
          <w:rFonts w:ascii="Arial" w:eastAsia="Arial" w:hAnsi="Arial" w:cs="Arial"/>
          <w:sz w:val="24"/>
          <w:szCs w:val="24"/>
        </w:rPr>
        <w:t>he organization meets customer needs.  As shown below:  the Abell model (1980) depicted in the graph outlines three axes: abscissa, ordinate, and applications (customer group, customer needs, and technology, respectively). The x-axis (customer group) refer</w:t>
      </w:r>
      <w:r>
        <w:rPr>
          <w:rFonts w:ascii="Arial" w:eastAsia="Arial" w:hAnsi="Arial" w:cs="Arial"/>
          <w:sz w:val="24"/>
          <w:szCs w:val="24"/>
        </w:rPr>
        <w:t>s to the question "Who" are the customers of the organization, and it is vital to define customer segmentation and clustering. The y-axis refers to the question "What" are the customer needs, wants, and desires, and it aims to deepen the understanding of t</w:t>
      </w:r>
      <w:r>
        <w:rPr>
          <w:rFonts w:ascii="Arial" w:eastAsia="Arial" w:hAnsi="Arial" w:cs="Arial"/>
          <w:sz w:val="24"/>
          <w:szCs w:val="24"/>
        </w:rPr>
        <w:t xml:space="preserve">he customers' profile. The z-axis refers to the question "How" can the organization meet these customers' desires and wants. Therefore, adopting the right and user-friendly technology could help improve overall customer experience and efficiency.   </w:t>
      </w:r>
    </w:p>
    <w:p w14:paraId="00000045"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6" w14:textId="77777777" w:rsidR="006C712E" w:rsidRPr="00B4396A" w:rsidRDefault="00EF3881" w:rsidP="00B4396A">
      <w:pPr>
        <w:pStyle w:val="Heading1"/>
        <w:rPr>
          <w:sz w:val="24"/>
          <w:szCs w:val="24"/>
        </w:rPr>
      </w:pPr>
      <w:bookmarkStart w:id="9" w:name="_Toc141479860"/>
      <w:r w:rsidRPr="00B4396A">
        <w:rPr>
          <w:sz w:val="24"/>
          <w:szCs w:val="24"/>
        </w:rPr>
        <w:t>Abell</w:t>
      </w:r>
      <w:r w:rsidRPr="00B4396A">
        <w:rPr>
          <w:sz w:val="24"/>
          <w:szCs w:val="24"/>
        </w:rPr>
        <w:t>’s Three-dimensional Business Model</w:t>
      </w:r>
      <w:bookmarkEnd w:id="9"/>
      <w:r w:rsidRPr="00B4396A">
        <w:rPr>
          <w:sz w:val="24"/>
          <w:szCs w:val="24"/>
        </w:rPr>
        <w:t xml:space="preserve"> </w:t>
      </w:r>
    </w:p>
    <w:p w14:paraId="00000047"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8"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 researcher aims to define and categorize MTR customer segments, identify their needs, and evaluate how MTR meets those needs. Abell suggested that organizations adopt five crucial strategic elements to help executi</w:t>
      </w:r>
      <w:r>
        <w:rPr>
          <w:rFonts w:ascii="Arial" w:eastAsia="Arial" w:hAnsi="Arial" w:cs="Arial"/>
          <w:sz w:val="24"/>
          <w:szCs w:val="24"/>
        </w:rPr>
        <w:t xml:space="preserve">ves make decisions. These elements include defining strategic purpose and objectives, defining the business in both horizontal and vertical terms, positioning the business in terms of perceived value and delivered cost/price, using segmentation schemes to </w:t>
      </w:r>
      <w:r>
        <w:rPr>
          <w:rFonts w:ascii="Arial" w:eastAsia="Arial" w:hAnsi="Arial" w:cs="Arial"/>
          <w:sz w:val="24"/>
          <w:szCs w:val="24"/>
        </w:rPr>
        <w:t>divide the market, and claiming a specific unique selling proposition as the basis for differentiation from competitors.</w:t>
      </w:r>
    </w:p>
    <w:p w14:paraId="00000049"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A" w14:textId="479BEBD1" w:rsidR="006C712E" w:rsidRPr="00B4396A" w:rsidRDefault="00EF3881" w:rsidP="00B4396A">
      <w:pPr>
        <w:pStyle w:val="Heading2"/>
        <w:numPr>
          <w:ilvl w:val="0"/>
          <w:numId w:val="10"/>
        </w:numPr>
        <w:ind w:left="0" w:hanging="11"/>
        <w:rPr>
          <w:sz w:val="24"/>
          <w:szCs w:val="24"/>
        </w:rPr>
      </w:pPr>
      <w:bookmarkStart w:id="10" w:name="_Toc141479861"/>
      <w:r w:rsidRPr="00B4396A">
        <w:rPr>
          <w:sz w:val="24"/>
          <w:szCs w:val="24"/>
        </w:rPr>
        <w:t>Core Business Customers – Railway Operations</w:t>
      </w:r>
      <w:bookmarkEnd w:id="10"/>
    </w:p>
    <w:p w14:paraId="0000004B"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C" w14:textId="4EF53B68"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MTR is Hong Kong’s most prominent public transport operator, with 98 stations, 68 light rail stops, and a high-speed rail terminus in the city. Due to the pandemic, total patronage for all MTR rail and bus services decreased by 6.1% to 1,518.1 million in 2</w:t>
      </w:r>
      <w:r>
        <w:rPr>
          <w:rFonts w:ascii="Arial" w:eastAsia="Arial" w:hAnsi="Arial" w:cs="Arial"/>
          <w:sz w:val="24"/>
          <w:szCs w:val="24"/>
        </w:rPr>
        <w:t xml:space="preserve">022 compared to 1,616.3 million in 2021. The average weekday patronage is around 4.45 million. With the reopening of the cross-boundary station between Hong Kong and China and the relaxation of COVID restrictions and quarantine </w:t>
      </w:r>
      <w:r>
        <w:rPr>
          <w:rFonts w:ascii="Arial" w:eastAsia="Arial" w:hAnsi="Arial" w:cs="Arial"/>
          <w:sz w:val="24"/>
          <w:szCs w:val="24"/>
        </w:rPr>
        <w:lastRenderedPageBreak/>
        <w:t>requirements, the numbers ar</w:t>
      </w:r>
      <w:r>
        <w:rPr>
          <w:rFonts w:ascii="Arial" w:eastAsia="Arial" w:hAnsi="Arial" w:cs="Arial"/>
          <w:sz w:val="24"/>
          <w:szCs w:val="24"/>
        </w:rPr>
        <w:t>e expected to increase in 2023. MTR is committed to delivering world-class customer service and achieving quality, reliability, and safety service excellence. Since railway operations are the core business, it is essential to evaluate how MTR responds to t</w:t>
      </w:r>
      <w:r>
        <w:rPr>
          <w:rFonts w:ascii="Arial" w:eastAsia="Arial" w:hAnsi="Arial" w:cs="Arial"/>
          <w:sz w:val="24"/>
          <w:szCs w:val="24"/>
        </w:rPr>
        <w:t xml:space="preserve">he needs of core business customers and how they meet their daily needs. MTR </w:t>
      </w:r>
      <w:r>
        <w:rPr>
          <w:rFonts w:ascii="Arial" w:eastAsia="Arial" w:hAnsi="Arial" w:cs="Arial"/>
          <w:sz w:val="24"/>
          <w:szCs w:val="24"/>
        </w:rPr>
        <w:t>commuters can be categorized as regular, frequent, or occasional.</w:t>
      </w:r>
    </w:p>
    <w:p w14:paraId="0000004D"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4E"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b/>
          <w:sz w:val="24"/>
          <w:szCs w:val="24"/>
        </w:rPr>
        <w:t>Regular commuters</w:t>
      </w:r>
      <w:r>
        <w:rPr>
          <w:rFonts w:ascii="Arial" w:eastAsia="Arial" w:hAnsi="Arial" w:cs="Arial"/>
          <w:sz w:val="24"/>
          <w:szCs w:val="24"/>
        </w:rPr>
        <w:t>, which include MTR employees and third-party contracted workers, as well as local or cross-bo</w:t>
      </w:r>
      <w:r>
        <w:rPr>
          <w:rFonts w:ascii="Arial" w:eastAsia="Arial" w:hAnsi="Arial" w:cs="Arial"/>
          <w:sz w:val="24"/>
          <w:szCs w:val="24"/>
        </w:rPr>
        <w:t>rder school children, eligible students, parents, or domestic helpers who take children/students to and from school and daily after-school activities, nine-to-five office workers, manual workers, including morning and night shifts workers, courier delivery</w:t>
      </w:r>
      <w:r>
        <w:rPr>
          <w:rFonts w:ascii="Arial" w:eastAsia="Arial" w:hAnsi="Arial" w:cs="Arial"/>
          <w:sz w:val="24"/>
          <w:szCs w:val="24"/>
        </w:rPr>
        <w:t xml:space="preserve"> such as light &amp; small parcels express delivery, MTR station workers, engineers, cleaners, and station shop workers, travel on the MTR daily from Monday to Friday. For this customer segment, it is essential to provide efficient, punctual, and reliable trai</w:t>
      </w:r>
      <w:r>
        <w:rPr>
          <w:rFonts w:ascii="Arial" w:eastAsia="Arial" w:hAnsi="Arial" w:cs="Arial"/>
          <w:sz w:val="24"/>
          <w:szCs w:val="24"/>
        </w:rPr>
        <w:t>n service. MTR has achieved a world-class 99.9% rate in passenger journeys on-time and training service delivery for the heavy rail network over the past ten years (MTR Annual Report 2022). In 2022, MTR ran more than 1.64 million train trips on the heavy r</w:t>
      </w:r>
      <w:r>
        <w:rPr>
          <w:rFonts w:ascii="Arial" w:eastAsia="Arial" w:hAnsi="Arial" w:cs="Arial"/>
          <w:sz w:val="24"/>
          <w:szCs w:val="24"/>
        </w:rPr>
        <w:t>ail network and recorded only eight delays (those lasting 31 minutes or more and attributable to factors within the Company’s control) on the heavy rail network and no delays on the light rail. MTR takes delays seriously and conducts extensive investigatio</w:t>
      </w:r>
      <w:r>
        <w:rPr>
          <w:rFonts w:ascii="Arial" w:eastAsia="Arial" w:hAnsi="Arial" w:cs="Arial"/>
          <w:sz w:val="24"/>
          <w:szCs w:val="24"/>
        </w:rPr>
        <w:t>ns for each delay to identify the root cause, follows up with remedial action plans, and takes long-term resolutions to prevent similar incidents from happening again. For example, in December 2022, a Tseung Kwan O line train was stopped by a fault-protect</w:t>
      </w:r>
      <w:r>
        <w:rPr>
          <w:rFonts w:ascii="Arial" w:eastAsia="Arial" w:hAnsi="Arial" w:cs="Arial"/>
          <w:sz w:val="24"/>
          <w:szCs w:val="24"/>
        </w:rPr>
        <w:t>ion mechanism due to an abnormal gangway extension between the sixth and seventh train cars when approaching the next stop. MTR conducted an investigation, reported the root cause of the incident, and implemented preventive measures, demonstrating the comp</w:t>
      </w:r>
      <w:r>
        <w:rPr>
          <w:rFonts w:ascii="Arial" w:eastAsia="Arial" w:hAnsi="Arial" w:cs="Arial"/>
          <w:sz w:val="24"/>
          <w:szCs w:val="24"/>
        </w:rPr>
        <w:t>any's commitment to putting safety first as its top priority and ensuring reliable and efficient railway services.</w:t>
      </w:r>
    </w:p>
    <w:p w14:paraId="0000004F"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0"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Furthermore, providing affordable fares is crucial for regular commuters, especially during the pandemic when many industries were heavily a</w:t>
      </w:r>
      <w:r>
        <w:rPr>
          <w:rFonts w:ascii="Arial" w:eastAsia="Arial" w:hAnsi="Arial" w:cs="Arial"/>
          <w:sz w:val="24"/>
          <w:szCs w:val="24"/>
        </w:rPr>
        <w:t>ffected by Covid-19 travel restrictions, resulting in job redundancy due to business closure. It is noteworthy that MTR is committed to the Merger agreement regarding the "enhancement of value" condition and has fulfilled its promises. Under the fare adjus</w:t>
      </w:r>
      <w:r>
        <w:rPr>
          <w:rFonts w:ascii="Arial" w:eastAsia="Arial" w:hAnsi="Arial" w:cs="Arial"/>
          <w:sz w:val="24"/>
          <w:szCs w:val="24"/>
        </w:rPr>
        <w:t>tment mechanism (“FAM”), MTR announced no fare increase in 2022/23 for the third consecutive year (even under the severe impact of the pandemic). MTR also extended a special 3.8% fare rebate (0.8% on top of the committed 3.0% rebate under the FAM) until Ja</w:t>
      </w:r>
      <w:r>
        <w:rPr>
          <w:rFonts w:ascii="Arial" w:eastAsia="Arial" w:hAnsi="Arial" w:cs="Arial"/>
          <w:sz w:val="24"/>
          <w:szCs w:val="24"/>
        </w:rPr>
        <w:t>nuary 2023. In addition, MTR offered approximately HKD2.1 billion in fare concessions to commuters to reduce economic hardship during the pandemic and promote accessibility and inclusivity. These deliverables demonstrate the company's high commitment to fu</w:t>
      </w:r>
      <w:r>
        <w:rPr>
          <w:rFonts w:ascii="Arial" w:eastAsia="Arial" w:hAnsi="Arial" w:cs="Arial"/>
          <w:sz w:val="24"/>
          <w:szCs w:val="24"/>
        </w:rPr>
        <w:t>lfilling governance and corporate responsibility.</w:t>
      </w:r>
    </w:p>
    <w:p w14:paraId="00000051" w14:textId="77777777" w:rsidR="006C712E" w:rsidRDefault="006C712E">
      <w:pPr>
        <w:spacing w:line="240" w:lineRule="auto"/>
        <w:rPr>
          <w:rFonts w:ascii="Arial" w:eastAsia="Arial" w:hAnsi="Arial" w:cs="Arial"/>
          <w:sz w:val="24"/>
          <w:szCs w:val="24"/>
        </w:rPr>
      </w:pPr>
    </w:p>
    <w:p w14:paraId="00000052"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In addition, MTR makes deliberate efforts to continuously enhance the customer experience with a series of customer-focused initiatives, (Annual Report 2022) including:</w:t>
      </w:r>
    </w:p>
    <w:p w14:paraId="00000053"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lastRenderedPageBreak/>
        <w:t>Installing smart toilet facilities</w:t>
      </w:r>
    </w:p>
    <w:p w14:paraId="00000054"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Providing drinking water dispensers for passengers</w:t>
      </w:r>
    </w:p>
    <w:p w14:paraId="00000055"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I</w:t>
      </w:r>
      <w:r>
        <w:rPr>
          <w:rFonts w:ascii="Arial" w:eastAsia="Arial" w:hAnsi="Arial" w:cs="Arial"/>
          <w:sz w:val="24"/>
          <w:szCs w:val="24"/>
        </w:rPr>
        <w:t>nitiating a program to provide a wheelchair charging service at the station concourse to improve accessibility for people with disabilities and customers with special needs</w:t>
      </w:r>
    </w:p>
    <w:p w14:paraId="00000056"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Implementing a chiller replacement program to increase comfort for commuters at the</w:t>
      </w:r>
      <w:r>
        <w:rPr>
          <w:rFonts w:ascii="Arial" w:eastAsia="Arial" w:hAnsi="Arial" w:cs="Arial"/>
          <w:sz w:val="24"/>
          <w:szCs w:val="24"/>
        </w:rPr>
        <w:t xml:space="preserve"> stations</w:t>
      </w:r>
    </w:p>
    <w:p w14:paraId="00000057"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Introducing newly designed eight-car Q-trains to replace the old train</w:t>
      </w:r>
    </w:p>
    <w:p w14:paraId="00000058" w14:textId="77777777" w:rsidR="006C712E" w:rsidRDefault="00EF3881">
      <w:pPr>
        <w:numPr>
          <w:ilvl w:val="0"/>
          <w:numId w:val="7"/>
        </w:numPr>
        <w:spacing w:after="0" w:line="240" w:lineRule="auto"/>
        <w:rPr>
          <w:rFonts w:ascii="Arial" w:eastAsia="Arial" w:hAnsi="Arial" w:cs="Arial"/>
          <w:sz w:val="24"/>
          <w:szCs w:val="24"/>
        </w:rPr>
      </w:pPr>
      <w:r>
        <w:rPr>
          <w:rFonts w:ascii="Arial" w:eastAsia="Arial" w:hAnsi="Arial" w:cs="Arial"/>
          <w:sz w:val="24"/>
          <w:szCs w:val="24"/>
        </w:rPr>
        <w:t>Renewing and replacing signalling systems (namely Communication-based train control) to enhance overall carrying capacity and fulfil long-term operational needs</w:t>
      </w:r>
    </w:p>
    <w:p w14:paraId="00000059" w14:textId="77777777" w:rsidR="006C712E" w:rsidRDefault="00EF3881">
      <w:pPr>
        <w:numPr>
          <w:ilvl w:val="0"/>
          <w:numId w:val="7"/>
        </w:numPr>
        <w:spacing w:line="240" w:lineRule="auto"/>
        <w:rPr>
          <w:rFonts w:ascii="Arial" w:eastAsia="Arial" w:hAnsi="Arial" w:cs="Arial"/>
          <w:sz w:val="24"/>
          <w:szCs w:val="24"/>
        </w:rPr>
      </w:pPr>
      <w:r>
        <w:rPr>
          <w:rFonts w:ascii="Arial" w:eastAsia="Arial" w:hAnsi="Arial" w:cs="Arial"/>
          <w:sz w:val="24"/>
          <w:szCs w:val="24"/>
        </w:rPr>
        <w:t>Improving stat</w:t>
      </w:r>
      <w:r>
        <w:rPr>
          <w:rFonts w:ascii="Arial" w:eastAsia="Arial" w:hAnsi="Arial" w:cs="Arial"/>
          <w:sz w:val="24"/>
          <w:szCs w:val="24"/>
        </w:rPr>
        <w:t>ion cleanliness following the outbreak of COVID-19. Immediate actions were taken, such as increased frequency and comprehensiveness of cleaning routines, employing sanitizing robots to disinfect trains, applying technology to enhance the hygiene of public-</w:t>
      </w:r>
      <w:r>
        <w:rPr>
          <w:rFonts w:ascii="Arial" w:eastAsia="Arial" w:hAnsi="Arial" w:cs="Arial"/>
          <w:sz w:val="24"/>
          <w:szCs w:val="24"/>
        </w:rPr>
        <w:t>facing facilities further, reinforcing photocatalytic coating, and introducing touch-free buttons for passenger lifts. (Annual Report, 2020)</w:t>
      </w:r>
    </w:p>
    <w:p w14:paraId="0000005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B"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MTR also recognizes the importance of providing a seamless and convenient experience for all its customers, includ</w:t>
      </w:r>
      <w:r>
        <w:rPr>
          <w:rFonts w:ascii="Arial" w:eastAsia="Arial" w:hAnsi="Arial" w:cs="Arial"/>
          <w:sz w:val="24"/>
          <w:szCs w:val="24"/>
        </w:rPr>
        <w:t xml:space="preserve">ing frequent and occasional commuters.  </w:t>
      </w:r>
      <w:r>
        <w:rPr>
          <w:rFonts w:ascii="Arial" w:eastAsia="Arial" w:hAnsi="Arial" w:cs="Arial"/>
          <w:b/>
          <w:sz w:val="24"/>
          <w:szCs w:val="24"/>
        </w:rPr>
        <w:t>Frequent commuters</w:t>
      </w:r>
      <w:r>
        <w:rPr>
          <w:rFonts w:ascii="Arial" w:eastAsia="Arial" w:hAnsi="Arial" w:cs="Arial"/>
          <w:sz w:val="24"/>
          <w:szCs w:val="24"/>
        </w:rPr>
        <w:t xml:space="preserve"> would be those who travel on MTR on an irregular basis such as shoppers, retired people, people who travel cross-borders for business or leisure.  In 2019, MTR launched the "smart city, smart mobil</w:t>
      </w:r>
      <w:r>
        <w:rPr>
          <w:rFonts w:ascii="Arial" w:eastAsia="Arial" w:hAnsi="Arial" w:cs="Arial"/>
          <w:sz w:val="24"/>
          <w:szCs w:val="24"/>
        </w:rPr>
        <w:t xml:space="preserve">ity" campaign to enhance the customer experience by adopting new digital technologies such as the MTR Mobile APP and AI technology.  As part of this campaign, MTR developed and rolled out new features, including alighting reminders, estimated waiting time </w:t>
      </w:r>
      <w:r>
        <w:rPr>
          <w:rFonts w:ascii="Arial" w:eastAsia="Arial" w:hAnsi="Arial" w:cs="Arial"/>
          <w:sz w:val="24"/>
          <w:szCs w:val="24"/>
        </w:rPr>
        <w:t xml:space="preserve">indicators at the Admiralty station, and MTR bus real-time schedules.  To help </w:t>
      </w:r>
      <w:r>
        <w:rPr>
          <w:rFonts w:ascii="Arial" w:eastAsia="Arial" w:hAnsi="Arial" w:cs="Arial"/>
          <w:b/>
          <w:sz w:val="24"/>
          <w:szCs w:val="24"/>
        </w:rPr>
        <w:t xml:space="preserve">occasional commuters </w:t>
      </w:r>
      <w:r>
        <w:rPr>
          <w:rFonts w:ascii="Arial" w:eastAsia="Arial" w:hAnsi="Arial" w:cs="Arial"/>
          <w:sz w:val="24"/>
          <w:szCs w:val="24"/>
        </w:rPr>
        <w:t>such as tourists, disabled persons and customers with special needs, MTR designed and developed a trip planner app that provides point-to-point travel advic</w:t>
      </w:r>
      <w:r>
        <w:rPr>
          <w:rFonts w:ascii="Arial" w:eastAsia="Arial" w:hAnsi="Arial" w:cs="Arial"/>
          <w:sz w:val="24"/>
          <w:szCs w:val="24"/>
        </w:rPr>
        <w:t>e and connects public transport information. The company further revamped the user interface of the Airport Express function on the MTR mobile app. These technology applications improve the overall customer experience and contribute to operational efficien</w:t>
      </w:r>
      <w:r>
        <w:rPr>
          <w:rFonts w:ascii="Arial" w:eastAsia="Arial" w:hAnsi="Arial" w:cs="Arial"/>
          <w:sz w:val="24"/>
          <w:szCs w:val="24"/>
        </w:rPr>
        <w:t xml:space="preserve">cy.  According to the 2019 annual report, MTR applied technology to improve internal processes and maintenance by introducing chatbots and Robotic Process Automation (RPA) tools that reduce repetitive office tasks. The company also used big data and AI to </w:t>
      </w:r>
      <w:r>
        <w:rPr>
          <w:rFonts w:ascii="Arial" w:eastAsia="Arial" w:hAnsi="Arial" w:cs="Arial"/>
          <w:sz w:val="24"/>
          <w:szCs w:val="24"/>
        </w:rPr>
        <w:t>optimize planning and engineering works scheduling and video and image analytics to monitor the health of railway assets. Augmented reality and virtual reality were introduced in the training curriculum to simulate actual working conditions to improve lear</w:t>
      </w:r>
      <w:r>
        <w:rPr>
          <w:rFonts w:ascii="Arial" w:eastAsia="Arial" w:hAnsi="Arial" w:cs="Arial"/>
          <w:sz w:val="24"/>
          <w:szCs w:val="24"/>
        </w:rPr>
        <w:t>ning effectiveness.</w:t>
      </w:r>
    </w:p>
    <w:p w14:paraId="0000005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2021, MTR launched the "Go Smart Go Beyond" campaign to build a more connected, inclusive, and community-centric tomorrow through new technology and sustainable practices. The functionality of the MTR Mobile app was enhanced with ne</w:t>
      </w:r>
      <w:r>
        <w:rPr>
          <w:rFonts w:ascii="Arial" w:eastAsia="Arial" w:hAnsi="Arial" w:cs="Arial"/>
          <w:sz w:val="24"/>
          <w:szCs w:val="24"/>
        </w:rPr>
        <w:t>w features such as 1) "Next Bus" and "Book Taxi" functions, enabling commuters to see the estimated arrival times of public franchise buses and green minibuses in addition to MTR buses. The app also offers alternative transport choices if required for ease</w:t>
      </w:r>
      <w:r>
        <w:rPr>
          <w:rFonts w:ascii="Arial" w:eastAsia="Arial" w:hAnsi="Arial" w:cs="Arial"/>
          <w:sz w:val="24"/>
          <w:szCs w:val="24"/>
        </w:rPr>
        <w:t xml:space="preserve"> of mind and enables commuters to complete their trip planning and access information on a single app. 2) The "QR code ticketing" feature gives customers new </w:t>
      </w:r>
      <w:r>
        <w:rPr>
          <w:rFonts w:ascii="Arial" w:eastAsia="Arial" w:hAnsi="Arial" w:cs="Arial"/>
          <w:sz w:val="24"/>
          <w:szCs w:val="24"/>
        </w:rPr>
        <w:lastRenderedPageBreak/>
        <w:t>choices to use e-payment platforms at station entry and exit gates. 3) The "Train Car loading indi</w:t>
      </w:r>
      <w:r>
        <w:rPr>
          <w:rFonts w:ascii="Arial" w:eastAsia="Arial" w:hAnsi="Arial" w:cs="Arial"/>
          <w:sz w:val="24"/>
          <w:szCs w:val="24"/>
        </w:rPr>
        <w:t>cator" and "Waiting Time indicator" are enhancement features of the "Next train" function that provide commuters with more information on lines, extensions of coverage, and waiting time estimation.  Commuters have well-received all these continuously impro</w:t>
      </w:r>
      <w:r>
        <w:rPr>
          <w:rFonts w:ascii="Arial" w:eastAsia="Arial" w:hAnsi="Arial" w:cs="Arial"/>
          <w:sz w:val="24"/>
          <w:szCs w:val="24"/>
        </w:rPr>
        <w:t xml:space="preserve">ved and newly adopted technologies, making their journey on MTR and other public transport modes more innovative, effortless, efficient, and convenient. </w:t>
      </w:r>
    </w:p>
    <w:p w14:paraId="0000005E"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5F" w14:textId="77777777" w:rsidR="006C712E" w:rsidRPr="00B4396A" w:rsidRDefault="00EF3881" w:rsidP="00B4396A">
      <w:pPr>
        <w:pStyle w:val="Heading2"/>
        <w:rPr>
          <w:sz w:val="24"/>
          <w:szCs w:val="24"/>
        </w:rPr>
      </w:pPr>
      <w:bookmarkStart w:id="11" w:name="_Toc141479862"/>
      <w:r w:rsidRPr="00B4396A">
        <w:rPr>
          <w:sz w:val="24"/>
          <w:szCs w:val="24"/>
        </w:rPr>
        <w:t>2) Core related business - station commercial business</w:t>
      </w:r>
      <w:bookmarkEnd w:id="11"/>
      <w:r w:rsidRPr="00B4396A">
        <w:rPr>
          <w:sz w:val="24"/>
          <w:szCs w:val="24"/>
        </w:rPr>
        <w:t xml:space="preserve"> </w:t>
      </w:r>
    </w:p>
    <w:p w14:paraId="00000060"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1"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Station commercial business is a critical st</w:t>
      </w:r>
      <w:r>
        <w:rPr>
          <w:rFonts w:ascii="Arial" w:eastAsia="Arial" w:hAnsi="Arial" w:cs="Arial"/>
          <w:sz w:val="24"/>
          <w:szCs w:val="24"/>
        </w:rPr>
        <w:t>rategic pillar for MTR in building its core Hong Kong business and generating non-fare rail-related revenue. There are 1,726 MTR shops in Hong Kong, offering eight different categories of products and services, including banks, convenience goods, home livi</w:t>
      </w:r>
      <w:r>
        <w:rPr>
          <w:rFonts w:ascii="Arial" w:eastAsia="Arial" w:hAnsi="Arial" w:cs="Arial"/>
          <w:sz w:val="24"/>
          <w:szCs w:val="24"/>
        </w:rPr>
        <w:t>ng goods, health and beauty, fashion and accessories, food and beverage, and passenger services. Three duty-free shops are located at the border-crossing stations of Hung Hom, Lok Ma Chau, and Lo Wu. However, the duty-free shop at Hong Kong West Kowloon st</w:t>
      </w:r>
      <w:r>
        <w:rPr>
          <w:rFonts w:ascii="Arial" w:eastAsia="Arial" w:hAnsi="Arial" w:cs="Arial"/>
          <w:sz w:val="24"/>
          <w:szCs w:val="24"/>
        </w:rPr>
        <w:t>ation contributed significantly to revenue generation but was suspended due to the closure of boundary crossings. Self-service vending machines, such as ATMs and automatic photo booths, are also provided at many stations.</w:t>
      </w:r>
    </w:p>
    <w:p w14:paraId="00000062"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3"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Moreover, MTR has set up 51 exhib</w:t>
      </w:r>
      <w:r>
        <w:rPr>
          <w:rFonts w:ascii="Arial" w:eastAsia="Arial" w:hAnsi="Arial" w:cs="Arial"/>
          <w:sz w:val="24"/>
          <w:szCs w:val="24"/>
        </w:rPr>
        <w:t>ition venues along the urban line and Airport Express and another ten exhibition venues at the East Rail stations to enable businesses to display their product and service promotions. In 2019, MTR launched station renovation projects and a re-layout of shi</w:t>
      </w:r>
      <w:r>
        <w:rPr>
          <w:rFonts w:ascii="Arial" w:eastAsia="Arial" w:hAnsi="Arial" w:cs="Arial"/>
          <w:sz w:val="24"/>
          <w:szCs w:val="24"/>
        </w:rPr>
        <w:t>ps to create additional retail space. The company also launched a new retail business model of unmanned shops incorporating innovative technology.  To generate non-fare rail-related revenue, MTR has to ensure sufficient and continuous traffic flows of comm</w:t>
      </w:r>
      <w:r>
        <w:rPr>
          <w:rFonts w:ascii="Arial" w:eastAsia="Arial" w:hAnsi="Arial" w:cs="Arial"/>
          <w:sz w:val="24"/>
          <w:szCs w:val="24"/>
        </w:rPr>
        <w:t>uters or customers and monitor the attractiveness of the retail trade mix.  Rental reversion and the average occupancy rate in 2019 in the station kiosks were 3.7% and over 99%, respectively. However, after five waves of Covid-19, the station commercial bu</w:t>
      </w:r>
      <w:r>
        <w:rPr>
          <w:rFonts w:ascii="Arial" w:eastAsia="Arial" w:hAnsi="Arial" w:cs="Arial"/>
          <w:sz w:val="24"/>
          <w:szCs w:val="24"/>
        </w:rPr>
        <w:t>siness experienced negative rental reversions, resulting in a significant drop in total EBIT profit in the 2022 annual report. Rental reversion and the average occupancy rate for station kiosks were approximate -14.6% and 97.3%, respectively. MTR took prom</w:t>
      </w:r>
      <w:r>
        <w:rPr>
          <w:rFonts w:ascii="Arial" w:eastAsia="Arial" w:hAnsi="Arial" w:cs="Arial"/>
          <w:sz w:val="24"/>
          <w:szCs w:val="24"/>
        </w:rPr>
        <w:t>pt decisions and implemented several proactive remedial initiatives to retain and attract small and medium tenants during the pandemic (Annual Report, 2022</w:t>
      </w:r>
      <w:proofErr w:type="gramStart"/>
      <w:r>
        <w:rPr>
          <w:rFonts w:ascii="Arial" w:eastAsia="Arial" w:hAnsi="Arial" w:cs="Arial"/>
          <w:sz w:val="24"/>
          <w:szCs w:val="24"/>
        </w:rPr>
        <w:t>) :</w:t>
      </w:r>
      <w:proofErr w:type="gramEnd"/>
    </w:p>
    <w:p w14:paraId="00000064" w14:textId="77777777" w:rsidR="006C712E" w:rsidRDefault="00EF3881">
      <w:pPr>
        <w:numPr>
          <w:ilvl w:val="0"/>
          <w:numId w:val="5"/>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Offered flexible and shorter-term leases to make it attractive for small and medium businesses</w:t>
      </w:r>
    </w:p>
    <w:p w14:paraId="00000065" w14:textId="77777777" w:rsidR="006C712E" w:rsidRDefault="00EF3881">
      <w:pPr>
        <w:numPr>
          <w:ilvl w:val="0"/>
          <w:numId w:val="5"/>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Conducted several promotions via the MTR mobile app and MTR points loyalty program to encourage customer traffic to the station retail outlets</w:t>
      </w:r>
    </w:p>
    <w:p w14:paraId="00000066" w14:textId="77777777" w:rsidR="006C712E" w:rsidRDefault="00EF3881">
      <w:pPr>
        <w:numPr>
          <w:ilvl w:val="0"/>
          <w:numId w:val="5"/>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Offered rental con</w:t>
      </w:r>
      <w:r>
        <w:rPr>
          <w:rFonts w:ascii="Arial" w:eastAsia="Arial" w:hAnsi="Arial" w:cs="Arial"/>
          <w:sz w:val="24"/>
          <w:szCs w:val="24"/>
        </w:rPr>
        <w:t xml:space="preserve">cessions to the station shops </w:t>
      </w:r>
    </w:p>
    <w:p w14:paraId="00000067" w14:textId="77777777" w:rsidR="006C712E" w:rsidRDefault="00EF3881">
      <w:pPr>
        <w:numPr>
          <w:ilvl w:val="0"/>
          <w:numId w:val="5"/>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Reviewed and renewed the tenant mix to ensure the attractiveness of the retail offerings</w:t>
      </w:r>
    </w:p>
    <w:p w14:paraId="00000068" w14:textId="77777777" w:rsidR="006C712E" w:rsidRDefault="00EF3881">
      <w:pPr>
        <w:numPr>
          <w:ilvl w:val="0"/>
          <w:numId w:val="5"/>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lastRenderedPageBreak/>
        <w:t xml:space="preserve">Collaborated with Kerry-commerce to launch a new online-to offline retail solution that enabled the shoppers to place orders online and </w:t>
      </w:r>
      <w:r>
        <w:rPr>
          <w:rFonts w:ascii="Arial" w:eastAsia="Arial" w:hAnsi="Arial" w:cs="Arial"/>
          <w:sz w:val="24"/>
          <w:szCs w:val="24"/>
        </w:rPr>
        <w:t xml:space="preserve">collect the goods in a </w:t>
      </w:r>
      <w:proofErr w:type="gramStart"/>
      <w:r>
        <w:rPr>
          <w:rFonts w:ascii="Arial" w:eastAsia="Arial" w:hAnsi="Arial" w:cs="Arial"/>
          <w:sz w:val="24"/>
          <w:szCs w:val="24"/>
        </w:rPr>
        <w:t>digital lockers</w:t>
      </w:r>
      <w:proofErr w:type="gramEnd"/>
      <w:r>
        <w:rPr>
          <w:rFonts w:ascii="Arial" w:eastAsia="Arial" w:hAnsi="Arial" w:cs="Arial"/>
          <w:sz w:val="24"/>
          <w:szCs w:val="24"/>
        </w:rPr>
        <w:t xml:space="preserve"> at designated stations</w:t>
      </w:r>
    </w:p>
    <w:p w14:paraId="00000069"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After all these initiatives, the sales performance was yet to be observed and subject to patronage and turnover levels following the reopening of the cross borders in the early 2023.</w:t>
      </w:r>
    </w:p>
    <w:p w14:paraId="0000006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B"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Another dr</w:t>
      </w:r>
      <w:r>
        <w:rPr>
          <w:rFonts w:ascii="Arial" w:eastAsia="Arial" w:hAnsi="Arial" w:cs="Arial"/>
          <w:sz w:val="24"/>
          <w:szCs w:val="24"/>
        </w:rPr>
        <w:t>op in revenue generation came from advertising at the stations including concourse, platforms, escalator areas; and telecommunications due to travel restrictions during the pandemic. In 2022, MTR continued to apply technology to improve customer experience</w:t>
      </w:r>
      <w:r>
        <w:rPr>
          <w:rFonts w:ascii="Arial" w:eastAsia="Arial" w:hAnsi="Arial" w:cs="Arial"/>
          <w:sz w:val="24"/>
          <w:szCs w:val="24"/>
        </w:rPr>
        <w:t>, including transforming the media into digital advertising platforms and 5G services. The company also offered competitive sales packages, and designed flexible and targeted packages, including online and offline campaign offerings, to improve the attract</w:t>
      </w:r>
      <w:r>
        <w:rPr>
          <w:rFonts w:ascii="Arial" w:eastAsia="Arial" w:hAnsi="Arial" w:cs="Arial"/>
          <w:sz w:val="24"/>
          <w:szCs w:val="24"/>
        </w:rPr>
        <w:t>iveness of station advertisements. It is worth noting that 5G services were available at 75 stations by the end of 2022, and a new commercial 5G telecom system is also under discussion. In addition, MTR co-developed a data centre service in Tseung Kwan O t</w:t>
      </w:r>
      <w:r>
        <w:rPr>
          <w:rFonts w:ascii="Arial" w:eastAsia="Arial" w:hAnsi="Arial" w:cs="Arial"/>
          <w:sz w:val="24"/>
          <w:szCs w:val="24"/>
        </w:rPr>
        <w:t>hat has been in operation since February 2022.</w:t>
      </w:r>
    </w:p>
    <w:p w14:paraId="0000006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It is thought-provoking that MTR's corporate performance has reshaped and has continued to be shaped by the pandemic since 2020. The company made solid progress on several developments, especially innovation </w:t>
      </w:r>
      <w:r>
        <w:rPr>
          <w:rFonts w:ascii="Arial" w:eastAsia="Arial" w:hAnsi="Arial" w:cs="Arial"/>
          <w:sz w:val="24"/>
          <w:szCs w:val="24"/>
        </w:rPr>
        <w:t>and applied technology to enhance the customer experience. In 2021, MTR introduced and developed a new corporate strategy, "Transforming the Future," which provided a sense of purpose for the company to continue to seek growth and change for the better. It</w:t>
      </w:r>
      <w:r>
        <w:rPr>
          <w:rFonts w:ascii="Arial" w:eastAsia="Arial" w:hAnsi="Arial" w:cs="Arial"/>
          <w:sz w:val="24"/>
          <w:szCs w:val="24"/>
        </w:rPr>
        <w:t xml:space="preserve"> helped the company stay agile and competitive under such adverse environments. Internally, the company continues to improve its accountability of the company and enhance collaboration via the introduction of a matrix organization. </w:t>
      </w:r>
    </w:p>
    <w:p w14:paraId="0000006E"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6F" w14:textId="77777777" w:rsidR="006C712E" w:rsidRPr="00B4396A" w:rsidRDefault="00EF3881" w:rsidP="00B4396A">
      <w:pPr>
        <w:pStyle w:val="Heading2"/>
        <w:rPr>
          <w:sz w:val="24"/>
          <w:szCs w:val="24"/>
        </w:rPr>
      </w:pPr>
      <w:bookmarkStart w:id="12" w:name="_Toc141479863"/>
      <w:r w:rsidRPr="00B4396A">
        <w:rPr>
          <w:sz w:val="24"/>
          <w:szCs w:val="24"/>
        </w:rPr>
        <w:t>3). Property Business</w:t>
      </w:r>
      <w:bookmarkEnd w:id="12"/>
    </w:p>
    <w:p w14:paraId="00000070" w14:textId="77777777" w:rsidR="006C712E" w:rsidRDefault="006C712E">
      <w:pPr>
        <w:spacing w:line="240" w:lineRule="auto"/>
        <w:rPr>
          <w:rFonts w:ascii="Arial" w:eastAsia="Arial" w:hAnsi="Arial" w:cs="Arial"/>
          <w:sz w:val="24"/>
          <w:szCs w:val="24"/>
        </w:rPr>
      </w:pPr>
    </w:p>
    <w:p w14:paraId="00000071"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MTR has successfully implemented the R+P model in their operations, largely due to the support of the HKSAR government.  This model allows MTR to obtain development rights at stations or depots along the route, paying only a land pre</w:t>
      </w:r>
      <w:r>
        <w:rPr>
          <w:rFonts w:ascii="Arial" w:eastAsia="Arial" w:hAnsi="Arial" w:cs="Arial"/>
          <w:sz w:val="24"/>
          <w:szCs w:val="24"/>
        </w:rPr>
        <w:t>mium based on the market value of the land without the railway.  By partnering with private developers through a thorough tendering process, MTR builds new rail lines and properties, gaining a share of the developers' profits.  These profits can take the f</w:t>
      </w:r>
      <w:r>
        <w:rPr>
          <w:rFonts w:ascii="Arial" w:eastAsia="Arial" w:hAnsi="Arial" w:cs="Arial"/>
          <w:sz w:val="24"/>
          <w:szCs w:val="24"/>
        </w:rPr>
        <w:t>orm of a percentage of the total development profits, a fixed lump sum, or a portion of commercial properties built on the site.  By using this model, MTR can generate sufficient funds for new projects, operations, and maintenance, making it an essential r</w:t>
      </w:r>
      <w:r>
        <w:rPr>
          <w:rFonts w:ascii="Arial" w:eastAsia="Arial" w:hAnsi="Arial" w:cs="Arial"/>
          <w:sz w:val="24"/>
          <w:szCs w:val="24"/>
        </w:rPr>
        <w:t>evenue-generating engine and a significant source of railway financing.  Additionally, this model has become a crucial part of Hong Kong's urban development approach, as property developers, city planners, and government agencies work together to create hi</w:t>
      </w:r>
      <w:r>
        <w:rPr>
          <w:rFonts w:ascii="Arial" w:eastAsia="Arial" w:hAnsi="Arial" w:cs="Arial"/>
          <w:sz w:val="24"/>
          <w:szCs w:val="24"/>
        </w:rPr>
        <w:t xml:space="preserve">gh-quality and vibrant communities along every </w:t>
      </w:r>
      <w:r>
        <w:rPr>
          <w:rFonts w:ascii="Arial" w:eastAsia="Arial" w:hAnsi="Arial" w:cs="Arial"/>
          <w:sz w:val="24"/>
          <w:szCs w:val="24"/>
        </w:rPr>
        <w:lastRenderedPageBreak/>
        <w:t>new railway line or extension.  The financial advantages of the R+P model have been a proven success over time. The government collects proceeds from the land premium and profits instead of paying the construc</w:t>
      </w:r>
      <w:r>
        <w:rPr>
          <w:rFonts w:ascii="Arial" w:eastAsia="Arial" w:hAnsi="Arial" w:cs="Arial"/>
          <w:sz w:val="24"/>
          <w:szCs w:val="24"/>
        </w:rPr>
        <w:t>tion costs or taking on the risks of building a world-class railway.  It is also proven to be an efficient way to implement railway projects relatively faster because it does not have to compete for public funds (Leung, 2016).</w:t>
      </w:r>
    </w:p>
    <w:p w14:paraId="00000072" w14:textId="77777777" w:rsidR="006C712E" w:rsidRDefault="006C712E">
      <w:pPr>
        <w:spacing w:line="240" w:lineRule="auto"/>
        <w:rPr>
          <w:rFonts w:ascii="Arial" w:eastAsia="Arial" w:hAnsi="Arial" w:cs="Arial"/>
          <w:sz w:val="24"/>
          <w:szCs w:val="24"/>
        </w:rPr>
      </w:pPr>
    </w:p>
    <w:p w14:paraId="00000073"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The R+P model has also becom</w:t>
      </w:r>
      <w:r>
        <w:rPr>
          <w:rFonts w:ascii="Arial" w:eastAsia="Arial" w:hAnsi="Arial" w:cs="Arial"/>
          <w:sz w:val="24"/>
          <w:szCs w:val="24"/>
        </w:rPr>
        <w:t>e a unique characteristic of Hong Kong and a successful model for many other cities. One of its key features is the profit-sharing arrangement with developers, which includes partial ownership of the developments and on-site property rentals. This model ge</w:t>
      </w:r>
      <w:r>
        <w:rPr>
          <w:rFonts w:ascii="Arial" w:eastAsia="Arial" w:hAnsi="Arial" w:cs="Arial"/>
          <w:sz w:val="24"/>
          <w:szCs w:val="24"/>
        </w:rPr>
        <w:t>nerates good revenue, which can be used to fund the development of new rail lines. Given the city's dense population and scarce land, R+P developments are highly valuable and can generate decent profits. Hong Kong residents are accustomed to living close t</w:t>
      </w:r>
      <w:r>
        <w:rPr>
          <w:rFonts w:ascii="Arial" w:eastAsia="Arial" w:hAnsi="Arial" w:cs="Arial"/>
          <w:sz w:val="24"/>
          <w:szCs w:val="24"/>
        </w:rPr>
        <w:t>o transit facilities and appreciate the convenience and efficiency of the well-linked and connected railway and property developments.  In line with the government's prudent financial principles, MTR is accountable and responsible for ensuring that this bu</w:t>
      </w:r>
      <w:r>
        <w:rPr>
          <w:rFonts w:ascii="Arial" w:eastAsia="Arial" w:hAnsi="Arial" w:cs="Arial"/>
          <w:sz w:val="24"/>
          <w:szCs w:val="24"/>
        </w:rPr>
        <w:t xml:space="preserve">siness model is sustainable for developing the city along railway corridors. </w:t>
      </w:r>
    </w:p>
    <w:p w14:paraId="00000074" w14:textId="77777777" w:rsidR="006C712E" w:rsidRDefault="006C712E">
      <w:pPr>
        <w:spacing w:line="240" w:lineRule="auto"/>
        <w:rPr>
          <w:rFonts w:ascii="Arial" w:eastAsia="Arial" w:hAnsi="Arial" w:cs="Arial"/>
          <w:sz w:val="24"/>
          <w:szCs w:val="24"/>
        </w:rPr>
      </w:pPr>
    </w:p>
    <w:p w14:paraId="00000075"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Under the R+P model, MTR proactively encourages people to live, work, and shop near rail stations, reducing the community's dependence on private transport and increasing railwa</w:t>
      </w:r>
      <w:r>
        <w:rPr>
          <w:rFonts w:ascii="Arial" w:eastAsia="Arial" w:hAnsi="Arial" w:cs="Arial"/>
          <w:sz w:val="24"/>
          <w:szCs w:val="24"/>
        </w:rPr>
        <w:t>y patronage. As of 2022, the company has developed 14 above-station properties, including malls and residential and commercial spaces, throughout the city (Li et al., 2012). However, the pandemic has caused a drop in revenue from property rental, managemen</w:t>
      </w:r>
      <w:r>
        <w:rPr>
          <w:rFonts w:ascii="Arial" w:eastAsia="Arial" w:hAnsi="Arial" w:cs="Arial"/>
          <w:sz w:val="24"/>
          <w:szCs w:val="24"/>
        </w:rPr>
        <w:t>t, and mall traffic. To address this, MTR implemented tactical promotional programs through the MTR Mobile app and targeted marketing campaigns to attract more shoppers. Additionally, the company launched the "LOUDER" retail app program to help small brand</w:t>
      </w:r>
      <w:r>
        <w:rPr>
          <w:rFonts w:ascii="Arial" w:eastAsia="Arial" w:hAnsi="Arial" w:cs="Arial"/>
          <w:sz w:val="24"/>
          <w:szCs w:val="24"/>
        </w:rPr>
        <w:t>s enhance their online and offline presence and drive sustainable business growth in line with their new growth engine initiative (Annual Report, 2022).  On the other hand, MTR's revenue from property development showed positive growth, mainly driven by th</w:t>
      </w:r>
      <w:r>
        <w:rPr>
          <w:rFonts w:ascii="Arial" w:eastAsia="Arial" w:hAnsi="Arial" w:cs="Arial"/>
          <w:sz w:val="24"/>
          <w:szCs w:val="24"/>
        </w:rPr>
        <w:t>e pre-</w:t>
      </w:r>
      <w:proofErr w:type="gramStart"/>
      <w:r>
        <w:rPr>
          <w:rFonts w:ascii="Arial" w:eastAsia="Arial" w:hAnsi="Arial" w:cs="Arial"/>
          <w:sz w:val="24"/>
          <w:szCs w:val="24"/>
        </w:rPr>
        <w:t>sales</w:t>
      </w:r>
      <w:proofErr w:type="gramEnd"/>
      <w:r>
        <w:rPr>
          <w:rFonts w:ascii="Arial" w:eastAsia="Arial" w:hAnsi="Arial" w:cs="Arial"/>
          <w:sz w:val="24"/>
          <w:szCs w:val="24"/>
        </w:rPr>
        <w:t xml:space="preserve"> activities of Lohas Park Package 10, Southland, and La Marina. Furthermore, the company was awarded three new property development projects, demonstrating the strength of the R+P model as a foundation for the company's profits and compensating </w:t>
      </w:r>
      <w:r>
        <w:rPr>
          <w:rFonts w:ascii="Arial" w:eastAsia="Arial" w:hAnsi="Arial" w:cs="Arial"/>
          <w:sz w:val="24"/>
          <w:szCs w:val="24"/>
        </w:rPr>
        <w:t xml:space="preserve">for the loss of revenue from other sources (Annual Report, 2022).  </w:t>
      </w:r>
    </w:p>
    <w:p w14:paraId="00000076" w14:textId="77777777" w:rsidR="006C712E" w:rsidRDefault="006C712E">
      <w:pPr>
        <w:spacing w:line="240" w:lineRule="auto"/>
        <w:rPr>
          <w:rFonts w:ascii="Arial" w:eastAsia="Arial" w:hAnsi="Arial" w:cs="Arial"/>
          <w:sz w:val="24"/>
          <w:szCs w:val="24"/>
        </w:rPr>
      </w:pPr>
    </w:p>
    <w:p w14:paraId="00000077"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If MTR becomes more reliant on revenues generated through real estate activities, it could divert the company's attention from its core transport services business. For instance, the Shat</w:t>
      </w:r>
      <w:r>
        <w:rPr>
          <w:rFonts w:ascii="Arial" w:eastAsia="Arial" w:hAnsi="Arial" w:cs="Arial"/>
          <w:sz w:val="24"/>
          <w:szCs w:val="24"/>
        </w:rPr>
        <w:t xml:space="preserve">in-Central Link scandals emerged in May 2018 when media reports revealed that contractors had cut corners by shortening steel bars while expanding the platform at Hung Hom for the new rail link. As a result, new issues like water leakage and signal system </w:t>
      </w:r>
      <w:r>
        <w:rPr>
          <w:rFonts w:ascii="Arial" w:eastAsia="Arial" w:hAnsi="Arial" w:cs="Arial"/>
          <w:sz w:val="24"/>
          <w:szCs w:val="24"/>
        </w:rPr>
        <w:t>problems arose, disrupting the rail link work and causing delays in completion from 2018 to the first quarter of 2022. The scandals received overwhelming responses, including attention from the Hong Kong Chief Executive. The Hong Kong Secretary for Transpo</w:t>
      </w:r>
      <w:r>
        <w:rPr>
          <w:rFonts w:ascii="Arial" w:eastAsia="Arial" w:hAnsi="Arial" w:cs="Arial"/>
          <w:sz w:val="24"/>
          <w:szCs w:val="24"/>
        </w:rPr>
        <w:t xml:space="preserve">rt and Housing also expressed disappointment and sadness after an inquiry found "unacceptable" issues in the </w:t>
      </w:r>
      <w:r>
        <w:rPr>
          <w:rFonts w:ascii="Arial" w:eastAsia="Arial" w:hAnsi="Arial" w:cs="Arial"/>
          <w:sz w:val="24"/>
          <w:szCs w:val="24"/>
        </w:rPr>
        <w:lastRenderedPageBreak/>
        <w:t>construction and supervision of the project.  A commission of inquiry was appointed to investigate and provide a detailed report.  The 46-page repo</w:t>
      </w:r>
      <w:r>
        <w:rPr>
          <w:rFonts w:ascii="Arial" w:eastAsia="Arial" w:hAnsi="Arial" w:cs="Arial"/>
          <w:sz w:val="24"/>
          <w:szCs w:val="24"/>
        </w:rPr>
        <w:t>rt noted "unacceptable incidents of poor workmanship on site due to lack of supervision."  It also revealed that the management was below "reasonable competence."  The commission mentioned that the government should be held partially responsible for the sc</w:t>
      </w:r>
      <w:r>
        <w:rPr>
          <w:rFonts w:ascii="Arial" w:eastAsia="Arial" w:hAnsi="Arial" w:cs="Arial"/>
          <w:sz w:val="24"/>
          <w:szCs w:val="24"/>
        </w:rPr>
        <w:t>andals, as it is the ultimate approver and acceptor of completed works (Hong Kong Press, 2020).  Following the investigation and the unveiling of the report, the Hong Kong Executive announced that the panel had concluded that there was no need for any cons</w:t>
      </w:r>
      <w:r>
        <w:rPr>
          <w:rFonts w:ascii="Arial" w:eastAsia="Arial" w:hAnsi="Arial" w:cs="Arial"/>
          <w:sz w:val="24"/>
          <w:szCs w:val="24"/>
        </w:rPr>
        <w:t>olidation work and that construction work was safe to continue.  However, the contract works had not been executed per contract no. 1112 drawn up between the contractor and MTR in material respects.  In May 2022, MTR opened the East Rail line cross-harbour</w:t>
      </w:r>
      <w:r>
        <w:rPr>
          <w:rFonts w:ascii="Arial" w:eastAsia="Arial" w:hAnsi="Arial" w:cs="Arial"/>
          <w:sz w:val="24"/>
          <w:szCs w:val="24"/>
        </w:rPr>
        <w:t xml:space="preserve"> extension, marking the completion of the Hung Hom to Admiralty section of the Shatin to Central Link (Annual Report, 2022). With this new link, passengers are now enjoying shorter and faster travel times between Hong Kong Island, Kowloon, and New Territor</w:t>
      </w:r>
      <w:r>
        <w:rPr>
          <w:rFonts w:ascii="Arial" w:eastAsia="Arial" w:hAnsi="Arial" w:cs="Arial"/>
          <w:sz w:val="24"/>
          <w:szCs w:val="24"/>
        </w:rPr>
        <w:t xml:space="preserve">ies, which marks another milestone and achievement in the Hong Kong public transport infrastructure. </w:t>
      </w:r>
    </w:p>
    <w:p w14:paraId="00000078" w14:textId="77777777" w:rsidR="006C712E" w:rsidRDefault="006C712E">
      <w:pPr>
        <w:spacing w:line="240" w:lineRule="auto"/>
        <w:rPr>
          <w:rFonts w:ascii="Arial" w:eastAsia="Arial" w:hAnsi="Arial" w:cs="Arial"/>
          <w:sz w:val="24"/>
          <w:szCs w:val="24"/>
        </w:rPr>
      </w:pPr>
    </w:p>
    <w:p w14:paraId="00000079" w14:textId="77777777" w:rsidR="006C712E" w:rsidRPr="00B4396A" w:rsidRDefault="00EF3881" w:rsidP="00B4396A">
      <w:pPr>
        <w:pStyle w:val="Heading2"/>
        <w:rPr>
          <w:sz w:val="24"/>
          <w:szCs w:val="24"/>
        </w:rPr>
      </w:pPr>
      <w:bookmarkStart w:id="13" w:name="_Toc141479864"/>
      <w:r w:rsidRPr="00B4396A">
        <w:rPr>
          <w:sz w:val="24"/>
          <w:szCs w:val="24"/>
        </w:rPr>
        <w:t>4) Other business - international business</w:t>
      </w:r>
      <w:bookmarkEnd w:id="13"/>
      <w:r w:rsidRPr="00B4396A">
        <w:rPr>
          <w:sz w:val="24"/>
          <w:szCs w:val="24"/>
        </w:rPr>
        <w:t xml:space="preserve">  </w:t>
      </w:r>
    </w:p>
    <w:p w14:paraId="0000007A"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7B"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Since the R+P model has been successfully implemented in Hong Kong, MTR seeks to expand its business in Mai</w:t>
      </w:r>
      <w:r>
        <w:rPr>
          <w:rFonts w:ascii="Arial" w:eastAsia="Arial" w:hAnsi="Arial" w:cs="Arial"/>
          <w:sz w:val="24"/>
          <w:szCs w:val="24"/>
        </w:rPr>
        <w:t>nland China and overseas. The Chinese government has recently encouraged private investors to invest in rail transit projects through various franchising programs, such as build-operate-transfer (BOT) contracts. Under the BOT contract, private investors ca</w:t>
      </w:r>
      <w:r>
        <w:rPr>
          <w:rFonts w:ascii="Arial" w:eastAsia="Arial" w:hAnsi="Arial" w:cs="Arial"/>
          <w:sz w:val="24"/>
          <w:szCs w:val="24"/>
        </w:rPr>
        <w:t>n negotiate with the government to finance, design, construct, and operate transportation infrastructure for a certain period. After the agreed period, the infrastructure is transferred to the government (Li et al. 2019).  For instance, Phase II of the She</w:t>
      </w:r>
      <w:r>
        <w:rPr>
          <w:rFonts w:ascii="Arial" w:eastAsia="Arial" w:hAnsi="Arial" w:cs="Arial"/>
          <w:sz w:val="24"/>
          <w:szCs w:val="24"/>
        </w:rPr>
        <w:t>nzhen Metro Line 4 project connects Shenzhen’s Futian district with Hong Kong’s Lok Ma Chau district. Under the BOT contract, MTR can negotiate with the Shenzhen municipal government to determine the contract period and the railway line parameters, such as</w:t>
      </w:r>
      <w:r>
        <w:rPr>
          <w:rFonts w:ascii="Arial" w:eastAsia="Arial" w:hAnsi="Arial" w:cs="Arial"/>
          <w:sz w:val="24"/>
          <w:szCs w:val="24"/>
        </w:rPr>
        <w:t xml:space="preserve"> rail line length, number, and locations of the stations. MTR has a 30-year contract for designing, constructing, and operating the rail line at its own expense. Once the 30 years are over, MTR will transfer the rail line to the Shenzhen municipal governme</w:t>
      </w:r>
      <w:r>
        <w:rPr>
          <w:rFonts w:ascii="Arial" w:eastAsia="Arial" w:hAnsi="Arial" w:cs="Arial"/>
          <w:sz w:val="24"/>
          <w:szCs w:val="24"/>
        </w:rPr>
        <w:t xml:space="preserve">nt for free. This type of project has brought positive results and generated reasonable profits, implying possible adoption of the BOT-contract R+P model in other Chinese cities, such as Beijing, Hangzhou, and Macao. MTR has also adopted this R+P model in </w:t>
      </w:r>
      <w:r>
        <w:rPr>
          <w:rFonts w:ascii="Arial" w:eastAsia="Arial" w:hAnsi="Arial" w:cs="Arial"/>
          <w:sz w:val="24"/>
          <w:szCs w:val="24"/>
        </w:rPr>
        <w:t>other overseas countries, such as the UK, Sweden, and Australia, where the projects operate steadily and continue providing stable train services. Additionally, the company develops and manages several residential and commercial properties in Mainland Chin</w:t>
      </w:r>
      <w:r>
        <w:rPr>
          <w:rFonts w:ascii="Arial" w:eastAsia="Arial" w:hAnsi="Arial" w:cs="Arial"/>
          <w:sz w:val="24"/>
          <w:szCs w:val="24"/>
        </w:rPr>
        <w:t>a, namely, TIA Mall in Shenzhen and Ginza Mall in Beijing (Annual Report, 2022).</w:t>
      </w:r>
    </w:p>
    <w:p w14:paraId="0000007C"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7D"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However, international business has not delivered promising profits as in Hong Kong. In 2022, the railway, property rental and management subsidiaries and other joint venture</w:t>
      </w:r>
      <w:r>
        <w:rPr>
          <w:rFonts w:ascii="Arial" w:eastAsia="Arial" w:hAnsi="Arial" w:cs="Arial"/>
          <w:sz w:val="24"/>
          <w:szCs w:val="24"/>
        </w:rPr>
        <w:t xml:space="preserve">s outside of Hong Kong showed negative profit growth. It is noted that </w:t>
      </w:r>
      <w:r>
        <w:rPr>
          <w:rFonts w:ascii="Arial" w:eastAsia="Arial" w:hAnsi="Arial" w:cs="Arial"/>
          <w:sz w:val="24"/>
          <w:szCs w:val="24"/>
        </w:rPr>
        <w:lastRenderedPageBreak/>
        <w:t>the success of this model may not be applicable to other countries due to the uniqueness of Hong Kong (Verougstrate &amp; Zeng, 2014</w:t>
      </w:r>
      <w:proofErr w:type="gramStart"/>
      <w:r>
        <w:rPr>
          <w:rFonts w:ascii="Arial" w:eastAsia="Arial" w:hAnsi="Arial" w:cs="Arial"/>
          <w:sz w:val="24"/>
          <w:szCs w:val="24"/>
        </w:rPr>
        <w:t>) :</w:t>
      </w:r>
      <w:proofErr w:type="gramEnd"/>
    </w:p>
    <w:p w14:paraId="0000007E"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The scarcity of land in Hong Kong has significantly c</w:t>
      </w:r>
      <w:r>
        <w:rPr>
          <w:rFonts w:ascii="Arial" w:eastAsia="Arial" w:hAnsi="Arial" w:cs="Arial"/>
          <w:sz w:val="24"/>
          <w:szCs w:val="24"/>
        </w:rPr>
        <w:t>ontributed to the success of the R+P model. Despite high costs of developing property above a railway station, private developers are attracted due to limited alternatives.</w:t>
      </w:r>
    </w:p>
    <w:p w14:paraId="0000007F"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Properties have been skyrocketing and making most of the R+P model profitable.</w:t>
      </w:r>
    </w:p>
    <w:p w14:paraId="00000080"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The volume of commuters and </w:t>
      </w:r>
      <w:proofErr w:type="gramStart"/>
      <w:r>
        <w:rPr>
          <w:rFonts w:ascii="Arial" w:eastAsia="Arial" w:hAnsi="Arial" w:cs="Arial"/>
          <w:sz w:val="24"/>
          <w:szCs w:val="24"/>
        </w:rPr>
        <w:t>shoppers</w:t>
      </w:r>
      <w:proofErr w:type="gramEnd"/>
      <w:r>
        <w:rPr>
          <w:rFonts w:ascii="Arial" w:eastAsia="Arial" w:hAnsi="Arial" w:cs="Arial"/>
          <w:sz w:val="24"/>
          <w:szCs w:val="24"/>
        </w:rPr>
        <w:t xml:space="preserve"> traffic is also a crucial contributing factor to the success of the R+P model. Unlike Hong Kong, other cities may not have sufficient traffic volume to generate adequate revenue.</w:t>
      </w:r>
    </w:p>
    <w:p w14:paraId="00000081" w14:textId="77777777" w:rsidR="006C712E" w:rsidRDefault="00EF3881">
      <w:pPr>
        <w:numPr>
          <w:ilvl w:val="0"/>
          <w:numId w:val="6"/>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The relationship with the authorities or</w:t>
      </w:r>
      <w:r>
        <w:rPr>
          <w:rFonts w:ascii="Arial" w:eastAsia="Arial" w:hAnsi="Arial" w:cs="Arial"/>
          <w:sz w:val="24"/>
          <w:szCs w:val="24"/>
        </w:rPr>
        <w:t xml:space="preserve"> government is essential and influential in facilitating smooth and successful planning, constructing and operating rail line services, especially in addressing and resolving technical issues.</w:t>
      </w:r>
    </w:p>
    <w:p w14:paraId="00000082" w14:textId="77777777" w:rsidR="006C712E" w:rsidRDefault="00EF3881">
      <w:pPr>
        <w:numPr>
          <w:ilvl w:val="0"/>
          <w:numId w:val="6"/>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MTR has developed solid internal expertise in property manageme</w:t>
      </w:r>
      <w:r>
        <w:rPr>
          <w:rFonts w:ascii="Arial" w:eastAsia="Arial" w:hAnsi="Arial" w:cs="Arial"/>
          <w:sz w:val="24"/>
          <w:szCs w:val="24"/>
        </w:rPr>
        <w:t>nt and development, which can be challenging to replicate in one-off projects or with limited market potential and timeframe.</w:t>
      </w:r>
    </w:p>
    <w:p w14:paraId="00000083"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4"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It is worth noting that the Chinese government has committed to “copying” and developing this R+P model along the coastal cities.</w:t>
      </w:r>
      <w:r>
        <w:rPr>
          <w:rFonts w:ascii="Arial" w:eastAsia="Arial" w:hAnsi="Arial" w:cs="Arial"/>
          <w:sz w:val="24"/>
          <w:szCs w:val="24"/>
        </w:rPr>
        <w:t xml:space="preserve"> The Chinese government is planning, expanding, and upgrading urban railway systems and building new ones in fifteen other cities. This commitment will help boost MTR Hong Kong’s revenue growth and offer tremendous opportunities to create sustainable urban</w:t>
      </w:r>
      <w:r>
        <w:rPr>
          <w:rFonts w:ascii="Arial" w:eastAsia="Arial" w:hAnsi="Arial" w:cs="Arial"/>
          <w:sz w:val="24"/>
          <w:szCs w:val="24"/>
        </w:rPr>
        <w:t xml:space="preserve"> infrastructure by bundling land development and railway investments. </w:t>
      </w:r>
    </w:p>
    <w:p w14:paraId="00000085"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6" w14:textId="77777777" w:rsidR="006C712E" w:rsidRPr="00B4396A" w:rsidRDefault="00EF3881" w:rsidP="00B4396A">
      <w:pPr>
        <w:pStyle w:val="Heading1"/>
        <w:rPr>
          <w:sz w:val="24"/>
          <w:szCs w:val="24"/>
        </w:rPr>
      </w:pPr>
      <w:bookmarkStart w:id="14" w:name="_Toc141479865"/>
      <w:r w:rsidRPr="00B4396A">
        <w:rPr>
          <w:sz w:val="24"/>
          <w:szCs w:val="24"/>
        </w:rPr>
        <w:t>3H framework</w:t>
      </w:r>
      <w:bookmarkEnd w:id="14"/>
      <w:r w:rsidRPr="00B4396A">
        <w:rPr>
          <w:sz w:val="24"/>
          <w:szCs w:val="24"/>
        </w:rPr>
        <w:t xml:space="preserve"> </w:t>
      </w:r>
    </w:p>
    <w:p w14:paraId="00000087"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8"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Yu (2022) states that the 3H holistic management framework effectively manages people and organisations.  "3H" is a metaphorical expression of HEART, HEAD, and HAND, representing the strategic alignment and integration of three key domains: purpose, people</w:t>
      </w:r>
      <w:r>
        <w:rPr>
          <w:rFonts w:ascii="Arial" w:eastAsia="Arial" w:hAnsi="Arial" w:cs="Arial"/>
          <w:sz w:val="24"/>
          <w:szCs w:val="24"/>
        </w:rPr>
        <w:t>, culture, strategy, organisation structure, functions, systems, and competence.  Yu mentioned that a holistic management solution involves leaders using influential and collaborative ways to engage their peers and employees to deploy the 3H domains effect</w:t>
      </w:r>
      <w:r>
        <w:rPr>
          <w:rFonts w:ascii="Arial" w:eastAsia="Arial" w:hAnsi="Arial" w:cs="Arial"/>
          <w:sz w:val="24"/>
          <w:szCs w:val="24"/>
        </w:rPr>
        <w:t>ively and efficiently manage the implementation process to deliver and sustain the best performance of an organisation.  To achieve the synthesis among the three domains required to meet the efficient and necessary conditions for effective and efficient or</w:t>
      </w:r>
      <w:r>
        <w:rPr>
          <w:rFonts w:ascii="Arial" w:eastAsia="Arial" w:hAnsi="Arial" w:cs="Arial"/>
          <w:sz w:val="24"/>
          <w:szCs w:val="24"/>
        </w:rPr>
        <w:t xml:space="preserve">ganisational performance, MTR R+P model has manifested the </w:t>
      </w:r>
      <w:r>
        <w:rPr>
          <w:rFonts w:ascii="Arial" w:eastAsia="Arial" w:hAnsi="Arial" w:cs="Arial"/>
          <w:b/>
          <w:sz w:val="24"/>
          <w:szCs w:val="24"/>
        </w:rPr>
        <w:t>HEAD approach</w:t>
      </w:r>
      <w:r>
        <w:rPr>
          <w:rFonts w:ascii="Arial" w:eastAsia="Arial" w:hAnsi="Arial" w:cs="Arial"/>
          <w:sz w:val="24"/>
          <w:szCs w:val="24"/>
        </w:rPr>
        <w:t xml:space="preserve"> successfully through CRIAQES (Yu, 2019):</w:t>
      </w:r>
    </w:p>
    <w:p w14:paraId="00000089"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8A"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Customer responsiveness in addressing their needs and preferences such as train station cleanliness, station toilets and drinking water installation </w:t>
      </w:r>
    </w:p>
    <w:p w14:paraId="0000008B"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Innovation in delivering operation efficiency and offering new technology solutions to improve efficiency </w:t>
      </w:r>
      <w:proofErr w:type="gramStart"/>
      <w:r>
        <w:rPr>
          <w:rFonts w:ascii="Arial" w:eastAsia="Arial" w:hAnsi="Arial" w:cs="Arial"/>
          <w:sz w:val="24"/>
          <w:szCs w:val="24"/>
        </w:rPr>
        <w:t>e.g.</w:t>
      </w:r>
      <w:proofErr w:type="gramEnd"/>
      <w:r>
        <w:rPr>
          <w:rFonts w:ascii="Arial" w:eastAsia="Arial" w:hAnsi="Arial" w:cs="Arial"/>
          <w:sz w:val="24"/>
          <w:szCs w:val="24"/>
        </w:rPr>
        <w:t xml:space="preserve"> MTR Mobile app</w:t>
      </w:r>
    </w:p>
    <w:p w14:paraId="0000008C"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 xml:space="preserve">Agility in handling challenges and being flexible in managing crises </w:t>
      </w:r>
      <w:proofErr w:type="gramStart"/>
      <w:r>
        <w:rPr>
          <w:rFonts w:ascii="Arial" w:eastAsia="Arial" w:hAnsi="Arial" w:cs="Arial"/>
          <w:sz w:val="24"/>
          <w:szCs w:val="24"/>
        </w:rPr>
        <w:t>i.e.</w:t>
      </w:r>
      <w:proofErr w:type="gramEnd"/>
      <w:r>
        <w:rPr>
          <w:rFonts w:ascii="Arial" w:eastAsia="Arial" w:hAnsi="Arial" w:cs="Arial"/>
          <w:sz w:val="24"/>
          <w:szCs w:val="24"/>
        </w:rPr>
        <w:t xml:space="preserve"> the Shatin-Central link scandals</w:t>
      </w:r>
    </w:p>
    <w:p w14:paraId="0000008D"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lastRenderedPageBreak/>
        <w:t xml:space="preserve">Quality in delivering customer service standards and meeting performance pledges </w:t>
      </w:r>
      <w:proofErr w:type="gramStart"/>
      <w:r>
        <w:rPr>
          <w:rFonts w:ascii="Arial" w:eastAsia="Arial" w:hAnsi="Arial" w:cs="Arial"/>
          <w:sz w:val="24"/>
          <w:szCs w:val="24"/>
        </w:rPr>
        <w:t>e.g.</w:t>
      </w:r>
      <w:proofErr w:type="gramEnd"/>
      <w:r>
        <w:rPr>
          <w:rFonts w:ascii="Arial" w:eastAsia="Arial" w:hAnsi="Arial" w:cs="Arial"/>
          <w:sz w:val="24"/>
          <w:szCs w:val="24"/>
        </w:rPr>
        <w:t xml:space="preserve"> train punctuality and no delays </w:t>
      </w:r>
    </w:p>
    <w:p w14:paraId="0000008E" w14:textId="77777777" w:rsidR="006C712E" w:rsidRDefault="00EF3881">
      <w:pPr>
        <w:numPr>
          <w:ilvl w:val="0"/>
          <w:numId w:val="3"/>
        </w:numPr>
        <w:pBdr>
          <w:top w:val="nil"/>
          <w:left w:val="nil"/>
          <w:bottom w:val="nil"/>
          <w:right w:val="nil"/>
          <w:between w:val="nil"/>
        </w:pBdr>
        <w:spacing w:after="0" w:line="240" w:lineRule="auto"/>
        <w:rPr>
          <w:rFonts w:ascii="Arial" w:eastAsia="Arial" w:hAnsi="Arial" w:cs="Arial"/>
          <w:sz w:val="24"/>
          <w:szCs w:val="24"/>
        </w:rPr>
      </w:pPr>
      <w:r>
        <w:rPr>
          <w:rFonts w:ascii="Arial" w:eastAsia="Arial" w:hAnsi="Arial" w:cs="Arial"/>
          <w:sz w:val="24"/>
          <w:szCs w:val="24"/>
        </w:rPr>
        <w:t>Efficiency</w:t>
      </w:r>
      <w:r>
        <w:rPr>
          <w:rFonts w:ascii="Arial" w:eastAsia="Arial" w:hAnsi="Arial" w:cs="Arial"/>
          <w:sz w:val="24"/>
          <w:szCs w:val="24"/>
        </w:rPr>
        <w:t xml:space="preserve"> in achieving cost-effectiveness in all operations,</w:t>
      </w:r>
    </w:p>
    <w:p w14:paraId="0000008F" w14:textId="77777777" w:rsidR="006C712E" w:rsidRDefault="00EF3881">
      <w:pPr>
        <w:numPr>
          <w:ilvl w:val="0"/>
          <w:numId w:val="3"/>
        </w:num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Speed or safety adherence at all times</w:t>
      </w:r>
    </w:p>
    <w:p w14:paraId="00000090"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1"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 xml:space="preserve">MTR has done tremendous work in the HEAD domain and gained strong and positive performance results, sustaining its long-term competitive edge.  In the </w:t>
      </w:r>
      <w:r>
        <w:rPr>
          <w:rFonts w:ascii="Arial" w:eastAsia="Arial" w:hAnsi="Arial" w:cs="Arial"/>
          <w:b/>
          <w:sz w:val="24"/>
          <w:szCs w:val="24"/>
        </w:rPr>
        <w:t>HEART domain</w:t>
      </w:r>
      <w:r>
        <w:rPr>
          <w:rFonts w:ascii="Arial" w:eastAsia="Arial" w:hAnsi="Arial" w:cs="Arial"/>
          <w:sz w:val="24"/>
          <w:szCs w:val="24"/>
        </w:rPr>
        <w:t>,</w:t>
      </w:r>
      <w:r>
        <w:rPr>
          <w:rFonts w:ascii="Arial" w:eastAsia="Arial" w:hAnsi="Arial" w:cs="Arial"/>
          <w:sz w:val="24"/>
          <w:szCs w:val="24"/>
        </w:rPr>
        <w:t xml:space="preserve"> MTR has significantly differentiated itself from KCRC regarding leadership and creating the company's future vision.  In its 2022 annual report, MTR states its vision to be "an internationally recognised company that connects and grows communities with ca</w:t>
      </w:r>
      <w:r>
        <w:rPr>
          <w:rFonts w:ascii="Arial" w:eastAsia="Arial" w:hAnsi="Arial" w:cs="Arial"/>
          <w:sz w:val="24"/>
          <w:szCs w:val="24"/>
        </w:rPr>
        <w:t>ring, innovative and sustainable services." To achieve this long-term vision, MTR has launched and implemented a new strategy - "Transforming the Future" - in 2020.  According to Abell's theory (2004), vision is a concrete idea of what an organisation shou</w:t>
      </w:r>
      <w:r>
        <w:rPr>
          <w:rFonts w:ascii="Arial" w:eastAsia="Arial" w:hAnsi="Arial" w:cs="Arial"/>
          <w:sz w:val="24"/>
          <w:szCs w:val="24"/>
        </w:rPr>
        <w:t xml:space="preserve">ld look and stand for in the future.  Vision is a driving force that holds the organisation together and ensures the whole system is geared towards common goals.  Vision also creates value for customers and differentiates itself from others.  On the other </w:t>
      </w:r>
      <w:r>
        <w:rPr>
          <w:rFonts w:ascii="Arial" w:eastAsia="Arial" w:hAnsi="Arial" w:cs="Arial"/>
          <w:sz w:val="24"/>
          <w:szCs w:val="24"/>
        </w:rPr>
        <w:t>hand, strategy is the consolidation of clear decisions and investments the organisation will make to move towards the future vision.  A specific vision helps establish clear business priorities, social and environmental goals, and a commitment to maintaini</w:t>
      </w:r>
      <w:r>
        <w:rPr>
          <w:rFonts w:ascii="Arial" w:eastAsia="Arial" w:hAnsi="Arial" w:cs="Arial"/>
          <w:sz w:val="24"/>
          <w:szCs w:val="24"/>
        </w:rPr>
        <w:t>ng company competitiveness, driving business sustainability, and developing a healthy and closely interrelated relationship with the communities.</w:t>
      </w:r>
    </w:p>
    <w:p w14:paraId="00000092"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3"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In mid-2020, MTR set up a clearly defined purpose of "keeping cities moving" to further reposition and differ</w:t>
      </w:r>
      <w:r>
        <w:rPr>
          <w:rFonts w:ascii="Arial" w:eastAsia="Arial" w:hAnsi="Arial" w:cs="Arial"/>
          <w:sz w:val="24"/>
          <w:szCs w:val="24"/>
        </w:rPr>
        <w:t>entiate the company to a more fit-for-future organisation, with a solid Hong Kong Core business, steady growth in Mainland China, and potential growth engines internationally - the three pillars that help the company to stay agile and competitive in the fa</w:t>
      </w:r>
      <w:r>
        <w:rPr>
          <w:rFonts w:ascii="Arial" w:eastAsia="Arial" w:hAnsi="Arial" w:cs="Arial"/>
          <w:sz w:val="24"/>
          <w:szCs w:val="24"/>
        </w:rPr>
        <w:t>st-changing business environment.  In contrast, KCRC stated that the company does not involve any new railway projects or the operation of railway networks in 2022.  They have no significant capital cost, operation cost, or railway asset replacement expend</w:t>
      </w:r>
      <w:r>
        <w:rPr>
          <w:rFonts w:ascii="Arial" w:eastAsia="Arial" w:hAnsi="Arial" w:cs="Arial"/>
          <w:sz w:val="24"/>
          <w:szCs w:val="24"/>
        </w:rPr>
        <w:t>iture.  KCRC's business remains a railway asset holder after the merger and enjoys a relatively steady income stream under the merger agreement.  The company does not have any intention to seek growth opportunities.</w:t>
      </w:r>
    </w:p>
    <w:p w14:paraId="00000094"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5" w14:textId="77777777" w:rsidR="006C712E" w:rsidRDefault="00EF3881">
      <w:pPr>
        <w:pBdr>
          <w:top w:val="nil"/>
          <w:left w:val="nil"/>
          <w:bottom w:val="nil"/>
          <w:right w:val="nil"/>
          <w:between w:val="nil"/>
        </w:pBdr>
        <w:spacing w:line="240" w:lineRule="auto"/>
        <w:rPr>
          <w:rFonts w:ascii="Arial" w:eastAsia="Arial" w:hAnsi="Arial" w:cs="Arial"/>
          <w:sz w:val="24"/>
          <w:szCs w:val="24"/>
        </w:rPr>
      </w:pPr>
      <w:r>
        <w:rPr>
          <w:rFonts w:ascii="Arial" w:eastAsia="Arial" w:hAnsi="Arial" w:cs="Arial"/>
          <w:sz w:val="24"/>
          <w:szCs w:val="24"/>
        </w:rPr>
        <w:t>These two strategic approaches have sho</w:t>
      </w:r>
      <w:r>
        <w:rPr>
          <w:rFonts w:ascii="Arial" w:eastAsia="Arial" w:hAnsi="Arial" w:cs="Arial"/>
          <w:sz w:val="24"/>
          <w:szCs w:val="24"/>
        </w:rPr>
        <w:t>wn a significant differentiation in leadership style, i.e., transformational or transactional leadership.  Some studies suggest that transformational leadership works best with development-focused organisations, while transactional leadership works best wi</w:t>
      </w:r>
      <w:r>
        <w:rPr>
          <w:rFonts w:ascii="Arial" w:eastAsia="Arial" w:hAnsi="Arial" w:cs="Arial"/>
          <w:sz w:val="24"/>
          <w:szCs w:val="24"/>
        </w:rPr>
        <w:t>th economically oriented organisations (Pressentin, 2015).  Yao &amp; Jiang (2008) found that organisations like KCRC that are more rules-based, transactional leadership would bring about higher performance than transformational leadership.  In contrast, trans</w:t>
      </w:r>
      <w:r>
        <w:rPr>
          <w:rFonts w:ascii="Arial" w:eastAsia="Arial" w:hAnsi="Arial" w:cs="Arial"/>
          <w:sz w:val="24"/>
          <w:szCs w:val="24"/>
        </w:rPr>
        <w:t>formational leadership would be more effective and successful in organisations like MTR that are driven by innovation and humanistic supportive culture.  Since transformational leaders connect, inspire, and motivate followers, they will adapt well to an in</w:t>
      </w:r>
      <w:r>
        <w:rPr>
          <w:rFonts w:ascii="Arial" w:eastAsia="Arial" w:hAnsi="Arial" w:cs="Arial"/>
          <w:sz w:val="24"/>
          <w:szCs w:val="24"/>
        </w:rPr>
        <w:t xml:space="preserve">novation-driven, group information-sharing, and transparent communication culture. Under transformational leadership, staff engagement is normally higher and they show stronger ownership in </w:t>
      </w:r>
      <w:r>
        <w:rPr>
          <w:rFonts w:ascii="Arial" w:eastAsia="Arial" w:hAnsi="Arial" w:cs="Arial"/>
          <w:sz w:val="24"/>
          <w:szCs w:val="24"/>
        </w:rPr>
        <w:lastRenderedPageBreak/>
        <w:t xml:space="preserve">dealing </w:t>
      </w:r>
      <w:proofErr w:type="gramStart"/>
      <w:r>
        <w:rPr>
          <w:rFonts w:ascii="Arial" w:eastAsia="Arial" w:hAnsi="Arial" w:cs="Arial"/>
          <w:sz w:val="24"/>
          <w:szCs w:val="24"/>
        </w:rPr>
        <w:t>with  As</w:t>
      </w:r>
      <w:proofErr w:type="gramEnd"/>
      <w:r>
        <w:rPr>
          <w:rFonts w:ascii="Arial" w:eastAsia="Arial" w:hAnsi="Arial" w:cs="Arial"/>
          <w:sz w:val="24"/>
          <w:szCs w:val="24"/>
        </w:rPr>
        <w:t xml:space="preserve"> indicated in the MTR CEO newsletter, the CEO ofte</w:t>
      </w:r>
      <w:r>
        <w:rPr>
          <w:rFonts w:ascii="Arial" w:eastAsia="Arial" w:hAnsi="Arial" w:cs="Arial"/>
          <w:sz w:val="24"/>
          <w:szCs w:val="24"/>
        </w:rPr>
        <w:t xml:space="preserve">n begins with the company's vision and positive notes on embracing the challenges in making the future happen.  KCRC CEO's newsletter was factual and informative, lacking inspiration for future growth. </w:t>
      </w:r>
    </w:p>
    <w:p w14:paraId="00000096" w14:textId="77777777" w:rsidR="006C712E" w:rsidRDefault="006C712E">
      <w:pPr>
        <w:pBdr>
          <w:top w:val="nil"/>
          <w:left w:val="nil"/>
          <w:bottom w:val="nil"/>
          <w:right w:val="nil"/>
          <w:between w:val="nil"/>
        </w:pBdr>
        <w:spacing w:line="240" w:lineRule="auto"/>
        <w:rPr>
          <w:rFonts w:ascii="Arial" w:eastAsia="Arial" w:hAnsi="Arial" w:cs="Arial"/>
          <w:sz w:val="24"/>
          <w:szCs w:val="24"/>
        </w:rPr>
      </w:pPr>
    </w:p>
    <w:p w14:paraId="00000097" w14:textId="77777777" w:rsidR="006C712E" w:rsidRPr="00B4396A" w:rsidRDefault="00EF3881" w:rsidP="00B4396A">
      <w:pPr>
        <w:pStyle w:val="Heading2"/>
        <w:rPr>
          <w:sz w:val="24"/>
          <w:szCs w:val="24"/>
        </w:rPr>
      </w:pPr>
      <w:bookmarkStart w:id="15" w:name="_Toc141479866"/>
      <w:r w:rsidRPr="00B4396A">
        <w:rPr>
          <w:sz w:val="24"/>
          <w:szCs w:val="24"/>
        </w:rPr>
        <w:t>HAND approach</w:t>
      </w:r>
      <w:bookmarkEnd w:id="15"/>
    </w:p>
    <w:p w14:paraId="00000098" w14:textId="77777777" w:rsidR="006C712E" w:rsidRDefault="006C712E">
      <w:pPr>
        <w:spacing w:line="240" w:lineRule="auto"/>
        <w:rPr>
          <w:rFonts w:ascii="Arial" w:eastAsia="Arial" w:hAnsi="Arial" w:cs="Arial"/>
          <w:b/>
          <w:sz w:val="24"/>
          <w:szCs w:val="24"/>
        </w:rPr>
      </w:pPr>
    </w:p>
    <w:p w14:paraId="00000099"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The "hand" metaphor refers to the competencies and knowledge management of MTR employees. Studies have shown that leadership management and skills transfer are essential for enhancing organizational agility through learning (Pressentin, 2015). However, dev</w:t>
      </w:r>
      <w:r>
        <w:rPr>
          <w:rFonts w:ascii="Arial" w:eastAsia="Arial" w:hAnsi="Arial" w:cs="Arial"/>
          <w:sz w:val="24"/>
          <w:szCs w:val="24"/>
        </w:rPr>
        <w:t>eloping a learning culture and implementing effective learning can be challenging due to organizational silos, resistance to change, and unclear or conflicting goals among different departments. Companies that invest in a learning and development culture a</w:t>
      </w:r>
      <w:r>
        <w:rPr>
          <w:rFonts w:ascii="Arial" w:eastAsia="Arial" w:hAnsi="Arial" w:cs="Arial"/>
          <w:sz w:val="24"/>
          <w:szCs w:val="24"/>
        </w:rPr>
        <w:t>nd view learning as a strategic enabler will be agile in adapting to change, seeking innovative ways to achieve business goals, connecting and motivating people to reach their full potential, and encouraging the sharing of successes and transparent informa</w:t>
      </w:r>
      <w:r>
        <w:rPr>
          <w:rFonts w:ascii="Arial" w:eastAsia="Arial" w:hAnsi="Arial" w:cs="Arial"/>
          <w:sz w:val="24"/>
          <w:szCs w:val="24"/>
        </w:rPr>
        <w:t>tion, which can accelerate the learning curve. It is worth noting that people in a learning culture can adapt to changes when they are competent with the content and can align with organizational goals for productivity.</w:t>
      </w:r>
    </w:p>
    <w:p w14:paraId="0000009A" w14:textId="77777777" w:rsidR="006C712E" w:rsidRDefault="006C712E">
      <w:pPr>
        <w:spacing w:line="240" w:lineRule="auto"/>
        <w:rPr>
          <w:rFonts w:ascii="Arial" w:eastAsia="Arial" w:hAnsi="Arial" w:cs="Arial"/>
          <w:sz w:val="24"/>
          <w:szCs w:val="24"/>
        </w:rPr>
      </w:pPr>
    </w:p>
    <w:p w14:paraId="0000009B"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As a caring company, MTR strives to</w:t>
      </w:r>
      <w:r>
        <w:rPr>
          <w:rFonts w:ascii="Arial" w:eastAsia="Arial" w:hAnsi="Arial" w:cs="Arial"/>
          <w:sz w:val="24"/>
          <w:szCs w:val="24"/>
        </w:rPr>
        <w:t xml:space="preserve"> foster advancement and opportunities for its staff by investing heavily in their learning and development through comprehensive professional training programs. The MTR Academy, established in 2016, has become a global training and research hub for upholdi</w:t>
      </w:r>
      <w:r>
        <w:rPr>
          <w:rFonts w:ascii="Arial" w:eastAsia="Arial" w:hAnsi="Arial" w:cs="Arial"/>
          <w:sz w:val="24"/>
          <w:szCs w:val="24"/>
        </w:rPr>
        <w:t>ng world-class performance and creating success. It aims to become an internationally recognized railway management and engineering center of excellence academy. The academy trains railway talents and develops railway expertise and executives to advance se</w:t>
      </w:r>
      <w:r>
        <w:rPr>
          <w:rFonts w:ascii="Arial" w:eastAsia="Arial" w:hAnsi="Arial" w:cs="Arial"/>
          <w:sz w:val="24"/>
          <w:szCs w:val="24"/>
        </w:rPr>
        <w:t>rvice and operational excellence internationally. The training focuses on:</w:t>
      </w:r>
    </w:p>
    <w:p w14:paraId="0000009C" w14:textId="77777777" w:rsidR="006C712E" w:rsidRDefault="006C712E">
      <w:pPr>
        <w:spacing w:line="240" w:lineRule="auto"/>
        <w:rPr>
          <w:rFonts w:ascii="Arial" w:eastAsia="Arial" w:hAnsi="Arial" w:cs="Arial"/>
          <w:sz w:val="24"/>
          <w:szCs w:val="24"/>
        </w:rPr>
      </w:pPr>
    </w:p>
    <w:p w14:paraId="0000009D" w14:textId="77777777" w:rsidR="006C712E" w:rsidRDefault="00EF3881">
      <w:pPr>
        <w:numPr>
          <w:ilvl w:val="0"/>
          <w:numId w:val="4"/>
        </w:numPr>
        <w:spacing w:after="0" w:line="240" w:lineRule="auto"/>
        <w:rPr>
          <w:rFonts w:ascii="Arial" w:eastAsia="Arial" w:hAnsi="Arial" w:cs="Arial"/>
          <w:sz w:val="24"/>
          <w:szCs w:val="24"/>
        </w:rPr>
      </w:pPr>
      <w:r>
        <w:rPr>
          <w:rFonts w:ascii="Arial" w:eastAsia="Arial" w:hAnsi="Arial" w:cs="Arial"/>
          <w:sz w:val="24"/>
          <w:szCs w:val="24"/>
        </w:rPr>
        <w:t>Providing comprehensive training courses for railway operators and authorities</w:t>
      </w:r>
    </w:p>
    <w:p w14:paraId="0000009E" w14:textId="77777777" w:rsidR="006C712E" w:rsidRDefault="00EF3881">
      <w:pPr>
        <w:numPr>
          <w:ilvl w:val="0"/>
          <w:numId w:val="4"/>
        </w:numPr>
        <w:spacing w:after="0" w:line="240" w:lineRule="auto"/>
        <w:rPr>
          <w:rFonts w:ascii="Arial" w:eastAsia="Arial" w:hAnsi="Arial" w:cs="Arial"/>
          <w:sz w:val="24"/>
          <w:szCs w:val="24"/>
        </w:rPr>
      </w:pPr>
      <w:r>
        <w:rPr>
          <w:rFonts w:ascii="Arial" w:eastAsia="Arial" w:hAnsi="Arial" w:cs="Arial"/>
          <w:sz w:val="24"/>
          <w:szCs w:val="24"/>
        </w:rPr>
        <w:t>Establishing a railway operator community to share management best practices, service, and operationa</w:t>
      </w:r>
      <w:r>
        <w:rPr>
          <w:rFonts w:ascii="Arial" w:eastAsia="Arial" w:hAnsi="Arial" w:cs="Arial"/>
          <w:sz w:val="24"/>
          <w:szCs w:val="24"/>
        </w:rPr>
        <w:t>l excellence</w:t>
      </w:r>
    </w:p>
    <w:p w14:paraId="0000009F" w14:textId="77777777" w:rsidR="006C712E" w:rsidRDefault="00EF3881">
      <w:pPr>
        <w:numPr>
          <w:ilvl w:val="0"/>
          <w:numId w:val="4"/>
        </w:numPr>
        <w:spacing w:after="0" w:line="240" w:lineRule="auto"/>
        <w:rPr>
          <w:rFonts w:ascii="Arial" w:eastAsia="Arial" w:hAnsi="Arial" w:cs="Arial"/>
          <w:sz w:val="24"/>
          <w:szCs w:val="24"/>
        </w:rPr>
      </w:pPr>
      <w:r>
        <w:rPr>
          <w:rFonts w:ascii="Arial" w:eastAsia="Arial" w:hAnsi="Arial" w:cs="Arial"/>
          <w:sz w:val="24"/>
          <w:szCs w:val="24"/>
        </w:rPr>
        <w:t>Offering accredited programs and short knowledge-based programs</w:t>
      </w:r>
    </w:p>
    <w:p w14:paraId="000000A0" w14:textId="77777777" w:rsidR="006C712E" w:rsidRDefault="00EF3881">
      <w:pPr>
        <w:numPr>
          <w:ilvl w:val="0"/>
          <w:numId w:val="4"/>
        </w:numPr>
        <w:spacing w:line="240" w:lineRule="auto"/>
        <w:rPr>
          <w:rFonts w:ascii="Arial" w:eastAsia="Arial" w:hAnsi="Arial" w:cs="Arial"/>
          <w:sz w:val="24"/>
          <w:szCs w:val="24"/>
        </w:rPr>
      </w:pPr>
      <w:r>
        <w:rPr>
          <w:rFonts w:ascii="Arial" w:eastAsia="Arial" w:hAnsi="Arial" w:cs="Arial"/>
          <w:sz w:val="24"/>
          <w:szCs w:val="24"/>
        </w:rPr>
        <w:t>Partnering with railway operators, universities, and research institutes to conduct applied research</w:t>
      </w:r>
    </w:p>
    <w:p w14:paraId="000000A1" w14:textId="77777777" w:rsidR="006C712E" w:rsidRDefault="006C712E">
      <w:pPr>
        <w:spacing w:line="240" w:lineRule="auto"/>
        <w:rPr>
          <w:rFonts w:ascii="Arial" w:eastAsia="Arial" w:hAnsi="Arial" w:cs="Arial"/>
          <w:sz w:val="24"/>
          <w:szCs w:val="24"/>
        </w:rPr>
      </w:pPr>
    </w:p>
    <w:p w14:paraId="000000A2"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The MTR Academy offers a wide range of professional training curricula, inclu</w:t>
      </w:r>
      <w:r>
        <w:rPr>
          <w:rFonts w:ascii="Arial" w:eastAsia="Arial" w:hAnsi="Arial" w:cs="Arial"/>
          <w:sz w:val="24"/>
          <w:szCs w:val="24"/>
        </w:rPr>
        <w:t>ding two advanced diploma programs in railway engineering and transport operations and management, one diploma program in transport studies, and a master's program in Electrical Engineering (Railway Systems). They also offer short courses designed for seco</w:t>
      </w:r>
      <w:r>
        <w:rPr>
          <w:rFonts w:ascii="Arial" w:eastAsia="Arial" w:hAnsi="Arial" w:cs="Arial"/>
          <w:sz w:val="24"/>
          <w:szCs w:val="24"/>
        </w:rPr>
        <w:t xml:space="preserve">ndary school students, covering safety in railways, railway technology, and operations. A series of executive certificate programs in Asset Management, Railway </w:t>
      </w:r>
      <w:r>
        <w:rPr>
          <w:rFonts w:ascii="Arial" w:eastAsia="Arial" w:hAnsi="Arial" w:cs="Arial"/>
          <w:sz w:val="24"/>
          <w:szCs w:val="24"/>
        </w:rPr>
        <w:lastRenderedPageBreak/>
        <w:t>Operations Management, and Operations and Engineering for Railway Service Provisions are designe</w:t>
      </w:r>
      <w:r>
        <w:rPr>
          <w:rFonts w:ascii="Arial" w:eastAsia="Arial" w:hAnsi="Arial" w:cs="Arial"/>
          <w:sz w:val="24"/>
          <w:szCs w:val="24"/>
        </w:rPr>
        <w:t>d to provide a comprehensive learning experience on excellence in railway operations for executives of railway operators, organizations, and authorities worldwide (MTR, 2023). With this learning culture, participants (both local and overseas) can learn, in</w:t>
      </w:r>
      <w:r>
        <w:rPr>
          <w:rFonts w:ascii="Arial" w:eastAsia="Arial" w:hAnsi="Arial" w:cs="Arial"/>
          <w:sz w:val="24"/>
          <w:szCs w:val="24"/>
        </w:rPr>
        <w:t>teract, and share experiences and learning together.  However, it is important to consider whether these programs and partnerships are truly effective in advancing service and operational excellence internationally. The company's focus on railway operation</w:t>
      </w:r>
      <w:r>
        <w:rPr>
          <w:rFonts w:ascii="Arial" w:eastAsia="Arial" w:hAnsi="Arial" w:cs="Arial"/>
          <w:sz w:val="24"/>
          <w:szCs w:val="24"/>
        </w:rPr>
        <w:t>s may also come at the expense of other important areas of development, such as environmental sustainability and social responsibility.</w:t>
      </w:r>
    </w:p>
    <w:p w14:paraId="000000A3" w14:textId="77777777" w:rsidR="006C712E" w:rsidRDefault="006C712E">
      <w:pPr>
        <w:spacing w:line="240" w:lineRule="auto"/>
        <w:rPr>
          <w:rFonts w:ascii="Arial" w:eastAsia="Arial" w:hAnsi="Arial" w:cs="Arial"/>
          <w:sz w:val="24"/>
          <w:szCs w:val="24"/>
        </w:rPr>
      </w:pPr>
    </w:p>
    <w:p w14:paraId="000000A4"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In addition, Human Resources Management plays a pivotal role in cultivating a growing and caring work environment to at</w:t>
      </w:r>
      <w:r>
        <w:rPr>
          <w:rFonts w:ascii="Arial" w:eastAsia="Arial" w:hAnsi="Arial" w:cs="Arial"/>
          <w:sz w:val="24"/>
          <w:szCs w:val="24"/>
        </w:rPr>
        <w:t>tract, recruit, and retain talent. MTR is committed to a performance-based pay review mechanism. KPI (Key Performance Indicator) goals and service pledges, such as service targets and performance, are clearly defined and stated on the company website. Perf</w:t>
      </w:r>
      <w:r>
        <w:rPr>
          <w:rFonts w:ascii="Arial" w:eastAsia="Arial" w:hAnsi="Arial" w:cs="Arial"/>
          <w:sz w:val="24"/>
          <w:szCs w:val="24"/>
        </w:rPr>
        <w:t>ormance evaluations are used to specify what needs to be achieved and what should be measured. This reinforces organizational fairness and ensures corporate citizenship. MTR offers competitive pay and benefits, short and long-term incentive schemes, and va</w:t>
      </w:r>
      <w:r>
        <w:rPr>
          <w:rFonts w:ascii="Arial" w:eastAsia="Arial" w:hAnsi="Arial" w:cs="Arial"/>
          <w:sz w:val="24"/>
          <w:szCs w:val="24"/>
        </w:rPr>
        <w:t xml:space="preserve">rious career development opportunities.  However, the company's commitment to a performance-based pay review mechanism may incentivize employees to prioritize meeting KPI goals and service pledges over other important aspects of their work.  </w:t>
      </w:r>
    </w:p>
    <w:p w14:paraId="000000A5" w14:textId="77777777" w:rsidR="006C712E" w:rsidRDefault="006C712E">
      <w:pPr>
        <w:spacing w:line="240" w:lineRule="auto"/>
        <w:rPr>
          <w:rFonts w:ascii="Arial" w:eastAsia="Arial" w:hAnsi="Arial" w:cs="Arial"/>
          <w:sz w:val="24"/>
          <w:szCs w:val="24"/>
        </w:rPr>
      </w:pPr>
    </w:p>
    <w:p w14:paraId="000000A6"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 xml:space="preserve">It is noted </w:t>
      </w:r>
      <w:r>
        <w:rPr>
          <w:rFonts w:ascii="Arial" w:eastAsia="Arial" w:hAnsi="Arial" w:cs="Arial"/>
          <w:sz w:val="24"/>
          <w:szCs w:val="24"/>
        </w:rPr>
        <w:t>that the voluntary staff turnover rate in Hong Kong is 7.5%, which is relatively lower than the Hong Kong average norm (10.5%).  It is unclear whether this is due to MTR's efforts to create a better and family-friendly workplace or if there are other facto</w:t>
      </w:r>
      <w:r>
        <w:rPr>
          <w:rFonts w:ascii="Arial" w:eastAsia="Arial" w:hAnsi="Arial" w:cs="Arial"/>
          <w:sz w:val="24"/>
          <w:szCs w:val="24"/>
        </w:rPr>
        <w:t>rs at play.  However, the company is dedicated to creating a better and family-friendly workplace by organizing a series of well-being seminars, health living programs, family activities, and events to promote staff's all-around wellness and healthy living</w:t>
      </w:r>
      <w:r>
        <w:rPr>
          <w:rFonts w:ascii="Arial" w:eastAsia="Arial" w:hAnsi="Arial" w:cs="Arial"/>
          <w:sz w:val="24"/>
          <w:szCs w:val="24"/>
        </w:rPr>
        <w:t>. Yearly staff engagement surveys are conducted to listen to staff opinions and formulate and implement follow-up actions to improve staff engagement.  While MTR's focus on learning and development and its efforts to create a better workplace for its emplo</w:t>
      </w:r>
      <w:r>
        <w:rPr>
          <w:rFonts w:ascii="Arial" w:eastAsia="Arial" w:hAnsi="Arial" w:cs="Arial"/>
          <w:sz w:val="24"/>
          <w:szCs w:val="24"/>
        </w:rPr>
        <w:t>yees are commendable, it is important to critically examine the effectiveness of these efforts and consider whether the company's priorities align with broader societal goals and values.</w:t>
      </w:r>
    </w:p>
    <w:p w14:paraId="000000A7" w14:textId="77777777" w:rsidR="006C712E" w:rsidRDefault="006C712E">
      <w:pPr>
        <w:spacing w:line="240" w:lineRule="auto"/>
        <w:rPr>
          <w:rFonts w:ascii="Arial" w:eastAsia="Arial" w:hAnsi="Arial" w:cs="Arial"/>
          <w:sz w:val="24"/>
          <w:szCs w:val="24"/>
        </w:rPr>
      </w:pPr>
    </w:p>
    <w:p w14:paraId="000000A8" w14:textId="77777777" w:rsidR="006C712E" w:rsidRPr="00B4396A" w:rsidRDefault="00EF3881" w:rsidP="00B4396A">
      <w:pPr>
        <w:pStyle w:val="Heading1"/>
        <w:rPr>
          <w:sz w:val="24"/>
          <w:szCs w:val="24"/>
        </w:rPr>
      </w:pPr>
      <w:bookmarkStart w:id="16" w:name="_Toc141479867"/>
      <w:r w:rsidRPr="00B4396A">
        <w:rPr>
          <w:sz w:val="24"/>
          <w:szCs w:val="24"/>
        </w:rPr>
        <w:t>Conclusion:</w:t>
      </w:r>
      <w:bookmarkEnd w:id="16"/>
    </w:p>
    <w:p w14:paraId="000000A9" w14:textId="77777777" w:rsidR="006C712E" w:rsidRDefault="006C712E">
      <w:pPr>
        <w:spacing w:line="240" w:lineRule="auto"/>
        <w:rPr>
          <w:rFonts w:ascii="Arial" w:eastAsia="Arial" w:hAnsi="Arial" w:cs="Arial"/>
          <w:b/>
          <w:sz w:val="24"/>
          <w:szCs w:val="24"/>
        </w:rPr>
      </w:pPr>
    </w:p>
    <w:p w14:paraId="000000AA"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In conclusion, this report has evaluated the factors th</w:t>
      </w:r>
      <w:r>
        <w:rPr>
          <w:rFonts w:ascii="Arial" w:eastAsia="Arial" w:hAnsi="Arial" w:cs="Arial"/>
          <w:sz w:val="24"/>
          <w:szCs w:val="24"/>
        </w:rPr>
        <w:t>at have contributed to MTR's success as a leading public transport operator using Abell's three-dimensional business model. The "Rail plus property" model has been a critical factor in MTR's success, as it has allowed the company to create sustainable busi</w:t>
      </w:r>
      <w:r>
        <w:rPr>
          <w:rFonts w:ascii="Arial" w:eastAsia="Arial" w:hAnsi="Arial" w:cs="Arial"/>
          <w:sz w:val="24"/>
          <w:szCs w:val="24"/>
        </w:rPr>
        <w:t xml:space="preserve">ness growth by leveraging its property assets to generate additional revenue streams. Another crucial factor is MTR's transformational leadership, which has helped to align the </w:t>
      </w:r>
      <w:r>
        <w:rPr>
          <w:rFonts w:ascii="Arial" w:eastAsia="Arial" w:hAnsi="Arial" w:cs="Arial"/>
          <w:sz w:val="24"/>
          <w:szCs w:val="24"/>
        </w:rPr>
        <w:lastRenderedPageBreak/>
        <w:t>company's goals and create a sense of purpose for all employees. This has enabl</w:t>
      </w:r>
      <w:r>
        <w:rPr>
          <w:rFonts w:ascii="Arial" w:eastAsia="Arial" w:hAnsi="Arial" w:cs="Arial"/>
          <w:sz w:val="24"/>
          <w:szCs w:val="24"/>
        </w:rPr>
        <w:t>ed the company to pursue its "Transforming the Future" goal and drive innovation and growth. MTR's robust learning and development culture is also essential for its future growth. By investing in knowledge management, expertise development, and talent mana</w:t>
      </w:r>
      <w:r>
        <w:rPr>
          <w:rFonts w:ascii="Arial" w:eastAsia="Arial" w:hAnsi="Arial" w:cs="Arial"/>
          <w:sz w:val="24"/>
          <w:szCs w:val="24"/>
        </w:rPr>
        <w:t xml:space="preserve">gement, MTR can accelerate its business growth and stay ahead of the competition. This commitment to learning and development has also helped to create a highly skilled and motivated workforce. As Yu (2022) suggests, synthesising the three domains (HEART, </w:t>
      </w:r>
      <w:r>
        <w:rPr>
          <w:rFonts w:ascii="Arial" w:eastAsia="Arial" w:hAnsi="Arial" w:cs="Arial"/>
          <w:sz w:val="24"/>
          <w:szCs w:val="24"/>
        </w:rPr>
        <w:t xml:space="preserve">HEAD, and HAND) is crucial for effective and efficient organizational performance. MTR's focus on customer-centricity, innovation, and sustainability has enabled the company to achieve this synthesis and maintain its position as a leading public transport </w:t>
      </w:r>
      <w:r>
        <w:rPr>
          <w:rFonts w:ascii="Arial" w:eastAsia="Arial" w:hAnsi="Arial" w:cs="Arial"/>
          <w:sz w:val="24"/>
          <w:szCs w:val="24"/>
        </w:rPr>
        <w:t>operator. MTR's success can be attributed to its unique business model, transformational leadership, robust learning and development culture, and commitment to customer-centricity, innovation, and sustainability. As MTR continues to expand and evolve, it w</w:t>
      </w:r>
      <w:r>
        <w:rPr>
          <w:rFonts w:ascii="Arial" w:eastAsia="Arial" w:hAnsi="Arial" w:cs="Arial"/>
          <w:sz w:val="24"/>
          <w:szCs w:val="24"/>
        </w:rPr>
        <w:t>ill be important for the company to remain focused on these key factors and continue to adapt to meet its customers' and stakeholders' changing needs and expectations.</w:t>
      </w:r>
    </w:p>
    <w:p w14:paraId="000000AB" w14:textId="77777777" w:rsidR="006C712E" w:rsidRDefault="006C712E">
      <w:pPr>
        <w:spacing w:line="240" w:lineRule="auto"/>
        <w:rPr>
          <w:rFonts w:ascii="Arial" w:eastAsia="Arial" w:hAnsi="Arial" w:cs="Arial"/>
          <w:sz w:val="24"/>
          <w:szCs w:val="24"/>
        </w:rPr>
      </w:pPr>
    </w:p>
    <w:p w14:paraId="000000AC" w14:textId="77777777" w:rsidR="006C712E" w:rsidRDefault="00EF3881">
      <w:pPr>
        <w:spacing w:line="240" w:lineRule="auto"/>
        <w:rPr>
          <w:rFonts w:ascii="Arial" w:eastAsia="Arial" w:hAnsi="Arial" w:cs="Arial"/>
          <w:sz w:val="24"/>
          <w:szCs w:val="24"/>
        </w:rPr>
      </w:pPr>
      <w:r>
        <w:rPr>
          <w:rFonts w:ascii="Arial" w:eastAsia="Arial" w:hAnsi="Arial" w:cs="Arial"/>
          <w:sz w:val="24"/>
          <w:szCs w:val="24"/>
        </w:rPr>
        <w:t>(7924 words)</w:t>
      </w:r>
    </w:p>
    <w:p w14:paraId="000000AD" w14:textId="17F1E104" w:rsidR="003E7A64" w:rsidRDefault="003E7A64">
      <w:r>
        <w:br w:type="page"/>
      </w:r>
    </w:p>
    <w:p w14:paraId="3552219B" w14:textId="77777777" w:rsidR="006C712E" w:rsidRDefault="006C712E"/>
    <w:p w14:paraId="000000AE" w14:textId="77777777" w:rsidR="006C712E" w:rsidRDefault="00EF3881">
      <w:pPr>
        <w:rPr>
          <w:sz w:val="24"/>
          <w:szCs w:val="24"/>
        </w:rPr>
      </w:pPr>
      <w:proofErr w:type="gramStart"/>
      <w:r>
        <w:rPr>
          <w:b/>
          <w:sz w:val="24"/>
          <w:szCs w:val="24"/>
        </w:rPr>
        <w:t>References</w:t>
      </w:r>
      <w:r>
        <w:rPr>
          <w:sz w:val="24"/>
          <w:szCs w:val="24"/>
        </w:rPr>
        <w:t xml:space="preserve"> :</w:t>
      </w:r>
      <w:proofErr w:type="gramEnd"/>
    </w:p>
    <w:p w14:paraId="000000AF" w14:textId="77777777" w:rsidR="006C712E" w:rsidRDefault="006C712E">
      <w:pPr>
        <w:rPr>
          <w:sz w:val="24"/>
          <w:szCs w:val="24"/>
        </w:rPr>
      </w:pPr>
    </w:p>
    <w:p w14:paraId="000000B0" w14:textId="77777777" w:rsidR="006C712E" w:rsidRDefault="00EF3881">
      <w:pPr>
        <w:rPr>
          <w:rFonts w:ascii="Arial" w:eastAsia="Arial" w:hAnsi="Arial" w:cs="Arial"/>
          <w:sz w:val="24"/>
          <w:szCs w:val="24"/>
        </w:rPr>
      </w:pPr>
      <w:r>
        <w:rPr>
          <w:rFonts w:ascii="Arial" w:eastAsia="Arial" w:hAnsi="Arial" w:cs="Arial"/>
          <w:sz w:val="24"/>
          <w:szCs w:val="24"/>
        </w:rPr>
        <w:t xml:space="preserve">Alavia, S., Ehliga, P.A. </w:t>
      </w:r>
      <w:proofErr w:type="gramStart"/>
      <w:r>
        <w:rPr>
          <w:rFonts w:ascii="Arial" w:eastAsia="Arial" w:hAnsi="Arial" w:cs="Arial"/>
          <w:sz w:val="24"/>
          <w:szCs w:val="24"/>
        </w:rPr>
        <w:t>and  Habel</w:t>
      </w:r>
      <w:proofErr w:type="gramEnd"/>
      <w:r>
        <w:rPr>
          <w:rFonts w:ascii="Arial" w:eastAsia="Arial" w:hAnsi="Arial" w:cs="Arial"/>
          <w:sz w:val="24"/>
          <w:szCs w:val="24"/>
        </w:rPr>
        <w:t xml:space="preserve">, J. (2022).  Transformational and transactional sales leadership during a global pandemic.  Journal of Personal selling &amp; sales ManageMent 2022, Vol. 42, no. 4, 324–338 </w:t>
      </w:r>
      <w:hyperlink r:id="rId8">
        <w:r>
          <w:rPr>
            <w:rFonts w:ascii="Arial" w:eastAsia="Arial" w:hAnsi="Arial" w:cs="Arial"/>
            <w:sz w:val="24"/>
            <w:szCs w:val="24"/>
            <w:u w:val="single"/>
          </w:rPr>
          <w:t>https://doi.org/10.1080/08853134.2022.2101462</w:t>
        </w:r>
      </w:hyperlink>
    </w:p>
    <w:p w14:paraId="000000B1" w14:textId="77777777" w:rsidR="006C712E" w:rsidRDefault="006C712E">
      <w:pPr>
        <w:rPr>
          <w:rFonts w:ascii="Arial" w:eastAsia="Arial" w:hAnsi="Arial" w:cs="Arial"/>
          <w:sz w:val="24"/>
          <w:szCs w:val="24"/>
        </w:rPr>
      </w:pPr>
    </w:p>
    <w:p w14:paraId="000000B2" w14:textId="77777777" w:rsidR="006C712E" w:rsidRDefault="00EF3881">
      <w:pPr>
        <w:rPr>
          <w:rFonts w:ascii="Arial" w:eastAsia="Arial" w:hAnsi="Arial" w:cs="Arial"/>
          <w:sz w:val="24"/>
          <w:szCs w:val="24"/>
        </w:rPr>
      </w:pPr>
      <w:r>
        <w:rPr>
          <w:rFonts w:ascii="Arial" w:eastAsia="Arial" w:hAnsi="Arial" w:cs="Arial"/>
          <w:sz w:val="24"/>
          <w:szCs w:val="24"/>
        </w:rPr>
        <w:t>Abell, D.F., Hammond, J.S. (1979). STRATEGIC MARKET PLANNING: PROBLEMS AND ANALYTICAL APPROACHES</w:t>
      </w:r>
    </w:p>
    <w:p w14:paraId="000000B3" w14:textId="77777777" w:rsidR="006C712E" w:rsidRDefault="00EF3881">
      <w:pPr>
        <w:rPr>
          <w:rFonts w:ascii="Arial" w:eastAsia="Arial" w:hAnsi="Arial" w:cs="Arial"/>
          <w:sz w:val="24"/>
          <w:szCs w:val="24"/>
        </w:rPr>
      </w:pPr>
      <w:r>
        <w:rPr>
          <w:rFonts w:ascii="Arial" w:eastAsia="Arial" w:hAnsi="Arial" w:cs="Arial"/>
          <w:sz w:val="24"/>
          <w:szCs w:val="24"/>
        </w:rPr>
        <w:t>(Englewood Cliffs, NJ: Prentice-Hall, Inc., 1979)</w:t>
      </w:r>
    </w:p>
    <w:p w14:paraId="000000B4" w14:textId="77777777" w:rsidR="006C712E" w:rsidRDefault="006C712E">
      <w:pPr>
        <w:rPr>
          <w:rFonts w:ascii="Arial" w:eastAsia="Arial" w:hAnsi="Arial" w:cs="Arial"/>
          <w:sz w:val="24"/>
          <w:szCs w:val="24"/>
        </w:rPr>
      </w:pPr>
    </w:p>
    <w:p w14:paraId="000000B5" w14:textId="77777777" w:rsidR="006C712E" w:rsidRDefault="00EF3881">
      <w:pPr>
        <w:rPr>
          <w:rFonts w:ascii="Arial" w:eastAsia="Arial" w:hAnsi="Arial" w:cs="Arial"/>
          <w:sz w:val="24"/>
          <w:szCs w:val="24"/>
        </w:rPr>
      </w:pPr>
      <w:r>
        <w:rPr>
          <w:rFonts w:ascii="Arial" w:eastAsia="Arial" w:hAnsi="Arial" w:cs="Arial"/>
          <w:sz w:val="24"/>
          <w:szCs w:val="24"/>
        </w:rPr>
        <w:t>Abell, D.F. (1980). Defining the Business: The Starting Point of Strategic Planning. Prentice Hall: Hoboken, New Jersey.</w:t>
      </w:r>
    </w:p>
    <w:p w14:paraId="000000B6" w14:textId="77777777" w:rsidR="006C712E" w:rsidRDefault="006C712E">
      <w:pPr>
        <w:rPr>
          <w:rFonts w:ascii="Arial" w:eastAsia="Arial" w:hAnsi="Arial" w:cs="Arial"/>
          <w:sz w:val="24"/>
          <w:szCs w:val="24"/>
        </w:rPr>
      </w:pPr>
    </w:p>
    <w:p w14:paraId="000000B7" w14:textId="77777777" w:rsidR="006C712E" w:rsidRDefault="00EF3881">
      <w:pPr>
        <w:rPr>
          <w:rFonts w:ascii="Arial" w:eastAsia="Arial" w:hAnsi="Arial" w:cs="Arial"/>
          <w:sz w:val="24"/>
          <w:szCs w:val="24"/>
        </w:rPr>
      </w:pPr>
      <w:r>
        <w:rPr>
          <w:rFonts w:ascii="Arial" w:eastAsia="Arial" w:hAnsi="Arial" w:cs="Arial"/>
          <w:sz w:val="24"/>
          <w:szCs w:val="24"/>
        </w:rPr>
        <w:t>Abell, D. F. (1993). Managing with Dual Strategies. Free Press: New York.</w:t>
      </w:r>
    </w:p>
    <w:p w14:paraId="000000B8" w14:textId="77777777" w:rsidR="006C712E" w:rsidRDefault="006C712E">
      <w:pPr>
        <w:rPr>
          <w:rFonts w:ascii="Arial" w:eastAsia="Arial" w:hAnsi="Arial" w:cs="Arial"/>
          <w:sz w:val="24"/>
          <w:szCs w:val="24"/>
        </w:rPr>
      </w:pPr>
    </w:p>
    <w:p w14:paraId="000000B9" w14:textId="77777777" w:rsidR="006C712E" w:rsidRDefault="00EF3881">
      <w:pPr>
        <w:rPr>
          <w:rFonts w:ascii="Arial" w:eastAsia="Arial" w:hAnsi="Arial" w:cs="Arial"/>
          <w:sz w:val="24"/>
          <w:szCs w:val="24"/>
        </w:rPr>
      </w:pPr>
      <w:r>
        <w:rPr>
          <w:rFonts w:ascii="Arial" w:eastAsia="Arial" w:hAnsi="Arial" w:cs="Arial"/>
          <w:sz w:val="24"/>
          <w:szCs w:val="24"/>
        </w:rPr>
        <w:t>Abell, D.F. (2005).  The future of strategy is leadership</w:t>
      </w:r>
      <w:r>
        <w:rPr>
          <w:rFonts w:ascii="Arial" w:eastAsia="Arial" w:hAnsi="Arial" w:cs="Arial"/>
          <w:sz w:val="24"/>
          <w:szCs w:val="24"/>
        </w:rPr>
        <w:t xml:space="preserve"> European School of Management and Technology, ESMT campus, Schlossplatz 1, 10178 Berlin, Germany </w:t>
      </w:r>
    </w:p>
    <w:p w14:paraId="000000BA" w14:textId="77777777" w:rsidR="006C712E" w:rsidRDefault="006C712E">
      <w:pPr>
        <w:rPr>
          <w:rFonts w:ascii="Arial" w:eastAsia="Arial" w:hAnsi="Arial" w:cs="Arial"/>
          <w:sz w:val="24"/>
          <w:szCs w:val="24"/>
        </w:rPr>
      </w:pPr>
    </w:p>
    <w:p w14:paraId="000000BB" w14:textId="77777777" w:rsidR="006C712E" w:rsidRDefault="00EF3881">
      <w:pPr>
        <w:rPr>
          <w:rFonts w:ascii="Arial" w:eastAsia="Arial" w:hAnsi="Arial" w:cs="Arial"/>
          <w:sz w:val="24"/>
          <w:szCs w:val="24"/>
        </w:rPr>
      </w:pPr>
      <w:r>
        <w:rPr>
          <w:rFonts w:ascii="Arial" w:eastAsia="Arial" w:hAnsi="Arial" w:cs="Arial"/>
          <w:sz w:val="24"/>
          <w:szCs w:val="24"/>
        </w:rPr>
        <w:t>Abell, D. F., (2014). The Past, Present, and Future of Strategy: Broadening Challenges; Advancing Insight. Iberoamerican Journal Of Strategic Management (IJ</w:t>
      </w:r>
      <w:r>
        <w:rPr>
          <w:rFonts w:ascii="Arial" w:eastAsia="Arial" w:hAnsi="Arial" w:cs="Arial"/>
          <w:sz w:val="24"/>
          <w:szCs w:val="24"/>
        </w:rPr>
        <w:t>SM), 13(3), 07-18, July-September 2014, DOI: 10.5585/</w:t>
      </w:r>
      <w:proofErr w:type="gramStart"/>
      <w:r>
        <w:rPr>
          <w:rFonts w:ascii="Arial" w:eastAsia="Arial" w:hAnsi="Arial" w:cs="Arial"/>
          <w:sz w:val="24"/>
          <w:szCs w:val="24"/>
        </w:rPr>
        <w:t>riae.v</w:t>
      </w:r>
      <w:proofErr w:type="gramEnd"/>
      <w:r>
        <w:rPr>
          <w:rFonts w:ascii="Arial" w:eastAsia="Arial" w:hAnsi="Arial" w:cs="Arial"/>
          <w:sz w:val="24"/>
          <w:szCs w:val="24"/>
        </w:rPr>
        <w:t xml:space="preserve">13i3.2154, Available at SSRN: </w:t>
      </w:r>
      <w:hyperlink r:id="rId9">
        <w:r>
          <w:rPr>
            <w:rFonts w:ascii="Arial" w:eastAsia="Arial" w:hAnsi="Arial" w:cs="Arial"/>
            <w:sz w:val="24"/>
            <w:szCs w:val="24"/>
            <w:u w:val="single"/>
          </w:rPr>
          <w:t>https://ssrn.com/abstract=2677420</w:t>
        </w:r>
      </w:hyperlink>
    </w:p>
    <w:p w14:paraId="000000BC" w14:textId="77777777" w:rsidR="006C712E" w:rsidRDefault="006C712E">
      <w:pPr>
        <w:rPr>
          <w:rFonts w:ascii="Arial" w:eastAsia="Arial" w:hAnsi="Arial" w:cs="Arial"/>
          <w:sz w:val="24"/>
          <w:szCs w:val="24"/>
        </w:rPr>
      </w:pPr>
    </w:p>
    <w:p w14:paraId="000000BD" w14:textId="77777777" w:rsidR="006C712E" w:rsidRDefault="00EF3881">
      <w:pPr>
        <w:rPr>
          <w:rFonts w:ascii="Arial" w:eastAsia="Arial" w:hAnsi="Arial" w:cs="Arial"/>
          <w:sz w:val="24"/>
          <w:szCs w:val="24"/>
        </w:rPr>
      </w:pPr>
      <w:r>
        <w:rPr>
          <w:rFonts w:ascii="Arial" w:eastAsia="Arial" w:hAnsi="Arial" w:cs="Arial"/>
          <w:sz w:val="24"/>
          <w:szCs w:val="24"/>
        </w:rPr>
        <w:t>Barney, J.B. (1986). Strategic Factor Markets: Expectations, Luck, and Business</w:t>
      </w:r>
      <w:r>
        <w:rPr>
          <w:rFonts w:ascii="Arial" w:eastAsia="Arial" w:hAnsi="Arial" w:cs="Arial"/>
          <w:sz w:val="24"/>
          <w:szCs w:val="24"/>
        </w:rPr>
        <w:t xml:space="preserve"> Strategy. Management Science 32(10):1231-1241.</w:t>
      </w:r>
    </w:p>
    <w:p w14:paraId="000000BE" w14:textId="77777777" w:rsidR="006C712E" w:rsidRDefault="00EF3881">
      <w:pPr>
        <w:rPr>
          <w:rFonts w:ascii="Arial" w:eastAsia="Arial" w:hAnsi="Arial" w:cs="Arial"/>
          <w:sz w:val="24"/>
          <w:szCs w:val="24"/>
        </w:rPr>
      </w:pPr>
      <w:r>
        <w:rPr>
          <w:rFonts w:ascii="Arial" w:eastAsia="Arial" w:hAnsi="Arial" w:cs="Arial"/>
          <w:sz w:val="24"/>
          <w:szCs w:val="24"/>
        </w:rPr>
        <w:t>https://doi.org/10.1287/mnsc.32.10.1231</w:t>
      </w:r>
    </w:p>
    <w:p w14:paraId="000000BF" w14:textId="77777777" w:rsidR="006C712E" w:rsidRDefault="006C712E">
      <w:pPr>
        <w:rPr>
          <w:rFonts w:ascii="Arial" w:eastAsia="Arial" w:hAnsi="Arial" w:cs="Arial"/>
          <w:sz w:val="24"/>
          <w:szCs w:val="24"/>
        </w:rPr>
      </w:pPr>
    </w:p>
    <w:p w14:paraId="000000C1" w14:textId="720FC430" w:rsidR="006C712E" w:rsidRDefault="00EF3881">
      <w:pPr>
        <w:rPr>
          <w:rFonts w:ascii="Arial" w:eastAsia="Arial" w:hAnsi="Arial" w:cs="Arial"/>
          <w:sz w:val="24"/>
          <w:szCs w:val="24"/>
        </w:rPr>
      </w:pPr>
      <w:r>
        <w:rPr>
          <w:rFonts w:ascii="Arial" w:eastAsia="Arial" w:hAnsi="Arial" w:cs="Arial"/>
          <w:sz w:val="24"/>
          <w:szCs w:val="24"/>
        </w:rPr>
        <w:t>Barney, J. B. (2018). Why resource-based theory's model of profit appropriation must incorporate a stakeholder</w:t>
      </w:r>
      <w:r w:rsidR="003E7A64">
        <w:rPr>
          <w:rFonts w:ascii="Arial" w:eastAsia="Arial" w:hAnsi="Arial" w:cs="Arial"/>
          <w:sz w:val="24"/>
          <w:szCs w:val="24"/>
        </w:rPr>
        <w:t xml:space="preserve"> </w:t>
      </w:r>
      <w:r>
        <w:rPr>
          <w:rFonts w:ascii="Arial" w:eastAsia="Arial" w:hAnsi="Arial" w:cs="Arial"/>
          <w:sz w:val="24"/>
          <w:szCs w:val="24"/>
        </w:rPr>
        <w:t>perspective. Strategic Management Journal, 39, 3305–3325</w:t>
      </w:r>
      <w:r>
        <w:rPr>
          <w:rFonts w:ascii="Arial" w:eastAsia="Arial" w:hAnsi="Arial" w:cs="Arial"/>
          <w:sz w:val="24"/>
          <w:szCs w:val="24"/>
        </w:rPr>
        <w:t>.</w:t>
      </w:r>
    </w:p>
    <w:p w14:paraId="000000C2" w14:textId="77777777" w:rsidR="006C712E" w:rsidRDefault="006C712E">
      <w:pPr>
        <w:rPr>
          <w:rFonts w:ascii="Arial" w:eastAsia="Arial" w:hAnsi="Arial" w:cs="Arial"/>
          <w:sz w:val="24"/>
          <w:szCs w:val="24"/>
        </w:rPr>
      </w:pPr>
    </w:p>
    <w:p w14:paraId="000000C3" w14:textId="77777777" w:rsidR="006C712E" w:rsidRDefault="00EF3881">
      <w:pPr>
        <w:rPr>
          <w:rFonts w:ascii="Arial" w:eastAsia="Arial" w:hAnsi="Arial" w:cs="Arial"/>
          <w:sz w:val="24"/>
          <w:szCs w:val="24"/>
        </w:rPr>
      </w:pPr>
      <w:r>
        <w:rPr>
          <w:rFonts w:ascii="Arial" w:eastAsia="Arial" w:hAnsi="Arial" w:cs="Arial"/>
          <w:sz w:val="24"/>
          <w:szCs w:val="24"/>
        </w:rPr>
        <w:lastRenderedPageBreak/>
        <w:t>Gkiotsalitis, K. and Cats, O.  (2021).  Public transport planning adaption under the COVID-19 pandemic crisis: literature review of research needs and directions, TRANSPORT REVIEWS</w:t>
      </w:r>
    </w:p>
    <w:p w14:paraId="000000C4" w14:textId="77777777" w:rsidR="006C712E" w:rsidRDefault="00EF3881">
      <w:pPr>
        <w:rPr>
          <w:rFonts w:ascii="Arial" w:eastAsia="Arial" w:hAnsi="Arial" w:cs="Arial"/>
          <w:sz w:val="24"/>
          <w:szCs w:val="24"/>
        </w:rPr>
      </w:pPr>
      <w:r>
        <w:rPr>
          <w:rFonts w:ascii="Arial" w:eastAsia="Arial" w:hAnsi="Arial" w:cs="Arial"/>
          <w:sz w:val="24"/>
          <w:szCs w:val="24"/>
        </w:rPr>
        <w:t>2021, VOL. 41, NO. 3, 374–392 https://doi.org/10.1080/01441647.2020.1857</w:t>
      </w:r>
      <w:r>
        <w:rPr>
          <w:rFonts w:ascii="Arial" w:eastAsia="Arial" w:hAnsi="Arial" w:cs="Arial"/>
          <w:sz w:val="24"/>
          <w:szCs w:val="24"/>
        </w:rPr>
        <w:t>886</w:t>
      </w:r>
    </w:p>
    <w:p w14:paraId="000000C5" w14:textId="77777777" w:rsidR="006C712E" w:rsidRDefault="006C712E">
      <w:pPr>
        <w:rPr>
          <w:rFonts w:ascii="Arial" w:eastAsia="Arial" w:hAnsi="Arial" w:cs="Arial"/>
          <w:sz w:val="24"/>
          <w:szCs w:val="24"/>
        </w:rPr>
      </w:pPr>
    </w:p>
    <w:p w14:paraId="000000C6" w14:textId="77777777" w:rsidR="006C712E" w:rsidRDefault="00EF3881">
      <w:pPr>
        <w:rPr>
          <w:rFonts w:ascii="Arial" w:eastAsia="Arial" w:hAnsi="Arial" w:cs="Arial"/>
          <w:sz w:val="24"/>
          <w:szCs w:val="24"/>
        </w:rPr>
      </w:pPr>
      <w:r>
        <w:rPr>
          <w:rFonts w:ascii="Arial" w:eastAsia="Arial" w:hAnsi="Arial" w:cs="Arial"/>
          <w:sz w:val="24"/>
          <w:szCs w:val="24"/>
        </w:rPr>
        <w:t xml:space="preserve">Grant, R.M. (1991).  A Resource Based Theory of Competitive Advantage, </w:t>
      </w:r>
    </w:p>
    <w:p w14:paraId="000000C7" w14:textId="77777777" w:rsidR="006C712E" w:rsidRDefault="00EF3881">
      <w:pPr>
        <w:rPr>
          <w:rFonts w:ascii="Arial" w:eastAsia="Arial" w:hAnsi="Arial" w:cs="Arial"/>
          <w:sz w:val="24"/>
          <w:szCs w:val="24"/>
        </w:rPr>
      </w:pPr>
      <w:r>
        <w:rPr>
          <w:rFonts w:ascii="Arial" w:eastAsia="Arial" w:hAnsi="Arial" w:cs="Arial"/>
          <w:sz w:val="24"/>
          <w:szCs w:val="24"/>
        </w:rPr>
        <w:t>JOURNAL OF MARKETING MANAGEMENT, 2008, Vol. 24, No. 9-10, pp. 1041-1044 ISSN0267-257X print /ISSN1472-1376 online © Westburn Publishers Ltd.</w:t>
      </w:r>
    </w:p>
    <w:p w14:paraId="000000C8" w14:textId="77777777" w:rsidR="006C712E" w:rsidRDefault="00EF3881">
      <w:pPr>
        <w:rPr>
          <w:rFonts w:ascii="Arial" w:eastAsia="Arial" w:hAnsi="Arial" w:cs="Arial"/>
          <w:sz w:val="24"/>
          <w:szCs w:val="24"/>
        </w:rPr>
      </w:pPr>
      <w:r>
        <w:rPr>
          <w:rFonts w:ascii="Arial" w:eastAsia="Arial" w:hAnsi="Arial" w:cs="Arial"/>
          <w:sz w:val="24"/>
          <w:szCs w:val="24"/>
        </w:rPr>
        <w:t>doi: 10.1362/026725708X382046</w:t>
      </w:r>
    </w:p>
    <w:p w14:paraId="000000C9" w14:textId="77777777" w:rsidR="006C712E" w:rsidRDefault="006C712E">
      <w:pPr>
        <w:rPr>
          <w:rFonts w:ascii="Arial" w:eastAsia="Arial" w:hAnsi="Arial" w:cs="Arial"/>
          <w:sz w:val="24"/>
          <w:szCs w:val="24"/>
        </w:rPr>
      </w:pPr>
    </w:p>
    <w:p w14:paraId="000000CA" w14:textId="77777777" w:rsidR="006C712E" w:rsidRDefault="00EF3881">
      <w:pPr>
        <w:rPr>
          <w:rFonts w:ascii="Arial" w:eastAsia="Arial" w:hAnsi="Arial" w:cs="Arial"/>
          <w:sz w:val="24"/>
          <w:szCs w:val="24"/>
        </w:rPr>
      </w:pPr>
      <w:r>
        <w:rPr>
          <w:rFonts w:ascii="Arial" w:eastAsia="Arial" w:hAnsi="Arial" w:cs="Arial"/>
          <w:sz w:val="24"/>
          <w:szCs w:val="24"/>
        </w:rPr>
        <w:t xml:space="preserve">SolankiMay, K. (2022).  What is Business </w:t>
      </w:r>
      <w:proofErr w:type="gramStart"/>
      <w:r>
        <w:rPr>
          <w:rFonts w:ascii="Arial" w:eastAsia="Arial" w:hAnsi="Arial" w:cs="Arial"/>
          <w:sz w:val="24"/>
          <w:szCs w:val="24"/>
        </w:rPr>
        <w:t>Definition ?</w:t>
      </w:r>
      <w:proofErr w:type="gramEnd"/>
      <w:r>
        <w:rPr>
          <w:rFonts w:ascii="Arial" w:eastAsia="Arial" w:hAnsi="Arial" w:cs="Arial"/>
          <w:sz w:val="24"/>
          <w:szCs w:val="24"/>
        </w:rPr>
        <w:t xml:space="preserve"> | Abell's Three-Dimensional Mo</w:t>
      </w:r>
      <w:r>
        <w:rPr>
          <w:rFonts w:ascii="Arial" w:eastAsia="Arial" w:hAnsi="Arial" w:cs="Arial"/>
          <w:sz w:val="24"/>
          <w:szCs w:val="24"/>
        </w:rPr>
        <w:t>del &amp; Vital Aspects of Business Definition</w:t>
      </w:r>
    </w:p>
    <w:p w14:paraId="000000CB" w14:textId="77777777" w:rsidR="006C712E" w:rsidRDefault="00EF3881">
      <w:pPr>
        <w:rPr>
          <w:rFonts w:ascii="Arial" w:eastAsia="Arial" w:hAnsi="Arial" w:cs="Arial"/>
          <w:sz w:val="24"/>
          <w:szCs w:val="24"/>
        </w:rPr>
      </w:pPr>
      <w:hyperlink r:id="rId10">
        <w:r>
          <w:rPr>
            <w:rFonts w:ascii="Arial" w:eastAsia="Arial" w:hAnsi="Arial" w:cs="Arial"/>
            <w:sz w:val="24"/>
            <w:szCs w:val="24"/>
            <w:u w:val="single"/>
          </w:rPr>
          <w:t>https://www.toppers4u.com/2022/05/what-is-business-definition-abells.html</w:t>
        </w:r>
      </w:hyperlink>
    </w:p>
    <w:p w14:paraId="000000CC" w14:textId="77777777" w:rsidR="006C712E" w:rsidRDefault="006C712E">
      <w:pPr>
        <w:rPr>
          <w:rFonts w:ascii="Arial" w:eastAsia="Arial" w:hAnsi="Arial" w:cs="Arial"/>
          <w:sz w:val="24"/>
          <w:szCs w:val="24"/>
        </w:rPr>
      </w:pPr>
    </w:p>
    <w:p w14:paraId="000000CD" w14:textId="77777777" w:rsidR="006C712E" w:rsidRDefault="00EF3881">
      <w:pPr>
        <w:rPr>
          <w:rFonts w:ascii="Arial" w:eastAsia="Arial" w:hAnsi="Arial" w:cs="Arial"/>
          <w:sz w:val="24"/>
          <w:szCs w:val="24"/>
        </w:rPr>
      </w:pPr>
      <w:r>
        <w:rPr>
          <w:rFonts w:ascii="Arial" w:eastAsia="Arial" w:hAnsi="Arial" w:cs="Arial"/>
          <w:sz w:val="24"/>
          <w:szCs w:val="24"/>
        </w:rPr>
        <w:t>Stoelhorst, J.W. (2023). Value, rent, and pro</w:t>
      </w:r>
      <w:r>
        <w:rPr>
          <w:rFonts w:ascii="Arial" w:eastAsia="Arial" w:hAnsi="Arial" w:cs="Arial"/>
          <w:sz w:val="24"/>
          <w:szCs w:val="24"/>
        </w:rPr>
        <w:t>fit: A stakeholder resource-based theory.  Strategic Management Journal (John Wiley &amp; Sons, Inc.). Jun2023, Vol. 44 Issue 6, p1488-1513. 26p.</w:t>
      </w:r>
    </w:p>
    <w:p w14:paraId="000000CE" w14:textId="77777777" w:rsidR="006C712E" w:rsidRDefault="006C712E">
      <w:pPr>
        <w:spacing w:after="0" w:line="276" w:lineRule="auto"/>
        <w:rPr>
          <w:rFonts w:ascii="Arial" w:eastAsia="Arial" w:hAnsi="Arial" w:cs="Arial"/>
          <w:b/>
          <w:color w:val="FF0000"/>
          <w:sz w:val="24"/>
          <w:szCs w:val="24"/>
        </w:rPr>
      </w:pPr>
    </w:p>
    <w:p w14:paraId="000000CF" w14:textId="77777777" w:rsidR="006C712E" w:rsidRDefault="00EF3881">
      <w:pPr>
        <w:spacing w:after="0" w:line="276" w:lineRule="auto"/>
        <w:rPr>
          <w:rFonts w:ascii="Arial" w:eastAsia="Arial" w:hAnsi="Arial" w:cs="Arial"/>
          <w:sz w:val="24"/>
          <w:szCs w:val="24"/>
        </w:rPr>
      </w:pPr>
      <w:r>
        <w:rPr>
          <w:rFonts w:ascii="Arial" w:eastAsia="Arial" w:hAnsi="Arial" w:cs="Arial"/>
          <w:sz w:val="24"/>
          <w:szCs w:val="24"/>
        </w:rPr>
        <w:t>Pang, I. (2022).  Mtr and Kcrc: Railway Transport in Hong Kong Research Paper</w:t>
      </w:r>
    </w:p>
    <w:p w14:paraId="000000D0" w14:textId="77777777" w:rsidR="006C712E" w:rsidRDefault="00EF3881">
      <w:pPr>
        <w:spacing w:after="0" w:line="276" w:lineRule="auto"/>
        <w:rPr>
          <w:rFonts w:ascii="Arial" w:eastAsia="Arial" w:hAnsi="Arial" w:cs="Arial"/>
          <w:sz w:val="24"/>
          <w:szCs w:val="24"/>
        </w:rPr>
      </w:pPr>
      <w:r>
        <w:rPr>
          <w:rFonts w:ascii="Arial" w:eastAsia="Arial" w:hAnsi="Arial" w:cs="Arial"/>
          <w:sz w:val="24"/>
          <w:szCs w:val="24"/>
        </w:rPr>
        <w:t>Updated: Dec 6th, 2022</w:t>
      </w:r>
    </w:p>
    <w:p w14:paraId="000000D1" w14:textId="77777777" w:rsidR="006C712E" w:rsidRDefault="006C712E">
      <w:pPr>
        <w:rPr>
          <w:rFonts w:ascii="Arial" w:eastAsia="Arial" w:hAnsi="Arial" w:cs="Arial"/>
          <w:sz w:val="24"/>
          <w:szCs w:val="24"/>
        </w:rPr>
      </w:pPr>
    </w:p>
    <w:p w14:paraId="000000D2" w14:textId="77777777" w:rsidR="006C712E" w:rsidRDefault="00EF3881">
      <w:pPr>
        <w:rPr>
          <w:rFonts w:ascii="Arial" w:eastAsia="Arial" w:hAnsi="Arial" w:cs="Arial"/>
          <w:sz w:val="24"/>
          <w:szCs w:val="24"/>
        </w:rPr>
      </w:pPr>
      <w:r>
        <w:rPr>
          <w:rFonts w:ascii="Arial" w:eastAsia="Arial" w:hAnsi="Arial" w:cs="Arial"/>
          <w:sz w:val="24"/>
          <w:szCs w:val="24"/>
        </w:rPr>
        <w:t>Puddu, M. (</w:t>
      </w:r>
      <w:r>
        <w:rPr>
          <w:rFonts w:ascii="Arial" w:eastAsia="Arial" w:hAnsi="Arial" w:cs="Arial"/>
          <w:sz w:val="24"/>
          <w:szCs w:val="24"/>
        </w:rPr>
        <w:t>2022).  Abell model: how to define the business with three dimensions</w:t>
      </w:r>
    </w:p>
    <w:p w14:paraId="000000D3" w14:textId="77777777" w:rsidR="006C712E" w:rsidRDefault="00EF3881">
      <w:pPr>
        <w:rPr>
          <w:rFonts w:ascii="Arial" w:eastAsia="Arial" w:hAnsi="Arial" w:cs="Arial"/>
          <w:sz w:val="24"/>
          <w:szCs w:val="24"/>
        </w:rPr>
      </w:pPr>
      <w:hyperlink r:id="rId11">
        <w:r>
          <w:rPr>
            <w:rFonts w:ascii="Arial" w:eastAsia="Arial" w:hAnsi="Arial" w:cs="Arial"/>
            <w:color w:val="1155CC"/>
            <w:sz w:val="24"/>
            <w:szCs w:val="24"/>
            <w:u w:val="single"/>
          </w:rPr>
          <w:t>https://www.consizos.com/strategy/abell-model/</w:t>
        </w:r>
      </w:hyperlink>
    </w:p>
    <w:p w14:paraId="000000D4" w14:textId="77777777" w:rsidR="006C712E" w:rsidRDefault="006C712E" w:rsidP="003E7A64">
      <w:pPr>
        <w:rPr>
          <w:rFonts w:ascii="Arial" w:eastAsia="Arial" w:hAnsi="Arial" w:cs="Arial"/>
          <w:sz w:val="24"/>
          <w:szCs w:val="24"/>
        </w:rPr>
      </w:pPr>
    </w:p>
    <w:p w14:paraId="000000D5" w14:textId="77777777" w:rsidR="006C712E" w:rsidRDefault="00EF3881" w:rsidP="003E7A64">
      <w:pPr>
        <w:jc w:val="both"/>
        <w:rPr>
          <w:rFonts w:ascii="Arial" w:eastAsia="Arial" w:hAnsi="Arial" w:cs="Arial"/>
          <w:sz w:val="24"/>
          <w:szCs w:val="24"/>
        </w:rPr>
      </w:pPr>
      <w:r>
        <w:rPr>
          <w:rFonts w:ascii="Arial" w:eastAsia="Arial" w:hAnsi="Arial" w:cs="Arial"/>
          <w:sz w:val="24"/>
          <w:szCs w:val="24"/>
        </w:rPr>
        <w:t>Yu, E. (2021). An analysis of China’s strategy in combating the coronavi</w:t>
      </w:r>
      <w:r>
        <w:rPr>
          <w:rFonts w:ascii="Arial" w:eastAsia="Arial" w:hAnsi="Arial" w:cs="Arial"/>
          <w:sz w:val="24"/>
          <w:szCs w:val="24"/>
        </w:rPr>
        <w:t>rus pandemic with the 3H framework. </w:t>
      </w:r>
      <w:r>
        <w:rPr>
          <w:rFonts w:ascii="Arial" w:eastAsia="Arial" w:hAnsi="Arial" w:cs="Arial"/>
          <w:i/>
          <w:sz w:val="24"/>
          <w:szCs w:val="24"/>
        </w:rPr>
        <w:t>Public Administration and Policy</w:t>
      </w:r>
      <w:r>
        <w:rPr>
          <w:rFonts w:ascii="Arial" w:eastAsia="Arial" w:hAnsi="Arial" w:cs="Arial"/>
          <w:sz w:val="24"/>
          <w:szCs w:val="24"/>
        </w:rPr>
        <w:t>, </w:t>
      </w:r>
      <w:r>
        <w:rPr>
          <w:rFonts w:ascii="Arial" w:eastAsia="Arial" w:hAnsi="Arial" w:cs="Arial"/>
          <w:i/>
          <w:sz w:val="24"/>
          <w:szCs w:val="24"/>
        </w:rPr>
        <w:t>24</w:t>
      </w:r>
      <w:r>
        <w:rPr>
          <w:rFonts w:ascii="Arial" w:eastAsia="Arial" w:hAnsi="Arial" w:cs="Arial"/>
          <w:sz w:val="24"/>
          <w:szCs w:val="24"/>
        </w:rPr>
        <w:t>(1), 76-91.</w:t>
      </w:r>
    </w:p>
    <w:p w14:paraId="000000D6" w14:textId="77777777" w:rsidR="006C712E" w:rsidRDefault="006C712E" w:rsidP="003E7A64">
      <w:pPr>
        <w:ind w:hanging="426"/>
        <w:jc w:val="both"/>
        <w:rPr>
          <w:rFonts w:ascii="Arial" w:eastAsia="Arial" w:hAnsi="Arial" w:cs="Arial"/>
          <w:sz w:val="24"/>
          <w:szCs w:val="24"/>
        </w:rPr>
      </w:pPr>
    </w:p>
    <w:p w14:paraId="000000D7" w14:textId="77777777" w:rsidR="006C712E" w:rsidRDefault="00EF3881" w:rsidP="003E7A64">
      <w:pPr>
        <w:jc w:val="both"/>
        <w:rPr>
          <w:rFonts w:ascii="Arial" w:eastAsia="Arial" w:hAnsi="Arial" w:cs="Arial"/>
          <w:sz w:val="24"/>
          <w:szCs w:val="24"/>
        </w:rPr>
      </w:pPr>
      <w:r>
        <w:rPr>
          <w:rFonts w:ascii="Arial" w:eastAsia="Arial" w:hAnsi="Arial" w:cs="Arial"/>
          <w:sz w:val="24"/>
          <w:szCs w:val="24"/>
        </w:rPr>
        <w:t xml:space="preserve">Cheung, H.Y. and Yu, E. (2020). A review of the strategic planning process in the Hong Kong Police Force. </w:t>
      </w:r>
      <w:r>
        <w:rPr>
          <w:rFonts w:ascii="Arial" w:eastAsia="Arial" w:hAnsi="Arial" w:cs="Arial"/>
          <w:i/>
          <w:sz w:val="24"/>
          <w:szCs w:val="24"/>
        </w:rPr>
        <w:t>Public Administration and Policy: An Asia-Pacific Journal</w:t>
      </w:r>
      <w:r>
        <w:rPr>
          <w:rFonts w:ascii="Arial" w:eastAsia="Arial" w:hAnsi="Arial" w:cs="Arial"/>
          <w:sz w:val="24"/>
          <w:szCs w:val="24"/>
        </w:rPr>
        <w:t>, 23(3</w:t>
      </w:r>
      <w:proofErr w:type="gramStart"/>
      <w:r>
        <w:rPr>
          <w:rFonts w:ascii="Arial" w:eastAsia="Arial" w:hAnsi="Arial" w:cs="Arial"/>
          <w:sz w:val="24"/>
          <w:szCs w:val="24"/>
        </w:rPr>
        <w:t>),  245</w:t>
      </w:r>
      <w:proofErr w:type="gramEnd"/>
      <w:r>
        <w:rPr>
          <w:rFonts w:ascii="Arial" w:eastAsia="Arial" w:hAnsi="Arial" w:cs="Arial"/>
          <w:sz w:val="24"/>
          <w:szCs w:val="24"/>
        </w:rPr>
        <w:t xml:space="preserve">-258. </w:t>
      </w:r>
    </w:p>
    <w:p w14:paraId="000000D8" w14:textId="77777777" w:rsidR="006C712E" w:rsidRDefault="006C712E" w:rsidP="003E7A64">
      <w:pPr>
        <w:shd w:val="clear" w:color="auto" w:fill="FFFFFF"/>
        <w:spacing w:after="0" w:line="240" w:lineRule="auto"/>
        <w:rPr>
          <w:rFonts w:ascii="Arial" w:eastAsia="Arial" w:hAnsi="Arial" w:cs="Arial"/>
          <w:sz w:val="24"/>
          <w:szCs w:val="24"/>
        </w:rPr>
      </w:pPr>
    </w:p>
    <w:p w14:paraId="000000D9" w14:textId="77777777" w:rsidR="006C712E" w:rsidRDefault="00EF3881">
      <w:pPr>
        <w:shd w:val="clear" w:color="auto" w:fill="FFFFFF"/>
        <w:spacing w:after="0" w:line="240" w:lineRule="auto"/>
        <w:rPr>
          <w:rFonts w:ascii="Arial" w:eastAsia="Arial" w:hAnsi="Arial" w:cs="Arial"/>
          <w:sz w:val="24"/>
          <w:szCs w:val="24"/>
        </w:rPr>
      </w:pPr>
      <w:r>
        <w:rPr>
          <w:rFonts w:ascii="Arial" w:eastAsia="Arial" w:hAnsi="Arial" w:cs="Arial"/>
          <w:sz w:val="24"/>
          <w:szCs w:val="24"/>
        </w:rPr>
        <w:t xml:space="preserve">THEORIES, CONCEPTS, AND RATIONALE </w:t>
      </w:r>
    </w:p>
    <w:p w14:paraId="000000DA" w14:textId="77777777" w:rsidR="006C712E" w:rsidRDefault="00EF3881">
      <w:pPr>
        <w:shd w:val="clear" w:color="auto" w:fill="FFFFFF"/>
        <w:spacing w:after="0" w:line="240" w:lineRule="auto"/>
        <w:rPr>
          <w:rFonts w:ascii="Arial" w:eastAsia="Arial" w:hAnsi="Arial" w:cs="Arial"/>
          <w:sz w:val="24"/>
          <w:szCs w:val="24"/>
        </w:rPr>
      </w:pPr>
      <w:r>
        <w:rPr>
          <w:rFonts w:ascii="Arial" w:eastAsia="Arial" w:hAnsi="Arial" w:cs="Arial"/>
          <w:sz w:val="24"/>
          <w:szCs w:val="24"/>
        </w:rPr>
        <w:t>OF STRATEGIC PLANNING</w:t>
      </w:r>
    </w:p>
    <w:p w14:paraId="000000DB" w14:textId="77777777" w:rsidR="006C712E" w:rsidRDefault="00EF3881">
      <w:pPr>
        <w:rPr>
          <w:rFonts w:ascii="Arial" w:eastAsia="Arial" w:hAnsi="Arial" w:cs="Arial"/>
          <w:sz w:val="24"/>
          <w:szCs w:val="24"/>
        </w:rPr>
      </w:pPr>
      <w:r>
        <w:rPr>
          <w:rFonts w:ascii="Arial" w:eastAsia="Arial" w:hAnsi="Arial" w:cs="Arial"/>
          <w:sz w:val="24"/>
          <w:szCs w:val="24"/>
        </w:rPr>
        <w:t>https://studyli</w:t>
      </w:r>
      <w:r>
        <w:rPr>
          <w:rFonts w:ascii="Arial" w:eastAsia="Arial" w:hAnsi="Arial" w:cs="Arial"/>
          <w:sz w:val="24"/>
          <w:szCs w:val="24"/>
        </w:rPr>
        <w:t>b.net/doc/7450842/theories--concepts--and-rationale-of-strategic-planning</w:t>
      </w:r>
    </w:p>
    <w:p w14:paraId="000000DC" w14:textId="77777777" w:rsidR="006C712E" w:rsidRDefault="006C712E">
      <w:pPr>
        <w:rPr>
          <w:sz w:val="24"/>
          <w:szCs w:val="24"/>
        </w:rPr>
      </w:pPr>
    </w:p>
    <w:p w14:paraId="000000DD" w14:textId="77777777" w:rsidR="006C712E" w:rsidRDefault="006C712E">
      <w:pPr>
        <w:rPr>
          <w:sz w:val="24"/>
          <w:szCs w:val="24"/>
        </w:rPr>
      </w:pPr>
    </w:p>
    <w:p w14:paraId="000000DE" w14:textId="77777777" w:rsidR="006C712E" w:rsidRDefault="006C712E"/>
    <w:sectPr w:rsidR="006C712E" w:rsidSect="003E7A64">
      <w:footerReference w:type="default" r:id="rId12"/>
      <w:footerReference w:type="first" r:id="rId13"/>
      <w:pgSz w:w="11906" w:h="16838"/>
      <w:pgMar w:top="1440" w:right="1440" w:bottom="1440" w:left="1440" w:header="708" w:footer="708" w:gutter="0"/>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033A3" w14:textId="77777777" w:rsidR="00EF3881" w:rsidRDefault="00EF3881" w:rsidP="00122A95">
      <w:pPr>
        <w:spacing w:after="0" w:line="240" w:lineRule="auto"/>
      </w:pPr>
      <w:r>
        <w:separator/>
      </w:r>
    </w:p>
  </w:endnote>
  <w:endnote w:type="continuationSeparator" w:id="0">
    <w:p w14:paraId="3FDFD288" w14:textId="77777777" w:rsidR="00EF3881" w:rsidRDefault="00EF3881" w:rsidP="00122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charset w:val="00"/>
    <w:family w:val="swiss"/>
    <w:pitch w:val="variable"/>
    <w:sig w:usb0="800000BF" w:usb1="4000005B"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C73F9" w14:textId="7F3DF362" w:rsidR="003E7A64" w:rsidRDefault="003E7A64">
    <w:pPr>
      <w:pStyle w:val="Footer"/>
      <w:jc w:val="right"/>
    </w:pPr>
    <w:r>
      <w:t xml:space="preserve">Student </w:t>
    </w:r>
    <w:proofErr w:type="gramStart"/>
    <w:r>
      <w:t>ID :</w:t>
    </w:r>
    <w:proofErr w:type="gramEnd"/>
    <w:r>
      <w:t xml:space="preserve"> 2235233     </w:t>
    </w:r>
    <w:r>
      <w:tab/>
    </w:r>
    <w:r>
      <w:tab/>
      <w:t xml:space="preserve">Page </w:t>
    </w:r>
    <w:sdt>
      <w:sdtPr>
        <w:id w:val="-136375154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9E93F9F" w14:textId="41A83551" w:rsidR="00122A95" w:rsidRPr="003E7A64" w:rsidRDefault="00122A95" w:rsidP="003E7A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959466"/>
      <w:docPartObj>
        <w:docPartGallery w:val="Page Numbers (Bottom of Page)"/>
        <w:docPartUnique/>
      </w:docPartObj>
    </w:sdtPr>
    <w:sdtEndPr>
      <w:rPr>
        <w:noProof/>
      </w:rPr>
    </w:sdtEndPr>
    <w:sdtContent>
      <w:p w14:paraId="0615389B" w14:textId="6982649F" w:rsidR="003E7A64" w:rsidRDefault="003E7A64">
        <w:pPr>
          <w:pStyle w:val="Footer"/>
          <w:jc w:val="right"/>
        </w:pPr>
      </w:p>
    </w:sdtContent>
  </w:sdt>
  <w:p w14:paraId="3F725A19" w14:textId="77777777" w:rsidR="003E7A64" w:rsidRDefault="003E7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B9D72" w14:textId="77777777" w:rsidR="00EF3881" w:rsidRDefault="00EF3881" w:rsidP="00122A95">
      <w:pPr>
        <w:spacing w:after="0" w:line="240" w:lineRule="auto"/>
      </w:pPr>
      <w:r>
        <w:separator/>
      </w:r>
    </w:p>
  </w:footnote>
  <w:footnote w:type="continuationSeparator" w:id="0">
    <w:p w14:paraId="6832DA26" w14:textId="77777777" w:rsidR="00EF3881" w:rsidRDefault="00EF3881" w:rsidP="00122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57477"/>
    <w:multiLevelType w:val="multilevel"/>
    <w:tmpl w:val="8BFE0E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5F6C16"/>
    <w:multiLevelType w:val="hybridMultilevel"/>
    <w:tmpl w:val="10D07E0A"/>
    <w:lvl w:ilvl="0" w:tplc="E5547CE0">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10DF6271"/>
    <w:multiLevelType w:val="multilevel"/>
    <w:tmpl w:val="BEAEB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C17F3C"/>
    <w:multiLevelType w:val="multilevel"/>
    <w:tmpl w:val="F4B21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DD2D56"/>
    <w:multiLevelType w:val="multilevel"/>
    <w:tmpl w:val="01883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37A7B0B"/>
    <w:multiLevelType w:val="multilevel"/>
    <w:tmpl w:val="3D847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5214F9"/>
    <w:multiLevelType w:val="multilevel"/>
    <w:tmpl w:val="A5AC2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0D47E8"/>
    <w:multiLevelType w:val="hybridMultilevel"/>
    <w:tmpl w:val="0322A9BA"/>
    <w:lvl w:ilvl="0" w:tplc="68F4B8B2">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6E9218A7"/>
    <w:multiLevelType w:val="multilevel"/>
    <w:tmpl w:val="CD3037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76E91F60"/>
    <w:multiLevelType w:val="multilevel"/>
    <w:tmpl w:val="D2F80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2047438">
    <w:abstractNumId w:val="6"/>
  </w:num>
  <w:num w:numId="2" w16cid:durableId="1410350607">
    <w:abstractNumId w:val="4"/>
  </w:num>
  <w:num w:numId="3" w16cid:durableId="528572643">
    <w:abstractNumId w:val="5"/>
  </w:num>
  <w:num w:numId="4" w16cid:durableId="1165828240">
    <w:abstractNumId w:val="2"/>
  </w:num>
  <w:num w:numId="5" w16cid:durableId="498351830">
    <w:abstractNumId w:val="9"/>
  </w:num>
  <w:num w:numId="6" w16cid:durableId="557401265">
    <w:abstractNumId w:val="0"/>
  </w:num>
  <w:num w:numId="7" w16cid:durableId="887687148">
    <w:abstractNumId w:val="3"/>
  </w:num>
  <w:num w:numId="8" w16cid:durableId="546726353">
    <w:abstractNumId w:val="8"/>
  </w:num>
  <w:num w:numId="9" w16cid:durableId="649672982">
    <w:abstractNumId w:val="7"/>
  </w:num>
  <w:num w:numId="10" w16cid:durableId="14377493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712E"/>
    <w:rsid w:val="00122A95"/>
    <w:rsid w:val="003E7A64"/>
    <w:rsid w:val="006403E8"/>
    <w:rsid w:val="006C712E"/>
    <w:rsid w:val="00B4396A"/>
    <w:rsid w:val="00EF388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DEB38"/>
  <w15:docId w15:val="{19839C82-7ABC-4A55-BDDD-7F3693F8D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HK" w:eastAsia="en-HK"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pf0">
    <w:name w:val="pf0"/>
    <w:basedOn w:val="Normal"/>
    <w:rsid w:val="00343B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01">
    <w:name w:val="cf01"/>
    <w:basedOn w:val="DefaultParagraphFont"/>
    <w:rsid w:val="00343BFA"/>
    <w:rPr>
      <w:rFonts w:ascii="Segoe UI" w:hAnsi="Segoe UI" w:cs="Segoe UI" w:hint="default"/>
      <w:sz w:val="18"/>
      <w:szCs w:val="18"/>
    </w:rPr>
  </w:style>
  <w:style w:type="paragraph" w:customStyle="1" w:styleId="pf1">
    <w:name w:val="pf1"/>
    <w:basedOn w:val="Normal"/>
    <w:rsid w:val="00343B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f11">
    <w:name w:val="cf11"/>
    <w:basedOn w:val="DefaultParagraphFont"/>
    <w:rsid w:val="00343BFA"/>
    <w:rPr>
      <w:rFonts w:ascii="Segoe UI" w:hAnsi="Segoe UI" w:cs="Segoe UI" w:hint="default"/>
      <w:b/>
      <w:bCs/>
      <w:sz w:val="18"/>
      <w:szCs w:val="18"/>
    </w:rPr>
  </w:style>
  <w:style w:type="paragraph" w:styleId="NormalWeb">
    <w:name w:val="Normal (Web)"/>
    <w:basedOn w:val="Normal"/>
    <w:uiPriority w:val="99"/>
    <w:semiHidden/>
    <w:unhideWhenUsed/>
    <w:rsid w:val="00343BF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43BFA"/>
    <w:pPr>
      <w:ind w:left="720"/>
      <w:contextualSpacing/>
    </w:pPr>
  </w:style>
  <w:style w:type="character" w:styleId="CommentReference">
    <w:name w:val="annotation reference"/>
    <w:basedOn w:val="DefaultParagraphFont"/>
    <w:uiPriority w:val="99"/>
    <w:semiHidden/>
    <w:unhideWhenUsed/>
    <w:rsid w:val="00343BFA"/>
    <w:rPr>
      <w:sz w:val="16"/>
      <w:szCs w:val="16"/>
    </w:rPr>
  </w:style>
  <w:style w:type="paragraph" w:styleId="CommentText">
    <w:name w:val="annotation text"/>
    <w:basedOn w:val="Normal"/>
    <w:link w:val="CommentTextChar"/>
    <w:uiPriority w:val="99"/>
    <w:unhideWhenUsed/>
    <w:rsid w:val="00343BFA"/>
    <w:pPr>
      <w:spacing w:after="0" w:line="240" w:lineRule="auto"/>
    </w:pPr>
    <w:rPr>
      <w:rFonts w:ascii="Arial" w:eastAsia="Arial" w:hAnsi="Arial" w:cs="Arial"/>
      <w:sz w:val="20"/>
      <w:szCs w:val="20"/>
      <w:lang w:val="en"/>
    </w:rPr>
  </w:style>
  <w:style w:type="character" w:customStyle="1" w:styleId="CommentTextChar">
    <w:name w:val="Comment Text Char"/>
    <w:basedOn w:val="DefaultParagraphFont"/>
    <w:link w:val="CommentText"/>
    <w:uiPriority w:val="99"/>
    <w:rsid w:val="00343BFA"/>
    <w:rPr>
      <w:rFonts w:ascii="Arial" w:eastAsia="Arial" w:hAnsi="Arial" w:cs="Arial"/>
      <w:sz w:val="20"/>
      <w:szCs w:val="20"/>
      <w:lang w:val="en" w:eastAsia="en-HK"/>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122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A95"/>
  </w:style>
  <w:style w:type="paragraph" w:styleId="Footer">
    <w:name w:val="footer"/>
    <w:basedOn w:val="Normal"/>
    <w:link w:val="FooterChar"/>
    <w:uiPriority w:val="99"/>
    <w:unhideWhenUsed/>
    <w:rsid w:val="00122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A95"/>
  </w:style>
  <w:style w:type="paragraph" w:styleId="TOC1">
    <w:name w:val="toc 1"/>
    <w:basedOn w:val="Normal"/>
    <w:next w:val="Normal"/>
    <w:autoRedefine/>
    <w:uiPriority w:val="39"/>
    <w:unhideWhenUsed/>
    <w:rsid w:val="00B4396A"/>
    <w:pPr>
      <w:spacing w:after="100"/>
    </w:pPr>
  </w:style>
  <w:style w:type="paragraph" w:styleId="TOC2">
    <w:name w:val="toc 2"/>
    <w:basedOn w:val="Normal"/>
    <w:next w:val="Normal"/>
    <w:autoRedefine/>
    <w:uiPriority w:val="39"/>
    <w:unhideWhenUsed/>
    <w:rsid w:val="00B4396A"/>
    <w:pPr>
      <w:spacing w:after="100"/>
      <w:ind w:left="220"/>
    </w:pPr>
  </w:style>
  <w:style w:type="character" w:styleId="Hyperlink">
    <w:name w:val="Hyperlink"/>
    <w:basedOn w:val="DefaultParagraphFont"/>
    <w:uiPriority w:val="99"/>
    <w:unhideWhenUsed/>
    <w:rsid w:val="00B439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08853134.2022.2101462"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sizos.com/strategy/abell-mode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oppers4u.com/2022/05/what-is-business-definition-abells.html" TargetMode="External"/><Relationship Id="rId4" Type="http://schemas.openxmlformats.org/officeDocument/2006/relationships/settings" Target="settings.xml"/><Relationship Id="rId9" Type="http://schemas.openxmlformats.org/officeDocument/2006/relationships/hyperlink" Target="https://ssrn.com/abstract=26774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f2ZTAYDTiCCKx+V6+oHJNRfKbQ==">CgMxLjA4AHIhMWFBakNuNW5WSTVBX1NZWElucy1ock9jYVRQTUpKRWZ4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24</Pages>
  <Words>8953</Words>
  <Characters>51036</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Hodges</dc:creator>
  <cp:lastModifiedBy>Claudia Hodges</cp:lastModifiedBy>
  <cp:revision>3</cp:revision>
  <dcterms:created xsi:type="dcterms:W3CDTF">2023-07-28T15:12:00Z</dcterms:created>
  <dcterms:modified xsi:type="dcterms:W3CDTF">2023-07-28T15:38:00Z</dcterms:modified>
</cp:coreProperties>
</file>