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E2BF6" w14:textId="77777777" w:rsidR="00494DED" w:rsidRDefault="00494DED" w:rsidP="00494DED">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4D034C81" wp14:editId="129ACAA1">
            <wp:extent cx="1498600" cy="1460500"/>
            <wp:effectExtent l="0" t="0" r="6350" b="6350"/>
            <wp:docPr id="1113382631" name="Picture 111338263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37892641" w14:textId="77777777"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238D53B3" w14:textId="77777777" w:rsidR="00494DED" w:rsidRDefault="00494DED" w:rsidP="00494DED">
      <w:pPr>
        <w:jc w:val="center"/>
        <w:rPr>
          <w:rFonts w:ascii="Times New Roman" w:hAnsi="Times New Roman" w:cs="Times New Roman"/>
          <w:b/>
          <w:bCs/>
          <w:sz w:val="32"/>
          <w:szCs w:val="32"/>
        </w:rPr>
      </w:pPr>
    </w:p>
    <w:p w14:paraId="7FD0BA76" w14:textId="77777777" w:rsidR="00494DED" w:rsidRDefault="00494DED" w:rsidP="00494DED">
      <w:pPr>
        <w:rPr>
          <w:rFonts w:ascii="Times New Roman" w:hAnsi="Times New Roman" w:cs="Times New Roman"/>
          <w:b/>
          <w:bCs/>
          <w:sz w:val="32"/>
          <w:szCs w:val="32"/>
        </w:rPr>
      </w:pPr>
    </w:p>
    <w:p w14:paraId="058E492A" w14:textId="4FF3B937"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Assignment 1 – Critical analy</w:t>
      </w:r>
      <w:r w:rsidR="005265A4">
        <w:rPr>
          <w:rFonts w:ascii="Times New Roman" w:hAnsi="Times New Roman" w:cs="Times New Roman"/>
          <w:b/>
          <w:bCs/>
          <w:sz w:val="32"/>
          <w:szCs w:val="32"/>
        </w:rPr>
        <w:t>sis</w:t>
      </w:r>
      <w:r>
        <w:rPr>
          <w:rFonts w:ascii="Times New Roman" w:hAnsi="Times New Roman" w:cs="Times New Roman"/>
          <w:b/>
          <w:bCs/>
          <w:sz w:val="32"/>
          <w:szCs w:val="32"/>
        </w:rPr>
        <w:t xml:space="preserve"> and evaluation of the importance of International Financial Management (IFM) for Toyota</w:t>
      </w:r>
    </w:p>
    <w:p w14:paraId="3E999352" w14:textId="77777777" w:rsidR="00494DED" w:rsidRDefault="00494DED" w:rsidP="00494DED">
      <w:pPr>
        <w:rPr>
          <w:rFonts w:ascii="Times New Roman" w:hAnsi="Times New Roman" w:cs="Times New Roman"/>
          <w:b/>
          <w:bCs/>
          <w:sz w:val="32"/>
          <w:szCs w:val="32"/>
        </w:rPr>
      </w:pPr>
    </w:p>
    <w:p w14:paraId="24B57A12" w14:textId="77777777" w:rsidR="00494DED" w:rsidRDefault="00494DED" w:rsidP="00494DED">
      <w:pPr>
        <w:rPr>
          <w:rFonts w:ascii="Times New Roman" w:hAnsi="Times New Roman" w:cs="Times New Roman"/>
          <w:b/>
          <w:bCs/>
          <w:sz w:val="32"/>
          <w:szCs w:val="32"/>
        </w:rPr>
      </w:pPr>
    </w:p>
    <w:p w14:paraId="6118D0BD" w14:textId="54F02F32"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Module Name: International Financial Management</w:t>
      </w:r>
    </w:p>
    <w:p w14:paraId="100CD873" w14:textId="2F60697A"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LCBB6002</w:t>
      </w:r>
    </w:p>
    <w:p w14:paraId="57D87BEF" w14:textId="77777777" w:rsidR="00494DED" w:rsidRDefault="00494DED" w:rsidP="00494DED">
      <w:pPr>
        <w:jc w:val="center"/>
        <w:rPr>
          <w:rFonts w:ascii="Times New Roman" w:hAnsi="Times New Roman" w:cs="Times New Roman"/>
          <w:b/>
          <w:bCs/>
          <w:sz w:val="32"/>
          <w:szCs w:val="32"/>
        </w:rPr>
      </w:pPr>
    </w:p>
    <w:p w14:paraId="27175698" w14:textId="77777777" w:rsidR="00494DED" w:rsidRDefault="00494DED" w:rsidP="00494DED">
      <w:pPr>
        <w:jc w:val="center"/>
        <w:rPr>
          <w:rFonts w:ascii="Times New Roman" w:hAnsi="Times New Roman" w:cs="Times New Roman"/>
          <w:b/>
          <w:bCs/>
          <w:sz w:val="32"/>
          <w:szCs w:val="32"/>
        </w:rPr>
      </w:pPr>
    </w:p>
    <w:p w14:paraId="4561C5BB" w14:textId="77777777"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52EB7FD5" w14:textId="77777777"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2F93F39C" w14:textId="77777777" w:rsidR="00494DED" w:rsidRDefault="00494DED" w:rsidP="00494DED">
      <w:pPr>
        <w:rPr>
          <w:rFonts w:ascii="Times New Roman" w:hAnsi="Times New Roman" w:cs="Times New Roman"/>
          <w:b/>
          <w:bCs/>
          <w:sz w:val="32"/>
          <w:szCs w:val="32"/>
        </w:rPr>
      </w:pPr>
    </w:p>
    <w:p w14:paraId="59F56A5B" w14:textId="77777777" w:rsidR="00494DED" w:rsidRDefault="00494DED" w:rsidP="00494DED">
      <w:pPr>
        <w:rPr>
          <w:rFonts w:ascii="Times New Roman" w:hAnsi="Times New Roman" w:cs="Times New Roman"/>
          <w:b/>
          <w:bCs/>
          <w:sz w:val="32"/>
          <w:szCs w:val="32"/>
        </w:rPr>
      </w:pPr>
    </w:p>
    <w:p w14:paraId="36FE1839" w14:textId="2B3F1DA1" w:rsidR="00494DED" w:rsidRDefault="00494DED" w:rsidP="00494DED">
      <w:pPr>
        <w:jc w:val="center"/>
        <w:rPr>
          <w:rFonts w:ascii="Times New Roman" w:hAnsi="Times New Roman" w:cs="Times New Roman"/>
          <w:b/>
          <w:bCs/>
          <w:sz w:val="32"/>
          <w:szCs w:val="32"/>
        </w:rPr>
      </w:pPr>
      <w:r>
        <w:rPr>
          <w:rFonts w:ascii="Times New Roman" w:hAnsi="Times New Roman" w:cs="Times New Roman"/>
          <w:b/>
          <w:bCs/>
          <w:sz w:val="32"/>
          <w:szCs w:val="32"/>
        </w:rPr>
        <w:t xml:space="preserve">Lecturer Name: </w:t>
      </w:r>
      <w:r w:rsidRPr="00494DED">
        <w:rPr>
          <w:rFonts w:ascii="Times New Roman" w:hAnsi="Times New Roman" w:cs="Times New Roman"/>
          <w:b/>
          <w:bCs/>
          <w:sz w:val="32"/>
          <w:szCs w:val="32"/>
        </w:rPr>
        <w:t xml:space="preserve">Dr. </w:t>
      </w:r>
      <w:proofErr w:type="spellStart"/>
      <w:r w:rsidRPr="00494DED">
        <w:rPr>
          <w:rFonts w:ascii="Times New Roman" w:hAnsi="Times New Roman" w:cs="Times New Roman"/>
          <w:b/>
          <w:bCs/>
          <w:sz w:val="32"/>
          <w:szCs w:val="32"/>
        </w:rPr>
        <w:t>Rexon</w:t>
      </w:r>
      <w:proofErr w:type="spellEnd"/>
      <w:r w:rsidRPr="00494DED">
        <w:rPr>
          <w:rFonts w:ascii="Times New Roman" w:hAnsi="Times New Roman" w:cs="Times New Roman"/>
          <w:b/>
          <w:bCs/>
          <w:sz w:val="32"/>
          <w:szCs w:val="32"/>
        </w:rPr>
        <w:t xml:space="preserve"> </w:t>
      </w:r>
      <w:proofErr w:type="spellStart"/>
      <w:r w:rsidRPr="00494DED">
        <w:rPr>
          <w:rFonts w:ascii="Times New Roman" w:hAnsi="Times New Roman" w:cs="Times New Roman"/>
          <w:b/>
          <w:bCs/>
          <w:sz w:val="32"/>
          <w:szCs w:val="32"/>
        </w:rPr>
        <w:t>Nting</w:t>
      </w:r>
      <w:proofErr w:type="spellEnd"/>
    </w:p>
    <w:p w14:paraId="421F17CD" w14:textId="7A95D631" w:rsidR="00494DED" w:rsidRDefault="00494DED" w:rsidP="00AA1D60">
      <w:pPr>
        <w:jc w:val="center"/>
        <w:rPr>
          <w:rFonts w:ascii="Times New Roman" w:hAnsi="Times New Roman" w:cs="Times New Roman"/>
          <w:b/>
          <w:bCs/>
          <w:sz w:val="32"/>
          <w:szCs w:val="32"/>
        </w:rPr>
      </w:pPr>
      <w:r>
        <w:rPr>
          <w:rFonts w:ascii="Times New Roman" w:hAnsi="Times New Roman" w:cs="Times New Roman"/>
          <w:b/>
          <w:bCs/>
          <w:sz w:val="32"/>
          <w:szCs w:val="32"/>
        </w:rPr>
        <w:t>Date:</w:t>
      </w:r>
    </w:p>
    <w:p w14:paraId="789B2C21" w14:textId="77777777" w:rsidR="00494DED" w:rsidRDefault="00494DED" w:rsidP="00494DED">
      <w:pPr>
        <w:jc w:val="center"/>
        <w:rPr>
          <w:rFonts w:ascii="Times New Roman" w:hAnsi="Times New Roman" w:cs="Times New Roman"/>
          <w:b/>
          <w:bCs/>
          <w:sz w:val="32"/>
          <w:szCs w:val="32"/>
        </w:rPr>
      </w:pPr>
    </w:p>
    <w:sdt>
      <w:sdtPr>
        <w:rPr>
          <w:rFonts w:asciiTheme="minorHAnsi" w:eastAsiaTheme="minorHAnsi" w:hAnsiTheme="minorHAnsi" w:cstheme="minorBidi"/>
          <w:color w:val="auto"/>
          <w:sz w:val="22"/>
          <w:szCs w:val="22"/>
          <w:lang w:val="en-GB"/>
        </w:rPr>
        <w:id w:val="419914917"/>
        <w:docPartObj>
          <w:docPartGallery w:val="Table of Contents"/>
          <w:docPartUnique/>
        </w:docPartObj>
      </w:sdtPr>
      <w:sdtEndPr>
        <w:rPr>
          <w:b/>
          <w:bCs/>
          <w:noProof/>
        </w:rPr>
      </w:sdtEndPr>
      <w:sdtContent>
        <w:p w14:paraId="2F915DCB" w14:textId="0E41F93F" w:rsidR="00494DED" w:rsidRPr="005265A4" w:rsidRDefault="00494DED">
          <w:pPr>
            <w:pStyle w:val="TOCHeading"/>
            <w:rPr>
              <w:b/>
              <w:bCs/>
              <w:sz w:val="28"/>
              <w:szCs w:val="28"/>
            </w:rPr>
          </w:pPr>
          <w:r w:rsidRPr="005265A4">
            <w:rPr>
              <w:b/>
              <w:bCs/>
              <w:sz w:val="28"/>
              <w:szCs w:val="28"/>
            </w:rPr>
            <w:t>Table of Contents</w:t>
          </w:r>
        </w:p>
        <w:p w14:paraId="251E55FD" w14:textId="77777777" w:rsidR="00494DED" w:rsidRPr="00494DED" w:rsidRDefault="00494DED" w:rsidP="00494DED">
          <w:pPr>
            <w:rPr>
              <w:sz w:val="24"/>
              <w:szCs w:val="24"/>
              <w:lang w:val="en-US"/>
            </w:rPr>
          </w:pPr>
        </w:p>
        <w:p w14:paraId="12AA533B" w14:textId="17E829FC" w:rsidR="00494DED" w:rsidRPr="00494DED" w:rsidRDefault="00494DED">
          <w:pPr>
            <w:pStyle w:val="TOC1"/>
            <w:tabs>
              <w:tab w:val="right" w:leader="dot" w:pos="9350"/>
            </w:tabs>
            <w:rPr>
              <w:noProof/>
              <w:sz w:val="24"/>
              <w:szCs w:val="24"/>
            </w:rPr>
          </w:pPr>
          <w:r w:rsidRPr="00494DED">
            <w:rPr>
              <w:sz w:val="24"/>
              <w:szCs w:val="24"/>
            </w:rPr>
            <w:fldChar w:fldCharType="begin"/>
          </w:r>
          <w:r w:rsidRPr="00494DED">
            <w:rPr>
              <w:sz w:val="24"/>
              <w:szCs w:val="24"/>
            </w:rPr>
            <w:instrText xml:space="preserve"> TOC \o "1-3" \h \z \u </w:instrText>
          </w:r>
          <w:r w:rsidRPr="00494DED">
            <w:rPr>
              <w:sz w:val="24"/>
              <w:szCs w:val="24"/>
            </w:rPr>
            <w:fldChar w:fldCharType="separate"/>
          </w:r>
          <w:hyperlink w:anchor="_Toc140744954" w:history="1">
            <w:r w:rsidRPr="00494DED">
              <w:rPr>
                <w:rStyle w:val="Hyperlink"/>
                <w:rFonts w:cstheme="majorHAnsi"/>
                <w:noProof/>
                <w:sz w:val="24"/>
                <w:szCs w:val="24"/>
              </w:rPr>
              <w:t>Introduction</w:t>
            </w:r>
            <w:r w:rsidRPr="00494DED">
              <w:rPr>
                <w:noProof/>
                <w:webHidden/>
                <w:sz w:val="24"/>
                <w:szCs w:val="24"/>
              </w:rPr>
              <w:tab/>
            </w:r>
            <w:r w:rsidRPr="00494DED">
              <w:rPr>
                <w:noProof/>
                <w:webHidden/>
                <w:sz w:val="24"/>
                <w:szCs w:val="24"/>
              </w:rPr>
              <w:fldChar w:fldCharType="begin"/>
            </w:r>
            <w:r w:rsidRPr="00494DED">
              <w:rPr>
                <w:noProof/>
                <w:webHidden/>
                <w:sz w:val="24"/>
                <w:szCs w:val="24"/>
              </w:rPr>
              <w:instrText xml:space="preserve"> PAGEREF _Toc140744954 \h </w:instrText>
            </w:r>
            <w:r w:rsidRPr="00494DED">
              <w:rPr>
                <w:noProof/>
                <w:webHidden/>
                <w:sz w:val="24"/>
                <w:szCs w:val="24"/>
              </w:rPr>
            </w:r>
            <w:r w:rsidRPr="00494DED">
              <w:rPr>
                <w:noProof/>
                <w:webHidden/>
                <w:sz w:val="24"/>
                <w:szCs w:val="24"/>
              </w:rPr>
              <w:fldChar w:fldCharType="separate"/>
            </w:r>
            <w:r w:rsidRPr="00494DED">
              <w:rPr>
                <w:noProof/>
                <w:webHidden/>
                <w:sz w:val="24"/>
                <w:szCs w:val="24"/>
              </w:rPr>
              <w:t>2</w:t>
            </w:r>
            <w:r w:rsidRPr="00494DED">
              <w:rPr>
                <w:noProof/>
                <w:webHidden/>
                <w:sz w:val="24"/>
                <w:szCs w:val="24"/>
              </w:rPr>
              <w:fldChar w:fldCharType="end"/>
            </w:r>
          </w:hyperlink>
        </w:p>
        <w:p w14:paraId="2B47C4F1" w14:textId="13DF98A7" w:rsidR="00494DED" w:rsidRPr="00494DED" w:rsidRDefault="00000000">
          <w:pPr>
            <w:pStyle w:val="TOC1"/>
            <w:tabs>
              <w:tab w:val="right" w:leader="dot" w:pos="9350"/>
            </w:tabs>
            <w:rPr>
              <w:noProof/>
              <w:sz w:val="24"/>
              <w:szCs w:val="24"/>
            </w:rPr>
          </w:pPr>
          <w:hyperlink w:anchor="_Toc140744955" w:history="1">
            <w:r w:rsidR="00494DED" w:rsidRPr="00494DED">
              <w:rPr>
                <w:rStyle w:val="Hyperlink"/>
                <w:rFonts w:cstheme="majorHAnsi"/>
                <w:noProof/>
                <w:sz w:val="24"/>
                <w:szCs w:val="24"/>
              </w:rPr>
              <w:t>Toyota Company</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_Toc140744955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2</w:t>
            </w:r>
            <w:r w:rsidR="00494DED" w:rsidRPr="00494DED">
              <w:rPr>
                <w:noProof/>
                <w:webHidden/>
                <w:sz w:val="24"/>
                <w:szCs w:val="24"/>
              </w:rPr>
              <w:fldChar w:fldCharType="end"/>
            </w:r>
          </w:hyperlink>
        </w:p>
        <w:p w14:paraId="7B5B2877" w14:textId="127EB135" w:rsidR="00494DED" w:rsidRPr="00494DED" w:rsidRDefault="00000000">
          <w:pPr>
            <w:pStyle w:val="TOC1"/>
            <w:tabs>
              <w:tab w:val="right" w:leader="dot" w:pos="9350"/>
            </w:tabs>
            <w:rPr>
              <w:noProof/>
              <w:sz w:val="24"/>
              <w:szCs w:val="24"/>
            </w:rPr>
          </w:pPr>
          <w:hyperlink w:anchor="_Toc140744956" w:history="1">
            <w:r w:rsidR="00494DED" w:rsidRPr="00494DED">
              <w:rPr>
                <w:rStyle w:val="Hyperlink"/>
                <w:rFonts w:cstheme="majorHAnsi"/>
                <w:noProof/>
                <w:sz w:val="24"/>
                <w:szCs w:val="24"/>
              </w:rPr>
              <w:t>Importance of IFM and challenges experienced in various markets</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_Toc140744956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2</w:t>
            </w:r>
            <w:r w:rsidR="00494DED" w:rsidRPr="00494DED">
              <w:rPr>
                <w:noProof/>
                <w:webHidden/>
                <w:sz w:val="24"/>
                <w:szCs w:val="24"/>
              </w:rPr>
              <w:fldChar w:fldCharType="end"/>
            </w:r>
          </w:hyperlink>
        </w:p>
        <w:p w14:paraId="732C520A" w14:textId="444877FB" w:rsidR="00494DED" w:rsidRPr="00494DED" w:rsidRDefault="00000000">
          <w:pPr>
            <w:pStyle w:val="TOC1"/>
            <w:tabs>
              <w:tab w:val="right" w:leader="dot" w:pos="9350"/>
            </w:tabs>
            <w:rPr>
              <w:noProof/>
              <w:sz w:val="24"/>
              <w:szCs w:val="24"/>
            </w:rPr>
          </w:pPr>
          <w:hyperlink w:anchor="_Toc140744957" w:history="1">
            <w:r w:rsidR="00494DED" w:rsidRPr="00494DED">
              <w:rPr>
                <w:rStyle w:val="Hyperlink"/>
                <w:rFonts w:cstheme="majorHAnsi"/>
                <w:noProof/>
                <w:sz w:val="24"/>
                <w:szCs w:val="24"/>
              </w:rPr>
              <w:t>The challenges that Toyota Company encounters in the globalised economy</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_Toc140744957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3</w:t>
            </w:r>
            <w:r w:rsidR="00494DED" w:rsidRPr="00494DED">
              <w:rPr>
                <w:noProof/>
                <w:webHidden/>
                <w:sz w:val="24"/>
                <w:szCs w:val="24"/>
              </w:rPr>
              <w:fldChar w:fldCharType="end"/>
            </w:r>
          </w:hyperlink>
        </w:p>
        <w:p w14:paraId="065450BB" w14:textId="5B4FF5F2" w:rsidR="00494DED" w:rsidRPr="00494DED" w:rsidRDefault="00000000">
          <w:pPr>
            <w:pStyle w:val="TOC1"/>
            <w:tabs>
              <w:tab w:val="right" w:leader="dot" w:pos="9350"/>
            </w:tabs>
            <w:rPr>
              <w:noProof/>
              <w:sz w:val="24"/>
              <w:szCs w:val="24"/>
            </w:rPr>
          </w:pPr>
          <w:hyperlink w:anchor="_Toc140744958" w:history="1">
            <w:r w:rsidR="00494DED" w:rsidRPr="00494DED">
              <w:rPr>
                <w:rStyle w:val="Hyperlink"/>
                <w:rFonts w:cstheme="majorHAnsi"/>
                <w:noProof/>
                <w:sz w:val="24"/>
                <w:szCs w:val="24"/>
              </w:rPr>
              <w:t>Dividend distribution policy</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_Toc140744958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3</w:t>
            </w:r>
            <w:r w:rsidR="00494DED" w:rsidRPr="00494DED">
              <w:rPr>
                <w:noProof/>
                <w:webHidden/>
                <w:sz w:val="24"/>
                <w:szCs w:val="24"/>
              </w:rPr>
              <w:fldChar w:fldCharType="end"/>
            </w:r>
          </w:hyperlink>
        </w:p>
        <w:p w14:paraId="6BA9DC97" w14:textId="23521828" w:rsidR="00494DED" w:rsidRPr="00494DED" w:rsidRDefault="00000000">
          <w:pPr>
            <w:pStyle w:val="TOC1"/>
            <w:tabs>
              <w:tab w:val="right" w:leader="dot" w:pos="9350"/>
            </w:tabs>
            <w:rPr>
              <w:noProof/>
              <w:sz w:val="24"/>
              <w:szCs w:val="24"/>
            </w:rPr>
          </w:pPr>
          <w:hyperlink w:anchor="_Toc140744959" w:history="1">
            <w:r w:rsidR="00494DED" w:rsidRPr="00494DED">
              <w:rPr>
                <w:rStyle w:val="Hyperlink"/>
                <w:noProof/>
                <w:sz w:val="24"/>
                <w:szCs w:val="24"/>
              </w:rPr>
              <w:t>Efficient market hypothesis theory</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_Toc140744959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6</w:t>
            </w:r>
            <w:r w:rsidR="00494DED" w:rsidRPr="00494DED">
              <w:rPr>
                <w:noProof/>
                <w:webHidden/>
                <w:sz w:val="24"/>
                <w:szCs w:val="24"/>
              </w:rPr>
              <w:fldChar w:fldCharType="end"/>
            </w:r>
          </w:hyperlink>
        </w:p>
        <w:p w14:paraId="6E8071B5" w14:textId="60C6412A" w:rsidR="00494DED" w:rsidRPr="00494DED" w:rsidRDefault="00000000">
          <w:pPr>
            <w:pStyle w:val="TOC1"/>
            <w:tabs>
              <w:tab w:val="right" w:leader="dot" w:pos="9350"/>
            </w:tabs>
            <w:rPr>
              <w:noProof/>
              <w:sz w:val="24"/>
              <w:szCs w:val="24"/>
            </w:rPr>
          </w:pPr>
          <w:hyperlink w:anchor="_Toc140744960" w:history="1">
            <w:r w:rsidR="00494DED" w:rsidRPr="00494DED">
              <w:rPr>
                <w:rStyle w:val="Hyperlink"/>
                <w:rFonts w:cstheme="majorHAnsi"/>
                <w:noProof/>
                <w:sz w:val="24"/>
                <w:szCs w:val="24"/>
              </w:rPr>
              <w:t>Conclusion</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_Toc140744960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7</w:t>
            </w:r>
            <w:r w:rsidR="00494DED" w:rsidRPr="00494DED">
              <w:rPr>
                <w:noProof/>
                <w:webHidden/>
                <w:sz w:val="24"/>
                <w:szCs w:val="24"/>
              </w:rPr>
              <w:fldChar w:fldCharType="end"/>
            </w:r>
          </w:hyperlink>
        </w:p>
        <w:p w14:paraId="50971979" w14:textId="4629F7C2" w:rsidR="00494DED" w:rsidRPr="00494DED" w:rsidRDefault="00000000">
          <w:pPr>
            <w:pStyle w:val="TOC1"/>
            <w:tabs>
              <w:tab w:val="right" w:leader="dot" w:pos="9350"/>
            </w:tabs>
            <w:rPr>
              <w:noProof/>
              <w:sz w:val="24"/>
              <w:szCs w:val="24"/>
            </w:rPr>
          </w:pPr>
          <w:hyperlink w:anchor="_Toc140744961" w:history="1">
            <w:r w:rsidR="00494DED" w:rsidRPr="00494DED">
              <w:rPr>
                <w:rStyle w:val="Hyperlink"/>
                <w:rFonts w:cstheme="majorHAnsi"/>
                <w:noProof/>
                <w:sz w:val="24"/>
                <w:szCs w:val="24"/>
              </w:rPr>
              <w:t>References</w:t>
            </w:r>
            <w:r w:rsidR="00494DED" w:rsidRPr="00494DED">
              <w:rPr>
                <w:noProof/>
                <w:webHidden/>
                <w:sz w:val="24"/>
                <w:szCs w:val="24"/>
              </w:rPr>
              <w:tab/>
            </w:r>
            <w:r w:rsidR="00494DED" w:rsidRPr="00494DED">
              <w:rPr>
                <w:noProof/>
                <w:webHidden/>
                <w:sz w:val="24"/>
                <w:szCs w:val="24"/>
              </w:rPr>
              <w:fldChar w:fldCharType="begin"/>
            </w:r>
            <w:r w:rsidR="00494DED" w:rsidRPr="00494DED">
              <w:rPr>
                <w:noProof/>
                <w:webHidden/>
                <w:sz w:val="24"/>
                <w:szCs w:val="24"/>
              </w:rPr>
              <w:instrText xml:space="preserve"> PAGEREF _Toc140744961 \h </w:instrText>
            </w:r>
            <w:r w:rsidR="00494DED" w:rsidRPr="00494DED">
              <w:rPr>
                <w:noProof/>
                <w:webHidden/>
                <w:sz w:val="24"/>
                <w:szCs w:val="24"/>
              </w:rPr>
            </w:r>
            <w:r w:rsidR="00494DED" w:rsidRPr="00494DED">
              <w:rPr>
                <w:noProof/>
                <w:webHidden/>
                <w:sz w:val="24"/>
                <w:szCs w:val="24"/>
              </w:rPr>
              <w:fldChar w:fldCharType="separate"/>
            </w:r>
            <w:r w:rsidR="00494DED" w:rsidRPr="00494DED">
              <w:rPr>
                <w:noProof/>
                <w:webHidden/>
                <w:sz w:val="24"/>
                <w:szCs w:val="24"/>
              </w:rPr>
              <w:t>8</w:t>
            </w:r>
            <w:r w:rsidR="00494DED" w:rsidRPr="00494DED">
              <w:rPr>
                <w:noProof/>
                <w:webHidden/>
                <w:sz w:val="24"/>
                <w:szCs w:val="24"/>
              </w:rPr>
              <w:fldChar w:fldCharType="end"/>
            </w:r>
          </w:hyperlink>
        </w:p>
        <w:p w14:paraId="76C7FAA7" w14:textId="5312AB49" w:rsidR="00494DED" w:rsidRDefault="00494DED">
          <w:r w:rsidRPr="00494DED">
            <w:rPr>
              <w:b/>
              <w:bCs/>
              <w:noProof/>
              <w:sz w:val="24"/>
              <w:szCs w:val="24"/>
            </w:rPr>
            <w:fldChar w:fldCharType="end"/>
          </w:r>
        </w:p>
      </w:sdtContent>
    </w:sdt>
    <w:p w14:paraId="0B886591" w14:textId="77777777" w:rsidR="00494DED" w:rsidRDefault="00494DED" w:rsidP="00494DED">
      <w:pPr>
        <w:rPr>
          <w:rFonts w:ascii="Times New Roman" w:hAnsi="Times New Roman" w:cs="Times New Roman"/>
          <w:b/>
          <w:bCs/>
          <w:sz w:val="32"/>
          <w:szCs w:val="32"/>
        </w:rPr>
      </w:pPr>
    </w:p>
    <w:p w14:paraId="12579419" w14:textId="77777777" w:rsidR="00494DED" w:rsidRDefault="00494DED" w:rsidP="00494DED">
      <w:pPr>
        <w:rPr>
          <w:rFonts w:ascii="Times New Roman" w:hAnsi="Times New Roman" w:cs="Times New Roman"/>
          <w:b/>
          <w:bCs/>
          <w:sz w:val="32"/>
          <w:szCs w:val="32"/>
        </w:rPr>
      </w:pPr>
    </w:p>
    <w:p w14:paraId="5FEBB122" w14:textId="77777777" w:rsidR="00494DED" w:rsidRDefault="00494DED" w:rsidP="00494DED">
      <w:pPr>
        <w:rPr>
          <w:rFonts w:ascii="Times New Roman" w:hAnsi="Times New Roman" w:cs="Times New Roman"/>
          <w:b/>
          <w:bCs/>
          <w:sz w:val="32"/>
          <w:szCs w:val="32"/>
        </w:rPr>
      </w:pPr>
    </w:p>
    <w:p w14:paraId="4C206348" w14:textId="77777777" w:rsidR="00494DED" w:rsidRDefault="00494DED" w:rsidP="00494DED">
      <w:pPr>
        <w:rPr>
          <w:rFonts w:ascii="Times New Roman" w:hAnsi="Times New Roman" w:cs="Times New Roman"/>
          <w:b/>
          <w:bCs/>
          <w:sz w:val="32"/>
          <w:szCs w:val="32"/>
        </w:rPr>
      </w:pPr>
    </w:p>
    <w:p w14:paraId="14F37B6A" w14:textId="77777777" w:rsidR="00494DED" w:rsidRDefault="00494DED" w:rsidP="00494DED">
      <w:pPr>
        <w:rPr>
          <w:rFonts w:ascii="Times New Roman" w:hAnsi="Times New Roman" w:cs="Times New Roman"/>
          <w:b/>
          <w:bCs/>
          <w:sz w:val="32"/>
          <w:szCs w:val="32"/>
        </w:rPr>
      </w:pPr>
    </w:p>
    <w:p w14:paraId="643B2D00" w14:textId="77777777" w:rsidR="00494DED" w:rsidRDefault="00494DED" w:rsidP="00494DED">
      <w:pPr>
        <w:rPr>
          <w:rFonts w:ascii="Times New Roman" w:hAnsi="Times New Roman" w:cs="Times New Roman"/>
          <w:b/>
          <w:bCs/>
          <w:sz w:val="32"/>
          <w:szCs w:val="32"/>
        </w:rPr>
      </w:pPr>
    </w:p>
    <w:p w14:paraId="1300A5B1" w14:textId="77777777" w:rsidR="00494DED" w:rsidRDefault="00494DED" w:rsidP="00494DED">
      <w:pPr>
        <w:rPr>
          <w:rFonts w:ascii="Times New Roman" w:hAnsi="Times New Roman" w:cs="Times New Roman"/>
          <w:b/>
          <w:bCs/>
          <w:sz w:val="32"/>
          <w:szCs w:val="32"/>
        </w:rPr>
      </w:pPr>
    </w:p>
    <w:p w14:paraId="65BD416E" w14:textId="77777777" w:rsidR="00494DED" w:rsidRDefault="00494DED" w:rsidP="00494DED">
      <w:pPr>
        <w:rPr>
          <w:rFonts w:ascii="Times New Roman" w:hAnsi="Times New Roman" w:cs="Times New Roman"/>
          <w:b/>
          <w:bCs/>
          <w:sz w:val="32"/>
          <w:szCs w:val="32"/>
        </w:rPr>
      </w:pPr>
    </w:p>
    <w:p w14:paraId="102C2ABC" w14:textId="77777777" w:rsidR="00494DED" w:rsidRDefault="00494DED" w:rsidP="00494DED">
      <w:pPr>
        <w:rPr>
          <w:rFonts w:ascii="Times New Roman" w:hAnsi="Times New Roman" w:cs="Times New Roman"/>
          <w:b/>
          <w:bCs/>
          <w:sz w:val="32"/>
          <w:szCs w:val="32"/>
        </w:rPr>
      </w:pPr>
    </w:p>
    <w:p w14:paraId="11A6D95B" w14:textId="77777777" w:rsidR="00494DED" w:rsidRDefault="00494DED" w:rsidP="00494DED">
      <w:pPr>
        <w:rPr>
          <w:rFonts w:ascii="Times New Roman" w:hAnsi="Times New Roman" w:cs="Times New Roman"/>
          <w:b/>
          <w:bCs/>
          <w:sz w:val="32"/>
          <w:szCs w:val="32"/>
        </w:rPr>
      </w:pPr>
    </w:p>
    <w:p w14:paraId="0A29EFEF" w14:textId="77777777" w:rsidR="00494DED" w:rsidRDefault="00494DED" w:rsidP="00494DED">
      <w:pPr>
        <w:rPr>
          <w:rFonts w:ascii="Times New Roman" w:hAnsi="Times New Roman" w:cs="Times New Roman"/>
          <w:b/>
          <w:bCs/>
          <w:sz w:val="32"/>
          <w:szCs w:val="32"/>
        </w:rPr>
      </w:pPr>
    </w:p>
    <w:p w14:paraId="34F62BA5" w14:textId="77777777" w:rsidR="00494DED" w:rsidRDefault="00494DED" w:rsidP="00494DED">
      <w:pPr>
        <w:rPr>
          <w:rFonts w:ascii="Times New Roman" w:hAnsi="Times New Roman" w:cs="Times New Roman"/>
          <w:b/>
          <w:bCs/>
          <w:sz w:val="32"/>
          <w:szCs w:val="32"/>
        </w:rPr>
      </w:pPr>
    </w:p>
    <w:p w14:paraId="12C7C9DD" w14:textId="77777777" w:rsidR="00494DED" w:rsidRDefault="00494DED" w:rsidP="00494DED">
      <w:pPr>
        <w:rPr>
          <w:rFonts w:ascii="Times New Roman" w:hAnsi="Times New Roman" w:cs="Times New Roman"/>
          <w:b/>
          <w:bCs/>
          <w:sz w:val="32"/>
          <w:szCs w:val="32"/>
        </w:rPr>
      </w:pPr>
    </w:p>
    <w:p w14:paraId="392ADF2C" w14:textId="77777777" w:rsidR="00494DED" w:rsidRDefault="00494DED" w:rsidP="00494DED">
      <w:pPr>
        <w:rPr>
          <w:rFonts w:ascii="Times New Roman" w:hAnsi="Times New Roman" w:cs="Times New Roman"/>
          <w:b/>
          <w:bCs/>
          <w:sz w:val="32"/>
          <w:szCs w:val="32"/>
        </w:rPr>
      </w:pPr>
    </w:p>
    <w:p w14:paraId="1850EB1D" w14:textId="77777777" w:rsidR="00A310D2" w:rsidRPr="005265A4" w:rsidRDefault="004C72BB" w:rsidP="00494DED">
      <w:pPr>
        <w:pStyle w:val="Heading1"/>
        <w:rPr>
          <w:rFonts w:cstheme="majorHAnsi"/>
          <w:b/>
          <w:bCs/>
          <w:sz w:val="28"/>
          <w:szCs w:val="28"/>
        </w:rPr>
      </w:pPr>
      <w:bookmarkStart w:id="0" w:name="_Toc140744954"/>
      <w:r w:rsidRPr="005265A4">
        <w:rPr>
          <w:rFonts w:cstheme="majorHAnsi"/>
          <w:b/>
          <w:bCs/>
          <w:sz w:val="28"/>
          <w:szCs w:val="28"/>
        </w:rPr>
        <w:lastRenderedPageBreak/>
        <w:t>Introduction</w:t>
      </w:r>
      <w:bookmarkEnd w:id="0"/>
    </w:p>
    <w:p w14:paraId="13793C23" w14:textId="77777777" w:rsidR="00494DED" w:rsidRPr="00494DED" w:rsidRDefault="00494DED" w:rsidP="00494DED">
      <w:pPr>
        <w:rPr>
          <w:sz w:val="24"/>
          <w:szCs w:val="24"/>
        </w:rPr>
      </w:pPr>
    </w:p>
    <w:p w14:paraId="735885FB" w14:textId="5600751B" w:rsidR="00F02C50" w:rsidRPr="00494DED" w:rsidRDefault="005B4799" w:rsidP="00170BE1">
      <w:pPr>
        <w:spacing w:line="360" w:lineRule="auto"/>
        <w:jc w:val="both"/>
        <w:rPr>
          <w:rFonts w:cstheme="minorHAnsi"/>
          <w:sz w:val="24"/>
          <w:szCs w:val="24"/>
        </w:rPr>
      </w:pPr>
      <w:r w:rsidRPr="00494DED">
        <w:rPr>
          <w:rFonts w:cstheme="minorHAnsi"/>
          <w:sz w:val="24"/>
          <w:szCs w:val="24"/>
        </w:rPr>
        <w:t xml:space="preserve">International finance management </w:t>
      </w:r>
      <w:r w:rsidR="00150B4E" w:rsidRPr="00494DED">
        <w:rPr>
          <w:rFonts w:cstheme="minorHAnsi"/>
          <w:sz w:val="24"/>
          <w:szCs w:val="24"/>
        </w:rPr>
        <w:t xml:space="preserve">(IFM) </w:t>
      </w:r>
      <w:r w:rsidRPr="00494DED">
        <w:rPr>
          <w:rFonts w:cstheme="minorHAnsi"/>
          <w:sz w:val="24"/>
          <w:szCs w:val="24"/>
        </w:rPr>
        <w:t xml:space="preserve">entails controlling currency exchange risks, </w:t>
      </w:r>
      <w:r w:rsidR="00AB00F9" w:rsidRPr="00494DED">
        <w:rPr>
          <w:rFonts w:cstheme="minorHAnsi"/>
          <w:sz w:val="24"/>
          <w:szCs w:val="24"/>
        </w:rPr>
        <w:t>investing</w:t>
      </w:r>
      <w:r w:rsidRPr="00494DED">
        <w:rPr>
          <w:rFonts w:cstheme="minorHAnsi"/>
          <w:sz w:val="24"/>
          <w:szCs w:val="24"/>
        </w:rPr>
        <w:t xml:space="preserve"> in overseas markets, and following global financial rules. </w:t>
      </w:r>
      <w:r w:rsidR="00F02C50" w:rsidRPr="00494DED">
        <w:rPr>
          <w:rFonts w:cstheme="minorHAnsi"/>
          <w:sz w:val="24"/>
          <w:szCs w:val="24"/>
        </w:rPr>
        <w:t xml:space="preserve">This essay </w:t>
      </w:r>
      <w:r w:rsidR="00AB00F9" w:rsidRPr="00494DED">
        <w:rPr>
          <w:rFonts w:cstheme="minorHAnsi"/>
          <w:sz w:val="24"/>
          <w:szCs w:val="24"/>
        </w:rPr>
        <w:t>examines</w:t>
      </w:r>
      <w:r w:rsidR="00F02C50" w:rsidRPr="00494DED">
        <w:rPr>
          <w:rFonts w:cstheme="minorHAnsi"/>
          <w:sz w:val="24"/>
          <w:szCs w:val="24"/>
        </w:rPr>
        <w:t xml:space="preserve"> </w:t>
      </w:r>
      <w:r w:rsidR="00170BE1" w:rsidRPr="00494DED">
        <w:rPr>
          <w:rFonts w:cstheme="minorHAnsi"/>
          <w:sz w:val="24"/>
          <w:szCs w:val="24"/>
        </w:rPr>
        <w:t xml:space="preserve">Toyota </w:t>
      </w:r>
      <w:r w:rsidR="00F02C50" w:rsidRPr="00494DED">
        <w:rPr>
          <w:rFonts w:cstheme="minorHAnsi"/>
          <w:sz w:val="24"/>
          <w:szCs w:val="24"/>
        </w:rPr>
        <w:t xml:space="preserve">Company's challenges in </w:t>
      </w:r>
      <w:r w:rsidR="00AB00F9" w:rsidRPr="00494DED">
        <w:rPr>
          <w:rFonts w:cstheme="minorHAnsi"/>
          <w:sz w:val="24"/>
          <w:szCs w:val="24"/>
        </w:rPr>
        <w:t>several</w:t>
      </w:r>
      <w:r w:rsidR="00F02C50" w:rsidRPr="00494DED">
        <w:rPr>
          <w:rFonts w:cstheme="minorHAnsi"/>
          <w:sz w:val="24"/>
          <w:szCs w:val="24"/>
        </w:rPr>
        <w:t xml:space="preserve"> worldwide financial marketplaces. Additionally, it will evaluate Toyota Limited's dividend distribution plan. A critical analysis of the efficient market hypothesis idea will also be done in relation to how Toyota Limited operates. The final section of this essay will discuss and evaluate the project assessment techniques employed by Toyota Limited.</w:t>
      </w:r>
    </w:p>
    <w:p w14:paraId="2A06EF37" w14:textId="77777777" w:rsidR="00494DED" w:rsidRPr="00494DED" w:rsidRDefault="00494DED" w:rsidP="00170BE1">
      <w:pPr>
        <w:spacing w:line="360" w:lineRule="auto"/>
        <w:jc w:val="both"/>
        <w:rPr>
          <w:rFonts w:cstheme="minorHAnsi"/>
          <w:sz w:val="24"/>
          <w:szCs w:val="24"/>
        </w:rPr>
      </w:pPr>
    </w:p>
    <w:p w14:paraId="2618F535" w14:textId="77777777" w:rsidR="00B37029" w:rsidRPr="005265A4" w:rsidRDefault="00B37029" w:rsidP="00494DED">
      <w:pPr>
        <w:pStyle w:val="Heading1"/>
        <w:rPr>
          <w:rFonts w:cstheme="majorHAnsi"/>
          <w:b/>
          <w:bCs/>
          <w:sz w:val="28"/>
          <w:szCs w:val="28"/>
        </w:rPr>
      </w:pPr>
      <w:bookmarkStart w:id="1" w:name="_Toc140744955"/>
      <w:r w:rsidRPr="005265A4">
        <w:rPr>
          <w:rFonts w:cstheme="majorHAnsi"/>
          <w:b/>
          <w:bCs/>
          <w:sz w:val="28"/>
          <w:szCs w:val="28"/>
        </w:rPr>
        <w:t>Toyota Company</w:t>
      </w:r>
      <w:bookmarkEnd w:id="1"/>
    </w:p>
    <w:p w14:paraId="00D6DAF8" w14:textId="77777777" w:rsidR="00494DED" w:rsidRPr="00494DED" w:rsidRDefault="00494DED" w:rsidP="00494DED">
      <w:pPr>
        <w:rPr>
          <w:sz w:val="24"/>
          <w:szCs w:val="24"/>
        </w:rPr>
      </w:pPr>
    </w:p>
    <w:p w14:paraId="2683B205" w14:textId="77777777" w:rsidR="00BE1A10" w:rsidRPr="00494DED" w:rsidRDefault="0066664A" w:rsidP="00170BE1">
      <w:pPr>
        <w:spacing w:line="360" w:lineRule="auto"/>
        <w:jc w:val="both"/>
        <w:rPr>
          <w:rFonts w:cstheme="minorHAnsi"/>
          <w:sz w:val="24"/>
          <w:szCs w:val="24"/>
        </w:rPr>
      </w:pPr>
      <w:r w:rsidRPr="00494DED">
        <w:rPr>
          <w:rFonts w:cstheme="minorHAnsi"/>
          <w:sz w:val="24"/>
          <w:szCs w:val="24"/>
        </w:rPr>
        <w:t>Toyota Motor Company</w:t>
      </w:r>
      <w:r w:rsidR="00B37029" w:rsidRPr="00494DED">
        <w:rPr>
          <w:rFonts w:cstheme="minorHAnsi"/>
          <w:sz w:val="24"/>
          <w:szCs w:val="24"/>
        </w:rPr>
        <w:t xml:space="preserve"> produces and markets automobiles and auto parts. It does business across several segments, including the automotive and financial services industries. </w:t>
      </w:r>
      <w:r w:rsidR="00A456C7" w:rsidRPr="00494DED">
        <w:rPr>
          <w:rFonts w:cstheme="minorHAnsi"/>
          <w:sz w:val="24"/>
          <w:szCs w:val="24"/>
        </w:rPr>
        <w:t xml:space="preserve">The </w:t>
      </w:r>
      <w:r w:rsidR="00AB00F9" w:rsidRPr="00494DED">
        <w:rPr>
          <w:rFonts w:cstheme="minorHAnsi"/>
          <w:sz w:val="24"/>
          <w:szCs w:val="24"/>
        </w:rPr>
        <w:t>F</w:t>
      </w:r>
      <w:r w:rsidR="00A456C7" w:rsidRPr="00494DED">
        <w:rPr>
          <w:rFonts w:cstheme="minorHAnsi"/>
          <w:sz w:val="24"/>
          <w:szCs w:val="24"/>
        </w:rPr>
        <w:t>inancial Services division provides Toyota automobile clients and suppliers with lease financing.</w:t>
      </w:r>
      <w:r w:rsidR="004D0F91" w:rsidRPr="00494DED">
        <w:rPr>
          <w:rFonts w:cstheme="minorHAnsi"/>
          <w:sz w:val="24"/>
          <w:szCs w:val="24"/>
        </w:rPr>
        <w:t xml:space="preserve"> </w:t>
      </w:r>
      <w:r w:rsidR="00EE0A25" w:rsidRPr="00494DED">
        <w:rPr>
          <w:rFonts w:cstheme="minorHAnsi"/>
          <w:sz w:val="24"/>
          <w:szCs w:val="24"/>
        </w:rPr>
        <w:t>The organis</w:t>
      </w:r>
      <w:r w:rsidR="00BE1A10" w:rsidRPr="00494DED">
        <w:rPr>
          <w:rFonts w:cstheme="minorHAnsi"/>
          <w:sz w:val="24"/>
          <w:szCs w:val="24"/>
        </w:rPr>
        <w:t xml:space="preserve">ation's headquarters are in Toyota, Japan, and </w:t>
      </w:r>
      <w:r w:rsidR="00AB00F9" w:rsidRPr="00494DED">
        <w:rPr>
          <w:rFonts w:cstheme="minorHAnsi"/>
          <w:sz w:val="24"/>
          <w:szCs w:val="24"/>
        </w:rPr>
        <w:t>Kiichiro Toyoda established it</w:t>
      </w:r>
      <w:r w:rsidR="00BE1A10" w:rsidRPr="00494DED">
        <w:rPr>
          <w:rFonts w:cstheme="minorHAnsi"/>
          <w:sz w:val="24"/>
          <w:szCs w:val="24"/>
        </w:rPr>
        <w:t xml:space="preserve"> on August 28, 1937. The corporation had 375,235 workers as of the beginning of 2023</w:t>
      </w:r>
      <w:r w:rsidR="003B14F8" w:rsidRPr="00494DED">
        <w:rPr>
          <w:rFonts w:cstheme="minorHAnsi"/>
          <w:sz w:val="24"/>
          <w:szCs w:val="24"/>
        </w:rPr>
        <w:t xml:space="preserve"> (Toyota, 2023)</w:t>
      </w:r>
      <w:r w:rsidR="00BE1A10" w:rsidRPr="00494DED">
        <w:rPr>
          <w:rFonts w:cstheme="minorHAnsi"/>
          <w:sz w:val="24"/>
          <w:szCs w:val="24"/>
        </w:rPr>
        <w:t xml:space="preserve">. </w:t>
      </w:r>
    </w:p>
    <w:p w14:paraId="748AD293" w14:textId="77777777" w:rsidR="00494DED" w:rsidRPr="00494DED" w:rsidRDefault="00494DED" w:rsidP="00170BE1">
      <w:pPr>
        <w:spacing w:line="360" w:lineRule="auto"/>
        <w:jc w:val="both"/>
        <w:rPr>
          <w:rFonts w:cstheme="minorHAnsi"/>
          <w:sz w:val="24"/>
          <w:szCs w:val="24"/>
        </w:rPr>
      </w:pPr>
    </w:p>
    <w:p w14:paraId="25513366" w14:textId="77777777" w:rsidR="00B67964" w:rsidRPr="005265A4" w:rsidRDefault="00B67964" w:rsidP="00494DED">
      <w:pPr>
        <w:pStyle w:val="Heading1"/>
        <w:rPr>
          <w:rFonts w:cstheme="majorHAnsi"/>
          <w:b/>
          <w:bCs/>
          <w:sz w:val="28"/>
          <w:szCs w:val="28"/>
        </w:rPr>
      </w:pPr>
      <w:bookmarkStart w:id="2" w:name="_Toc140744956"/>
      <w:r w:rsidRPr="005265A4">
        <w:rPr>
          <w:rFonts w:cstheme="majorHAnsi"/>
          <w:b/>
          <w:bCs/>
          <w:sz w:val="28"/>
          <w:szCs w:val="28"/>
        </w:rPr>
        <w:t xml:space="preserve">Importance of IFM and challenges experienced in various </w:t>
      </w:r>
      <w:proofErr w:type="gramStart"/>
      <w:r w:rsidRPr="005265A4">
        <w:rPr>
          <w:rFonts w:cstheme="majorHAnsi"/>
          <w:b/>
          <w:bCs/>
          <w:sz w:val="28"/>
          <w:szCs w:val="28"/>
        </w:rPr>
        <w:t>markets</w:t>
      </w:r>
      <w:bookmarkEnd w:id="2"/>
      <w:proofErr w:type="gramEnd"/>
    </w:p>
    <w:p w14:paraId="525002C0" w14:textId="77777777" w:rsidR="00494DED" w:rsidRPr="00494DED" w:rsidRDefault="00494DED" w:rsidP="00494DED">
      <w:pPr>
        <w:rPr>
          <w:sz w:val="24"/>
          <w:szCs w:val="24"/>
        </w:rPr>
      </w:pPr>
    </w:p>
    <w:p w14:paraId="372D91C5" w14:textId="423D7705" w:rsidR="00322DB0" w:rsidRPr="00494DED" w:rsidRDefault="00170BE1" w:rsidP="00170BE1">
      <w:pPr>
        <w:spacing w:line="360" w:lineRule="auto"/>
        <w:jc w:val="both"/>
        <w:rPr>
          <w:rFonts w:cstheme="minorHAnsi"/>
          <w:sz w:val="24"/>
          <w:szCs w:val="24"/>
        </w:rPr>
      </w:pPr>
      <w:r w:rsidRPr="00494DED">
        <w:rPr>
          <w:rFonts w:cstheme="minorHAnsi"/>
          <w:sz w:val="24"/>
          <w:szCs w:val="24"/>
        </w:rPr>
        <w:t>I</w:t>
      </w:r>
      <w:r w:rsidR="00322DB0" w:rsidRPr="00494DED">
        <w:rPr>
          <w:rFonts w:cstheme="minorHAnsi"/>
          <w:sz w:val="24"/>
          <w:szCs w:val="24"/>
        </w:rPr>
        <w:t xml:space="preserve">nternational financial management is necessary </w:t>
      </w:r>
      <w:r w:rsidR="00974F08" w:rsidRPr="00494DED">
        <w:rPr>
          <w:rFonts w:cstheme="minorHAnsi"/>
          <w:sz w:val="24"/>
          <w:szCs w:val="24"/>
        </w:rPr>
        <w:t>due to its</w:t>
      </w:r>
      <w:r w:rsidR="00322DB0" w:rsidRPr="00494DED">
        <w:rPr>
          <w:rFonts w:cstheme="minorHAnsi"/>
          <w:sz w:val="24"/>
          <w:szCs w:val="24"/>
        </w:rPr>
        <w:t xml:space="preserve"> ability to compare inflation rates. Therefore, Toyota Company owners can investigate other countries' economies, assess the worth of other currencies globally, and choose whether to invest in global debt products. The Toyota Company can keep track of its imports and exports in accordance with the rate of inflation by using the current economic conditions</w:t>
      </w:r>
      <w:r w:rsidR="001C6507" w:rsidRPr="00494DED">
        <w:rPr>
          <w:rFonts w:cstheme="minorHAnsi"/>
          <w:sz w:val="24"/>
          <w:szCs w:val="24"/>
        </w:rPr>
        <w:t xml:space="preserve"> (</w:t>
      </w:r>
      <w:r w:rsidR="001C6507" w:rsidRPr="00494DED">
        <w:rPr>
          <w:rFonts w:cstheme="minorHAnsi"/>
          <w:sz w:val="24"/>
          <w:szCs w:val="24"/>
          <w:shd w:val="clear" w:color="auto" w:fill="FFFFFF"/>
        </w:rPr>
        <w:t>Lasher, 2016)</w:t>
      </w:r>
      <w:r w:rsidR="00322DB0" w:rsidRPr="00494DED">
        <w:rPr>
          <w:rFonts w:cstheme="minorHAnsi"/>
          <w:sz w:val="24"/>
          <w:szCs w:val="24"/>
        </w:rPr>
        <w:t>.</w:t>
      </w:r>
      <w:r w:rsidR="00C92E33" w:rsidRPr="00494DED">
        <w:rPr>
          <w:rFonts w:cstheme="minorHAnsi"/>
          <w:sz w:val="24"/>
          <w:szCs w:val="24"/>
        </w:rPr>
        <w:t xml:space="preserve"> IFM </w:t>
      </w:r>
      <w:r w:rsidR="00AB00F9" w:rsidRPr="00494DED">
        <w:rPr>
          <w:rFonts w:cstheme="minorHAnsi"/>
          <w:sz w:val="24"/>
          <w:szCs w:val="24"/>
        </w:rPr>
        <w:t>helps estimate</w:t>
      </w:r>
      <w:r w:rsidR="00C92E33" w:rsidRPr="00494DED">
        <w:rPr>
          <w:rFonts w:cstheme="minorHAnsi"/>
          <w:sz w:val="24"/>
          <w:szCs w:val="24"/>
        </w:rPr>
        <w:t xml:space="preserve"> currency exchange rates and the relative value of each nation. IFM aids in evaluating inflation rates and providing guidance</w:t>
      </w:r>
      <w:r w:rsidR="00ED3E8A" w:rsidRPr="00494DED">
        <w:rPr>
          <w:rFonts w:cstheme="minorHAnsi"/>
          <w:sz w:val="24"/>
          <w:szCs w:val="24"/>
        </w:rPr>
        <w:t xml:space="preserve"> to Toyota Company</w:t>
      </w:r>
      <w:r w:rsidR="00C92E33" w:rsidRPr="00494DED">
        <w:rPr>
          <w:rFonts w:cstheme="minorHAnsi"/>
          <w:sz w:val="24"/>
          <w:szCs w:val="24"/>
        </w:rPr>
        <w:t xml:space="preserve"> on purchasing foreign debt securities. Likewise, IFM aids in determining the state of the world's economies and </w:t>
      </w:r>
      <w:r w:rsidR="00AB00F9" w:rsidRPr="00494DED">
        <w:rPr>
          <w:rFonts w:cstheme="minorHAnsi"/>
          <w:sz w:val="24"/>
          <w:szCs w:val="24"/>
        </w:rPr>
        <w:t>assessing</w:t>
      </w:r>
      <w:r w:rsidR="00C92E33" w:rsidRPr="00494DED">
        <w:rPr>
          <w:rFonts w:cstheme="minorHAnsi"/>
          <w:sz w:val="24"/>
          <w:szCs w:val="24"/>
        </w:rPr>
        <w:t xml:space="preserve"> the size of the global market.</w:t>
      </w:r>
      <w:r w:rsidR="00ED3E8A" w:rsidRPr="00494DED">
        <w:rPr>
          <w:rFonts w:cstheme="minorHAnsi"/>
          <w:sz w:val="24"/>
          <w:szCs w:val="24"/>
        </w:rPr>
        <w:t xml:space="preserve"> Thus, </w:t>
      </w:r>
      <w:r w:rsidR="00ED3E8A" w:rsidRPr="00494DED">
        <w:rPr>
          <w:rFonts w:cstheme="minorHAnsi"/>
          <w:sz w:val="24"/>
          <w:szCs w:val="24"/>
        </w:rPr>
        <w:lastRenderedPageBreak/>
        <w:t xml:space="preserve">Toyota Company can </w:t>
      </w:r>
      <w:r w:rsidR="00AB00F9" w:rsidRPr="00494DED">
        <w:rPr>
          <w:rFonts w:cstheme="minorHAnsi"/>
          <w:sz w:val="24"/>
          <w:szCs w:val="24"/>
        </w:rPr>
        <w:t>predict</w:t>
      </w:r>
      <w:r w:rsidR="00ED3E8A" w:rsidRPr="00494DED">
        <w:rPr>
          <w:rFonts w:cstheme="minorHAnsi"/>
          <w:sz w:val="24"/>
          <w:szCs w:val="24"/>
        </w:rPr>
        <w:t xml:space="preserve"> the expected revenue from </w:t>
      </w:r>
      <w:r w:rsidR="00AB00F9" w:rsidRPr="00494DED">
        <w:rPr>
          <w:rFonts w:cstheme="minorHAnsi"/>
          <w:sz w:val="24"/>
          <w:szCs w:val="24"/>
        </w:rPr>
        <w:t xml:space="preserve">the </w:t>
      </w:r>
      <w:r w:rsidR="00ED3E8A" w:rsidRPr="00494DED">
        <w:rPr>
          <w:rFonts w:cstheme="minorHAnsi"/>
          <w:sz w:val="24"/>
          <w:szCs w:val="24"/>
        </w:rPr>
        <w:t>global market</w:t>
      </w:r>
      <w:r w:rsidR="003B14F8" w:rsidRPr="00494DED">
        <w:rPr>
          <w:rFonts w:cstheme="minorHAnsi"/>
          <w:sz w:val="24"/>
          <w:szCs w:val="24"/>
        </w:rPr>
        <w:t xml:space="preserve"> (Madura and Fox, 2019)</w:t>
      </w:r>
      <w:r w:rsidR="00ED3E8A" w:rsidRPr="00494DED">
        <w:rPr>
          <w:rFonts w:cstheme="minorHAnsi"/>
          <w:sz w:val="24"/>
          <w:szCs w:val="24"/>
        </w:rPr>
        <w:t xml:space="preserve">. </w:t>
      </w:r>
    </w:p>
    <w:p w14:paraId="499937CD" w14:textId="77777777" w:rsidR="00494DED" w:rsidRPr="00494DED" w:rsidRDefault="00494DED" w:rsidP="00170BE1">
      <w:pPr>
        <w:spacing w:line="360" w:lineRule="auto"/>
        <w:jc w:val="both"/>
        <w:rPr>
          <w:rFonts w:cstheme="minorHAnsi"/>
          <w:sz w:val="24"/>
          <w:szCs w:val="24"/>
        </w:rPr>
      </w:pPr>
    </w:p>
    <w:p w14:paraId="6A3DF181" w14:textId="77777777" w:rsidR="008C17CD" w:rsidRPr="005265A4" w:rsidRDefault="008C17CD" w:rsidP="00494DED">
      <w:pPr>
        <w:pStyle w:val="Heading1"/>
        <w:rPr>
          <w:rFonts w:cstheme="majorHAnsi"/>
          <w:b/>
          <w:bCs/>
          <w:sz w:val="24"/>
          <w:szCs w:val="24"/>
        </w:rPr>
      </w:pPr>
      <w:bookmarkStart w:id="3" w:name="_Toc140744957"/>
      <w:r w:rsidRPr="005265A4">
        <w:rPr>
          <w:rFonts w:cstheme="majorHAnsi"/>
          <w:b/>
          <w:bCs/>
          <w:sz w:val="28"/>
          <w:szCs w:val="28"/>
        </w:rPr>
        <w:t>The</w:t>
      </w:r>
      <w:r w:rsidR="004C733C" w:rsidRPr="005265A4">
        <w:rPr>
          <w:rFonts w:cstheme="majorHAnsi"/>
          <w:b/>
          <w:bCs/>
          <w:sz w:val="28"/>
          <w:szCs w:val="28"/>
        </w:rPr>
        <w:t xml:space="preserve"> challenges that Toyota Company encounters </w:t>
      </w:r>
      <w:r w:rsidR="003B585C" w:rsidRPr="005265A4">
        <w:rPr>
          <w:rFonts w:cstheme="majorHAnsi"/>
          <w:b/>
          <w:bCs/>
          <w:sz w:val="28"/>
          <w:szCs w:val="28"/>
        </w:rPr>
        <w:t>in the globalised economy</w:t>
      </w:r>
      <w:bookmarkEnd w:id="3"/>
    </w:p>
    <w:p w14:paraId="63041646" w14:textId="77777777" w:rsidR="00494DED" w:rsidRPr="00494DED" w:rsidRDefault="00494DED" w:rsidP="00494DED">
      <w:pPr>
        <w:rPr>
          <w:sz w:val="24"/>
          <w:szCs w:val="24"/>
        </w:rPr>
      </w:pPr>
    </w:p>
    <w:p w14:paraId="4364D1BF" w14:textId="742E2D80" w:rsidR="00494DED" w:rsidRPr="00494DED" w:rsidRDefault="00322DB0" w:rsidP="00170BE1">
      <w:pPr>
        <w:spacing w:line="360" w:lineRule="auto"/>
        <w:contextualSpacing/>
        <w:jc w:val="both"/>
        <w:rPr>
          <w:rFonts w:cstheme="minorHAnsi"/>
          <w:sz w:val="24"/>
          <w:szCs w:val="24"/>
        </w:rPr>
      </w:pPr>
      <w:r w:rsidRPr="00494DED">
        <w:rPr>
          <w:rFonts w:cstheme="minorHAnsi"/>
          <w:sz w:val="24"/>
          <w:szCs w:val="24"/>
        </w:rPr>
        <w:t>Exchange rate risks</w:t>
      </w:r>
      <w:r w:rsidR="00D120C2" w:rsidRPr="00494DED">
        <w:rPr>
          <w:rFonts w:cstheme="minorHAnsi"/>
          <w:sz w:val="24"/>
          <w:szCs w:val="24"/>
        </w:rPr>
        <w:t xml:space="preserve"> </w:t>
      </w:r>
      <w:r w:rsidR="00AB00F9" w:rsidRPr="00494DED">
        <w:rPr>
          <w:rFonts w:cstheme="minorHAnsi"/>
          <w:sz w:val="24"/>
          <w:szCs w:val="24"/>
        </w:rPr>
        <w:t>are</w:t>
      </w:r>
      <w:r w:rsidR="00D120C2" w:rsidRPr="00494DED">
        <w:rPr>
          <w:rFonts w:cstheme="minorHAnsi"/>
          <w:sz w:val="24"/>
          <w:szCs w:val="24"/>
        </w:rPr>
        <w:t xml:space="preserve"> an example of </w:t>
      </w:r>
      <w:r w:rsidR="00AB00F9" w:rsidRPr="00494DED">
        <w:rPr>
          <w:rFonts w:cstheme="minorHAnsi"/>
          <w:sz w:val="24"/>
          <w:szCs w:val="24"/>
        </w:rPr>
        <w:t xml:space="preserve">a </w:t>
      </w:r>
      <w:r w:rsidR="00D120C2" w:rsidRPr="00494DED">
        <w:rPr>
          <w:rFonts w:cstheme="minorHAnsi"/>
          <w:sz w:val="24"/>
          <w:szCs w:val="24"/>
        </w:rPr>
        <w:t>globalised challenge faced by Toyota Company</w:t>
      </w:r>
      <w:r w:rsidRPr="00494DED">
        <w:rPr>
          <w:rFonts w:cstheme="minorHAnsi"/>
          <w:sz w:val="24"/>
          <w:szCs w:val="24"/>
        </w:rPr>
        <w:t>.</w:t>
      </w:r>
      <w:r w:rsidR="00A16F8B" w:rsidRPr="00494DED">
        <w:rPr>
          <w:rFonts w:cstheme="minorHAnsi"/>
          <w:sz w:val="24"/>
          <w:szCs w:val="24"/>
        </w:rPr>
        <w:t xml:space="preserve"> Cash moving in and out of different nations is impacted by exchange rate changes in an </w:t>
      </w:r>
      <w:r w:rsidR="00170BE1" w:rsidRPr="00494DED">
        <w:rPr>
          <w:rFonts w:cstheme="minorHAnsi"/>
          <w:sz w:val="24"/>
          <w:szCs w:val="24"/>
        </w:rPr>
        <w:t>international</w:t>
      </w:r>
      <w:r w:rsidR="00A16F8B" w:rsidRPr="00494DED">
        <w:rPr>
          <w:rFonts w:cstheme="minorHAnsi"/>
          <w:sz w:val="24"/>
          <w:szCs w:val="24"/>
        </w:rPr>
        <w:t xml:space="preserve"> economy. As a result, financial managers are left confused about the home currency's value with respect to other currencies. A slow economy could be caused by ongoing volatility in the foreign exchange market for the Toyota Company</w:t>
      </w:r>
      <w:r w:rsidR="004444E7" w:rsidRPr="00494DED">
        <w:rPr>
          <w:rFonts w:cstheme="minorHAnsi"/>
          <w:sz w:val="24"/>
          <w:szCs w:val="24"/>
        </w:rPr>
        <w:t xml:space="preserve"> (</w:t>
      </w:r>
      <w:r w:rsidR="004444E7" w:rsidRPr="00494DED">
        <w:rPr>
          <w:rFonts w:cstheme="minorHAnsi"/>
          <w:sz w:val="24"/>
          <w:szCs w:val="24"/>
          <w:shd w:val="clear" w:color="auto" w:fill="FFFFFF"/>
        </w:rPr>
        <w:t>Moyer, McGuigan and Rao, 2014)</w:t>
      </w:r>
      <w:r w:rsidR="00A16F8B" w:rsidRPr="00494DED">
        <w:rPr>
          <w:rFonts w:cstheme="minorHAnsi"/>
          <w:sz w:val="24"/>
          <w:szCs w:val="24"/>
        </w:rPr>
        <w:t xml:space="preserve">. The Toyota Company may experience slow transactions </w:t>
      </w:r>
      <w:r w:rsidR="00AB00F9" w:rsidRPr="00494DED">
        <w:rPr>
          <w:rFonts w:cstheme="minorHAnsi"/>
          <w:sz w:val="24"/>
          <w:szCs w:val="24"/>
        </w:rPr>
        <w:t>due to</w:t>
      </w:r>
      <w:r w:rsidR="00A16F8B" w:rsidRPr="00494DED">
        <w:rPr>
          <w:rFonts w:cstheme="minorHAnsi"/>
          <w:sz w:val="24"/>
          <w:szCs w:val="24"/>
        </w:rPr>
        <w:t xml:space="preserve"> ongoing exchange rate changes.</w:t>
      </w:r>
      <w:r w:rsidR="00491979" w:rsidRPr="00494DED">
        <w:rPr>
          <w:rFonts w:cstheme="minorHAnsi"/>
          <w:sz w:val="24"/>
          <w:szCs w:val="24"/>
        </w:rPr>
        <w:t xml:space="preserve"> </w:t>
      </w:r>
      <w:r w:rsidR="00AB00F9" w:rsidRPr="00494DED">
        <w:rPr>
          <w:rFonts w:cstheme="minorHAnsi"/>
          <w:sz w:val="24"/>
          <w:szCs w:val="24"/>
        </w:rPr>
        <w:t>Due to fluctuating currency rates, Toyota Company may be exposed to increased interest</w:t>
      </w:r>
      <w:r w:rsidR="00491979" w:rsidRPr="00494DED">
        <w:rPr>
          <w:rFonts w:cstheme="minorHAnsi"/>
          <w:sz w:val="24"/>
          <w:szCs w:val="24"/>
        </w:rPr>
        <w:t xml:space="preserve"> rat</w:t>
      </w:r>
      <w:r w:rsidR="00C06E9F" w:rsidRPr="00494DED">
        <w:rPr>
          <w:rFonts w:cstheme="minorHAnsi"/>
          <w:sz w:val="24"/>
          <w:szCs w:val="24"/>
        </w:rPr>
        <w:t xml:space="preserve">es. </w:t>
      </w:r>
      <w:r w:rsidR="005754F1" w:rsidRPr="00494DED">
        <w:rPr>
          <w:rFonts w:cstheme="minorHAnsi"/>
          <w:sz w:val="24"/>
          <w:szCs w:val="24"/>
        </w:rPr>
        <w:t>Global currency rates</w:t>
      </w:r>
      <w:r w:rsidR="00AB00F9" w:rsidRPr="00494DED">
        <w:rPr>
          <w:rFonts w:cstheme="minorHAnsi"/>
          <w:sz w:val="24"/>
          <w:szCs w:val="24"/>
        </w:rPr>
        <w:t xml:space="preserve"> are volatile, including those for the U.S. dollar, the British Pound, the Japanese yen, and the euro</w:t>
      </w:r>
      <w:r w:rsidR="005754F1" w:rsidRPr="00494DED">
        <w:rPr>
          <w:rFonts w:cstheme="minorHAnsi"/>
          <w:sz w:val="24"/>
          <w:szCs w:val="24"/>
        </w:rPr>
        <w:t xml:space="preserve">. </w:t>
      </w:r>
      <w:r w:rsidR="003B585C" w:rsidRPr="00494DED">
        <w:rPr>
          <w:rFonts w:cstheme="minorHAnsi"/>
          <w:sz w:val="24"/>
          <w:szCs w:val="24"/>
        </w:rPr>
        <w:t>In response to the first Brexit vote, the Pound instantly fell by 10% against the Euro</w:t>
      </w:r>
      <w:r w:rsidR="00A87E86" w:rsidRPr="00494DED">
        <w:rPr>
          <w:rFonts w:cstheme="minorHAnsi"/>
          <w:sz w:val="24"/>
          <w:szCs w:val="24"/>
        </w:rPr>
        <w:t xml:space="preserve"> (</w:t>
      </w:r>
      <w:proofErr w:type="spellStart"/>
      <w:r w:rsidR="00A87E86" w:rsidRPr="00494DED">
        <w:rPr>
          <w:rFonts w:cstheme="minorHAnsi"/>
          <w:sz w:val="24"/>
          <w:szCs w:val="24"/>
          <w:shd w:val="clear" w:color="auto" w:fill="FFFFFF"/>
        </w:rPr>
        <w:t>Bhattacheryay</w:t>
      </w:r>
      <w:proofErr w:type="spellEnd"/>
      <w:r w:rsidR="00A87E86" w:rsidRPr="00494DED">
        <w:rPr>
          <w:rFonts w:cstheme="minorHAnsi"/>
          <w:sz w:val="24"/>
          <w:szCs w:val="24"/>
          <w:shd w:val="clear" w:color="auto" w:fill="FFFFFF"/>
        </w:rPr>
        <w:t>, 2023)</w:t>
      </w:r>
      <w:r w:rsidR="005754F1" w:rsidRPr="00494DED">
        <w:rPr>
          <w:rFonts w:cstheme="minorHAnsi"/>
          <w:sz w:val="24"/>
          <w:szCs w:val="24"/>
        </w:rPr>
        <w:t>.</w:t>
      </w:r>
    </w:p>
    <w:p w14:paraId="5CC840D6" w14:textId="77777777" w:rsidR="00322DB0" w:rsidRPr="00494DED" w:rsidRDefault="008E7F6E" w:rsidP="00170BE1">
      <w:pPr>
        <w:spacing w:line="360" w:lineRule="auto"/>
        <w:contextualSpacing/>
        <w:jc w:val="both"/>
        <w:rPr>
          <w:rFonts w:cstheme="minorHAnsi"/>
          <w:sz w:val="24"/>
          <w:szCs w:val="24"/>
        </w:rPr>
      </w:pPr>
      <w:r w:rsidRPr="00494DED">
        <w:rPr>
          <w:rFonts w:cstheme="minorHAnsi"/>
          <w:sz w:val="24"/>
          <w:szCs w:val="24"/>
        </w:rPr>
        <w:t>Quality issues</w:t>
      </w:r>
      <w:r w:rsidR="00322DB0" w:rsidRPr="00494DED">
        <w:rPr>
          <w:rFonts w:cstheme="minorHAnsi"/>
          <w:sz w:val="24"/>
          <w:szCs w:val="24"/>
        </w:rPr>
        <w:t>.</w:t>
      </w:r>
      <w:r w:rsidRPr="00494DED">
        <w:rPr>
          <w:rFonts w:cstheme="minorHAnsi"/>
          <w:sz w:val="24"/>
          <w:szCs w:val="24"/>
        </w:rPr>
        <w:t xml:space="preserve"> </w:t>
      </w:r>
      <w:r w:rsidR="00AB00F9" w:rsidRPr="00494DED">
        <w:rPr>
          <w:rFonts w:cstheme="minorHAnsi"/>
          <w:sz w:val="24"/>
          <w:szCs w:val="24"/>
        </w:rPr>
        <w:t>Quality concerns</w:t>
      </w:r>
      <w:r w:rsidR="00B96355" w:rsidRPr="00494DED">
        <w:rPr>
          <w:rFonts w:cstheme="minorHAnsi"/>
          <w:sz w:val="24"/>
          <w:szCs w:val="24"/>
        </w:rPr>
        <w:t xml:space="preserve"> are one of the </w:t>
      </w:r>
      <w:r w:rsidR="00AB00F9" w:rsidRPr="00494DED">
        <w:rPr>
          <w:rFonts w:cstheme="minorHAnsi"/>
          <w:sz w:val="24"/>
          <w:szCs w:val="24"/>
        </w:rPr>
        <w:t>significant</w:t>
      </w:r>
      <w:r w:rsidR="00B96355" w:rsidRPr="00494DED">
        <w:rPr>
          <w:rFonts w:cstheme="minorHAnsi"/>
          <w:sz w:val="24"/>
          <w:szCs w:val="24"/>
        </w:rPr>
        <w:t xml:space="preserve"> difficulties Toyota is currently facing.</w:t>
      </w:r>
      <w:r w:rsidR="00CD3295" w:rsidRPr="00494DED">
        <w:rPr>
          <w:rFonts w:cstheme="minorHAnsi"/>
          <w:sz w:val="24"/>
          <w:szCs w:val="24"/>
        </w:rPr>
        <w:t xml:space="preserve"> Over 9 million vehicles had to be recalled by the firm. Due to mechanical damage, this car experienced a string of collisions, injuries, and even deaths. Toyota had to pay out a sizable compensation to consumers who were negatively impacted by these recalls, </w:t>
      </w:r>
      <w:r w:rsidR="00AB00F9" w:rsidRPr="00494DED">
        <w:rPr>
          <w:rFonts w:cstheme="minorHAnsi"/>
          <w:sz w:val="24"/>
          <w:szCs w:val="24"/>
        </w:rPr>
        <w:t>negatively impacting</w:t>
      </w:r>
      <w:r w:rsidR="00CD3295" w:rsidRPr="00494DED">
        <w:rPr>
          <w:rFonts w:cstheme="minorHAnsi"/>
          <w:sz w:val="24"/>
          <w:szCs w:val="24"/>
        </w:rPr>
        <w:t xml:space="preserve"> the business's image of dependability. More than 50% of the airbags used in Toyota automobiles were faulty when the brand recall was initiated, </w:t>
      </w:r>
      <w:r w:rsidR="00AB00F9" w:rsidRPr="00494DED">
        <w:rPr>
          <w:rFonts w:cstheme="minorHAnsi"/>
          <w:sz w:val="24"/>
          <w:szCs w:val="24"/>
        </w:rPr>
        <w:t>primari</w:t>
      </w:r>
      <w:r w:rsidR="00CD3295" w:rsidRPr="00494DED">
        <w:rPr>
          <w:rFonts w:cstheme="minorHAnsi"/>
          <w:sz w:val="24"/>
          <w:szCs w:val="24"/>
        </w:rPr>
        <w:t>ly due to pressure from U</w:t>
      </w:r>
      <w:r w:rsidR="00AB00F9" w:rsidRPr="00494DED">
        <w:rPr>
          <w:rFonts w:cstheme="minorHAnsi"/>
          <w:sz w:val="24"/>
          <w:szCs w:val="24"/>
        </w:rPr>
        <w:t>.S.</w:t>
      </w:r>
      <w:r w:rsidR="00CD3295" w:rsidRPr="00494DED">
        <w:rPr>
          <w:rFonts w:cstheme="minorHAnsi"/>
          <w:sz w:val="24"/>
          <w:szCs w:val="24"/>
        </w:rPr>
        <w:t xml:space="preserve"> authorities</w:t>
      </w:r>
      <w:r w:rsidR="00A87E86" w:rsidRPr="00494DED">
        <w:rPr>
          <w:rFonts w:cstheme="minorHAnsi"/>
          <w:sz w:val="24"/>
          <w:szCs w:val="24"/>
        </w:rPr>
        <w:t xml:space="preserve"> (</w:t>
      </w:r>
      <w:r w:rsidR="00A87E86" w:rsidRPr="00494DED">
        <w:rPr>
          <w:rFonts w:cstheme="minorHAnsi"/>
          <w:sz w:val="24"/>
          <w:szCs w:val="24"/>
          <w:shd w:val="clear" w:color="auto" w:fill="FFFFFF"/>
        </w:rPr>
        <w:t xml:space="preserve">Bergquist and </w:t>
      </w:r>
      <w:proofErr w:type="spellStart"/>
      <w:r w:rsidR="00A87E86" w:rsidRPr="00494DED">
        <w:rPr>
          <w:rFonts w:cstheme="minorHAnsi"/>
          <w:sz w:val="24"/>
          <w:szCs w:val="24"/>
          <w:shd w:val="clear" w:color="auto" w:fill="FFFFFF"/>
        </w:rPr>
        <w:t>Näsman</w:t>
      </w:r>
      <w:proofErr w:type="spellEnd"/>
      <w:r w:rsidR="00A87E86" w:rsidRPr="00494DED">
        <w:rPr>
          <w:rFonts w:cstheme="minorHAnsi"/>
          <w:sz w:val="24"/>
          <w:szCs w:val="24"/>
          <w:shd w:val="clear" w:color="auto" w:fill="FFFFFF"/>
        </w:rPr>
        <w:t>, 2023)</w:t>
      </w:r>
      <w:r w:rsidR="00CD3295" w:rsidRPr="00494DED">
        <w:rPr>
          <w:rFonts w:cstheme="minorHAnsi"/>
          <w:sz w:val="24"/>
          <w:szCs w:val="24"/>
        </w:rPr>
        <w:t>.</w:t>
      </w:r>
    </w:p>
    <w:p w14:paraId="66164D52" w14:textId="77777777" w:rsidR="00494DED" w:rsidRPr="00494DED" w:rsidRDefault="00494DED" w:rsidP="00170BE1">
      <w:pPr>
        <w:spacing w:line="360" w:lineRule="auto"/>
        <w:contextualSpacing/>
        <w:jc w:val="both"/>
        <w:rPr>
          <w:rFonts w:cstheme="minorHAnsi"/>
          <w:sz w:val="24"/>
          <w:szCs w:val="24"/>
        </w:rPr>
      </w:pPr>
    </w:p>
    <w:p w14:paraId="096C4223" w14:textId="77777777" w:rsidR="004C72BB" w:rsidRPr="005265A4" w:rsidRDefault="004C72BB" w:rsidP="00494DED">
      <w:pPr>
        <w:pStyle w:val="Heading1"/>
        <w:rPr>
          <w:rFonts w:cstheme="majorHAnsi"/>
          <w:b/>
          <w:bCs/>
          <w:sz w:val="28"/>
          <w:szCs w:val="28"/>
        </w:rPr>
      </w:pPr>
      <w:bookmarkStart w:id="4" w:name="_Toc140744958"/>
      <w:r w:rsidRPr="005265A4">
        <w:rPr>
          <w:rFonts w:cstheme="majorHAnsi"/>
          <w:b/>
          <w:bCs/>
          <w:sz w:val="28"/>
          <w:szCs w:val="28"/>
        </w:rPr>
        <w:t>Dividend distribution policy</w:t>
      </w:r>
      <w:bookmarkEnd w:id="4"/>
    </w:p>
    <w:p w14:paraId="44044DEC" w14:textId="77777777" w:rsidR="00494DED" w:rsidRPr="00494DED" w:rsidRDefault="00494DED" w:rsidP="00494DED">
      <w:pPr>
        <w:rPr>
          <w:sz w:val="24"/>
          <w:szCs w:val="24"/>
        </w:rPr>
      </w:pPr>
    </w:p>
    <w:p w14:paraId="1931FDE0" w14:textId="77777777" w:rsidR="00D160F9" w:rsidRPr="00494DED" w:rsidRDefault="003D3BF9" w:rsidP="00170BE1">
      <w:pPr>
        <w:spacing w:line="360" w:lineRule="auto"/>
        <w:jc w:val="both"/>
        <w:rPr>
          <w:rFonts w:cstheme="minorHAnsi"/>
          <w:sz w:val="24"/>
          <w:szCs w:val="24"/>
        </w:rPr>
      </w:pPr>
      <w:r w:rsidRPr="00494DED">
        <w:rPr>
          <w:rFonts w:cstheme="minorHAnsi"/>
          <w:sz w:val="24"/>
          <w:szCs w:val="24"/>
        </w:rPr>
        <w:t xml:space="preserve">Dividend policy entails making a choice to either pay the cash divided now or postpone it to a later date where the amount paid will be substantial. The </w:t>
      </w:r>
      <w:r w:rsidR="00AB00F9" w:rsidRPr="00494DED">
        <w:rPr>
          <w:rFonts w:cstheme="minorHAnsi"/>
          <w:sz w:val="24"/>
          <w:szCs w:val="24"/>
        </w:rPr>
        <w:t>C</w:t>
      </w:r>
      <w:r w:rsidRPr="00494DED">
        <w:rPr>
          <w:rFonts w:cstheme="minorHAnsi"/>
          <w:sz w:val="24"/>
          <w:szCs w:val="24"/>
        </w:rPr>
        <w:t xml:space="preserve">ompany could alternatively distribute </w:t>
      </w:r>
      <w:r w:rsidRPr="00494DED">
        <w:rPr>
          <w:rFonts w:cstheme="minorHAnsi"/>
          <w:sz w:val="24"/>
          <w:szCs w:val="24"/>
        </w:rPr>
        <w:lastRenderedPageBreak/>
        <w:t>dividends in the form of stock, which, unlike cash payments, does not give investors access to liquidity. The stockholders will, nevertheless, receive financial gains as a result. The anticipation of dividends by owners influences their assessment of the value of the shares.</w:t>
      </w:r>
      <w:r w:rsidR="006046F1" w:rsidRPr="00494DED">
        <w:rPr>
          <w:rFonts w:cstheme="minorHAnsi"/>
          <w:sz w:val="24"/>
          <w:szCs w:val="24"/>
        </w:rPr>
        <w:t xml:space="preserve"> Toyota distributes dividends twice a year</w:t>
      </w:r>
      <w:r w:rsidR="004444E7" w:rsidRPr="00494DED">
        <w:rPr>
          <w:rFonts w:cstheme="minorHAnsi"/>
          <w:sz w:val="24"/>
          <w:szCs w:val="24"/>
        </w:rPr>
        <w:t xml:space="preserve"> (</w:t>
      </w:r>
      <w:proofErr w:type="spellStart"/>
      <w:r w:rsidR="004444E7" w:rsidRPr="00494DED">
        <w:rPr>
          <w:rFonts w:cstheme="minorHAnsi"/>
          <w:sz w:val="24"/>
          <w:szCs w:val="24"/>
          <w:shd w:val="clear" w:color="auto" w:fill="FFFFFF"/>
        </w:rPr>
        <w:t>Bhattacheryay</w:t>
      </w:r>
      <w:proofErr w:type="spellEnd"/>
      <w:r w:rsidR="004444E7" w:rsidRPr="00494DED">
        <w:rPr>
          <w:rFonts w:cstheme="minorHAnsi"/>
          <w:sz w:val="24"/>
          <w:szCs w:val="24"/>
          <w:shd w:val="clear" w:color="auto" w:fill="FFFFFF"/>
        </w:rPr>
        <w:t>, 2023)</w:t>
      </w:r>
      <w:r w:rsidR="006046F1" w:rsidRPr="00494DED">
        <w:rPr>
          <w:rFonts w:cstheme="minorHAnsi"/>
          <w:sz w:val="24"/>
          <w:szCs w:val="24"/>
        </w:rPr>
        <w:t xml:space="preserve">. </w:t>
      </w:r>
    </w:p>
    <w:p w14:paraId="78DB6062" w14:textId="77777777" w:rsidR="00494DED" w:rsidRPr="00494DED" w:rsidRDefault="00494DED" w:rsidP="00170BE1">
      <w:pPr>
        <w:spacing w:line="360" w:lineRule="auto"/>
        <w:jc w:val="both"/>
        <w:rPr>
          <w:rFonts w:cstheme="minorHAnsi"/>
          <w:sz w:val="24"/>
          <w:szCs w:val="24"/>
        </w:rPr>
      </w:pPr>
    </w:p>
    <w:p w14:paraId="2DE546F4" w14:textId="77777777" w:rsidR="00D160F9" w:rsidRPr="00494DED" w:rsidRDefault="00D160F9" w:rsidP="00170BE1">
      <w:pPr>
        <w:spacing w:line="360" w:lineRule="auto"/>
        <w:jc w:val="both"/>
        <w:rPr>
          <w:rFonts w:cstheme="minorHAnsi"/>
          <w:sz w:val="24"/>
          <w:szCs w:val="24"/>
        </w:rPr>
      </w:pPr>
      <w:r w:rsidRPr="00494DED">
        <w:rPr>
          <w:rFonts w:cstheme="minorHAnsi"/>
          <w:noProof/>
          <w:sz w:val="24"/>
          <w:szCs w:val="24"/>
          <w:lang w:val="en-US"/>
        </w:rPr>
        <w:drawing>
          <wp:inline distT="0" distB="0" distL="0" distR="0" wp14:anchorId="5EE92721" wp14:editId="318F0D3B">
            <wp:extent cx="5848350" cy="3162300"/>
            <wp:effectExtent l="0" t="0" r="0" b="0"/>
            <wp:docPr id="3" name="Picture 3" descr="C:\Users\User\Pictures\Screenshots\Screenshot (2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Pictures\Screenshots\Screenshot (287).png"/>
                    <pic:cNvPicPr>
                      <a:picLocks noChangeAspect="1" noChangeArrowheads="1"/>
                    </pic:cNvPicPr>
                  </pic:nvPicPr>
                  <pic:blipFill rotWithShape="1">
                    <a:blip r:embed="rId8">
                      <a:extLst>
                        <a:ext uri="{28A0092B-C50C-407E-A947-70E740481C1C}">
                          <a14:useLocalDpi xmlns:a14="http://schemas.microsoft.com/office/drawing/2010/main" val="0"/>
                        </a:ext>
                      </a:extLst>
                    </a:blip>
                    <a:srcRect l="7535" t="26232" r="35410" b="13341"/>
                    <a:stretch/>
                  </pic:blipFill>
                  <pic:spPr bwMode="auto">
                    <a:xfrm>
                      <a:off x="0" y="0"/>
                      <a:ext cx="5851966" cy="3164255"/>
                    </a:xfrm>
                    <a:prstGeom prst="rect">
                      <a:avLst/>
                    </a:prstGeom>
                    <a:noFill/>
                    <a:ln>
                      <a:noFill/>
                    </a:ln>
                    <a:extLst>
                      <a:ext uri="{53640926-AAD7-44D8-BBD7-CCE9431645EC}">
                        <a14:shadowObscured xmlns:a14="http://schemas.microsoft.com/office/drawing/2010/main"/>
                      </a:ext>
                    </a:extLst>
                  </pic:spPr>
                </pic:pic>
              </a:graphicData>
            </a:graphic>
          </wp:inline>
        </w:drawing>
      </w:r>
    </w:p>
    <w:p w14:paraId="4FDFCA8B" w14:textId="77777777" w:rsidR="00DA3EC4" w:rsidRPr="00494DED" w:rsidRDefault="00DA3EC4" w:rsidP="00170BE1">
      <w:pPr>
        <w:spacing w:line="360" w:lineRule="auto"/>
        <w:jc w:val="both"/>
        <w:rPr>
          <w:rFonts w:cstheme="minorHAnsi"/>
          <w:sz w:val="24"/>
          <w:szCs w:val="24"/>
        </w:rPr>
      </w:pPr>
      <w:r w:rsidRPr="00494DED">
        <w:rPr>
          <w:rFonts w:cstheme="minorHAnsi"/>
          <w:sz w:val="24"/>
          <w:szCs w:val="24"/>
        </w:rPr>
        <w:t>Source: Toyota (2023)</w:t>
      </w:r>
    </w:p>
    <w:p w14:paraId="083BFBA4" w14:textId="77777777" w:rsidR="00494DED" w:rsidRPr="00494DED" w:rsidRDefault="00494DED" w:rsidP="00170BE1">
      <w:pPr>
        <w:spacing w:line="360" w:lineRule="auto"/>
        <w:jc w:val="both"/>
        <w:rPr>
          <w:rFonts w:cstheme="minorHAnsi"/>
          <w:sz w:val="24"/>
          <w:szCs w:val="24"/>
        </w:rPr>
      </w:pPr>
    </w:p>
    <w:p w14:paraId="576A1069" w14:textId="7F0B9D2C" w:rsidR="004C72BB" w:rsidRPr="00494DED" w:rsidRDefault="006046F1" w:rsidP="00170BE1">
      <w:pPr>
        <w:spacing w:line="360" w:lineRule="auto"/>
        <w:jc w:val="both"/>
        <w:rPr>
          <w:rFonts w:cstheme="minorHAnsi"/>
          <w:sz w:val="24"/>
          <w:szCs w:val="24"/>
        </w:rPr>
      </w:pPr>
      <w:r w:rsidRPr="00494DED">
        <w:rPr>
          <w:rFonts w:cstheme="minorHAnsi"/>
          <w:sz w:val="24"/>
          <w:szCs w:val="24"/>
        </w:rPr>
        <w:t xml:space="preserve">Toyota extends its dividend rise by two years. Toyota has boosted it by 6.67% yearly over the past ten years. The payout grew by 7.57% over </w:t>
      </w:r>
      <w:r w:rsidR="00AB00F9" w:rsidRPr="00494DED">
        <w:rPr>
          <w:rFonts w:cstheme="minorHAnsi"/>
          <w:sz w:val="24"/>
          <w:szCs w:val="24"/>
        </w:rPr>
        <w:t>five years</w:t>
      </w:r>
      <w:r w:rsidRPr="00494DED">
        <w:rPr>
          <w:rFonts w:cstheme="minorHAnsi"/>
          <w:sz w:val="24"/>
          <w:szCs w:val="24"/>
        </w:rPr>
        <w:t>. Toyota has</w:t>
      </w:r>
      <w:r w:rsidR="004444E7" w:rsidRPr="00494DED">
        <w:rPr>
          <w:rFonts w:cstheme="minorHAnsi"/>
          <w:sz w:val="24"/>
          <w:szCs w:val="24"/>
        </w:rPr>
        <w:t xml:space="preserve"> failed to establish</w:t>
      </w:r>
      <w:r w:rsidRPr="00494DED">
        <w:rPr>
          <w:rFonts w:cstheme="minorHAnsi"/>
          <w:sz w:val="24"/>
          <w:szCs w:val="24"/>
        </w:rPr>
        <w:t xml:space="preserve"> a reputation as a trustworthy dividend provider despite two years of dividend growth. This suggests a historically dependable dividend payer</w:t>
      </w:r>
      <w:r w:rsidR="00BC050E" w:rsidRPr="00494DED">
        <w:rPr>
          <w:rFonts w:cstheme="minorHAnsi"/>
          <w:sz w:val="24"/>
          <w:szCs w:val="24"/>
        </w:rPr>
        <w:t xml:space="preserve"> (</w:t>
      </w:r>
      <w:r w:rsidR="00BC050E" w:rsidRPr="00494DED">
        <w:rPr>
          <w:rFonts w:cstheme="minorHAnsi"/>
          <w:sz w:val="24"/>
          <w:szCs w:val="24"/>
          <w:shd w:val="clear" w:color="auto" w:fill="FFFFFF"/>
        </w:rPr>
        <w:t>Tong and Bremer, 2016)</w:t>
      </w:r>
      <w:r w:rsidRPr="00494DED">
        <w:rPr>
          <w:rFonts w:cstheme="minorHAnsi"/>
          <w:sz w:val="24"/>
          <w:szCs w:val="24"/>
        </w:rPr>
        <w:t>. In addition, experts anticipate a 13.1% increase in the dividend for the current fiscal year. Toyota pays its stockholders 33.5% of adjusted income as a dividend. This suggests a historical record of consistent dividend payments.</w:t>
      </w:r>
      <w:r w:rsidR="000C1DDF" w:rsidRPr="00494DED">
        <w:rPr>
          <w:rFonts w:cstheme="minorHAnsi"/>
          <w:sz w:val="24"/>
          <w:szCs w:val="24"/>
        </w:rPr>
        <w:t xml:space="preserve"> Toyota's average dividend yield over the previous 12 months was 2.81%. It is currently 2.71%, which puts it in the average range</w:t>
      </w:r>
      <w:r w:rsidR="00E842C7" w:rsidRPr="00494DED">
        <w:rPr>
          <w:rFonts w:cstheme="minorHAnsi"/>
          <w:sz w:val="24"/>
          <w:szCs w:val="24"/>
        </w:rPr>
        <w:t xml:space="preserve"> (</w:t>
      </w:r>
      <w:proofErr w:type="spellStart"/>
      <w:r w:rsidR="00E842C7" w:rsidRPr="00494DED">
        <w:rPr>
          <w:rFonts w:cstheme="minorHAnsi"/>
          <w:sz w:val="24"/>
          <w:szCs w:val="24"/>
          <w:shd w:val="clear" w:color="auto" w:fill="FFFFFF"/>
        </w:rPr>
        <w:t>Bhattacheryay</w:t>
      </w:r>
      <w:proofErr w:type="spellEnd"/>
      <w:r w:rsidR="00E842C7" w:rsidRPr="00494DED">
        <w:rPr>
          <w:rFonts w:cstheme="minorHAnsi"/>
          <w:sz w:val="24"/>
          <w:szCs w:val="24"/>
          <w:shd w:val="clear" w:color="auto" w:fill="FFFFFF"/>
        </w:rPr>
        <w:t>, 2023)</w:t>
      </w:r>
      <w:r w:rsidR="000C1DDF" w:rsidRPr="00494DED">
        <w:rPr>
          <w:rFonts w:cstheme="minorHAnsi"/>
          <w:sz w:val="24"/>
          <w:szCs w:val="24"/>
        </w:rPr>
        <w:t xml:space="preserve">. Toyota </w:t>
      </w:r>
      <w:r w:rsidR="000C1DDF" w:rsidRPr="00494DED">
        <w:rPr>
          <w:rFonts w:cstheme="minorHAnsi"/>
          <w:sz w:val="24"/>
          <w:szCs w:val="24"/>
        </w:rPr>
        <w:lastRenderedPageBreak/>
        <w:t>stock appears to be adequately valued based on the average dividend yield.</w:t>
      </w:r>
      <w:r w:rsidR="00562FED" w:rsidRPr="00494DED">
        <w:rPr>
          <w:rFonts w:cstheme="minorHAnsi"/>
          <w:sz w:val="24"/>
          <w:szCs w:val="24"/>
        </w:rPr>
        <w:t xml:space="preserve"> The dividend amount alone cannot tell whether a share is moderately or excessively priced.</w:t>
      </w:r>
    </w:p>
    <w:p w14:paraId="1B0464CA" w14:textId="77777777" w:rsidR="00397454" w:rsidRPr="00494DED" w:rsidRDefault="00397454" w:rsidP="00170BE1">
      <w:pPr>
        <w:spacing w:line="360" w:lineRule="auto"/>
        <w:jc w:val="both"/>
        <w:rPr>
          <w:rFonts w:cstheme="minorHAnsi"/>
          <w:noProof/>
          <w:sz w:val="24"/>
          <w:szCs w:val="24"/>
          <w:lang w:val="en-US"/>
        </w:rPr>
      </w:pPr>
    </w:p>
    <w:p w14:paraId="129B484B" w14:textId="77777777" w:rsidR="00397454" w:rsidRPr="00494DED" w:rsidRDefault="00397454" w:rsidP="00170BE1">
      <w:pPr>
        <w:spacing w:line="360" w:lineRule="auto"/>
        <w:jc w:val="both"/>
        <w:rPr>
          <w:rFonts w:cstheme="minorHAnsi"/>
          <w:sz w:val="24"/>
          <w:szCs w:val="24"/>
        </w:rPr>
      </w:pPr>
      <w:r w:rsidRPr="00494DED">
        <w:rPr>
          <w:rFonts w:cstheme="minorHAnsi"/>
          <w:noProof/>
          <w:sz w:val="24"/>
          <w:szCs w:val="24"/>
          <w:lang w:val="en-US"/>
        </w:rPr>
        <w:drawing>
          <wp:inline distT="0" distB="0" distL="0" distR="0" wp14:anchorId="57FB6E05" wp14:editId="63B88AA2">
            <wp:extent cx="6115050" cy="3133725"/>
            <wp:effectExtent l="0" t="0" r="0" b="9525"/>
            <wp:docPr id="1" name="Picture 1" descr="C:\Users\User\Pictures\Screenshots\Screenshot (2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Pictures\Screenshots\Screenshot (285).png"/>
                    <pic:cNvPicPr>
                      <a:picLocks noChangeAspect="1" noChangeArrowheads="1"/>
                    </pic:cNvPicPr>
                  </pic:nvPicPr>
                  <pic:blipFill rotWithShape="1">
                    <a:blip r:embed="rId9">
                      <a:extLst>
                        <a:ext uri="{28A0092B-C50C-407E-A947-70E740481C1C}">
                          <a14:useLocalDpi xmlns:a14="http://schemas.microsoft.com/office/drawing/2010/main" val="0"/>
                        </a:ext>
                      </a:extLst>
                    </a:blip>
                    <a:srcRect l="10258" t="22240" r="13113" b="20467"/>
                    <a:stretch/>
                  </pic:blipFill>
                  <pic:spPr bwMode="auto">
                    <a:xfrm>
                      <a:off x="0" y="0"/>
                      <a:ext cx="6145790" cy="3149478"/>
                    </a:xfrm>
                    <a:prstGeom prst="rect">
                      <a:avLst/>
                    </a:prstGeom>
                    <a:noFill/>
                    <a:ln>
                      <a:noFill/>
                    </a:ln>
                    <a:extLst>
                      <a:ext uri="{53640926-AAD7-44D8-BBD7-CCE9431645EC}">
                        <a14:shadowObscured xmlns:a14="http://schemas.microsoft.com/office/drawing/2010/main"/>
                      </a:ext>
                    </a:extLst>
                  </pic:spPr>
                </pic:pic>
              </a:graphicData>
            </a:graphic>
          </wp:inline>
        </w:drawing>
      </w:r>
    </w:p>
    <w:p w14:paraId="6A310D7B" w14:textId="77777777" w:rsidR="00624DC1" w:rsidRPr="00494DED" w:rsidRDefault="00624DC1" w:rsidP="00170BE1">
      <w:pPr>
        <w:spacing w:line="360" w:lineRule="auto"/>
        <w:jc w:val="both"/>
        <w:rPr>
          <w:rFonts w:cstheme="minorHAnsi"/>
          <w:sz w:val="24"/>
          <w:szCs w:val="24"/>
        </w:rPr>
      </w:pPr>
      <w:r w:rsidRPr="00494DED">
        <w:rPr>
          <w:rFonts w:cstheme="minorHAnsi"/>
          <w:sz w:val="24"/>
          <w:szCs w:val="24"/>
        </w:rPr>
        <w:t>Source: Toyota (2023)</w:t>
      </w:r>
    </w:p>
    <w:p w14:paraId="05681ECE" w14:textId="77777777" w:rsidR="00494DED" w:rsidRPr="00494DED" w:rsidRDefault="00494DED" w:rsidP="00170BE1">
      <w:pPr>
        <w:spacing w:line="360" w:lineRule="auto"/>
        <w:jc w:val="both"/>
        <w:rPr>
          <w:rFonts w:cstheme="minorHAnsi"/>
          <w:sz w:val="24"/>
          <w:szCs w:val="24"/>
        </w:rPr>
      </w:pPr>
    </w:p>
    <w:p w14:paraId="76DF1646" w14:textId="77777777" w:rsidR="008B344F" w:rsidRPr="00494DED" w:rsidRDefault="001327C2" w:rsidP="00170BE1">
      <w:pPr>
        <w:spacing w:line="360" w:lineRule="auto"/>
        <w:jc w:val="both"/>
        <w:rPr>
          <w:rFonts w:cstheme="minorHAnsi"/>
          <w:sz w:val="24"/>
          <w:szCs w:val="24"/>
        </w:rPr>
      </w:pPr>
      <w:r w:rsidRPr="00494DED">
        <w:rPr>
          <w:rFonts w:cstheme="minorHAnsi"/>
          <w:sz w:val="24"/>
          <w:szCs w:val="24"/>
        </w:rPr>
        <w:t xml:space="preserve">The </w:t>
      </w:r>
      <w:r w:rsidR="00AB00F9" w:rsidRPr="00494DED">
        <w:rPr>
          <w:rFonts w:cstheme="minorHAnsi"/>
          <w:sz w:val="24"/>
          <w:szCs w:val="24"/>
        </w:rPr>
        <w:t>C</w:t>
      </w:r>
      <w:r w:rsidRPr="00494DED">
        <w:rPr>
          <w:rFonts w:cstheme="minorHAnsi"/>
          <w:sz w:val="24"/>
          <w:szCs w:val="24"/>
        </w:rPr>
        <w:t>ompany distributed 106 yen in year-end dividends for the fiscal year that ended on March 31, 2023. After accounting for the interim dividend of 90 yen per share that had already been paid, dividends for the fiscal year that ended on March 31, 2022, came to 202 yen per share</w:t>
      </w:r>
      <w:r w:rsidR="0045727F" w:rsidRPr="00494DED">
        <w:rPr>
          <w:rFonts w:cstheme="minorHAnsi"/>
          <w:sz w:val="24"/>
          <w:szCs w:val="24"/>
        </w:rPr>
        <w:t xml:space="preserve"> (</w:t>
      </w:r>
      <w:proofErr w:type="spellStart"/>
      <w:r w:rsidR="0045727F" w:rsidRPr="00494DED">
        <w:rPr>
          <w:rFonts w:cstheme="minorHAnsi"/>
          <w:sz w:val="24"/>
          <w:szCs w:val="24"/>
          <w:shd w:val="clear" w:color="auto" w:fill="FFFFFF"/>
        </w:rPr>
        <w:t>Bhattacheryay</w:t>
      </w:r>
      <w:proofErr w:type="spellEnd"/>
      <w:r w:rsidR="0045727F" w:rsidRPr="00494DED">
        <w:rPr>
          <w:rFonts w:cstheme="minorHAnsi"/>
          <w:sz w:val="24"/>
          <w:szCs w:val="24"/>
          <w:shd w:val="clear" w:color="auto" w:fill="FFFFFF"/>
        </w:rPr>
        <w:t>, 2023)</w:t>
      </w:r>
      <w:r w:rsidRPr="00494DED">
        <w:rPr>
          <w:rFonts w:cstheme="minorHAnsi"/>
          <w:sz w:val="24"/>
          <w:szCs w:val="24"/>
        </w:rPr>
        <w:t xml:space="preserve">. </w:t>
      </w:r>
      <w:r w:rsidR="00AB00F9" w:rsidRPr="00494DED">
        <w:rPr>
          <w:rFonts w:cstheme="minorHAnsi"/>
          <w:sz w:val="24"/>
          <w:szCs w:val="24"/>
        </w:rPr>
        <w:t>This represents a rise of 42 yen per share from the prior fiscal year</w:t>
      </w:r>
      <w:r w:rsidRPr="00494DED">
        <w:rPr>
          <w:rFonts w:cstheme="minorHAnsi"/>
          <w:sz w:val="24"/>
          <w:szCs w:val="24"/>
        </w:rPr>
        <w:t>.</w:t>
      </w:r>
      <w:r w:rsidR="008B344F" w:rsidRPr="00494DED">
        <w:rPr>
          <w:rFonts w:cstheme="minorHAnsi"/>
          <w:sz w:val="24"/>
          <w:szCs w:val="24"/>
        </w:rPr>
        <w:t xml:space="preserve"> A resolution to buy back up to 140 million shares of Toyota's common stock between June 17, 2022, and September 30, 2022, was made at the board meeting on May 11, 2022, with an aggregate purchase price of 200 billion yen</w:t>
      </w:r>
      <w:r w:rsidR="0045727F" w:rsidRPr="00494DED">
        <w:rPr>
          <w:rFonts w:cstheme="minorHAnsi"/>
          <w:sz w:val="24"/>
          <w:szCs w:val="24"/>
        </w:rPr>
        <w:t xml:space="preserve"> (</w:t>
      </w:r>
      <w:proofErr w:type="spellStart"/>
      <w:r w:rsidR="0045727F" w:rsidRPr="00494DED">
        <w:rPr>
          <w:rFonts w:cstheme="minorHAnsi"/>
          <w:sz w:val="24"/>
          <w:szCs w:val="24"/>
          <w:shd w:val="clear" w:color="auto" w:fill="FFFFFF"/>
        </w:rPr>
        <w:t>Bhattacheryay</w:t>
      </w:r>
      <w:proofErr w:type="spellEnd"/>
      <w:r w:rsidR="0045727F" w:rsidRPr="00494DED">
        <w:rPr>
          <w:rFonts w:cstheme="minorHAnsi"/>
          <w:sz w:val="24"/>
          <w:szCs w:val="24"/>
          <w:shd w:val="clear" w:color="auto" w:fill="FFFFFF"/>
        </w:rPr>
        <w:t>, 2023)</w:t>
      </w:r>
      <w:r w:rsidR="008B344F" w:rsidRPr="00494DED">
        <w:rPr>
          <w:rFonts w:cstheme="minorHAnsi"/>
          <w:sz w:val="24"/>
          <w:szCs w:val="24"/>
        </w:rPr>
        <w:t xml:space="preserve">. Toyota plans to buy back shares with greater flexibility than in the past </w:t>
      </w:r>
      <w:r w:rsidR="00AB00F9" w:rsidRPr="00494DED">
        <w:rPr>
          <w:rFonts w:cstheme="minorHAnsi"/>
          <w:sz w:val="24"/>
          <w:szCs w:val="24"/>
        </w:rPr>
        <w:t>to boost</w:t>
      </w:r>
      <w:r w:rsidR="008B344F" w:rsidRPr="00494DED">
        <w:rPr>
          <w:rFonts w:cstheme="minorHAnsi"/>
          <w:sz w:val="24"/>
          <w:szCs w:val="24"/>
        </w:rPr>
        <w:t xml:space="preserve"> capital efficiency by </w:t>
      </w:r>
      <w:proofErr w:type="gramStart"/>
      <w:r w:rsidR="008B344F" w:rsidRPr="00494DED">
        <w:rPr>
          <w:rFonts w:cstheme="minorHAnsi"/>
          <w:sz w:val="24"/>
          <w:szCs w:val="24"/>
        </w:rPr>
        <w:t>taking into account</w:t>
      </w:r>
      <w:proofErr w:type="gramEnd"/>
      <w:r w:rsidR="008B344F" w:rsidRPr="00494DED">
        <w:rPr>
          <w:rFonts w:cstheme="minorHAnsi"/>
          <w:sz w:val="24"/>
          <w:szCs w:val="24"/>
        </w:rPr>
        <w:t xml:space="preserve"> its investment in growth, the amount of its dividends, its cash reserves, and the price level of its common stock.</w:t>
      </w:r>
    </w:p>
    <w:p w14:paraId="67667F87" w14:textId="77777777" w:rsidR="0020609B" w:rsidRPr="00494DED" w:rsidRDefault="0020609B" w:rsidP="00170BE1">
      <w:pPr>
        <w:spacing w:line="360" w:lineRule="auto"/>
        <w:jc w:val="both"/>
        <w:rPr>
          <w:rFonts w:cstheme="minorHAnsi"/>
          <w:sz w:val="24"/>
          <w:szCs w:val="24"/>
        </w:rPr>
      </w:pPr>
      <w:r w:rsidRPr="00494DED">
        <w:rPr>
          <w:rFonts w:cstheme="minorHAnsi"/>
          <w:noProof/>
          <w:sz w:val="24"/>
          <w:szCs w:val="24"/>
          <w:lang w:val="en-US"/>
        </w:rPr>
        <w:lastRenderedPageBreak/>
        <w:drawing>
          <wp:inline distT="0" distB="0" distL="0" distR="0" wp14:anchorId="39AB5A5E" wp14:editId="7DB6A91A">
            <wp:extent cx="5993130" cy="2962910"/>
            <wp:effectExtent l="0" t="0" r="762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93130" cy="2962910"/>
                    </a:xfrm>
                    <a:prstGeom prst="rect">
                      <a:avLst/>
                    </a:prstGeom>
                    <a:noFill/>
                  </pic:spPr>
                </pic:pic>
              </a:graphicData>
            </a:graphic>
          </wp:inline>
        </w:drawing>
      </w:r>
    </w:p>
    <w:p w14:paraId="623740DF" w14:textId="77777777" w:rsidR="00E63030" w:rsidRPr="00494DED" w:rsidRDefault="00E63030" w:rsidP="00170BE1">
      <w:pPr>
        <w:spacing w:line="360" w:lineRule="auto"/>
        <w:jc w:val="both"/>
        <w:rPr>
          <w:rFonts w:cstheme="minorHAnsi"/>
          <w:sz w:val="24"/>
          <w:szCs w:val="24"/>
        </w:rPr>
      </w:pPr>
      <w:r w:rsidRPr="00494DED">
        <w:rPr>
          <w:rFonts w:cstheme="minorHAnsi"/>
          <w:sz w:val="24"/>
          <w:szCs w:val="24"/>
        </w:rPr>
        <w:t>Source: Toyota (2023)</w:t>
      </w:r>
    </w:p>
    <w:p w14:paraId="6EDDA7DB" w14:textId="77777777" w:rsidR="00494DED" w:rsidRPr="00494DED" w:rsidRDefault="00494DED" w:rsidP="00170BE1">
      <w:pPr>
        <w:spacing w:line="360" w:lineRule="auto"/>
        <w:jc w:val="both"/>
        <w:rPr>
          <w:rFonts w:cstheme="minorHAnsi"/>
          <w:sz w:val="24"/>
          <w:szCs w:val="24"/>
        </w:rPr>
      </w:pPr>
    </w:p>
    <w:p w14:paraId="7CC09B40" w14:textId="77777777" w:rsidR="0020609B" w:rsidRPr="00494DED" w:rsidRDefault="00B7022A" w:rsidP="00170BE1">
      <w:pPr>
        <w:spacing w:line="360" w:lineRule="auto"/>
        <w:jc w:val="both"/>
        <w:rPr>
          <w:rFonts w:cstheme="minorHAnsi"/>
          <w:sz w:val="24"/>
          <w:szCs w:val="24"/>
          <w:shd w:val="clear" w:color="auto" w:fill="FFFFFF"/>
        </w:rPr>
      </w:pPr>
      <w:r w:rsidRPr="00494DED">
        <w:rPr>
          <w:rFonts w:cstheme="minorHAnsi"/>
          <w:sz w:val="24"/>
          <w:szCs w:val="24"/>
        </w:rPr>
        <w:t>For example, 100 billion yen will be alloc</w:t>
      </w:r>
      <w:r w:rsidR="004D0F91" w:rsidRPr="00494DED">
        <w:rPr>
          <w:rFonts w:cstheme="minorHAnsi"/>
          <w:sz w:val="24"/>
          <w:szCs w:val="24"/>
        </w:rPr>
        <w:t xml:space="preserve">ated to share buybacks. </w:t>
      </w:r>
      <w:r w:rsidR="00B445DC" w:rsidRPr="00494DED">
        <w:rPr>
          <w:rFonts w:cstheme="minorHAnsi"/>
          <w:sz w:val="24"/>
          <w:szCs w:val="24"/>
        </w:rPr>
        <w:t xml:space="preserve">A new strategy will be leveraged </w:t>
      </w:r>
      <w:r w:rsidRPr="00494DED">
        <w:rPr>
          <w:rFonts w:cstheme="minorHAnsi"/>
          <w:sz w:val="24"/>
          <w:szCs w:val="24"/>
        </w:rPr>
        <w:t xml:space="preserve">depending on variables like the price of the </w:t>
      </w:r>
      <w:r w:rsidR="00AB00F9" w:rsidRPr="00494DED">
        <w:rPr>
          <w:rFonts w:cstheme="minorHAnsi"/>
          <w:sz w:val="24"/>
          <w:szCs w:val="24"/>
        </w:rPr>
        <w:t>C</w:t>
      </w:r>
      <w:r w:rsidRPr="00494DED">
        <w:rPr>
          <w:rFonts w:cstheme="minorHAnsi"/>
          <w:sz w:val="24"/>
          <w:szCs w:val="24"/>
        </w:rPr>
        <w:t xml:space="preserve">ompany's common stock. </w:t>
      </w:r>
      <w:r w:rsidR="00AB00F9" w:rsidRPr="00494DED">
        <w:rPr>
          <w:rFonts w:cstheme="minorHAnsi"/>
          <w:sz w:val="24"/>
          <w:szCs w:val="24"/>
        </w:rPr>
        <w:t>2024</w:t>
      </w:r>
      <w:r w:rsidR="002827CA" w:rsidRPr="00494DED">
        <w:rPr>
          <w:rFonts w:cstheme="minorHAnsi"/>
          <w:sz w:val="24"/>
          <w:szCs w:val="24"/>
        </w:rPr>
        <w:t xml:space="preserve"> the </w:t>
      </w:r>
      <w:r w:rsidR="00AB00F9" w:rsidRPr="00494DED">
        <w:rPr>
          <w:rFonts w:cstheme="minorHAnsi"/>
          <w:sz w:val="24"/>
          <w:szCs w:val="24"/>
        </w:rPr>
        <w:t>C</w:t>
      </w:r>
      <w:r w:rsidR="002827CA" w:rsidRPr="00494DED">
        <w:rPr>
          <w:rFonts w:cstheme="minorHAnsi"/>
          <w:sz w:val="24"/>
          <w:szCs w:val="24"/>
        </w:rPr>
        <w:t xml:space="preserve">ompany intends to provide 204 yen per </w:t>
      </w:r>
      <w:r w:rsidR="00AB00F9" w:rsidRPr="00494DED">
        <w:rPr>
          <w:rFonts w:cstheme="minorHAnsi"/>
          <w:sz w:val="24"/>
          <w:szCs w:val="24"/>
        </w:rPr>
        <w:t>dividend share</w:t>
      </w:r>
      <w:r w:rsidR="002827CA" w:rsidRPr="00494DED">
        <w:rPr>
          <w:rFonts w:cstheme="minorHAnsi"/>
          <w:sz w:val="24"/>
          <w:szCs w:val="24"/>
        </w:rPr>
        <w:t xml:space="preserve"> annually. This is predicated on the assumption that Toyota will, in accordance with its most recent forecast, generate a consolidated profit attributable to owners of the parent for the year of 280.0 billion yen</w:t>
      </w:r>
      <w:r w:rsidR="0045727F" w:rsidRPr="00494DED">
        <w:rPr>
          <w:rFonts w:cstheme="minorHAnsi"/>
          <w:sz w:val="24"/>
          <w:szCs w:val="24"/>
        </w:rPr>
        <w:t xml:space="preserve"> (</w:t>
      </w:r>
      <w:r w:rsidR="0045727F" w:rsidRPr="00494DED">
        <w:rPr>
          <w:rFonts w:cstheme="minorHAnsi"/>
          <w:sz w:val="24"/>
          <w:szCs w:val="24"/>
          <w:shd w:val="clear" w:color="auto" w:fill="FFFFFF"/>
        </w:rPr>
        <w:t>Liker, 2021)</w:t>
      </w:r>
      <w:r w:rsidR="002827CA" w:rsidRPr="00494DED">
        <w:rPr>
          <w:rFonts w:cstheme="minorHAnsi"/>
          <w:sz w:val="24"/>
          <w:szCs w:val="24"/>
        </w:rPr>
        <w:t>.</w:t>
      </w:r>
      <w:r w:rsidR="002A6E95" w:rsidRPr="00494DED">
        <w:rPr>
          <w:rFonts w:cstheme="minorHAnsi"/>
          <w:sz w:val="24"/>
          <w:szCs w:val="24"/>
        </w:rPr>
        <w:t xml:space="preserve"> TMC considers increasing shareholder returns to be one of its top management strategies. TMC will work to </w:t>
      </w:r>
      <w:proofErr w:type="gramStart"/>
      <w:r w:rsidR="002A6E95" w:rsidRPr="00494DED">
        <w:rPr>
          <w:rFonts w:cstheme="minorHAnsi"/>
          <w:sz w:val="24"/>
          <w:szCs w:val="24"/>
        </w:rPr>
        <w:t>steadily an</w:t>
      </w:r>
      <w:r w:rsidR="003B279F" w:rsidRPr="00494DED">
        <w:rPr>
          <w:rFonts w:cstheme="minorHAnsi"/>
          <w:sz w:val="24"/>
          <w:szCs w:val="24"/>
        </w:rPr>
        <w:t>d continuously raise dividends</w:t>
      </w:r>
      <w:proofErr w:type="gramEnd"/>
      <w:r w:rsidR="003B279F" w:rsidRPr="00494DED">
        <w:rPr>
          <w:rFonts w:cstheme="minorHAnsi"/>
          <w:sz w:val="24"/>
          <w:szCs w:val="24"/>
        </w:rPr>
        <w:t>.</w:t>
      </w:r>
      <w:r w:rsidR="0045727F" w:rsidRPr="00494DED">
        <w:rPr>
          <w:rFonts w:cstheme="minorHAnsi"/>
          <w:sz w:val="24"/>
          <w:szCs w:val="24"/>
        </w:rPr>
        <w:t xml:space="preserve"> (</w:t>
      </w:r>
      <w:r w:rsidR="0045727F" w:rsidRPr="00494DED">
        <w:rPr>
          <w:rFonts w:cstheme="minorHAnsi"/>
          <w:sz w:val="24"/>
          <w:szCs w:val="24"/>
          <w:shd w:val="clear" w:color="auto" w:fill="FFFFFF"/>
        </w:rPr>
        <w:t>Miyamoto and Miyamoto, 2018)</w:t>
      </w:r>
    </w:p>
    <w:p w14:paraId="1040DF0B" w14:textId="77777777" w:rsidR="00494DED" w:rsidRPr="00494DED" w:rsidRDefault="00494DED" w:rsidP="00170BE1">
      <w:pPr>
        <w:spacing w:line="360" w:lineRule="auto"/>
        <w:jc w:val="both"/>
        <w:rPr>
          <w:rFonts w:cstheme="minorHAnsi"/>
          <w:sz w:val="24"/>
          <w:szCs w:val="24"/>
        </w:rPr>
      </w:pPr>
    </w:p>
    <w:p w14:paraId="0410EA34" w14:textId="77777777" w:rsidR="004C72BB" w:rsidRPr="005265A4" w:rsidRDefault="004C72BB" w:rsidP="00494DED">
      <w:pPr>
        <w:pStyle w:val="Heading1"/>
        <w:rPr>
          <w:b/>
          <w:bCs/>
          <w:sz w:val="28"/>
          <w:szCs w:val="28"/>
        </w:rPr>
      </w:pPr>
      <w:bookmarkStart w:id="5" w:name="_Toc140744959"/>
      <w:r w:rsidRPr="005265A4">
        <w:rPr>
          <w:b/>
          <w:bCs/>
          <w:sz w:val="28"/>
          <w:szCs w:val="28"/>
        </w:rPr>
        <w:t>Efficient market hypothesis theory</w:t>
      </w:r>
      <w:bookmarkEnd w:id="5"/>
    </w:p>
    <w:p w14:paraId="1B9E62CB" w14:textId="77777777" w:rsidR="00494DED" w:rsidRPr="00494DED" w:rsidRDefault="00494DED" w:rsidP="00170BE1">
      <w:pPr>
        <w:spacing w:line="360" w:lineRule="auto"/>
        <w:jc w:val="both"/>
        <w:rPr>
          <w:rFonts w:cstheme="minorHAnsi"/>
          <w:b/>
          <w:sz w:val="24"/>
          <w:szCs w:val="24"/>
        </w:rPr>
      </w:pPr>
    </w:p>
    <w:p w14:paraId="17F57B6D" w14:textId="2A825F39" w:rsidR="00260D01" w:rsidRPr="00494DED" w:rsidRDefault="00CC1668" w:rsidP="00170BE1">
      <w:pPr>
        <w:spacing w:line="360" w:lineRule="auto"/>
        <w:jc w:val="both"/>
        <w:rPr>
          <w:rFonts w:cstheme="minorHAnsi"/>
          <w:sz w:val="24"/>
          <w:szCs w:val="24"/>
        </w:rPr>
      </w:pPr>
      <w:r w:rsidRPr="00494DED">
        <w:rPr>
          <w:rFonts w:cstheme="minorHAnsi"/>
          <w:sz w:val="24"/>
          <w:szCs w:val="24"/>
        </w:rPr>
        <w:t>According to the</w:t>
      </w:r>
      <w:r w:rsidR="00B84559" w:rsidRPr="00494DED">
        <w:rPr>
          <w:rFonts w:cstheme="minorHAnsi"/>
          <w:sz w:val="24"/>
          <w:szCs w:val="24"/>
        </w:rPr>
        <w:t xml:space="preserve"> </w:t>
      </w:r>
      <w:r w:rsidR="00B84559" w:rsidRPr="00494DED">
        <w:rPr>
          <w:rFonts w:cstheme="minorHAnsi"/>
          <w:bCs/>
          <w:sz w:val="24"/>
          <w:szCs w:val="24"/>
        </w:rPr>
        <w:t>Efficient market hypothesis</w:t>
      </w:r>
      <w:r w:rsidRPr="00494DED">
        <w:rPr>
          <w:rFonts w:cstheme="minorHAnsi"/>
          <w:sz w:val="24"/>
          <w:szCs w:val="24"/>
        </w:rPr>
        <w:t xml:space="preserve"> </w:t>
      </w:r>
      <w:r w:rsidR="00B84559" w:rsidRPr="00494DED">
        <w:rPr>
          <w:rFonts w:cstheme="minorHAnsi"/>
          <w:sz w:val="24"/>
          <w:szCs w:val="24"/>
        </w:rPr>
        <w:t>(</w:t>
      </w:r>
      <w:r w:rsidRPr="00494DED">
        <w:rPr>
          <w:rFonts w:cstheme="minorHAnsi"/>
          <w:sz w:val="24"/>
          <w:szCs w:val="24"/>
        </w:rPr>
        <w:t>EMH</w:t>
      </w:r>
      <w:r w:rsidR="00B84559" w:rsidRPr="00494DED">
        <w:rPr>
          <w:rFonts w:cstheme="minorHAnsi"/>
          <w:sz w:val="24"/>
          <w:szCs w:val="24"/>
        </w:rPr>
        <w:t>)</w:t>
      </w:r>
      <w:r w:rsidRPr="00494DED">
        <w:rPr>
          <w:rFonts w:cstheme="minorHAnsi"/>
          <w:sz w:val="24"/>
          <w:szCs w:val="24"/>
        </w:rPr>
        <w:t>, asset stock prices provide immediate and logical indications of all necessary data.</w:t>
      </w:r>
      <w:r w:rsidR="00A2610E" w:rsidRPr="00494DED">
        <w:rPr>
          <w:rFonts w:cstheme="minorHAnsi"/>
          <w:sz w:val="24"/>
          <w:szCs w:val="24"/>
        </w:rPr>
        <w:t xml:space="preserve"> This theory states that an efficient market fails to provide profitable trading opportunities</w:t>
      </w:r>
      <w:r w:rsidR="00F34704" w:rsidRPr="00494DED">
        <w:rPr>
          <w:rFonts w:cstheme="minorHAnsi"/>
          <w:sz w:val="24"/>
          <w:szCs w:val="24"/>
        </w:rPr>
        <w:t xml:space="preserve"> (</w:t>
      </w:r>
      <w:r w:rsidR="00F34704" w:rsidRPr="00494DED">
        <w:rPr>
          <w:rFonts w:cstheme="minorHAnsi"/>
          <w:sz w:val="24"/>
          <w:szCs w:val="24"/>
          <w:shd w:val="clear" w:color="auto" w:fill="FFFFFF"/>
        </w:rPr>
        <w:t>Lasher, 2016)</w:t>
      </w:r>
      <w:r w:rsidR="00A2610E" w:rsidRPr="00494DED">
        <w:rPr>
          <w:rFonts w:cstheme="minorHAnsi"/>
          <w:sz w:val="24"/>
          <w:szCs w:val="24"/>
        </w:rPr>
        <w:t xml:space="preserve">. Therefore, </w:t>
      </w:r>
      <w:r w:rsidR="00A8616B" w:rsidRPr="00494DED">
        <w:rPr>
          <w:rFonts w:cstheme="minorHAnsi"/>
          <w:sz w:val="24"/>
          <w:szCs w:val="24"/>
        </w:rPr>
        <w:t xml:space="preserve">an investor cannot get a </w:t>
      </w:r>
      <w:r w:rsidR="00CC481C" w:rsidRPr="00494DED">
        <w:rPr>
          <w:rFonts w:cstheme="minorHAnsi"/>
          <w:sz w:val="24"/>
          <w:szCs w:val="24"/>
        </w:rPr>
        <w:t>significant dividend</w:t>
      </w:r>
      <w:r w:rsidR="00A8616B" w:rsidRPr="00494DED">
        <w:rPr>
          <w:rFonts w:cstheme="minorHAnsi"/>
          <w:sz w:val="24"/>
          <w:szCs w:val="24"/>
        </w:rPr>
        <w:t xml:space="preserve"> </w:t>
      </w:r>
      <w:r w:rsidR="00A2610E" w:rsidRPr="00494DED">
        <w:rPr>
          <w:rFonts w:cstheme="minorHAnsi"/>
          <w:sz w:val="24"/>
          <w:szCs w:val="24"/>
        </w:rPr>
        <w:t>under such circumstances continuously.</w:t>
      </w:r>
      <w:r w:rsidR="00637C9B" w:rsidRPr="00494DED">
        <w:rPr>
          <w:rFonts w:cstheme="minorHAnsi"/>
          <w:sz w:val="24"/>
          <w:szCs w:val="24"/>
        </w:rPr>
        <w:t xml:space="preserve"> </w:t>
      </w:r>
      <w:r w:rsidR="00A8616B" w:rsidRPr="00494DED">
        <w:rPr>
          <w:rFonts w:cstheme="minorHAnsi"/>
          <w:sz w:val="24"/>
          <w:szCs w:val="24"/>
        </w:rPr>
        <w:t xml:space="preserve">Time is a critical factor in </w:t>
      </w:r>
      <w:r w:rsidR="00A8616B" w:rsidRPr="00494DED">
        <w:rPr>
          <w:rFonts w:cstheme="minorHAnsi"/>
          <w:sz w:val="24"/>
          <w:szCs w:val="24"/>
        </w:rPr>
        <w:lastRenderedPageBreak/>
        <w:t xml:space="preserve">determining the rate at which market knowledge is received. Generally, investors are always keen to ensure that they earn higher returns due to time lag. </w:t>
      </w:r>
      <w:r w:rsidR="00260D01" w:rsidRPr="00494DED">
        <w:rPr>
          <w:rFonts w:cstheme="minorHAnsi"/>
          <w:sz w:val="24"/>
          <w:szCs w:val="24"/>
        </w:rPr>
        <w:t>A growing number of investors are becoming familiar with EMH. Those who support this perspective on the market frequently purchase more passive products like exchange-traded funds and index funds</w:t>
      </w:r>
      <w:r w:rsidR="00A87E86" w:rsidRPr="00494DED">
        <w:rPr>
          <w:rFonts w:cstheme="minorHAnsi"/>
          <w:sz w:val="24"/>
          <w:szCs w:val="24"/>
        </w:rPr>
        <w:t xml:space="preserve"> (Madura and Fox, 2019)</w:t>
      </w:r>
      <w:r w:rsidR="00260D01" w:rsidRPr="00494DED">
        <w:rPr>
          <w:rFonts w:cstheme="minorHAnsi"/>
          <w:sz w:val="24"/>
          <w:szCs w:val="24"/>
        </w:rPr>
        <w:t xml:space="preserve">. </w:t>
      </w:r>
    </w:p>
    <w:p w14:paraId="3F8CB05B" w14:textId="77777777" w:rsidR="00CC1668" w:rsidRPr="00494DED" w:rsidRDefault="00213E85" w:rsidP="00170BE1">
      <w:pPr>
        <w:spacing w:line="360" w:lineRule="auto"/>
        <w:jc w:val="both"/>
        <w:rPr>
          <w:rFonts w:cstheme="minorHAnsi"/>
          <w:sz w:val="24"/>
          <w:szCs w:val="24"/>
        </w:rPr>
      </w:pPr>
      <w:r w:rsidRPr="00494DED">
        <w:rPr>
          <w:rFonts w:cstheme="minorHAnsi"/>
          <w:sz w:val="24"/>
          <w:szCs w:val="24"/>
        </w:rPr>
        <w:t>Weak form.</w:t>
      </w:r>
      <w:r w:rsidR="0054561F" w:rsidRPr="00494DED">
        <w:rPr>
          <w:rFonts w:cstheme="minorHAnsi"/>
          <w:sz w:val="24"/>
          <w:szCs w:val="24"/>
        </w:rPr>
        <w:t xml:space="preserve"> </w:t>
      </w:r>
      <w:r w:rsidR="00FB7F9A" w:rsidRPr="00494DED">
        <w:rPr>
          <w:rFonts w:cstheme="minorHAnsi"/>
          <w:sz w:val="24"/>
          <w:szCs w:val="24"/>
        </w:rPr>
        <w:t>In this case, all publicly available market data is represented by the market prices of all securities.</w:t>
      </w:r>
      <w:r w:rsidR="00EB35A1" w:rsidRPr="00494DED">
        <w:rPr>
          <w:rFonts w:cstheme="minorHAnsi"/>
          <w:sz w:val="24"/>
          <w:szCs w:val="24"/>
        </w:rPr>
        <w:t xml:space="preserve"> Any data that has not been made public is not reflected in the weak form. The theory of EMH is that historical information about prices and returns has no bearing on how much an instrument of finance will cost in the future.</w:t>
      </w:r>
      <w:r w:rsidR="00555B4C" w:rsidRPr="00494DED">
        <w:rPr>
          <w:rFonts w:cstheme="minorHAnsi"/>
          <w:sz w:val="24"/>
          <w:szCs w:val="24"/>
        </w:rPr>
        <w:t xml:space="preserve"> </w:t>
      </w:r>
      <w:r w:rsidRPr="00494DED">
        <w:rPr>
          <w:rFonts w:cstheme="minorHAnsi"/>
          <w:sz w:val="24"/>
          <w:szCs w:val="24"/>
        </w:rPr>
        <w:t>Semi-strong form.</w:t>
      </w:r>
      <w:r w:rsidR="00796EBF" w:rsidRPr="00494DED">
        <w:rPr>
          <w:rFonts w:cstheme="minorHAnsi"/>
          <w:sz w:val="24"/>
          <w:szCs w:val="24"/>
        </w:rPr>
        <w:t xml:space="preserve"> The hypotheses of the weak form acknowledge that price levels swiftly alter in reaction to any newly given public data.</w:t>
      </w:r>
      <w:r w:rsidR="00555B4C" w:rsidRPr="00494DED">
        <w:rPr>
          <w:rFonts w:cstheme="minorHAnsi"/>
          <w:sz w:val="24"/>
          <w:szCs w:val="24"/>
        </w:rPr>
        <w:t xml:space="preserve"> </w:t>
      </w:r>
      <w:r w:rsidRPr="00494DED">
        <w:rPr>
          <w:rFonts w:cstheme="minorHAnsi"/>
          <w:sz w:val="24"/>
          <w:szCs w:val="24"/>
        </w:rPr>
        <w:t xml:space="preserve">Strong form. </w:t>
      </w:r>
      <w:r w:rsidR="002C346F" w:rsidRPr="00494DED">
        <w:rPr>
          <w:rFonts w:cstheme="minorHAnsi"/>
          <w:sz w:val="24"/>
          <w:szCs w:val="24"/>
        </w:rPr>
        <w:t>According to this variant of EMH, the market values of stocks represent historical and real-time data. This covers both privately held information and material that has been made public. Additionally, it implies that the cost indicates knowledge exclusive to Toyota Company board members and the CEO</w:t>
      </w:r>
      <w:r w:rsidR="00A87E86" w:rsidRPr="00494DED">
        <w:rPr>
          <w:rFonts w:cstheme="minorHAnsi"/>
          <w:sz w:val="24"/>
          <w:szCs w:val="24"/>
        </w:rPr>
        <w:t xml:space="preserve"> (</w:t>
      </w:r>
      <w:r w:rsidR="00A87E86" w:rsidRPr="00494DED">
        <w:rPr>
          <w:rFonts w:cstheme="minorHAnsi"/>
          <w:sz w:val="24"/>
          <w:szCs w:val="24"/>
          <w:shd w:val="clear" w:color="auto" w:fill="FFFFFF"/>
        </w:rPr>
        <w:t>Moyer, McGuigan and Rao, 2014)</w:t>
      </w:r>
      <w:r w:rsidR="002C346F" w:rsidRPr="00494DED">
        <w:rPr>
          <w:rFonts w:cstheme="minorHAnsi"/>
          <w:sz w:val="24"/>
          <w:szCs w:val="24"/>
        </w:rPr>
        <w:t>.</w:t>
      </w:r>
    </w:p>
    <w:p w14:paraId="1C3F6F2F" w14:textId="6147151A" w:rsidR="00494DED" w:rsidRPr="00494DED" w:rsidRDefault="009F41C0" w:rsidP="00170BE1">
      <w:pPr>
        <w:spacing w:line="360" w:lineRule="auto"/>
        <w:jc w:val="both"/>
        <w:rPr>
          <w:rFonts w:cstheme="minorHAnsi"/>
          <w:sz w:val="24"/>
          <w:szCs w:val="24"/>
        </w:rPr>
      </w:pPr>
      <w:r w:rsidRPr="00494DED">
        <w:rPr>
          <w:rFonts w:cstheme="minorHAnsi"/>
          <w:sz w:val="24"/>
          <w:szCs w:val="24"/>
        </w:rPr>
        <w:t>The m</w:t>
      </w:r>
      <w:r w:rsidR="004C72BB" w:rsidRPr="00494DED">
        <w:rPr>
          <w:rFonts w:cstheme="minorHAnsi"/>
          <w:sz w:val="24"/>
          <w:szCs w:val="24"/>
        </w:rPr>
        <w:t>ethods of appraising projects</w:t>
      </w:r>
      <w:r w:rsidR="00D1117E" w:rsidRPr="00494DED">
        <w:rPr>
          <w:rFonts w:cstheme="minorHAnsi"/>
          <w:sz w:val="24"/>
          <w:szCs w:val="24"/>
        </w:rPr>
        <w:t xml:space="preserve"> used by Toyota Company</w:t>
      </w:r>
      <w:r w:rsidRPr="00494DED">
        <w:rPr>
          <w:rFonts w:cstheme="minorHAnsi"/>
          <w:sz w:val="24"/>
          <w:szCs w:val="24"/>
        </w:rPr>
        <w:t xml:space="preserve"> include economic analysis. </w:t>
      </w:r>
      <w:r w:rsidR="00F60F4B" w:rsidRPr="00494DED">
        <w:rPr>
          <w:rFonts w:cstheme="minorHAnsi"/>
          <w:sz w:val="24"/>
          <w:szCs w:val="24"/>
        </w:rPr>
        <w:t>Under the e</w:t>
      </w:r>
      <w:r w:rsidR="00D1117E" w:rsidRPr="00494DED">
        <w:rPr>
          <w:rFonts w:cstheme="minorHAnsi"/>
          <w:sz w:val="24"/>
          <w:szCs w:val="24"/>
        </w:rPr>
        <w:t xml:space="preserve">conomic </w:t>
      </w:r>
      <w:r w:rsidR="00F60F4B" w:rsidRPr="00494DED">
        <w:rPr>
          <w:rFonts w:cstheme="minorHAnsi"/>
          <w:sz w:val="24"/>
          <w:szCs w:val="24"/>
        </w:rPr>
        <w:t>analysis</w:t>
      </w:r>
      <w:r w:rsidR="00AB00F9" w:rsidRPr="00494DED">
        <w:rPr>
          <w:rFonts w:cstheme="minorHAnsi"/>
          <w:sz w:val="24"/>
          <w:szCs w:val="24"/>
        </w:rPr>
        <w:t>,</w:t>
      </w:r>
      <w:r w:rsidR="00F60F4B" w:rsidRPr="00494DED">
        <w:rPr>
          <w:rFonts w:cstheme="minorHAnsi"/>
          <w:sz w:val="24"/>
          <w:szCs w:val="24"/>
        </w:rPr>
        <w:t xml:space="preserve"> the a</w:t>
      </w:r>
      <w:r w:rsidR="00F8196A" w:rsidRPr="00494DED">
        <w:rPr>
          <w:rFonts w:cstheme="minorHAnsi"/>
          <w:sz w:val="24"/>
          <w:szCs w:val="24"/>
        </w:rPr>
        <w:t>spects of the project that are taken into consideration include the need for ra</w:t>
      </w:r>
      <w:r w:rsidR="009432C4" w:rsidRPr="00494DED">
        <w:rPr>
          <w:rFonts w:cstheme="minorHAnsi"/>
          <w:sz w:val="24"/>
          <w:szCs w:val="24"/>
        </w:rPr>
        <w:t xml:space="preserve">w materials, the capacity </w:t>
      </w:r>
      <w:r w:rsidR="00C93A3F" w:rsidRPr="00494DED">
        <w:rPr>
          <w:rFonts w:cstheme="minorHAnsi"/>
          <w:sz w:val="24"/>
          <w:szCs w:val="24"/>
        </w:rPr>
        <w:t>efficiency</w:t>
      </w:r>
      <w:r w:rsidR="00F8196A" w:rsidRPr="00494DED">
        <w:rPr>
          <w:rFonts w:cstheme="minorHAnsi"/>
          <w:sz w:val="24"/>
          <w:szCs w:val="24"/>
        </w:rPr>
        <w:t xml:space="preserve"> rate, anticipated sales, and anticipated expenditures</w:t>
      </w:r>
      <w:r w:rsidR="00F34704" w:rsidRPr="00494DED">
        <w:rPr>
          <w:rFonts w:cstheme="minorHAnsi"/>
          <w:sz w:val="24"/>
          <w:szCs w:val="24"/>
        </w:rPr>
        <w:t xml:space="preserve"> (</w:t>
      </w:r>
      <w:r w:rsidR="00F34704" w:rsidRPr="00494DED">
        <w:rPr>
          <w:rFonts w:cstheme="minorHAnsi"/>
          <w:sz w:val="24"/>
          <w:szCs w:val="24"/>
          <w:shd w:val="clear" w:color="auto" w:fill="FFFFFF"/>
        </w:rPr>
        <w:t>Lasher, 2016)</w:t>
      </w:r>
      <w:r w:rsidR="00F8196A" w:rsidRPr="00494DED">
        <w:rPr>
          <w:rFonts w:cstheme="minorHAnsi"/>
          <w:sz w:val="24"/>
          <w:szCs w:val="24"/>
        </w:rPr>
        <w:t xml:space="preserve">. Toyota Company should </w:t>
      </w:r>
      <w:r w:rsidR="00AB00F9" w:rsidRPr="00494DED">
        <w:rPr>
          <w:rFonts w:cstheme="minorHAnsi"/>
          <w:sz w:val="24"/>
          <w:szCs w:val="24"/>
        </w:rPr>
        <w:t>know</w:t>
      </w:r>
      <w:r w:rsidR="00F8196A" w:rsidRPr="00494DED">
        <w:rPr>
          <w:rFonts w:cstheme="minorHAnsi"/>
          <w:sz w:val="24"/>
          <w:szCs w:val="24"/>
        </w:rPr>
        <w:t xml:space="preserve"> its profit margins because they affect other economic factors like sales, purchases, and expenditure</w:t>
      </w:r>
      <w:r w:rsidR="00AB00F9" w:rsidRPr="00494DED">
        <w:rPr>
          <w:rFonts w:cstheme="minorHAnsi"/>
          <w:sz w:val="24"/>
          <w:szCs w:val="24"/>
        </w:rPr>
        <w:t>s</w:t>
      </w:r>
      <w:r w:rsidR="00F8196A" w:rsidRPr="00494DED">
        <w:rPr>
          <w:rFonts w:cstheme="minorHAnsi"/>
          <w:sz w:val="24"/>
          <w:szCs w:val="24"/>
        </w:rPr>
        <w:t xml:space="preserve">. </w:t>
      </w:r>
      <w:r w:rsidR="00C93A3F" w:rsidRPr="00494DED">
        <w:rPr>
          <w:rFonts w:cstheme="minorHAnsi"/>
          <w:sz w:val="24"/>
          <w:szCs w:val="24"/>
        </w:rPr>
        <w:t>T</w:t>
      </w:r>
      <w:r w:rsidR="00AB00F9" w:rsidRPr="00494DED">
        <w:rPr>
          <w:rFonts w:cstheme="minorHAnsi"/>
          <w:sz w:val="24"/>
          <w:szCs w:val="24"/>
        </w:rPr>
        <w:t>he Toyota Company must estimate the desired sales needed to reach the anticipated profit levels</w:t>
      </w:r>
      <w:r w:rsidR="00C93A3F" w:rsidRPr="00494DED">
        <w:rPr>
          <w:rFonts w:cstheme="minorHAnsi"/>
          <w:sz w:val="24"/>
          <w:szCs w:val="24"/>
        </w:rPr>
        <w:t>. The demand for the goods affects the sales in turn. This makes the product demand a crucial element in determining the viability of the enterprise.</w:t>
      </w:r>
      <w:r w:rsidR="009016B4" w:rsidRPr="00494DED">
        <w:rPr>
          <w:rFonts w:cstheme="minorHAnsi"/>
          <w:sz w:val="24"/>
          <w:szCs w:val="24"/>
        </w:rPr>
        <w:t xml:space="preserve"> When determining whether a project will be financially viable, the location where </w:t>
      </w:r>
      <w:r w:rsidR="00AB00F9" w:rsidRPr="00494DED">
        <w:rPr>
          <w:rFonts w:cstheme="minorHAnsi"/>
          <w:sz w:val="24"/>
          <w:szCs w:val="24"/>
        </w:rPr>
        <w:t xml:space="preserve">the </w:t>
      </w:r>
      <w:r w:rsidR="009016B4" w:rsidRPr="00494DED">
        <w:rPr>
          <w:rFonts w:cstheme="minorHAnsi"/>
          <w:sz w:val="24"/>
          <w:szCs w:val="24"/>
        </w:rPr>
        <w:t>Toyota Company is established is crucial</w:t>
      </w:r>
      <w:r w:rsidR="004444E7" w:rsidRPr="00494DED">
        <w:rPr>
          <w:rFonts w:cstheme="minorHAnsi"/>
          <w:sz w:val="24"/>
          <w:szCs w:val="24"/>
        </w:rPr>
        <w:t xml:space="preserve"> (</w:t>
      </w:r>
      <w:proofErr w:type="spellStart"/>
      <w:r w:rsidR="004444E7" w:rsidRPr="00494DED">
        <w:rPr>
          <w:rFonts w:cstheme="minorHAnsi"/>
          <w:sz w:val="24"/>
          <w:szCs w:val="24"/>
          <w:shd w:val="clear" w:color="auto" w:fill="FFFFFF"/>
        </w:rPr>
        <w:t>Fakhry</w:t>
      </w:r>
      <w:proofErr w:type="spellEnd"/>
      <w:r w:rsidR="004444E7" w:rsidRPr="00494DED">
        <w:rPr>
          <w:rFonts w:cstheme="minorHAnsi"/>
          <w:sz w:val="24"/>
          <w:szCs w:val="24"/>
          <w:shd w:val="clear" w:color="auto" w:fill="FFFFFF"/>
        </w:rPr>
        <w:t>, 2016)</w:t>
      </w:r>
      <w:r w:rsidR="009016B4" w:rsidRPr="00494DED">
        <w:rPr>
          <w:rFonts w:cstheme="minorHAnsi"/>
          <w:sz w:val="24"/>
          <w:szCs w:val="24"/>
        </w:rPr>
        <w:t>.</w:t>
      </w:r>
    </w:p>
    <w:p w14:paraId="760F800D" w14:textId="77777777" w:rsidR="004C72BB" w:rsidRPr="005265A4" w:rsidRDefault="004C72BB" w:rsidP="00494DED">
      <w:pPr>
        <w:pStyle w:val="Heading1"/>
        <w:rPr>
          <w:rFonts w:cstheme="majorHAnsi"/>
          <w:b/>
          <w:bCs/>
          <w:sz w:val="24"/>
          <w:szCs w:val="24"/>
        </w:rPr>
      </w:pPr>
      <w:bookmarkStart w:id="6" w:name="_Toc140744960"/>
      <w:r w:rsidRPr="005265A4">
        <w:rPr>
          <w:rFonts w:cstheme="majorHAnsi"/>
          <w:b/>
          <w:bCs/>
          <w:sz w:val="28"/>
          <w:szCs w:val="28"/>
        </w:rPr>
        <w:t>Conclusion</w:t>
      </w:r>
      <w:bookmarkEnd w:id="6"/>
    </w:p>
    <w:p w14:paraId="3431B529" w14:textId="77777777" w:rsidR="00494DED" w:rsidRPr="00494DED" w:rsidRDefault="00494DED" w:rsidP="00494DED">
      <w:pPr>
        <w:rPr>
          <w:sz w:val="24"/>
          <w:szCs w:val="24"/>
        </w:rPr>
      </w:pPr>
    </w:p>
    <w:p w14:paraId="4BB06716" w14:textId="5A2E6EF7" w:rsidR="004C72BB" w:rsidRPr="00494DED" w:rsidRDefault="00AB00F9" w:rsidP="00170BE1">
      <w:pPr>
        <w:spacing w:line="360" w:lineRule="auto"/>
        <w:jc w:val="both"/>
        <w:rPr>
          <w:rFonts w:cstheme="minorHAnsi"/>
          <w:sz w:val="24"/>
          <w:szCs w:val="24"/>
        </w:rPr>
      </w:pPr>
      <w:r w:rsidRPr="00494DED">
        <w:rPr>
          <w:rFonts w:cstheme="minorHAnsi"/>
          <w:sz w:val="24"/>
          <w:szCs w:val="24"/>
        </w:rPr>
        <w:t>Managing</w:t>
      </w:r>
      <w:r w:rsidR="0032198F" w:rsidRPr="00494DED">
        <w:rPr>
          <w:rFonts w:cstheme="minorHAnsi"/>
          <w:sz w:val="24"/>
          <w:szCs w:val="24"/>
        </w:rPr>
        <w:t xml:space="preserve"> currency risks, foreign market investment and adherence to global financial rules are some of the activities that define IFM. </w:t>
      </w:r>
      <w:r w:rsidR="00B82560" w:rsidRPr="00494DED">
        <w:rPr>
          <w:rFonts w:cstheme="minorHAnsi"/>
          <w:sz w:val="24"/>
          <w:szCs w:val="24"/>
        </w:rPr>
        <w:t xml:space="preserve">To make a sound financing selection, an investment </w:t>
      </w:r>
      <w:r w:rsidR="00B82560" w:rsidRPr="00494DED">
        <w:rPr>
          <w:rFonts w:cstheme="minorHAnsi"/>
          <w:sz w:val="24"/>
          <w:szCs w:val="24"/>
        </w:rPr>
        <w:lastRenderedPageBreak/>
        <w:t xml:space="preserve">company </w:t>
      </w:r>
      <w:r w:rsidR="00616AD1" w:rsidRPr="00494DED">
        <w:rPr>
          <w:rFonts w:cstheme="minorHAnsi"/>
          <w:sz w:val="24"/>
          <w:szCs w:val="24"/>
        </w:rPr>
        <w:t>thoroughly examines the numerous factors of an investment idea</w:t>
      </w:r>
      <w:r w:rsidR="00B82560" w:rsidRPr="00494DED">
        <w:rPr>
          <w:rFonts w:cstheme="minorHAnsi"/>
          <w:sz w:val="24"/>
          <w:szCs w:val="24"/>
        </w:rPr>
        <w:t>.</w:t>
      </w:r>
      <w:r w:rsidR="00A9310F" w:rsidRPr="00494DED">
        <w:rPr>
          <w:rFonts w:cstheme="minorHAnsi"/>
          <w:sz w:val="24"/>
          <w:szCs w:val="24"/>
        </w:rPr>
        <w:t xml:space="preserve"> International financial operations facilitate the connections between companies and their foreign business associates.</w:t>
      </w:r>
      <w:r w:rsidR="001A6E92" w:rsidRPr="00494DED">
        <w:rPr>
          <w:rFonts w:cstheme="minorHAnsi"/>
          <w:sz w:val="24"/>
          <w:szCs w:val="24"/>
        </w:rPr>
        <w:t xml:space="preserve"> </w:t>
      </w:r>
      <w:r w:rsidR="00030F6A" w:rsidRPr="00494DED">
        <w:rPr>
          <w:rFonts w:cstheme="minorHAnsi"/>
          <w:sz w:val="24"/>
          <w:szCs w:val="24"/>
        </w:rPr>
        <w:t xml:space="preserve">Communication is also essential for developing the global financial system since it enables investors to trade equities across the globe. This </w:t>
      </w:r>
      <w:r w:rsidR="00150B4E" w:rsidRPr="00494DED">
        <w:rPr>
          <w:rFonts w:cstheme="minorHAnsi"/>
          <w:sz w:val="24"/>
          <w:szCs w:val="24"/>
        </w:rPr>
        <w:t>essay</w:t>
      </w:r>
      <w:r w:rsidR="00030F6A" w:rsidRPr="00494DED">
        <w:rPr>
          <w:rFonts w:cstheme="minorHAnsi"/>
          <w:sz w:val="24"/>
          <w:szCs w:val="24"/>
        </w:rPr>
        <w:t xml:space="preserve"> has analysed the significance of global fin</w:t>
      </w:r>
      <w:r w:rsidR="00614B20" w:rsidRPr="00494DED">
        <w:rPr>
          <w:rFonts w:cstheme="minorHAnsi"/>
          <w:sz w:val="24"/>
          <w:szCs w:val="24"/>
        </w:rPr>
        <w:t xml:space="preserve">ancial management, </w:t>
      </w:r>
      <w:r w:rsidRPr="00494DED">
        <w:rPr>
          <w:rFonts w:cstheme="minorHAnsi"/>
          <w:sz w:val="24"/>
          <w:szCs w:val="24"/>
        </w:rPr>
        <w:t xml:space="preserve">the </w:t>
      </w:r>
      <w:r w:rsidR="00614B20" w:rsidRPr="00494DED">
        <w:rPr>
          <w:rFonts w:cstheme="minorHAnsi"/>
          <w:sz w:val="24"/>
          <w:szCs w:val="24"/>
        </w:rPr>
        <w:t xml:space="preserve">problems </w:t>
      </w:r>
      <w:r w:rsidRPr="00494DED">
        <w:rPr>
          <w:rFonts w:cstheme="minorHAnsi"/>
          <w:sz w:val="24"/>
          <w:szCs w:val="24"/>
        </w:rPr>
        <w:t>Toyota Motor Limited has encountered in various markets</w:t>
      </w:r>
      <w:r w:rsidR="00030F6A" w:rsidRPr="00494DED">
        <w:rPr>
          <w:rFonts w:cstheme="minorHAnsi"/>
          <w:sz w:val="24"/>
          <w:szCs w:val="24"/>
        </w:rPr>
        <w:t>, and the efficient market hypothesis.</w:t>
      </w:r>
    </w:p>
    <w:p w14:paraId="0D339D22" w14:textId="77777777" w:rsidR="00494DED" w:rsidRPr="00494DED" w:rsidRDefault="00494DED" w:rsidP="00170BE1">
      <w:pPr>
        <w:spacing w:line="360" w:lineRule="auto"/>
        <w:jc w:val="both"/>
        <w:rPr>
          <w:rFonts w:cstheme="minorHAnsi"/>
          <w:sz w:val="24"/>
          <w:szCs w:val="24"/>
        </w:rPr>
      </w:pPr>
    </w:p>
    <w:p w14:paraId="496F9447" w14:textId="77777777" w:rsidR="004C72BB" w:rsidRPr="005265A4" w:rsidRDefault="004C72BB" w:rsidP="00494DED">
      <w:pPr>
        <w:pStyle w:val="Heading1"/>
        <w:rPr>
          <w:rFonts w:cstheme="majorHAnsi"/>
          <w:b/>
          <w:bCs/>
          <w:sz w:val="28"/>
          <w:szCs w:val="28"/>
        </w:rPr>
      </w:pPr>
      <w:bookmarkStart w:id="7" w:name="_Toc140744961"/>
      <w:r w:rsidRPr="005265A4">
        <w:rPr>
          <w:rFonts w:cstheme="majorHAnsi"/>
          <w:b/>
          <w:bCs/>
          <w:sz w:val="28"/>
          <w:szCs w:val="28"/>
        </w:rPr>
        <w:t>References</w:t>
      </w:r>
      <w:bookmarkEnd w:id="7"/>
    </w:p>
    <w:p w14:paraId="31A1AA44" w14:textId="77777777" w:rsidR="00494DED" w:rsidRPr="00494DED" w:rsidRDefault="00494DED" w:rsidP="00494DED">
      <w:pPr>
        <w:rPr>
          <w:sz w:val="24"/>
          <w:szCs w:val="24"/>
        </w:rPr>
      </w:pPr>
    </w:p>
    <w:p w14:paraId="5898471A"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t xml:space="preserve">Bergquist, A.K. and </w:t>
      </w:r>
      <w:proofErr w:type="spellStart"/>
      <w:r w:rsidRPr="00494DED">
        <w:rPr>
          <w:rFonts w:cstheme="minorHAnsi"/>
          <w:sz w:val="24"/>
          <w:szCs w:val="24"/>
          <w:shd w:val="clear" w:color="auto" w:fill="FFFFFF"/>
        </w:rPr>
        <w:t>Näsman</w:t>
      </w:r>
      <w:proofErr w:type="spellEnd"/>
      <w:r w:rsidRPr="00494DED">
        <w:rPr>
          <w:rFonts w:cstheme="minorHAnsi"/>
          <w:sz w:val="24"/>
          <w:szCs w:val="24"/>
          <w:shd w:val="clear" w:color="auto" w:fill="FFFFFF"/>
        </w:rPr>
        <w:t>, M. (2023). Safe before green! The greening of Volvo Cars in the 1970s–1990s. </w:t>
      </w:r>
      <w:r w:rsidRPr="00494DED">
        <w:rPr>
          <w:rFonts w:cstheme="minorHAnsi"/>
          <w:i/>
          <w:iCs/>
          <w:sz w:val="24"/>
          <w:szCs w:val="24"/>
          <w:shd w:val="clear" w:color="auto" w:fill="FFFFFF"/>
        </w:rPr>
        <w:t>Enterprise &amp; Society</w:t>
      </w:r>
      <w:r w:rsidRPr="00494DED">
        <w:rPr>
          <w:rFonts w:cstheme="minorHAnsi"/>
          <w:sz w:val="24"/>
          <w:szCs w:val="24"/>
          <w:shd w:val="clear" w:color="auto" w:fill="FFFFFF"/>
        </w:rPr>
        <w:t>, </w:t>
      </w:r>
      <w:r w:rsidRPr="00494DED">
        <w:rPr>
          <w:rFonts w:cstheme="minorHAnsi"/>
          <w:i/>
          <w:iCs/>
          <w:sz w:val="24"/>
          <w:szCs w:val="24"/>
          <w:shd w:val="clear" w:color="auto" w:fill="FFFFFF"/>
        </w:rPr>
        <w:t>24</w:t>
      </w:r>
      <w:r w:rsidRPr="00494DED">
        <w:rPr>
          <w:rFonts w:cstheme="minorHAnsi"/>
          <w:sz w:val="24"/>
          <w:szCs w:val="24"/>
          <w:shd w:val="clear" w:color="auto" w:fill="FFFFFF"/>
        </w:rPr>
        <w:t>(1), pp.59-89.</w:t>
      </w:r>
    </w:p>
    <w:p w14:paraId="64EC8C15" w14:textId="77777777" w:rsidR="004C24DF" w:rsidRPr="00494DED" w:rsidRDefault="004C24DF" w:rsidP="00170BE1">
      <w:pPr>
        <w:spacing w:line="360" w:lineRule="auto"/>
        <w:ind w:left="720" w:hanging="720"/>
        <w:jc w:val="both"/>
        <w:rPr>
          <w:rFonts w:cstheme="minorHAnsi"/>
          <w:sz w:val="24"/>
          <w:szCs w:val="24"/>
          <w:shd w:val="clear" w:color="auto" w:fill="FFFFFF"/>
        </w:rPr>
      </w:pPr>
      <w:proofErr w:type="spellStart"/>
      <w:r w:rsidRPr="00494DED">
        <w:rPr>
          <w:rFonts w:cstheme="minorHAnsi"/>
          <w:sz w:val="24"/>
          <w:szCs w:val="24"/>
          <w:shd w:val="clear" w:color="auto" w:fill="FFFFFF"/>
        </w:rPr>
        <w:t>Bhattacheryay</w:t>
      </w:r>
      <w:proofErr w:type="spellEnd"/>
      <w:r w:rsidRPr="00494DED">
        <w:rPr>
          <w:rFonts w:cstheme="minorHAnsi"/>
          <w:sz w:val="24"/>
          <w:szCs w:val="24"/>
          <w:shd w:val="clear" w:color="auto" w:fill="FFFFFF"/>
        </w:rPr>
        <w:t>, S. (2023). Multinational working capital management a study on Toyota Motor Corporation. </w:t>
      </w:r>
      <w:r w:rsidRPr="00494DED">
        <w:rPr>
          <w:rFonts w:cstheme="minorHAnsi"/>
          <w:i/>
          <w:iCs/>
          <w:sz w:val="24"/>
          <w:szCs w:val="24"/>
          <w:shd w:val="clear" w:color="auto" w:fill="FFFFFF"/>
        </w:rPr>
        <w:t>International Journal of Finance &amp; Economics</w:t>
      </w:r>
      <w:r w:rsidRPr="00494DED">
        <w:rPr>
          <w:rFonts w:cstheme="minorHAnsi"/>
          <w:sz w:val="24"/>
          <w:szCs w:val="24"/>
          <w:shd w:val="clear" w:color="auto" w:fill="FFFFFF"/>
        </w:rPr>
        <w:t>, </w:t>
      </w:r>
      <w:r w:rsidRPr="00494DED">
        <w:rPr>
          <w:rFonts w:cstheme="minorHAnsi"/>
          <w:i/>
          <w:iCs/>
          <w:sz w:val="24"/>
          <w:szCs w:val="24"/>
          <w:shd w:val="clear" w:color="auto" w:fill="FFFFFF"/>
        </w:rPr>
        <w:t>28</w:t>
      </w:r>
      <w:r w:rsidRPr="00494DED">
        <w:rPr>
          <w:rFonts w:cstheme="minorHAnsi"/>
          <w:sz w:val="24"/>
          <w:szCs w:val="24"/>
          <w:shd w:val="clear" w:color="auto" w:fill="FFFFFF"/>
        </w:rPr>
        <w:t>(1), pp.236-256.</w:t>
      </w:r>
    </w:p>
    <w:p w14:paraId="61C6E116" w14:textId="77777777" w:rsidR="004C24DF" w:rsidRPr="00494DED" w:rsidRDefault="004C24DF" w:rsidP="00170BE1">
      <w:pPr>
        <w:spacing w:line="360" w:lineRule="auto"/>
        <w:ind w:left="720" w:hanging="720"/>
        <w:jc w:val="both"/>
        <w:rPr>
          <w:rFonts w:cstheme="minorHAnsi"/>
          <w:sz w:val="24"/>
          <w:szCs w:val="24"/>
          <w:shd w:val="clear" w:color="auto" w:fill="FFFFFF"/>
        </w:rPr>
      </w:pPr>
      <w:proofErr w:type="spellStart"/>
      <w:r w:rsidRPr="00494DED">
        <w:rPr>
          <w:rFonts w:cstheme="minorHAnsi"/>
          <w:sz w:val="24"/>
          <w:szCs w:val="24"/>
          <w:shd w:val="clear" w:color="auto" w:fill="FFFFFF"/>
        </w:rPr>
        <w:t>Bhattacheryay</w:t>
      </w:r>
      <w:proofErr w:type="spellEnd"/>
      <w:r w:rsidRPr="00494DED">
        <w:rPr>
          <w:rFonts w:cstheme="minorHAnsi"/>
          <w:sz w:val="24"/>
          <w:szCs w:val="24"/>
          <w:shd w:val="clear" w:color="auto" w:fill="FFFFFF"/>
        </w:rPr>
        <w:t>, S. (2023). Multinational working capital management a study on Toyota Motor Corporation. </w:t>
      </w:r>
      <w:r w:rsidRPr="00494DED">
        <w:rPr>
          <w:rFonts w:cstheme="minorHAnsi"/>
          <w:i/>
          <w:iCs/>
          <w:sz w:val="24"/>
          <w:szCs w:val="24"/>
          <w:shd w:val="clear" w:color="auto" w:fill="FFFFFF"/>
        </w:rPr>
        <w:t>International Journal of Finance &amp; Economics</w:t>
      </w:r>
      <w:r w:rsidRPr="00494DED">
        <w:rPr>
          <w:rFonts w:cstheme="minorHAnsi"/>
          <w:sz w:val="24"/>
          <w:szCs w:val="24"/>
          <w:shd w:val="clear" w:color="auto" w:fill="FFFFFF"/>
        </w:rPr>
        <w:t>, </w:t>
      </w:r>
      <w:r w:rsidRPr="00494DED">
        <w:rPr>
          <w:rFonts w:cstheme="minorHAnsi"/>
          <w:i/>
          <w:iCs/>
          <w:sz w:val="24"/>
          <w:szCs w:val="24"/>
          <w:shd w:val="clear" w:color="auto" w:fill="FFFFFF"/>
        </w:rPr>
        <w:t>28</w:t>
      </w:r>
      <w:r w:rsidRPr="00494DED">
        <w:rPr>
          <w:rFonts w:cstheme="minorHAnsi"/>
          <w:sz w:val="24"/>
          <w:szCs w:val="24"/>
          <w:shd w:val="clear" w:color="auto" w:fill="FFFFFF"/>
        </w:rPr>
        <w:t>(1), pp.236-256.</w:t>
      </w:r>
    </w:p>
    <w:p w14:paraId="25B5F291" w14:textId="77777777" w:rsidR="004C24DF" w:rsidRPr="00494DED" w:rsidRDefault="004C24DF" w:rsidP="00170BE1">
      <w:pPr>
        <w:spacing w:line="360" w:lineRule="auto"/>
        <w:ind w:left="720" w:hanging="720"/>
        <w:jc w:val="both"/>
        <w:rPr>
          <w:rFonts w:cstheme="minorHAnsi"/>
          <w:sz w:val="24"/>
          <w:szCs w:val="24"/>
        </w:rPr>
      </w:pPr>
      <w:r w:rsidRPr="00494DED">
        <w:rPr>
          <w:rFonts w:cstheme="minorHAnsi"/>
          <w:sz w:val="24"/>
          <w:szCs w:val="24"/>
          <w:shd w:val="clear" w:color="auto" w:fill="FFFFFF"/>
        </w:rPr>
        <w:t>Fakhry, B. (2016). A literature review of the efficient market hypothesis. </w:t>
      </w:r>
      <w:r w:rsidRPr="00494DED">
        <w:rPr>
          <w:rFonts w:cstheme="minorHAnsi"/>
          <w:i/>
          <w:iCs/>
          <w:sz w:val="24"/>
          <w:szCs w:val="24"/>
          <w:shd w:val="clear" w:color="auto" w:fill="FFFFFF"/>
        </w:rPr>
        <w:t>Turkish Economic Review</w:t>
      </w:r>
      <w:r w:rsidRPr="00494DED">
        <w:rPr>
          <w:rFonts w:cstheme="minorHAnsi"/>
          <w:sz w:val="24"/>
          <w:szCs w:val="24"/>
          <w:shd w:val="clear" w:color="auto" w:fill="FFFFFF"/>
        </w:rPr>
        <w:t>, </w:t>
      </w:r>
      <w:r w:rsidRPr="00494DED">
        <w:rPr>
          <w:rFonts w:cstheme="minorHAnsi"/>
          <w:i/>
          <w:iCs/>
          <w:sz w:val="24"/>
          <w:szCs w:val="24"/>
          <w:shd w:val="clear" w:color="auto" w:fill="FFFFFF"/>
        </w:rPr>
        <w:t>3</w:t>
      </w:r>
      <w:r w:rsidRPr="00494DED">
        <w:rPr>
          <w:rFonts w:cstheme="minorHAnsi"/>
          <w:sz w:val="24"/>
          <w:szCs w:val="24"/>
          <w:shd w:val="clear" w:color="auto" w:fill="FFFFFF"/>
        </w:rPr>
        <w:t>(3), pp.431-442.</w:t>
      </w:r>
    </w:p>
    <w:p w14:paraId="50277BE4"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t>Lasher, W.R. (2016). </w:t>
      </w:r>
      <w:r w:rsidRPr="00494DED">
        <w:rPr>
          <w:rFonts w:cstheme="minorHAnsi"/>
          <w:i/>
          <w:iCs/>
          <w:sz w:val="24"/>
          <w:szCs w:val="24"/>
          <w:shd w:val="clear" w:color="auto" w:fill="FFFFFF"/>
        </w:rPr>
        <w:t>Practical financial management</w:t>
      </w:r>
      <w:r w:rsidRPr="00494DED">
        <w:rPr>
          <w:rFonts w:cstheme="minorHAnsi"/>
          <w:sz w:val="24"/>
          <w:szCs w:val="24"/>
          <w:shd w:val="clear" w:color="auto" w:fill="FFFFFF"/>
        </w:rPr>
        <w:t>. London: Cengage Learning.</w:t>
      </w:r>
    </w:p>
    <w:p w14:paraId="15C8C427"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t>Liker, J.K. (2021). </w:t>
      </w:r>
      <w:r w:rsidRPr="00494DED">
        <w:rPr>
          <w:rFonts w:cstheme="minorHAnsi"/>
          <w:i/>
          <w:iCs/>
          <w:sz w:val="24"/>
          <w:szCs w:val="24"/>
          <w:shd w:val="clear" w:color="auto" w:fill="FFFFFF"/>
        </w:rPr>
        <w:t xml:space="preserve">Toyota </w:t>
      </w:r>
      <w:r w:rsidR="00AB00F9" w:rsidRPr="00494DED">
        <w:rPr>
          <w:rFonts w:cstheme="minorHAnsi"/>
          <w:i/>
          <w:iCs/>
          <w:sz w:val="24"/>
          <w:szCs w:val="24"/>
          <w:shd w:val="clear" w:color="auto" w:fill="FFFFFF"/>
        </w:rPr>
        <w:t>W</w:t>
      </w:r>
      <w:r w:rsidRPr="00494DED">
        <w:rPr>
          <w:rFonts w:cstheme="minorHAnsi"/>
          <w:i/>
          <w:iCs/>
          <w:sz w:val="24"/>
          <w:szCs w:val="24"/>
          <w:shd w:val="clear" w:color="auto" w:fill="FFFFFF"/>
        </w:rPr>
        <w:t>ay: 14 management principles from the world's greatest manufacturer</w:t>
      </w:r>
      <w:r w:rsidRPr="00494DED">
        <w:rPr>
          <w:rFonts w:cstheme="minorHAnsi"/>
          <w:sz w:val="24"/>
          <w:szCs w:val="24"/>
          <w:shd w:val="clear" w:color="auto" w:fill="FFFFFF"/>
        </w:rPr>
        <w:t>. New York: McGraw-Hill Education.</w:t>
      </w:r>
    </w:p>
    <w:p w14:paraId="5219DC57" w14:textId="77777777" w:rsidR="004C24DF" w:rsidRPr="00494DED" w:rsidRDefault="004C24DF" w:rsidP="00170BE1">
      <w:pPr>
        <w:spacing w:line="360" w:lineRule="auto"/>
        <w:ind w:left="720" w:hanging="720"/>
        <w:jc w:val="both"/>
        <w:rPr>
          <w:rFonts w:cstheme="minorHAnsi"/>
          <w:sz w:val="24"/>
          <w:szCs w:val="24"/>
        </w:rPr>
      </w:pPr>
      <w:r w:rsidRPr="00494DED">
        <w:rPr>
          <w:rFonts w:cstheme="minorHAnsi"/>
          <w:sz w:val="24"/>
          <w:szCs w:val="24"/>
        </w:rPr>
        <w:t xml:space="preserve">Madura. J. and Fox. R. (2019). International Financial Management. London: </w:t>
      </w:r>
      <w:r w:rsidRPr="00494DED">
        <w:rPr>
          <w:rFonts w:cstheme="minorHAnsi"/>
          <w:i/>
          <w:iCs/>
          <w:sz w:val="24"/>
          <w:szCs w:val="24"/>
        </w:rPr>
        <w:t xml:space="preserve">Cengage, </w:t>
      </w:r>
      <w:r w:rsidRPr="00494DED">
        <w:rPr>
          <w:rFonts w:cstheme="minorHAnsi"/>
          <w:sz w:val="24"/>
          <w:szCs w:val="24"/>
        </w:rPr>
        <w:t>5</w:t>
      </w:r>
      <w:r w:rsidRPr="00494DED">
        <w:rPr>
          <w:rFonts w:cstheme="minorHAnsi"/>
          <w:sz w:val="24"/>
          <w:szCs w:val="24"/>
          <w:vertAlign w:val="superscript"/>
        </w:rPr>
        <w:t>th</w:t>
      </w:r>
      <w:r w:rsidRPr="00494DED">
        <w:rPr>
          <w:rFonts w:cstheme="minorHAnsi"/>
          <w:sz w:val="24"/>
          <w:szCs w:val="24"/>
        </w:rPr>
        <w:t>ed, pp2-22.</w:t>
      </w:r>
    </w:p>
    <w:p w14:paraId="4526DD15"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t>Miyamoto, M. and Miyamoto, M. (2018). Change and Continuity in Japanese Corporate Governance. </w:t>
      </w:r>
      <w:r w:rsidRPr="00494DED">
        <w:rPr>
          <w:rFonts w:cstheme="minorHAnsi"/>
          <w:i/>
          <w:iCs/>
          <w:sz w:val="24"/>
          <w:szCs w:val="24"/>
          <w:shd w:val="clear" w:color="auto" w:fill="FFFFFF"/>
        </w:rPr>
        <w:t xml:space="preserve">The </w:t>
      </w:r>
      <w:r w:rsidR="00AB00F9" w:rsidRPr="00494DED">
        <w:rPr>
          <w:rFonts w:cstheme="minorHAnsi"/>
          <w:i/>
          <w:iCs/>
          <w:sz w:val="24"/>
          <w:szCs w:val="24"/>
          <w:shd w:val="clear" w:color="auto" w:fill="FFFFFF"/>
        </w:rPr>
        <w:t>N</w:t>
      </w:r>
      <w:r w:rsidRPr="00494DED">
        <w:rPr>
          <w:rFonts w:cstheme="minorHAnsi"/>
          <w:i/>
          <w:iCs/>
          <w:sz w:val="24"/>
          <w:szCs w:val="24"/>
          <w:shd w:val="clear" w:color="auto" w:fill="FFFFFF"/>
        </w:rPr>
        <w:t xml:space="preserve">ew Japanese </w:t>
      </w:r>
      <w:r w:rsidR="00AB00F9" w:rsidRPr="00494DED">
        <w:rPr>
          <w:rFonts w:cstheme="minorHAnsi"/>
          <w:i/>
          <w:iCs/>
          <w:sz w:val="24"/>
          <w:szCs w:val="24"/>
          <w:shd w:val="clear" w:color="auto" w:fill="FFFFFF"/>
        </w:rPr>
        <w:t>f</w:t>
      </w:r>
      <w:r w:rsidRPr="00494DED">
        <w:rPr>
          <w:rFonts w:cstheme="minorHAnsi"/>
          <w:i/>
          <w:iCs/>
          <w:sz w:val="24"/>
          <w:szCs w:val="24"/>
          <w:shd w:val="clear" w:color="auto" w:fill="FFFFFF"/>
        </w:rPr>
        <w:t>irm as a Hybrid Organization</w:t>
      </w:r>
      <w:r w:rsidRPr="00494DED">
        <w:rPr>
          <w:rFonts w:cstheme="minorHAnsi"/>
          <w:sz w:val="24"/>
          <w:szCs w:val="24"/>
          <w:shd w:val="clear" w:color="auto" w:fill="FFFFFF"/>
        </w:rPr>
        <w:t>, pp.1-22.</w:t>
      </w:r>
    </w:p>
    <w:p w14:paraId="7EFC428C"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lastRenderedPageBreak/>
        <w:t>Moyer, R.C., McGuigan, J.R. and Rao, R.P. (2014). </w:t>
      </w:r>
      <w:r w:rsidRPr="00494DED">
        <w:rPr>
          <w:rFonts w:cstheme="minorHAnsi"/>
          <w:i/>
          <w:iCs/>
          <w:sz w:val="24"/>
          <w:szCs w:val="24"/>
          <w:shd w:val="clear" w:color="auto" w:fill="FFFFFF"/>
        </w:rPr>
        <w:t>Contemporary financial management</w:t>
      </w:r>
      <w:r w:rsidRPr="00494DED">
        <w:rPr>
          <w:rFonts w:cstheme="minorHAnsi"/>
          <w:sz w:val="24"/>
          <w:szCs w:val="24"/>
          <w:shd w:val="clear" w:color="auto" w:fill="FFFFFF"/>
        </w:rPr>
        <w:t>. Cengage Learning.</w:t>
      </w:r>
    </w:p>
    <w:p w14:paraId="2E91DF7C" w14:textId="77777777" w:rsidR="004C24DF" w:rsidRPr="00494DED" w:rsidRDefault="004C24DF" w:rsidP="00170BE1">
      <w:pPr>
        <w:spacing w:line="360" w:lineRule="auto"/>
        <w:ind w:left="720" w:hanging="720"/>
        <w:jc w:val="both"/>
        <w:rPr>
          <w:rFonts w:cstheme="minorHAnsi"/>
          <w:sz w:val="24"/>
          <w:szCs w:val="24"/>
          <w:shd w:val="clear" w:color="auto" w:fill="FFFFFF"/>
        </w:rPr>
      </w:pPr>
      <w:r w:rsidRPr="00494DED">
        <w:rPr>
          <w:rFonts w:cstheme="minorHAnsi"/>
          <w:sz w:val="24"/>
          <w:szCs w:val="24"/>
          <w:shd w:val="clear" w:color="auto" w:fill="FFFFFF"/>
        </w:rPr>
        <w:t>Tong, J. and Bremer, M. (2016). Stock repurchases in Japan: A solution to excessive corporate saving. </w:t>
      </w:r>
      <w:r w:rsidRPr="00494DED">
        <w:rPr>
          <w:rFonts w:cstheme="minorHAnsi"/>
          <w:i/>
          <w:iCs/>
          <w:sz w:val="24"/>
          <w:szCs w:val="24"/>
          <w:shd w:val="clear" w:color="auto" w:fill="FFFFFF"/>
        </w:rPr>
        <w:t>Journal of the Japanese and International Economies</w:t>
      </w:r>
      <w:r w:rsidRPr="00494DED">
        <w:rPr>
          <w:rFonts w:cstheme="minorHAnsi"/>
          <w:sz w:val="24"/>
          <w:szCs w:val="24"/>
          <w:shd w:val="clear" w:color="auto" w:fill="FFFFFF"/>
        </w:rPr>
        <w:t>, </w:t>
      </w:r>
      <w:r w:rsidRPr="00494DED">
        <w:rPr>
          <w:rFonts w:cstheme="minorHAnsi"/>
          <w:i/>
          <w:iCs/>
          <w:sz w:val="24"/>
          <w:szCs w:val="24"/>
          <w:shd w:val="clear" w:color="auto" w:fill="FFFFFF"/>
        </w:rPr>
        <w:t>41</w:t>
      </w:r>
      <w:r w:rsidRPr="00494DED">
        <w:rPr>
          <w:rFonts w:cstheme="minorHAnsi"/>
          <w:sz w:val="24"/>
          <w:szCs w:val="24"/>
          <w:shd w:val="clear" w:color="auto" w:fill="FFFFFF"/>
        </w:rPr>
        <w:t>, pp.41-56.</w:t>
      </w:r>
    </w:p>
    <w:p w14:paraId="2D375DCE" w14:textId="77777777" w:rsidR="004C24DF" w:rsidRPr="00494DED" w:rsidRDefault="004C24DF" w:rsidP="00170BE1">
      <w:pPr>
        <w:spacing w:line="360" w:lineRule="auto"/>
        <w:ind w:left="720" w:hanging="720"/>
        <w:jc w:val="both"/>
        <w:rPr>
          <w:rFonts w:cstheme="minorHAnsi"/>
          <w:sz w:val="24"/>
          <w:szCs w:val="24"/>
        </w:rPr>
      </w:pPr>
      <w:r w:rsidRPr="00494DED">
        <w:rPr>
          <w:rFonts w:cstheme="minorHAnsi"/>
          <w:sz w:val="24"/>
          <w:szCs w:val="24"/>
        </w:rPr>
        <w:t xml:space="preserve">Toyota (2023). </w:t>
      </w:r>
      <w:r w:rsidRPr="00494DED">
        <w:rPr>
          <w:rFonts w:cstheme="minorHAnsi"/>
          <w:i/>
          <w:sz w:val="24"/>
          <w:szCs w:val="24"/>
        </w:rPr>
        <w:t>About Toyota</w:t>
      </w:r>
      <w:r w:rsidRPr="00494DED">
        <w:rPr>
          <w:rFonts w:cstheme="minorHAnsi"/>
          <w:sz w:val="24"/>
          <w:szCs w:val="24"/>
        </w:rPr>
        <w:t xml:space="preserve">. {Online} Available at: </w:t>
      </w:r>
      <w:hyperlink r:id="rId11" w:history="1">
        <w:r w:rsidRPr="00494DED">
          <w:rPr>
            <w:rStyle w:val="Hyperlink"/>
            <w:rFonts w:cstheme="minorHAnsi"/>
            <w:color w:val="auto"/>
            <w:sz w:val="24"/>
            <w:szCs w:val="24"/>
          </w:rPr>
          <w:t>https://www.forbes.com/companies/toyota-motor/?sh=aebb1b552bd5</w:t>
        </w:r>
      </w:hyperlink>
      <w:r w:rsidRPr="00494DED">
        <w:rPr>
          <w:rFonts w:cstheme="minorHAnsi"/>
          <w:sz w:val="24"/>
          <w:szCs w:val="24"/>
        </w:rPr>
        <w:t xml:space="preserve"> {Accessed on 17</w:t>
      </w:r>
      <w:r w:rsidRPr="00494DED">
        <w:rPr>
          <w:rFonts w:cstheme="minorHAnsi"/>
          <w:sz w:val="24"/>
          <w:szCs w:val="24"/>
          <w:vertAlign w:val="superscript"/>
        </w:rPr>
        <w:t>th</w:t>
      </w:r>
      <w:r w:rsidRPr="00494DED">
        <w:rPr>
          <w:rFonts w:cstheme="minorHAnsi"/>
          <w:sz w:val="24"/>
          <w:szCs w:val="24"/>
        </w:rPr>
        <w:t xml:space="preserve"> July 2023}</w:t>
      </w:r>
    </w:p>
    <w:p w14:paraId="401685CC" w14:textId="77777777" w:rsidR="00DA3EC4" w:rsidRPr="00494DED" w:rsidRDefault="00DA3EC4" w:rsidP="00170BE1">
      <w:pPr>
        <w:spacing w:line="360" w:lineRule="auto"/>
        <w:ind w:left="720" w:hanging="720"/>
        <w:jc w:val="both"/>
        <w:rPr>
          <w:rFonts w:cstheme="minorHAnsi"/>
          <w:sz w:val="24"/>
          <w:szCs w:val="24"/>
        </w:rPr>
      </w:pPr>
      <w:r w:rsidRPr="00494DED">
        <w:rPr>
          <w:rFonts w:cstheme="minorHAnsi"/>
          <w:sz w:val="24"/>
          <w:szCs w:val="24"/>
        </w:rPr>
        <w:t xml:space="preserve">Toyota (2023). </w:t>
      </w:r>
      <w:r w:rsidRPr="00494DED">
        <w:rPr>
          <w:rFonts w:cstheme="minorHAnsi"/>
          <w:i/>
          <w:sz w:val="24"/>
          <w:szCs w:val="24"/>
        </w:rPr>
        <w:t>Toyota Motor Corporation</w:t>
      </w:r>
      <w:r w:rsidRPr="00494DED">
        <w:rPr>
          <w:rFonts w:cstheme="minorHAnsi"/>
          <w:sz w:val="24"/>
          <w:szCs w:val="24"/>
        </w:rPr>
        <w:t xml:space="preserve">. {Online} Available at: </w:t>
      </w:r>
      <w:hyperlink r:id="rId12" w:history="1">
        <w:r w:rsidRPr="00494DED">
          <w:rPr>
            <w:rStyle w:val="Hyperlink"/>
            <w:rFonts w:cstheme="minorHAnsi"/>
            <w:color w:val="auto"/>
            <w:sz w:val="24"/>
            <w:szCs w:val="24"/>
          </w:rPr>
          <w:t>https://www.indmoney.com/us-stocks/dividends/tm-toyota-motor-corporation-dividend</w:t>
        </w:r>
      </w:hyperlink>
      <w:r w:rsidRPr="00494DED">
        <w:rPr>
          <w:rFonts w:cstheme="minorHAnsi"/>
          <w:sz w:val="24"/>
          <w:szCs w:val="24"/>
        </w:rPr>
        <w:t xml:space="preserve"> {Accessed on 17</w:t>
      </w:r>
      <w:r w:rsidRPr="00494DED">
        <w:rPr>
          <w:rFonts w:cstheme="minorHAnsi"/>
          <w:sz w:val="24"/>
          <w:szCs w:val="24"/>
          <w:vertAlign w:val="superscript"/>
        </w:rPr>
        <w:t>th</w:t>
      </w:r>
      <w:r w:rsidRPr="00494DED">
        <w:rPr>
          <w:rFonts w:cstheme="minorHAnsi"/>
          <w:sz w:val="24"/>
          <w:szCs w:val="24"/>
        </w:rPr>
        <w:t xml:space="preserve"> July 2023}</w:t>
      </w:r>
    </w:p>
    <w:p w14:paraId="3B17B468" w14:textId="77777777" w:rsidR="00E63030" w:rsidRPr="00494DED" w:rsidRDefault="00E63030" w:rsidP="00170BE1">
      <w:pPr>
        <w:spacing w:line="360" w:lineRule="auto"/>
        <w:ind w:left="720" w:hanging="720"/>
        <w:jc w:val="both"/>
        <w:rPr>
          <w:rFonts w:cstheme="minorHAnsi"/>
          <w:sz w:val="24"/>
          <w:szCs w:val="24"/>
        </w:rPr>
      </w:pPr>
      <w:r w:rsidRPr="00494DED">
        <w:rPr>
          <w:rFonts w:cstheme="minorHAnsi"/>
          <w:sz w:val="24"/>
          <w:szCs w:val="24"/>
        </w:rPr>
        <w:t xml:space="preserve">Toyota (2023). </w:t>
      </w:r>
      <w:r w:rsidRPr="00494DED">
        <w:rPr>
          <w:rFonts w:cstheme="minorHAnsi"/>
          <w:i/>
          <w:sz w:val="24"/>
          <w:szCs w:val="24"/>
        </w:rPr>
        <w:t>TOYOTA DIVIDEND</w:t>
      </w:r>
      <w:r w:rsidRPr="00494DED">
        <w:rPr>
          <w:rFonts w:cstheme="minorHAnsi"/>
          <w:sz w:val="24"/>
          <w:szCs w:val="24"/>
        </w:rPr>
        <w:t xml:space="preserve">. {Online} Available at: </w:t>
      </w:r>
      <w:hyperlink r:id="rId13" w:anchor=":~:text=The%20payout%20ratio%20based%20on,distributes%2033.5%25%20to%20its%20shareholders" w:history="1">
        <w:r w:rsidRPr="00494DED">
          <w:rPr>
            <w:rStyle w:val="Hyperlink"/>
            <w:rFonts w:cstheme="minorHAnsi"/>
            <w:color w:val="auto"/>
            <w:sz w:val="24"/>
            <w:szCs w:val="24"/>
          </w:rPr>
          <w:t>https://dividendstocks.cash/dividend-profile/Toyota-Dividend#:~:text=The%20payout%20ratio%20based%20on,distributes%2033.5%25%20to%20its%20shareholders</w:t>
        </w:r>
      </w:hyperlink>
      <w:r w:rsidRPr="00494DED">
        <w:rPr>
          <w:rFonts w:cstheme="minorHAnsi"/>
          <w:sz w:val="24"/>
          <w:szCs w:val="24"/>
        </w:rPr>
        <w:t xml:space="preserve"> {Accessed on 17</w:t>
      </w:r>
      <w:r w:rsidRPr="00494DED">
        <w:rPr>
          <w:rFonts w:cstheme="minorHAnsi"/>
          <w:sz w:val="24"/>
          <w:szCs w:val="24"/>
          <w:vertAlign w:val="superscript"/>
        </w:rPr>
        <w:t>th</w:t>
      </w:r>
      <w:r w:rsidRPr="00494DED">
        <w:rPr>
          <w:rFonts w:cstheme="minorHAnsi"/>
          <w:sz w:val="24"/>
          <w:szCs w:val="24"/>
        </w:rPr>
        <w:t xml:space="preserve"> July 2023}</w:t>
      </w:r>
    </w:p>
    <w:p w14:paraId="1770D6B2" w14:textId="77777777" w:rsidR="00926D64" w:rsidRPr="00AE77B3" w:rsidRDefault="00926D64" w:rsidP="00170BE1">
      <w:pPr>
        <w:spacing w:line="360" w:lineRule="auto"/>
        <w:ind w:left="720" w:hanging="720"/>
        <w:jc w:val="both"/>
        <w:rPr>
          <w:rFonts w:ascii="Times New Roman" w:hAnsi="Times New Roman" w:cs="Times New Roman"/>
          <w:sz w:val="24"/>
          <w:szCs w:val="24"/>
        </w:rPr>
      </w:pPr>
    </w:p>
    <w:sectPr w:rsidR="00926D64" w:rsidRPr="00AE77B3">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5701A" w14:textId="77777777" w:rsidR="00662076" w:rsidRDefault="00662076" w:rsidP="007253D6">
      <w:pPr>
        <w:spacing w:after="0" w:line="240" w:lineRule="auto"/>
      </w:pPr>
      <w:r>
        <w:separator/>
      </w:r>
    </w:p>
  </w:endnote>
  <w:endnote w:type="continuationSeparator" w:id="0">
    <w:p w14:paraId="3D7A5370" w14:textId="77777777" w:rsidR="00662076" w:rsidRDefault="00662076" w:rsidP="00725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C4BCE" w14:textId="77777777" w:rsidR="002902C9" w:rsidRDefault="002902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091305"/>
      <w:docPartObj>
        <w:docPartGallery w:val="Page Numbers (Bottom of Page)"/>
        <w:docPartUnique/>
      </w:docPartObj>
    </w:sdtPr>
    <w:sdtEndPr>
      <w:rPr>
        <w:rFonts w:ascii="Times New Roman" w:hAnsi="Times New Roman" w:cs="Times New Roman"/>
        <w:noProof/>
        <w:sz w:val="24"/>
        <w:szCs w:val="24"/>
      </w:rPr>
    </w:sdtEndPr>
    <w:sdtContent>
      <w:p w14:paraId="58C4ED88" w14:textId="77777777" w:rsidR="007253D6" w:rsidRPr="00170BE1" w:rsidRDefault="007253D6">
        <w:pPr>
          <w:pStyle w:val="Footer"/>
          <w:jc w:val="right"/>
          <w:rPr>
            <w:rFonts w:ascii="Times New Roman" w:hAnsi="Times New Roman" w:cs="Times New Roman"/>
            <w:sz w:val="24"/>
            <w:szCs w:val="24"/>
          </w:rPr>
        </w:pPr>
        <w:r w:rsidRPr="00170BE1">
          <w:rPr>
            <w:rFonts w:ascii="Times New Roman" w:hAnsi="Times New Roman" w:cs="Times New Roman"/>
            <w:sz w:val="24"/>
            <w:szCs w:val="24"/>
          </w:rPr>
          <w:fldChar w:fldCharType="begin"/>
        </w:r>
        <w:r w:rsidRPr="00170BE1">
          <w:rPr>
            <w:rFonts w:ascii="Times New Roman" w:hAnsi="Times New Roman" w:cs="Times New Roman"/>
            <w:sz w:val="24"/>
            <w:szCs w:val="24"/>
          </w:rPr>
          <w:instrText xml:space="preserve"> PAGE   \* MERGEFORMAT </w:instrText>
        </w:r>
        <w:r w:rsidRPr="00170BE1">
          <w:rPr>
            <w:rFonts w:ascii="Times New Roman" w:hAnsi="Times New Roman" w:cs="Times New Roman"/>
            <w:sz w:val="24"/>
            <w:szCs w:val="24"/>
          </w:rPr>
          <w:fldChar w:fldCharType="separate"/>
        </w:r>
        <w:r w:rsidR="00404240" w:rsidRPr="00170BE1">
          <w:rPr>
            <w:rFonts w:ascii="Times New Roman" w:hAnsi="Times New Roman" w:cs="Times New Roman"/>
            <w:noProof/>
            <w:sz w:val="24"/>
            <w:szCs w:val="24"/>
          </w:rPr>
          <w:t>8</w:t>
        </w:r>
        <w:r w:rsidRPr="00170BE1">
          <w:rPr>
            <w:rFonts w:ascii="Times New Roman" w:hAnsi="Times New Roman" w:cs="Times New Roman"/>
            <w:noProof/>
            <w:sz w:val="24"/>
            <w:szCs w:val="24"/>
          </w:rPr>
          <w:fldChar w:fldCharType="end"/>
        </w:r>
      </w:p>
    </w:sdtContent>
  </w:sdt>
  <w:p w14:paraId="15D96555" w14:textId="77777777" w:rsidR="007253D6" w:rsidRDefault="007253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83BA4" w14:textId="77777777" w:rsidR="002902C9" w:rsidRDefault="00290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EE81" w14:textId="77777777" w:rsidR="00662076" w:rsidRDefault="00662076" w:rsidP="007253D6">
      <w:pPr>
        <w:spacing w:after="0" w:line="240" w:lineRule="auto"/>
      </w:pPr>
      <w:r>
        <w:separator/>
      </w:r>
    </w:p>
  </w:footnote>
  <w:footnote w:type="continuationSeparator" w:id="0">
    <w:p w14:paraId="374EBE8C" w14:textId="77777777" w:rsidR="00662076" w:rsidRDefault="00662076" w:rsidP="00725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F895A" w14:textId="77777777" w:rsidR="002902C9" w:rsidRDefault="002902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2902C9" w:rsidRPr="002902C9" w14:paraId="1F7102D6" w14:textId="77777777">
      <w:trPr>
        <w:trHeight w:val="720"/>
      </w:trPr>
      <w:tc>
        <w:tcPr>
          <w:tcW w:w="1667" w:type="pct"/>
        </w:tcPr>
        <w:p w14:paraId="7574C530" w14:textId="77777777" w:rsidR="002902C9" w:rsidRDefault="002902C9">
          <w:pPr>
            <w:pStyle w:val="Header"/>
            <w:tabs>
              <w:tab w:val="clear" w:pos="4680"/>
              <w:tab w:val="clear" w:pos="9360"/>
            </w:tabs>
            <w:rPr>
              <w:color w:val="5B9BD5" w:themeColor="accent1"/>
            </w:rPr>
          </w:pPr>
        </w:p>
      </w:tc>
      <w:tc>
        <w:tcPr>
          <w:tcW w:w="1667" w:type="pct"/>
        </w:tcPr>
        <w:p w14:paraId="1BBDAEA3" w14:textId="77777777" w:rsidR="002902C9" w:rsidRDefault="002902C9">
          <w:pPr>
            <w:pStyle w:val="Header"/>
            <w:tabs>
              <w:tab w:val="clear" w:pos="4680"/>
              <w:tab w:val="clear" w:pos="9360"/>
            </w:tabs>
            <w:jc w:val="center"/>
            <w:rPr>
              <w:color w:val="5B9BD5" w:themeColor="accent1"/>
            </w:rPr>
          </w:pPr>
        </w:p>
      </w:tc>
      <w:tc>
        <w:tcPr>
          <w:tcW w:w="1666" w:type="pct"/>
        </w:tcPr>
        <w:p w14:paraId="56E161C7" w14:textId="0F0BFE7E" w:rsidR="002902C9" w:rsidRPr="002902C9" w:rsidRDefault="002902C9">
          <w:pPr>
            <w:pStyle w:val="Header"/>
            <w:tabs>
              <w:tab w:val="clear" w:pos="4680"/>
              <w:tab w:val="clear" w:pos="9360"/>
            </w:tabs>
            <w:jc w:val="right"/>
            <w:rPr>
              <w:sz w:val="20"/>
              <w:szCs w:val="20"/>
            </w:rPr>
          </w:pPr>
          <w:r w:rsidRPr="002902C9">
            <w:rPr>
              <w:sz w:val="20"/>
              <w:szCs w:val="20"/>
            </w:rPr>
            <w:t>International Financial Management</w:t>
          </w:r>
        </w:p>
      </w:tc>
    </w:tr>
  </w:tbl>
  <w:p w14:paraId="62B9334C" w14:textId="08E609FE" w:rsidR="007253D6" w:rsidRPr="007253D6" w:rsidRDefault="007253D6" w:rsidP="007253D6">
    <w:pPr>
      <w:pStyle w:val="Header"/>
      <w:jc w:val="right"/>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BA40E" w14:textId="77777777" w:rsidR="002902C9" w:rsidRDefault="002902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wNzMwtjA0MDM1MTRX0lEKTi0uzszPAykwrgUAOTfY1SwAAAA="/>
  </w:docVars>
  <w:rsids>
    <w:rsidRoot w:val="00A310D2"/>
    <w:rsid w:val="00030F6A"/>
    <w:rsid w:val="000C1DDF"/>
    <w:rsid w:val="001327C2"/>
    <w:rsid w:val="00150B4E"/>
    <w:rsid w:val="00170BE1"/>
    <w:rsid w:val="0019113D"/>
    <w:rsid w:val="001A6E92"/>
    <w:rsid w:val="001C6507"/>
    <w:rsid w:val="001E7E22"/>
    <w:rsid w:val="0020609B"/>
    <w:rsid w:val="00213E85"/>
    <w:rsid w:val="00260D01"/>
    <w:rsid w:val="00271B05"/>
    <w:rsid w:val="002827CA"/>
    <w:rsid w:val="002902C9"/>
    <w:rsid w:val="002A6E95"/>
    <w:rsid w:val="002C346F"/>
    <w:rsid w:val="002C4C6E"/>
    <w:rsid w:val="0032198F"/>
    <w:rsid w:val="00322DB0"/>
    <w:rsid w:val="00397454"/>
    <w:rsid w:val="003A3FFB"/>
    <w:rsid w:val="003B14F8"/>
    <w:rsid w:val="003B279F"/>
    <w:rsid w:val="003B585C"/>
    <w:rsid w:val="003D3BF9"/>
    <w:rsid w:val="00401886"/>
    <w:rsid w:val="00404240"/>
    <w:rsid w:val="004372EC"/>
    <w:rsid w:val="004444E7"/>
    <w:rsid w:val="0045727F"/>
    <w:rsid w:val="00491979"/>
    <w:rsid w:val="00491CCF"/>
    <w:rsid w:val="00494DED"/>
    <w:rsid w:val="004C24DF"/>
    <w:rsid w:val="004C72BB"/>
    <w:rsid w:val="004C733C"/>
    <w:rsid w:val="004D0F91"/>
    <w:rsid w:val="004D3576"/>
    <w:rsid w:val="004D6944"/>
    <w:rsid w:val="005265A4"/>
    <w:rsid w:val="0054561F"/>
    <w:rsid w:val="00553889"/>
    <w:rsid w:val="00555B4C"/>
    <w:rsid w:val="00562FED"/>
    <w:rsid w:val="005754F1"/>
    <w:rsid w:val="005805F8"/>
    <w:rsid w:val="005A1BC2"/>
    <w:rsid w:val="005B4799"/>
    <w:rsid w:val="005C7F31"/>
    <w:rsid w:val="006046F1"/>
    <w:rsid w:val="00614B20"/>
    <w:rsid w:val="00616AD1"/>
    <w:rsid w:val="00624DC1"/>
    <w:rsid w:val="00637C9B"/>
    <w:rsid w:val="0065521D"/>
    <w:rsid w:val="00662076"/>
    <w:rsid w:val="0066664A"/>
    <w:rsid w:val="007253D6"/>
    <w:rsid w:val="00796EBF"/>
    <w:rsid w:val="007F040F"/>
    <w:rsid w:val="0083750E"/>
    <w:rsid w:val="008B344F"/>
    <w:rsid w:val="008C17CD"/>
    <w:rsid w:val="008E7F6E"/>
    <w:rsid w:val="009016B4"/>
    <w:rsid w:val="00926D64"/>
    <w:rsid w:val="0093087D"/>
    <w:rsid w:val="009432C4"/>
    <w:rsid w:val="009707AB"/>
    <w:rsid w:val="00974F08"/>
    <w:rsid w:val="009A5D44"/>
    <w:rsid w:val="009A6A29"/>
    <w:rsid w:val="009F41C0"/>
    <w:rsid w:val="00A16F8B"/>
    <w:rsid w:val="00A17BB5"/>
    <w:rsid w:val="00A2610E"/>
    <w:rsid w:val="00A310D2"/>
    <w:rsid w:val="00A456C7"/>
    <w:rsid w:val="00A8616B"/>
    <w:rsid w:val="00A87E86"/>
    <w:rsid w:val="00A9310F"/>
    <w:rsid w:val="00AA1D60"/>
    <w:rsid w:val="00AA3F4B"/>
    <w:rsid w:val="00AB00F9"/>
    <w:rsid w:val="00AC4BDA"/>
    <w:rsid w:val="00AE77B3"/>
    <w:rsid w:val="00B37029"/>
    <w:rsid w:val="00B445DC"/>
    <w:rsid w:val="00B67964"/>
    <w:rsid w:val="00B7022A"/>
    <w:rsid w:val="00B82560"/>
    <w:rsid w:val="00B842D3"/>
    <w:rsid w:val="00B84559"/>
    <w:rsid w:val="00B96355"/>
    <w:rsid w:val="00BC050E"/>
    <w:rsid w:val="00BE1A10"/>
    <w:rsid w:val="00BF4226"/>
    <w:rsid w:val="00C06E9F"/>
    <w:rsid w:val="00C92E33"/>
    <w:rsid w:val="00C93A3F"/>
    <w:rsid w:val="00CC1668"/>
    <w:rsid w:val="00CC481C"/>
    <w:rsid w:val="00CD3295"/>
    <w:rsid w:val="00CF452F"/>
    <w:rsid w:val="00D1117E"/>
    <w:rsid w:val="00D120C2"/>
    <w:rsid w:val="00D160F9"/>
    <w:rsid w:val="00DA3EC4"/>
    <w:rsid w:val="00E63030"/>
    <w:rsid w:val="00E842C7"/>
    <w:rsid w:val="00EB35A1"/>
    <w:rsid w:val="00ED3E8A"/>
    <w:rsid w:val="00EE0A25"/>
    <w:rsid w:val="00F02C50"/>
    <w:rsid w:val="00F34704"/>
    <w:rsid w:val="00F60F4B"/>
    <w:rsid w:val="00F8196A"/>
    <w:rsid w:val="00FB7F9A"/>
    <w:rsid w:val="00FF7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73F43"/>
  <w15:chartTrackingRefBased/>
  <w15:docId w15:val="{C909152F-A867-4036-BDE0-5D7EA6E8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94D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087D"/>
    <w:rPr>
      <w:color w:val="0563C1" w:themeColor="hyperlink"/>
      <w:u w:val="single"/>
    </w:rPr>
  </w:style>
  <w:style w:type="paragraph" w:styleId="Header">
    <w:name w:val="header"/>
    <w:basedOn w:val="Normal"/>
    <w:link w:val="HeaderChar"/>
    <w:uiPriority w:val="99"/>
    <w:unhideWhenUsed/>
    <w:rsid w:val="007253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3D6"/>
    <w:rPr>
      <w:lang w:val="en-GB"/>
    </w:rPr>
  </w:style>
  <w:style w:type="paragraph" w:styleId="Footer">
    <w:name w:val="footer"/>
    <w:basedOn w:val="Normal"/>
    <w:link w:val="FooterChar"/>
    <w:uiPriority w:val="99"/>
    <w:unhideWhenUsed/>
    <w:rsid w:val="007253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3D6"/>
    <w:rPr>
      <w:lang w:val="en-GB"/>
    </w:rPr>
  </w:style>
  <w:style w:type="character" w:customStyle="1" w:styleId="Heading1Char">
    <w:name w:val="Heading 1 Char"/>
    <w:basedOn w:val="DefaultParagraphFont"/>
    <w:link w:val="Heading1"/>
    <w:uiPriority w:val="9"/>
    <w:rsid w:val="00494DED"/>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94DED"/>
    <w:pPr>
      <w:outlineLvl w:val="9"/>
    </w:pPr>
    <w:rPr>
      <w:lang w:val="en-US"/>
    </w:rPr>
  </w:style>
  <w:style w:type="paragraph" w:styleId="TOC1">
    <w:name w:val="toc 1"/>
    <w:basedOn w:val="Normal"/>
    <w:next w:val="Normal"/>
    <w:autoRedefine/>
    <w:uiPriority w:val="39"/>
    <w:unhideWhenUsed/>
    <w:rsid w:val="00494D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101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videndstocks.cash/dividend-profile/Toyota-Dividend"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ndmoney.com/us-stocks/dividends/tm-toyota-motor-corporation-dividend"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companies/toyota-motor/?sh=aebb1b552bd5"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5F270-D44B-4C27-8C38-75E9AADED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Pavlinka Veleva</cp:lastModifiedBy>
  <cp:revision>109</cp:revision>
  <dcterms:created xsi:type="dcterms:W3CDTF">2023-07-17T06:54:00Z</dcterms:created>
  <dcterms:modified xsi:type="dcterms:W3CDTF">2023-07-20T10:38:00Z</dcterms:modified>
</cp:coreProperties>
</file>