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209A55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322BA">
              <w:rPr>
                <w:rFonts w:ascii="Times New Roman" w:hAnsi="Times New Roman" w:cs="Times New Roman"/>
                <w:b/>
                <w:color w:val="auto"/>
                <w:sz w:val="48"/>
              </w:rPr>
              <w:t>Tiffany Jade Gitsham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E61FF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322BA">
              <w:rPr>
                <w:rFonts w:ascii="Times New Roman" w:hAnsi="Times New Roman" w:cs="Times New Roman"/>
                <w:b/>
                <w:color w:val="auto"/>
                <w:sz w:val="48"/>
              </w:rPr>
              <w:t xml:space="preserve"> j.t.gitsham@npt.gov.uk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E7C5AB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9560E">
              <w:rPr>
                <w:rFonts w:ascii="Times New Roman" w:hAnsi="Times New Roman" w:cs="Times New Roman"/>
                <w:b/>
                <w:color w:val="auto"/>
                <w:sz w:val="48"/>
              </w:rPr>
              <w:t xml:space="preserve"> </w:t>
            </w:r>
            <w:r w:rsidR="0089560E">
              <w:rPr>
                <w:rFonts w:ascii="Times New Roman" w:hAnsi="Times New Roman" w:cs="Times New Roman"/>
                <w:b/>
                <w:color w:val="auto"/>
                <w:sz w:val="48"/>
              </w:rPr>
              <w:br/>
              <w:t>1900578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C6FC04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89560E">
              <w:rPr>
                <w:rFonts w:ascii="Times New Roman" w:hAnsi="Times New Roman" w:cs="Times New Roman"/>
                <w:b/>
                <w:color w:val="auto"/>
                <w:sz w:val="48"/>
              </w:rPr>
              <w:t xml:space="preserve"> </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8651D02" w14:textId="77777777" w:rsidR="005322BA" w:rsidRDefault="00BB7FD2" w:rsidP="005322BA">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r w:rsidR="005322BA">
              <w:rPr>
                <w:sz w:val="24"/>
                <w:szCs w:val="24"/>
              </w:rPr>
              <w:t xml:space="preserve"> </w:t>
            </w:r>
          </w:p>
          <w:p w14:paraId="7C0F4AC8" w14:textId="0A16CD9E" w:rsidR="005322BA" w:rsidRDefault="005322BA" w:rsidP="005322BA">
            <w:pPr>
              <w:jc w:val="both"/>
              <w:rPr>
                <w:sz w:val="24"/>
                <w:szCs w:val="24"/>
              </w:rPr>
            </w:pPr>
            <w:r>
              <w:rPr>
                <w:i/>
                <w:sz w:val="24"/>
                <w:szCs w:val="24"/>
              </w:rPr>
              <w:br/>
            </w: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71B4C3EE"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2E5B4671" w14:textId="77777777" w:rsidR="006B0EF6" w:rsidRDefault="006B0EF6" w:rsidP="006B0EF6">
            <w:pPr>
              <w:jc w:val="both"/>
              <w:rPr>
                <w:sz w:val="24"/>
                <w:szCs w:val="24"/>
              </w:rPr>
            </w:pPr>
            <w:r w:rsidRPr="006B0EF6">
              <w:rPr>
                <w:sz w:val="24"/>
                <w:szCs w:val="24"/>
              </w:rPr>
              <w:t>Child safeguarding in Wales is governed by a comprehensive legal and policy framework designed to protect children from harm and promote their rights. The Children Act 1989 remains foundational, establishing the principle that a child’s welfare is paramount. It introduced key duties for local authorities, including Section 17 (children in need) and Section 47 (duty to investigate significant harm) (Legislation.gov.uk, 1989). These provisions ensure that children receive appropriate support and protection when concerns are raised.</w:t>
            </w:r>
          </w:p>
          <w:p w14:paraId="2996898C" w14:textId="77777777" w:rsidR="006B0EF6" w:rsidRPr="006B0EF6" w:rsidRDefault="006B0EF6" w:rsidP="006B0EF6">
            <w:pPr>
              <w:jc w:val="both"/>
              <w:rPr>
                <w:sz w:val="24"/>
                <w:szCs w:val="24"/>
              </w:rPr>
            </w:pPr>
          </w:p>
          <w:p w14:paraId="7EAA2308" w14:textId="77777777" w:rsidR="006B0EF6" w:rsidRDefault="006B0EF6" w:rsidP="006B0EF6">
            <w:pPr>
              <w:jc w:val="both"/>
              <w:rPr>
                <w:sz w:val="24"/>
                <w:szCs w:val="24"/>
              </w:rPr>
            </w:pPr>
            <w:r w:rsidRPr="006B0EF6">
              <w:rPr>
                <w:sz w:val="24"/>
                <w:szCs w:val="24"/>
              </w:rPr>
              <w:t xml:space="preserve">The Children Act 2004 built on this by mandating inter-agency cooperation and introducing the role of the Children’s Commissioner for Wales, whose remit includes promoting and safeguarding the rights and welfare of children. The Act also embedded </w:t>
            </w:r>
            <w:proofErr w:type="gramStart"/>
            <w:r w:rsidRPr="006B0EF6">
              <w:rPr>
                <w:sz w:val="24"/>
                <w:szCs w:val="24"/>
              </w:rPr>
              <w:t>the Every</w:t>
            </w:r>
            <w:proofErr w:type="gramEnd"/>
            <w:r w:rsidRPr="006B0EF6">
              <w:rPr>
                <w:sz w:val="24"/>
                <w:szCs w:val="24"/>
              </w:rPr>
              <w:t xml:space="preserve"> Child Matters framework, which outlines five key outcomes for children: being healthy, staying safe, enjoying and achieving, making a positive contribution, and achieving economic well-being (NSPCC, 2024).</w:t>
            </w:r>
          </w:p>
          <w:p w14:paraId="7A23FD85" w14:textId="77777777" w:rsidR="006B0EF6" w:rsidRPr="006B0EF6" w:rsidRDefault="006B0EF6" w:rsidP="006B0EF6">
            <w:pPr>
              <w:jc w:val="both"/>
              <w:rPr>
                <w:sz w:val="24"/>
                <w:szCs w:val="24"/>
              </w:rPr>
            </w:pPr>
          </w:p>
          <w:p w14:paraId="600EDCC5" w14:textId="77777777" w:rsidR="006B0EF6" w:rsidRDefault="006B0EF6" w:rsidP="006B0EF6">
            <w:pPr>
              <w:jc w:val="both"/>
              <w:rPr>
                <w:sz w:val="24"/>
                <w:szCs w:val="24"/>
              </w:rPr>
            </w:pPr>
            <w:r w:rsidRPr="006B0EF6">
              <w:rPr>
                <w:sz w:val="24"/>
                <w:szCs w:val="24"/>
              </w:rPr>
              <w:t>In Wales, the Social Services and Well-being (Wales) Act 2014 (SSWBWA) significantly reformed social care legislation. Part 3 of the Act outlines duties for assessing children’s needs, emphasising a strengths-based, person-centred approach focused on “what matters” to the child (Welsh Government, 2015). This approach ensures that assessments are holistic and inclusive of the child’s voice. Part 7 of the Act defines safeguarding duties and introduces the concept of a “child at risk” under Section 130, requiring action if there is reasonable cause to suspect significant harm (Law Wales, 2014). If this threshold is met, the local authority must consider initiating a Section 47 investigation under the Children Act 1989, demonstrating how legislation interlinks to protect children.</w:t>
            </w:r>
          </w:p>
          <w:p w14:paraId="12FD4BEF" w14:textId="77777777" w:rsidR="006B0EF6" w:rsidRPr="006B0EF6" w:rsidRDefault="006B0EF6" w:rsidP="006B0EF6">
            <w:pPr>
              <w:jc w:val="both"/>
              <w:rPr>
                <w:sz w:val="24"/>
                <w:szCs w:val="24"/>
              </w:rPr>
            </w:pPr>
          </w:p>
          <w:p w14:paraId="35385CF1" w14:textId="3F0B1C66" w:rsidR="006B0EF6" w:rsidRDefault="006B0EF6" w:rsidP="006B0EF6">
            <w:pPr>
              <w:jc w:val="both"/>
              <w:rPr>
                <w:sz w:val="24"/>
                <w:szCs w:val="24"/>
              </w:rPr>
            </w:pPr>
            <w:r w:rsidRPr="006B0EF6">
              <w:rPr>
                <w:sz w:val="24"/>
                <w:szCs w:val="24"/>
              </w:rPr>
              <w:lastRenderedPageBreak/>
              <w:t>The United Nations Convention on the Rights of the Child (UNCRC) was incorporated into Welsh law via the Rights of Children and Young Persons (Wales) Measure 2011, requiring Welsh Ministers to give “due regard” to children’s rights in all decisions (Welsh Government, 2019).</w:t>
            </w:r>
            <w:r w:rsidR="00056C61">
              <w:rPr>
                <w:sz w:val="24"/>
                <w:szCs w:val="24"/>
              </w:rPr>
              <w:t xml:space="preserve"> </w:t>
            </w:r>
            <w:r w:rsidRPr="006B0EF6">
              <w:rPr>
                <w:sz w:val="24"/>
                <w:szCs w:val="24"/>
              </w:rPr>
              <w:t>This rights-based approach underpins all child protection policies in Wales and reinforces the importance of advocacy, participation, and protection.</w:t>
            </w:r>
          </w:p>
          <w:p w14:paraId="0DE84EA4" w14:textId="77777777" w:rsidR="006B0EF6" w:rsidRPr="006B0EF6" w:rsidRDefault="006B0EF6" w:rsidP="006B0EF6">
            <w:pPr>
              <w:jc w:val="both"/>
              <w:rPr>
                <w:sz w:val="24"/>
                <w:szCs w:val="24"/>
              </w:rPr>
            </w:pPr>
          </w:p>
          <w:p w14:paraId="4E524831" w14:textId="77777777" w:rsidR="006B0EF6" w:rsidRDefault="006B0EF6" w:rsidP="006B0EF6">
            <w:pPr>
              <w:jc w:val="both"/>
              <w:rPr>
                <w:sz w:val="24"/>
                <w:szCs w:val="24"/>
              </w:rPr>
            </w:pPr>
            <w:r w:rsidRPr="006B0EF6">
              <w:rPr>
                <w:sz w:val="24"/>
                <w:szCs w:val="24"/>
              </w:rPr>
              <w:t>The Wales Safeguarding Procedures (2019) provide unified, digital guidance for professionals across sectors. These procedures clarify roles, responsibilities, and referral pathways, and reinforce that safeguarding is everyone’s responsibility. They are designed to ensure consistency in safeguarding practice across Wales and are regularly updated to reflect legislative and policy changes (Social Care Wales, 2019).</w:t>
            </w:r>
          </w:p>
          <w:p w14:paraId="1D27EA64" w14:textId="77777777" w:rsidR="006B0EF6" w:rsidRPr="006B0EF6" w:rsidRDefault="006B0EF6" w:rsidP="006B0EF6">
            <w:pPr>
              <w:jc w:val="both"/>
              <w:rPr>
                <w:sz w:val="24"/>
                <w:szCs w:val="24"/>
              </w:rPr>
            </w:pPr>
          </w:p>
          <w:p w14:paraId="45A853F2" w14:textId="77777777" w:rsidR="006B0EF6" w:rsidRDefault="006B0EF6" w:rsidP="006B0EF6">
            <w:pPr>
              <w:jc w:val="both"/>
              <w:rPr>
                <w:sz w:val="24"/>
                <w:szCs w:val="24"/>
              </w:rPr>
            </w:pPr>
            <w:r w:rsidRPr="006B0EF6">
              <w:rPr>
                <w:sz w:val="24"/>
                <w:szCs w:val="24"/>
              </w:rPr>
              <w:t>Local implementation is led by Regional Safeguarding Boards, which coordinate multi-agency responses, develop policies, and review practice. These boards include representatives from health, education, police, and social services, and are responsible for promoting best practice and ensuring alignment with national guidance.</w:t>
            </w:r>
          </w:p>
          <w:p w14:paraId="06D36965" w14:textId="77777777" w:rsidR="006B0EF6" w:rsidRPr="006B0EF6" w:rsidRDefault="006B0EF6" w:rsidP="006B0EF6">
            <w:pPr>
              <w:jc w:val="both"/>
              <w:rPr>
                <w:sz w:val="24"/>
                <w:szCs w:val="24"/>
              </w:rPr>
            </w:pPr>
          </w:p>
          <w:p w14:paraId="65A94414" w14:textId="53C512E9" w:rsidR="006B0EF6" w:rsidRDefault="006B0EF6" w:rsidP="006B0EF6">
            <w:pPr>
              <w:jc w:val="both"/>
              <w:rPr>
                <w:sz w:val="24"/>
                <w:szCs w:val="24"/>
              </w:rPr>
            </w:pPr>
            <w:r w:rsidRPr="006B0EF6">
              <w:rPr>
                <w:sz w:val="24"/>
                <w:szCs w:val="24"/>
              </w:rPr>
              <w:t>Organisational policies (</w:t>
            </w:r>
            <w:r w:rsidR="005322BA">
              <w:rPr>
                <w:sz w:val="24"/>
                <w:szCs w:val="24"/>
              </w:rPr>
              <w:t>Neath Port Talbot Council, 2025</w:t>
            </w:r>
            <w:r w:rsidRPr="006B0EF6">
              <w:rPr>
                <w:sz w:val="24"/>
                <w:szCs w:val="24"/>
              </w:rPr>
              <w:t>) must reflect these standards and provide clear guidance for staff on how to identify, report, and respond to safeguarding concerns.</w:t>
            </w:r>
          </w:p>
          <w:p w14:paraId="5BB8E656" w14:textId="77777777" w:rsidR="006B0EF6" w:rsidRPr="006B0EF6" w:rsidRDefault="006B0EF6" w:rsidP="006B0EF6">
            <w:pPr>
              <w:jc w:val="both"/>
              <w:rPr>
                <w:sz w:val="24"/>
                <w:szCs w:val="24"/>
              </w:rPr>
            </w:pPr>
          </w:p>
          <w:p w14:paraId="6D8CB8AF" w14:textId="29A592F3" w:rsidR="00FC0334" w:rsidRDefault="006B0EF6" w:rsidP="006B0EF6">
            <w:pPr>
              <w:jc w:val="both"/>
              <w:rPr>
                <w:sz w:val="24"/>
                <w:szCs w:val="24"/>
              </w:rPr>
            </w:pPr>
            <w:r w:rsidRPr="006B0EF6">
              <w:rPr>
                <w:sz w:val="24"/>
                <w:szCs w:val="24"/>
              </w:rPr>
              <w:t>Professional conduct is guided by the Code of Professional Practice for Social Care (Social Care Wales, 2017), which outlines expected behaviours including respect, integrity, and accountability. The BASW Code of Ethics complements this by promoting human rights, social justice, and professional integrity (BASW, 2021). These frameworks support ethical decision-making and ensure that practitioners uphold the highest standards when working with children at risk.</w:t>
            </w:r>
          </w:p>
          <w:p w14:paraId="4A95F4DB" w14:textId="77777777" w:rsidR="00FC0334" w:rsidRDefault="00FC0334" w:rsidP="00FF7EBB">
            <w:pPr>
              <w:jc w:val="both"/>
              <w:rPr>
                <w:sz w:val="24"/>
                <w:szCs w:val="24"/>
              </w:rPr>
            </w:pPr>
          </w:p>
          <w:p w14:paraId="75DF59E2" w14:textId="62372009" w:rsidR="00FC0334" w:rsidRPr="005322BA" w:rsidRDefault="006B0EF6" w:rsidP="00FF7EBB">
            <w:pPr>
              <w:jc w:val="both"/>
              <w:rPr>
                <w:b/>
                <w:bCs/>
                <w:sz w:val="24"/>
                <w:szCs w:val="24"/>
              </w:rPr>
            </w:pPr>
            <w:r w:rsidRPr="005322BA">
              <w:rPr>
                <w:b/>
                <w:bCs/>
                <w:sz w:val="24"/>
                <w:szCs w:val="24"/>
              </w:rPr>
              <w:t xml:space="preserve">Word count: </w:t>
            </w:r>
            <w:r w:rsidR="00056C61" w:rsidRPr="005322BA">
              <w:rPr>
                <w:b/>
                <w:bCs/>
                <w:sz w:val="24"/>
                <w:szCs w:val="24"/>
              </w:rPr>
              <w:t>505</w:t>
            </w:r>
          </w:p>
          <w:p w14:paraId="774095BD" w14:textId="77777777" w:rsidR="00FC0334" w:rsidRPr="006108C9" w:rsidRDefault="00FC0334" w:rsidP="00FF7EBB">
            <w:pPr>
              <w:jc w:val="both"/>
              <w:rPr>
                <w:sz w:val="24"/>
                <w:szCs w:val="24"/>
              </w:rPr>
            </w:pPr>
          </w:p>
          <w:p w14:paraId="03BD6D93" w14:textId="56AD433A" w:rsidR="007A628F" w:rsidRPr="008B28E7" w:rsidRDefault="007A628F" w:rsidP="005322BA">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BDB3E9D" w14:textId="77777777" w:rsidR="005322BA" w:rsidRDefault="005322BA" w:rsidP="005322BA">
            <w:pPr>
              <w:jc w:val="both"/>
              <w:rPr>
                <w:sz w:val="24"/>
                <w:szCs w:val="24"/>
              </w:rPr>
            </w:pPr>
          </w:p>
          <w:p w14:paraId="54FDEB38" w14:textId="77777777" w:rsidR="005322BA" w:rsidRDefault="005322BA" w:rsidP="005322B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031B0924" w14:textId="77777777" w:rsidR="006B0EF6" w:rsidRDefault="006B0EF6" w:rsidP="006B0EF6">
            <w:pPr>
              <w:jc w:val="both"/>
              <w:rPr>
                <w:sz w:val="24"/>
                <w:szCs w:val="24"/>
              </w:rPr>
            </w:pPr>
            <w:r w:rsidRPr="006B0EF6">
              <w:rPr>
                <w:sz w:val="24"/>
                <w:szCs w:val="24"/>
              </w:rPr>
              <w:t>Safeguarding principles apply across both adult and children’s services, but key differences exist in legal frameworks, thresholds for intervention, and ethical considerations. Both domains aim to protect individuals from harm, promote well-being, and uphold rights, but the way these goals are achieved varies significantly.</w:t>
            </w:r>
          </w:p>
          <w:p w14:paraId="399A7B4F" w14:textId="77777777" w:rsidR="006B0EF6" w:rsidRPr="006B0EF6" w:rsidRDefault="006B0EF6" w:rsidP="006B0EF6">
            <w:pPr>
              <w:jc w:val="both"/>
              <w:rPr>
                <w:sz w:val="24"/>
                <w:szCs w:val="24"/>
              </w:rPr>
            </w:pPr>
          </w:p>
          <w:p w14:paraId="3F3A52D7" w14:textId="77777777" w:rsidR="006B0EF6" w:rsidRDefault="006B0EF6" w:rsidP="006B0EF6">
            <w:pPr>
              <w:jc w:val="both"/>
              <w:rPr>
                <w:sz w:val="24"/>
                <w:szCs w:val="24"/>
              </w:rPr>
            </w:pPr>
            <w:r w:rsidRPr="006B0EF6">
              <w:rPr>
                <w:sz w:val="24"/>
                <w:szCs w:val="24"/>
              </w:rPr>
              <w:lastRenderedPageBreak/>
              <w:t>In adult safeguarding, the Mental Capacity Act 2005 is central. Adults with capacity have the legal right to make decisions, even if those decisions are considered unwise. This creates a tension between respecting autonomy and managing risk. Practitioners must assess capacity and balance the individual’s right to self-determination with their duty to protect (Social Care Institute for Excellence, 2023). In contrast, children are presumed to lack full capacity, although the concept of Gillick competence allows for some autonomy when a child demonstrates sufficient understanding (NSPCC, 2023).</w:t>
            </w:r>
          </w:p>
          <w:p w14:paraId="270E5CEE" w14:textId="77777777" w:rsidR="006B0EF6" w:rsidRPr="006B0EF6" w:rsidRDefault="006B0EF6" w:rsidP="006B0EF6">
            <w:pPr>
              <w:jc w:val="both"/>
              <w:rPr>
                <w:sz w:val="24"/>
                <w:szCs w:val="24"/>
              </w:rPr>
            </w:pPr>
          </w:p>
          <w:p w14:paraId="3B88D4C1" w14:textId="77777777" w:rsidR="006B0EF6" w:rsidRDefault="006B0EF6" w:rsidP="006B0EF6">
            <w:pPr>
              <w:jc w:val="both"/>
              <w:rPr>
                <w:sz w:val="24"/>
                <w:szCs w:val="24"/>
              </w:rPr>
            </w:pPr>
            <w:r w:rsidRPr="006B0EF6">
              <w:rPr>
                <w:sz w:val="24"/>
                <w:szCs w:val="24"/>
              </w:rPr>
              <w:t>Thresholds for intervention also differ. In children’s safeguarding, the threshold for statutory involvement is often lower due to their developmental vulnerability and dependency on adults. The duty to protect children from significant harm can override parental rights, and professionals are expected to act proactively. In adult safeguarding, intervention is more complex and often requires consent unless the person lacks capacity or is at immediate risk (Law Wales, 2014).</w:t>
            </w:r>
          </w:p>
          <w:p w14:paraId="15B6A057" w14:textId="77777777" w:rsidR="006B0EF6" w:rsidRPr="006B0EF6" w:rsidRDefault="006B0EF6" w:rsidP="006B0EF6">
            <w:pPr>
              <w:jc w:val="both"/>
              <w:rPr>
                <w:sz w:val="24"/>
                <w:szCs w:val="24"/>
              </w:rPr>
            </w:pPr>
          </w:p>
          <w:p w14:paraId="0B56C802" w14:textId="77777777" w:rsidR="006B0EF6" w:rsidRDefault="006B0EF6" w:rsidP="006B0EF6">
            <w:pPr>
              <w:jc w:val="both"/>
              <w:rPr>
                <w:sz w:val="24"/>
                <w:szCs w:val="24"/>
              </w:rPr>
            </w:pPr>
            <w:r w:rsidRPr="006B0EF6">
              <w:rPr>
                <w:sz w:val="24"/>
                <w:szCs w:val="24"/>
              </w:rPr>
              <w:t>Multi-agency working is essential in both areas. Children’s safeguarding typically involves education, youth services, health, and family support, while adult safeguarding may focus more on health, housing, and care providers. Both rely on Regional Safeguarding Boards to coordinate responses, share learning, and promote best practice (Social Care Wales, 2019).</w:t>
            </w:r>
          </w:p>
          <w:p w14:paraId="319AC7AA" w14:textId="77777777" w:rsidR="006B0EF6" w:rsidRPr="006B0EF6" w:rsidRDefault="006B0EF6" w:rsidP="006B0EF6">
            <w:pPr>
              <w:jc w:val="both"/>
              <w:rPr>
                <w:sz w:val="24"/>
                <w:szCs w:val="24"/>
              </w:rPr>
            </w:pPr>
          </w:p>
          <w:p w14:paraId="1B43AAAD" w14:textId="77777777" w:rsidR="006B0EF6" w:rsidRDefault="006B0EF6" w:rsidP="006B0EF6">
            <w:pPr>
              <w:jc w:val="both"/>
              <w:rPr>
                <w:sz w:val="24"/>
                <w:szCs w:val="24"/>
              </w:rPr>
            </w:pPr>
            <w:r w:rsidRPr="006B0EF6">
              <w:rPr>
                <w:sz w:val="24"/>
                <w:szCs w:val="24"/>
              </w:rPr>
              <w:t>The emotional impact on practitioners can be profound. In adult services, it can be distressing to witness someone make harmful choices while respecting their autonomy. In children’s services, safeguarding decisions often carry a sense of urgency and complexity, especially when balancing the rights of the child with those of their parents or carers. In both areas, access to advocacy, supervision, and reflective practice is essential to support ethical decision-making and practitioner resilience (Social Care Wales, 2017; BASW, 2021).</w:t>
            </w:r>
          </w:p>
          <w:p w14:paraId="0703B468" w14:textId="77777777" w:rsidR="006B0EF6" w:rsidRPr="006B0EF6" w:rsidRDefault="006B0EF6" w:rsidP="006B0EF6">
            <w:pPr>
              <w:jc w:val="both"/>
              <w:rPr>
                <w:sz w:val="24"/>
                <w:szCs w:val="24"/>
              </w:rPr>
            </w:pPr>
          </w:p>
          <w:p w14:paraId="72162382" w14:textId="0DF7804C" w:rsidR="006B0EF6" w:rsidRDefault="006B0EF6" w:rsidP="006B0EF6">
            <w:pPr>
              <w:jc w:val="both"/>
              <w:rPr>
                <w:sz w:val="24"/>
                <w:szCs w:val="24"/>
              </w:rPr>
            </w:pPr>
            <w:r w:rsidRPr="006B0EF6">
              <w:rPr>
                <w:sz w:val="24"/>
                <w:szCs w:val="24"/>
              </w:rPr>
              <w:t>Ultimately, safeguarding in both domains requires a nuanced understanding of legislation, values, and ethical dilemmas. Practitioners must be able to navigate complex situations while maintaining a person-centred approach that respects rights, promotes well-being, and ensures protection.</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3017B9E7" w:rsidR="00FC0334" w:rsidRPr="005322BA" w:rsidRDefault="006B0EF6" w:rsidP="00FC0334">
            <w:pPr>
              <w:jc w:val="both"/>
              <w:rPr>
                <w:b/>
                <w:bCs/>
                <w:sz w:val="24"/>
                <w:szCs w:val="24"/>
              </w:rPr>
            </w:pPr>
            <w:r w:rsidRPr="005322BA">
              <w:rPr>
                <w:b/>
                <w:bCs/>
                <w:sz w:val="24"/>
                <w:szCs w:val="24"/>
              </w:rPr>
              <w:t xml:space="preserve">Word Count: </w:t>
            </w:r>
            <w:r w:rsidR="00E75DCA" w:rsidRPr="005322BA">
              <w:rPr>
                <w:b/>
                <w:bCs/>
                <w:sz w:val="24"/>
                <w:szCs w:val="24"/>
              </w:rPr>
              <w:t>361</w:t>
            </w:r>
          </w:p>
          <w:p w14:paraId="4847C39E" w14:textId="77777777" w:rsidR="00FC0334" w:rsidRDefault="00FC0334" w:rsidP="00FC0334">
            <w:pPr>
              <w:jc w:val="both"/>
              <w:rPr>
                <w:sz w:val="24"/>
                <w:szCs w:val="24"/>
              </w:rPr>
            </w:pPr>
          </w:p>
          <w:p w14:paraId="08760B3D" w14:textId="77777777" w:rsidR="00FC0334" w:rsidRPr="006108C9" w:rsidRDefault="00FC0334" w:rsidP="005322BA">
            <w:pPr>
              <w:jc w:val="both"/>
              <w:rPr>
                <w:sz w:val="24"/>
                <w:szCs w:val="24"/>
              </w:rPr>
            </w:pPr>
          </w:p>
        </w:tc>
      </w:tr>
    </w:tbl>
    <w:p w14:paraId="76FCF233" w14:textId="77777777" w:rsidR="00FC0334" w:rsidRDefault="00FC0334" w:rsidP="00FC0334">
      <w:pPr>
        <w:rPr>
          <w:sz w:val="24"/>
          <w:szCs w:val="24"/>
        </w:rPr>
      </w:pPr>
    </w:p>
    <w:p w14:paraId="1F8E3687" w14:textId="77777777" w:rsidR="006B0EF6" w:rsidRDefault="006B0EF6" w:rsidP="00FC0334">
      <w:pPr>
        <w:rPr>
          <w:sz w:val="24"/>
          <w:szCs w:val="24"/>
        </w:rPr>
      </w:pPr>
    </w:p>
    <w:p w14:paraId="6B4475B5" w14:textId="57ED3D77" w:rsidR="006B0EF6" w:rsidRDefault="006B0EF6" w:rsidP="006B0EF6">
      <w:pPr>
        <w:jc w:val="center"/>
        <w:rPr>
          <w:sz w:val="24"/>
          <w:szCs w:val="24"/>
          <w:u w:val="single"/>
        </w:rPr>
      </w:pPr>
    </w:p>
    <w:p w14:paraId="11958B74" w14:textId="6EF5B9DC" w:rsidR="006B0EF6" w:rsidRPr="006B0EF6" w:rsidRDefault="006B0EF6" w:rsidP="00AC4FE3">
      <w:pPr>
        <w:rPr>
          <w:sz w:val="24"/>
          <w:szCs w:val="24"/>
        </w:rPr>
      </w:pPr>
    </w:p>
    <w:sectPr w:rsidR="006B0EF6" w:rsidRPr="006B0EF6"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C61"/>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6E75"/>
    <w:rsid w:val="00260663"/>
    <w:rsid w:val="002657E9"/>
    <w:rsid w:val="0026665E"/>
    <w:rsid w:val="0027147E"/>
    <w:rsid w:val="002761F4"/>
    <w:rsid w:val="002775E1"/>
    <w:rsid w:val="00277979"/>
    <w:rsid w:val="00291ADD"/>
    <w:rsid w:val="002920DF"/>
    <w:rsid w:val="00292F3D"/>
    <w:rsid w:val="00294AE0"/>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3FE3"/>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6D5"/>
    <w:rsid w:val="005113D4"/>
    <w:rsid w:val="0051287D"/>
    <w:rsid w:val="00513C7D"/>
    <w:rsid w:val="00521123"/>
    <w:rsid w:val="00521221"/>
    <w:rsid w:val="0052250B"/>
    <w:rsid w:val="005305C6"/>
    <w:rsid w:val="005322BA"/>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0EF6"/>
    <w:rsid w:val="006B4496"/>
    <w:rsid w:val="006B5E67"/>
    <w:rsid w:val="006B6612"/>
    <w:rsid w:val="006C2EB5"/>
    <w:rsid w:val="006D18A3"/>
    <w:rsid w:val="006D5970"/>
    <w:rsid w:val="006E481E"/>
    <w:rsid w:val="006E795F"/>
    <w:rsid w:val="006F0862"/>
    <w:rsid w:val="006F1438"/>
    <w:rsid w:val="006F2A9E"/>
    <w:rsid w:val="006F5ED3"/>
    <w:rsid w:val="006F6348"/>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60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37E"/>
    <w:rsid w:val="00902A65"/>
    <w:rsid w:val="00903932"/>
    <w:rsid w:val="009079BD"/>
    <w:rsid w:val="00912BD9"/>
    <w:rsid w:val="0091553A"/>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7FA"/>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4FE3"/>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7F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1672"/>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5DCA"/>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36E8"/>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B0E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1072</Words>
  <Characters>6454</Characters>
  <Application>Microsoft Office Word</Application>
  <DocSecurity>0</DocSecurity>
  <Lines>154</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T. Gitsham</cp:lastModifiedBy>
  <cp:revision>3</cp:revision>
  <cp:lastPrinted>2020-02-11T19:20:00Z</cp:lastPrinted>
  <dcterms:created xsi:type="dcterms:W3CDTF">2025-10-03T15:33:00Z</dcterms:created>
  <dcterms:modified xsi:type="dcterms:W3CDTF">2025-10-07T17:31:00Z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