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600E737F" w14:textId="77777777" w:rsidR="00841094" w:rsidRDefault="0093383E">
      <w:pPr>
        <w:pStyle w:val="Heading2"/>
        <w:pBdr>
          <w:top w:val="nil"/>
          <w:left w:val="nil"/>
          <w:bottom w:val="nil"/>
          <w:right w:val="nil"/>
          <w:between w:val="nil"/>
        </w:pBdr>
        <w:spacing w:before="0" w:line="288" w:lineRule="auto"/>
        <w:rPr>
          <w:rFonts w:ascii="Open Sans" w:eastAsia="Open Sans" w:hAnsi="Open Sans" w:cs="Open Sans"/>
          <w:color w:val="695D46"/>
          <w:sz w:val="24"/>
          <w:szCs w:val="24"/>
        </w:rPr>
      </w:pPr>
      <w:bookmarkStart w:id="0" w:name="_z6ne0og04bp5" w:colFirst="0" w:colLast="0"/>
      <w:bookmarkEnd w:id="0"/>
      <w:r>
        <w:rPr>
          <w:rFonts w:ascii="Open Sans" w:eastAsia="Open Sans" w:hAnsi="Open Sans" w:cs="Open Sans"/>
          <w:noProof/>
          <w:color w:val="695D46"/>
          <w:sz w:val="24"/>
          <w:szCs w:val="24"/>
        </w:rPr>
        <w:drawing>
          <wp:inline distT="114300" distB="114300" distL="114300" distR="114300" wp14:anchorId="2771DC7C" wp14:editId="562447A1">
            <wp:extent cx="5916349" cy="104775"/>
            <wp:effectExtent l="0" t="0" r="0" b="0"/>
            <wp:docPr id="2" name="image2.png" descr="horizontal line"/>
            <wp:cNvGraphicFramePr/>
            <a:graphic xmlns:a="http://schemas.openxmlformats.org/drawingml/2006/main">
              <a:graphicData uri="http://schemas.openxmlformats.org/drawingml/2006/picture">
                <pic:pic xmlns:pic="http://schemas.openxmlformats.org/drawingml/2006/picture">
                  <pic:nvPicPr>
                    <pic:cNvPr id="0" name="image2.png" descr="horizontal line"/>
                    <pic:cNvPicPr preferRelativeResize="0"/>
                  </pic:nvPicPr>
                  <pic:blipFill>
                    <a:blip r:embed="rId6"/>
                    <a:srcRect b="-35184"/>
                    <a:stretch>
                      <a:fillRect/>
                    </a:stretch>
                  </pic:blipFill>
                  <pic:spPr>
                    <a:xfrm>
                      <a:off x="0" y="0"/>
                      <a:ext cx="5916349" cy="104775"/>
                    </a:xfrm>
                    <a:prstGeom prst="rect">
                      <a:avLst/>
                    </a:prstGeom>
                    <a:ln/>
                  </pic:spPr>
                </pic:pic>
              </a:graphicData>
            </a:graphic>
          </wp:inline>
        </w:drawing>
      </w:r>
      <w:r>
        <w:rPr>
          <w:rFonts w:ascii="Open Sans" w:eastAsia="Open Sans" w:hAnsi="Open Sans" w:cs="Open Sans"/>
          <w:color w:val="695D46"/>
          <w:sz w:val="24"/>
          <w:szCs w:val="24"/>
        </w:rPr>
        <w:t xml:space="preserve"> </w:t>
      </w:r>
    </w:p>
    <w:p w14:paraId="2571B2DE" w14:textId="77777777" w:rsidR="00841094" w:rsidRDefault="0093383E">
      <w:pPr>
        <w:pBdr>
          <w:top w:val="nil"/>
          <w:left w:val="nil"/>
          <w:bottom w:val="nil"/>
          <w:right w:val="nil"/>
          <w:between w:val="nil"/>
        </w:pBdr>
      </w:pPr>
      <w:r>
        <w:rPr>
          <w:noProof/>
        </w:rPr>
        <w:drawing>
          <wp:inline distT="114300" distB="114300" distL="114300" distR="114300" wp14:anchorId="48DCC960" wp14:editId="59263234">
            <wp:extent cx="5910263" cy="3940175"/>
            <wp:effectExtent l="0" t="0" r="0" b="0"/>
            <wp:docPr id="3" name="image3.jpg" descr="Placeholder image"/>
            <wp:cNvGraphicFramePr/>
            <a:graphic xmlns:a="http://schemas.openxmlformats.org/drawingml/2006/main">
              <a:graphicData uri="http://schemas.openxmlformats.org/drawingml/2006/picture">
                <pic:pic xmlns:pic="http://schemas.openxmlformats.org/drawingml/2006/picture">
                  <pic:nvPicPr>
                    <pic:cNvPr id="0" name="image3.jpg" descr="Placeholder image"/>
                    <pic:cNvPicPr preferRelativeResize="0"/>
                  </pic:nvPicPr>
                  <pic:blipFill>
                    <a:blip r:embed="rId7"/>
                    <a:srcRect/>
                    <a:stretch>
                      <a:fillRect/>
                    </a:stretch>
                  </pic:blipFill>
                  <pic:spPr>
                    <a:xfrm>
                      <a:off x="0" y="0"/>
                      <a:ext cx="5910263" cy="3940175"/>
                    </a:xfrm>
                    <a:prstGeom prst="rect">
                      <a:avLst/>
                    </a:prstGeom>
                    <a:ln/>
                  </pic:spPr>
                </pic:pic>
              </a:graphicData>
            </a:graphic>
          </wp:inline>
        </w:drawing>
      </w:r>
    </w:p>
    <w:p w14:paraId="15E7BF6D" w14:textId="77777777" w:rsidR="00841094" w:rsidRDefault="0093383E">
      <w:pPr>
        <w:pStyle w:val="Title"/>
        <w:pBdr>
          <w:top w:val="nil"/>
          <w:left w:val="nil"/>
          <w:bottom w:val="nil"/>
          <w:right w:val="nil"/>
          <w:between w:val="nil"/>
        </w:pBdr>
        <w:jc w:val="center"/>
      </w:pPr>
      <w:bookmarkStart w:id="1" w:name="_2gazcsgmxkub" w:colFirst="0" w:colLast="0"/>
      <w:bookmarkEnd w:id="1"/>
      <w:r>
        <w:t>Forensic Recovery and Examination</w:t>
      </w:r>
    </w:p>
    <w:p w14:paraId="76A764BA" w14:textId="77777777" w:rsidR="00841094" w:rsidRDefault="0093383E">
      <w:pPr>
        <w:jc w:val="center"/>
      </w:pPr>
      <w:r>
        <w:t>By</w:t>
      </w:r>
    </w:p>
    <w:p w14:paraId="0ED03340" w14:textId="77777777" w:rsidR="00841094" w:rsidRDefault="0093383E">
      <w:pPr>
        <w:jc w:val="center"/>
      </w:pPr>
      <w:r>
        <w:t>Cassie Johnson</w:t>
      </w:r>
    </w:p>
    <w:p w14:paraId="644AE581" w14:textId="77777777" w:rsidR="00841094" w:rsidRDefault="0093383E">
      <w:pPr>
        <w:jc w:val="center"/>
      </w:pPr>
      <w:r>
        <w:t>Student number:1812437</w:t>
      </w:r>
    </w:p>
    <w:p w14:paraId="28537C1A" w14:textId="77777777" w:rsidR="00841094" w:rsidRDefault="00841094">
      <w:pPr>
        <w:pBdr>
          <w:top w:val="nil"/>
          <w:left w:val="nil"/>
          <w:bottom w:val="nil"/>
          <w:right w:val="nil"/>
          <w:between w:val="nil"/>
        </w:pBdr>
        <w:spacing w:line="240" w:lineRule="auto"/>
      </w:pPr>
    </w:p>
    <w:p w14:paraId="25CCBD0D" w14:textId="77777777" w:rsidR="00841094" w:rsidRDefault="0093383E">
      <w:pPr>
        <w:pBdr>
          <w:top w:val="nil"/>
          <w:left w:val="nil"/>
          <w:bottom w:val="nil"/>
          <w:right w:val="nil"/>
          <w:between w:val="nil"/>
        </w:pBdr>
        <w:spacing w:before="0"/>
        <w:jc w:val="center"/>
        <w:rPr>
          <w:rFonts w:ascii="PT Sans Narrow" w:eastAsia="PT Sans Narrow" w:hAnsi="PT Sans Narrow" w:cs="PT Sans Narrow"/>
          <w:color w:val="008575"/>
          <w:sz w:val="32"/>
          <w:szCs w:val="32"/>
        </w:rPr>
      </w:pPr>
      <w:r>
        <w:rPr>
          <w:rFonts w:ascii="PT Sans Narrow" w:eastAsia="PT Sans Narrow" w:hAnsi="PT Sans Narrow" w:cs="PT Sans Narrow"/>
          <w:color w:val="008575"/>
          <w:sz w:val="32"/>
          <w:szCs w:val="32"/>
        </w:rPr>
        <w:t>University of Wales</w:t>
      </w:r>
    </w:p>
    <w:p w14:paraId="3A7D59C4" w14:textId="77777777" w:rsidR="00841094" w:rsidRDefault="0093383E">
      <w:pPr>
        <w:pBdr>
          <w:top w:val="nil"/>
          <w:left w:val="nil"/>
          <w:bottom w:val="nil"/>
          <w:right w:val="nil"/>
          <w:between w:val="nil"/>
        </w:pBdr>
        <w:spacing w:before="0"/>
        <w:jc w:val="center"/>
        <w:rPr>
          <w:rFonts w:ascii="PT Sans Narrow" w:eastAsia="PT Sans Narrow" w:hAnsi="PT Sans Narrow" w:cs="PT Sans Narrow"/>
          <w:color w:val="008575"/>
          <w:sz w:val="32"/>
          <w:szCs w:val="32"/>
        </w:rPr>
      </w:pPr>
      <w:r>
        <w:rPr>
          <w:rFonts w:ascii="PT Sans Narrow" w:eastAsia="PT Sans Narrow" w:hAnsi="PT Sans Narrow" w:cs="PT Sans Narrow"/>
          <w:color w:val="008575"/>
          <w:sz w:val="32"/>
          <w:szCs w:val="32"/>
        </w:rPr>
        <w:t>Trinity Saint David</w:t>
      </w:r>
    </w:p>
    <w:p w14:paraId="75E976F6" w14:textId="77777777" w:rsidR="00841094" w:rsidRDefault="00841094">
      <w:pPr>
        <w:pBdr>
          <w:top w:val="nil"/>
          <w:left w:val="nil"/>
          <w:bottom w:val="nil"/>
          <w:right w:val="nil"/>
          <w:between w:val="nil"/>
        </w:pBdr>
        <w:ind w:left="720"/>
      </w:pPr>
    </w:p>
    <w:p w14:paraId="1885B581" w14:textId="77777777" w:rsidR="00841094" w:rsidRDefault="00841094">
      <w:pPr>
        <w:pBdr>
          <w:top w:val="nil"/>
          <w:left w:val="nil"/>
          <w:bottom w:val="nil"/>
          <w:right w:val="nil"/>
          <w:between w:val="nil"/>
        </w:pBdr>
        <w:ind w:left="720"/>
      </w:pPr>
    </w:p>
    <w:p w14:paraId="5C90CC56" w14:textId="77777777" w:rsidR="00841094" w:rsidRDefault="00841094">
      <w:pPr>
        <w:pBdr>
          <w:top w:val="nil"/>
          <w:left w:val="nil"/>
          <w:bottom w:val="nil"/>
          <w:right w:val="nil"/>
          <w:between w:val="nil"/>
        </w:pBdr>
        <w:ind w:left="720"/>
      </w:pPr>
    </w:p>
    <w:p w14:paraId="39FBDB1B" w14:textId="77777777" w:rsidR="00841094" w:rsidRDefault="00841094">
      <w:pPr>
        <w:spacing w:before="0" w:line="276" w:lineRule="auto"/>
        <w:rPr>
          <w:rFonts w:ascii="Arial" w:eastAsia="Arial" w:hAnsi="Arial" w:cs="Arial"/>
          <w:color w:val="000000"/>
        </w:rPr>
      </w:pPr>
    </w:p>
    <w:p w14:paraId="0E1168D0"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 xml:space="preserve">The majority of crimes reported are not of a serious nature which results in there only needing to be the first attending officer throughout the whole process of the incident from the start to close of the case. More often than not, the non serious nature </w:t>
      </w:r>
      <w:r>
        <w:rPr>
          <w:rFonts w:ascii="Arial" w:eastAsia="Arial" w:hAnsi="Arial" w:cs="Arial"/>
          <w:color w:val="000000"/>
        </w:rPr>
        <w:t>tends to be of the violent type. In such cases, it is not abnormal for the first attending officer to administer first aid, call for medical assistance, reassure the victims and witnesses whilst also preventing public disorder. They deal with different sce</w:t>
      </w:r>
      <w:r>
        <w:rPr>
          <w:rFonts w:ascii="Arial" w:eastAsia="Arial" w:hAnsi="Arial" w:cs="Arial"/>
          <w:color w:val="000000"/>
        </w:rPr>
        <w:t xml:space="preserve">narios daily, so their roles vary somewhat. </w:t>
      </w:r>
      <w:hyperlink r:id="rId8">
        <w:r>
          <w:rPr>
            <w:rFonts w:ascii="Arial" w:eastAsia="Arial" w:hAnsi="Arial" w:cs="Arial"/>
            <w:color w:val="000000"/>
          </w:rPr>
          <w:t>(First response)</w:t>
        </w:r>
      </w:hyperlink>
    </w:p>
    <w:p w14:paraId="4CEEAA69" w14:textId="77777777" w:rsidR="00841094" w:rsidRDefault="00841094">
      <w:pPr>
        <w:spacing w:before="0" w:line="276" w:lineRule="auto"/>
        <w:rPr>
          <w:rFonts w:ascii="Arial" w:eastAsia="Arial" w:hAnsi="Arial" w:cs="Arial"/>
          <w:color w:val="000000"/>
        </w:rPr>
      </w:pPr>
    </w:p>
    <w:p w14:paraId="7B0C567B"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What constitutes as a crime scene is a location whereby an offence has taken place, and forensic evidence is present to be collected. Crime</w:t>
      </w:r>
      <w:r>
        <w:rPr>
          <w:rFonts w:ascii="Arial" w:eastAsia="Arial" w:hAnsi="Arial" w:cs="Arial"/>
          <w:color w:val="000000"/>
        </w:rPr>
        <w:t xml:space="preserve"> scenes have standard procedures which have to be followed to prevent cross-contamination of the scene. When a crime is reported, the first attending officer has obligations to fulfil. Set out below is the commitments in which an FAO would fulfil if respon</w:t>
      </w:r>
      <w:r>
        <w:rPr>
          <w:rFonts w:ascii="Arial" w:eastAsia="Arial" w:hAnsi="Arial" w:cs="Arial"/>
          <w:color w:val="000000"/>
        </w:rPr>
        <w:t xml:space="preserve">ding to a homicide or rape scene, in a missing child case there would be no crime scene therefore usually the last sighting of the child may be used </w:t>
      </w:r>
      <w:hyperlink r:id="rId9">
        <w:r>
          <w:rPr>
            <w:rFonts w:ascii="Arial" w:eastAsia="Arial" w:hAnsi="Arial" w:cs="Arial"/>
            <w:color w:val="000000"/>
          </w:rPr>
          <w:t>(Wallace, Cunningham and Boggiano, 2015)</w:t>
        </w:r>
      </w:hyperlink>
      <w:r>
        <w:rPr>
          <w:rFonts w:ascii="Arial" w:eastAsia="Arial" w:hAnsi="Arial" w:cs="Arial"/>
          <w:color w:val="000000"/>
        </w:rPr>
        <w:t xml:space="preserve">. </w:t>
      </w:r>
    </w:p>
    <w:p w14:paraId="235EB2CF" w14:textId="77777777" w:rsidR="00841094" w:rsidRDefault="00841094">
      <w:pPr>
        <w:spacing w:before="0" w:line="276" w:lineRule="auto"/>
        <w:rPr>
          <w:rFonts w:ascii="Arial" w:eastAsia="Arial" w:hAnsi="Arial" w:cs="Arial"/>
          <w:color w:val="000000"/>
        </w:rPr>
      </w:pPr>
    </w:p>
    <w:p w14:paraId="02FE6813"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The peri</w:t>
      </w:r>
      <w:r>
        <w:rPr>
          <w:rFonts w:ascii="Arial" w:eastAsia="Arial" w:hAnsi="Arial" w:cs="Arial"/>
          <w:color w:val="000000"/>
        </w:rPr>
        <w:t xml:space="preserve">od immediately after a crime has taken place is known as the golden hour; in this period, the evidence is at its ripest for a police investigation </w:t>
      </w:r>
      <w:hyperlink r:id="rId10">
        <w:r>
          <w:rPr>
            <w:rFonts w:ascii="Arial" w:eastAsia="Arial" w:hAnsi="Arial" w:cs="Arial"/>
            <w:color w:val="000000"/>
          </w:rPr>
          <w:t>(Newburn, Williamson and Wright, 2012)</w:t>
        </w:r>
      </w:hyperlink>
      <w:r>
        <w:rPr>
          <w:rFonts w:ascii="Arial" w:eastAsia="Arial" w:hAnsi="Arial" w:cs="Arial"/>
          <w:color w:val="000000"/>
        </w:rPr>
        <w:t xml:space="preserve">. </w:t>
      </w:r>
    </w:p>
    <w:p w14:paraId="74EB4F35" w14:textId="77777777" w:rsidR="00841094" w:rsidRDefault="00841094">
      <w:pPr>
        <w:spacing w:before="0" w:line="276" w:lineRule="auto"/>
        <w:rPr>
          <w:rFonts w:ascii="Arial" w:eastAsia="Arial" w:hAnsi="Arial" w:cs="Arial"/>
          <w:color w:val="000000"/>
        </w:rPr>
      </w:pPr>
    </w:p>
    <w:p w14:paraId="024A87D7"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The First At</w:t>
      </w:r>
      <w:r>
        <w:rPr>
          <w:rFonts w:ascii="Arial" w:eastAsia="Arial" w:hAnsi="Arial" w:cs="Arial"/>
          <w:color w:val="000000"/>
        </w:rPr>
        <w:t>tending Officer to arrive at a crime scene must make an initial assessment. Usually, they will park their patrol car away from the scene so as not to obstruct any evidence. The initial assessment includes the consideration of the health and safety of thems</w:t>
      </w:r>
      <w:r>
        <w:rPr>
          <w:rFonts w:ascii="Arial" w:eastAsia="Arial" w:hAnsi="Arial" w:cs="Arial"/>
          <w:color w:val="000000"/>
        </w:rPr>
        <w:t>elves and others. They must call it in to make colleagues aware and request for relevant assistance. The first attending officer also observes scene hazards that could be there; these can include agitated members of the public, witnesses or suspects. There</w:t>
      </w:r>
      <w:r>
        <w:rPr>
          <w:rFonts w:ascii="Arial" w:eastAsia="Arial" w:hAnsi="Arial" w:cs="Arial"/>
          <w:color w:val="000000"/>
        </w:rPr>
        <w:t xml:space="preserve"> may be sharp objects either in their hands or lying around the crime scene. Chemicals could be around depending on the nature of the crime and the location of the crime scene, they could be hazardous, and the FAO must be cautious of this possibility. In s</w:t>
      </w:r>
      <w:r>
        <w:rPr>
          <w:rFonts w:ascii="Arial" w:eastAsia="Arial" w:hAnsi="Arial" w:cs="Arial"/>
          <w:color w:val="000000"/>
        </w:rPr>
        <w:t xml:space="preserve">ome circumstances, there could be bodily fluids at the scene which the FAO will need to be careful of in the case the owner of the fluid has any diseases </w:t>
      </w:r>
      <w:hyperlink r:id="rId11">
        <w:r>
          <w:rPr>
            <w:rFonts w:ascii="Arial" w:eastAsia="Arial" w:hAnsi="Arial" w:cs="Arial"/>
            <w:color w:val="000000"/>
          </w:rPr>
          <w:t>(Horswell, 2004)</w:t>
        </w:r>
      </w:hyperlink>
      <w:r>
        <w:rPr>
          <w:rFonts w:ascii="Arial" w:eastAsia="Arial" w:hAnsi="Arial" w:cs="Arial"/>
          <w:color w:val="000000"/>
        </w:rPr>
        <w:t>.</w:t>
      </w:r>
    </w:p>
    <w:p w14:paraId="0049F696" w14:textId="77777777" w:rsidR="00841094" w:rsidRDefault="00841094">
      <w:pPr>
        <w:spacing w:before="0" w:line="276" w:lineRule="auto"/>
        <w:rPr>
          <w:rFonts w:ascii="Arial" w:eastAsia="Arial" w:hAnsi="Arial" w:cs="Arial"/>
          <w:color w:val="000000"/>
        </w:rPr>
      </w:pPr>
    </w:p>
    <w:p w14:paraId="308583CE"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Another thing to be observed is the location of the crime scene and whether there is any structural damage that could cause a threat. The time in which the FAO is at the crime scene, t</w:t>
      </w:r>
      <w:r>
        <w:rPr>
          <w:rFonts w:ascii="Arial" w:eastAsia="Arial" w:hAnsi="Arial" w:cs="Arial"/>
          <w:color w:val="000000"/>
        </w:rPr>
        <w:t>hey must move around limiting their touch as they will leave a trace, but it needs to be minimal. The FAO can informally question anyone near to the crime scene to determine the series of events and to establish whether a crime has indeed taken place along</w:t>
      </w:r>
      <w:r>
        <w:rPr>
          <w:rFonts w:ascii="Arial" w:eastAsia="Arial" w:hAnsi="Arial" w:cs="Arial"/>
          <w:color w:val="000000"/>
        </w:rPr>
        <w:t xml:space="preserve"> with whether or not emergency services are needed such as paramedics, bomb squad, the fire brigade etc </w:t>
      </w:r>
      <w:hyperlink r:id="rId12">
        <w:r>
          <w:rPr>
            <w:rFonts w:ascii="Arial" w:eastAsia="Arial" w:hAnsi="Arial" w:cs="Arial"/>
            <w:color w:val="000000"/>
          </w:rPr>
          <w:t>(Bradbury and Feist, 2005)</w:t>
        </w:r>
      </w:hyperlink>
      <w:r>
        <w:rPr>
          <w:rFonts w:ascii="Arial" w:eastAsia="Arial" w:hAnsi="Arial" w:cs="Arial"/>
          <w:color w:val="000000"/>
        </w:rPr>
        <w:t>.</w:t>
      </w:r>
    </w:p>
    <w:p w14:paraId="0D1E3FDD" w14:textId="77777777" w:rsidR="00841094" w:rsidRDefault="00841094">
      <w:pPr>
        <w:spacing w:before="0" w:line="276" w:lineRule="auto"/>
        <w:rPr>
          <w:rFonts w:ascii="Arial" w:eastAsia="Arial" w:hAnsi="Arial" w:cs="Arial"/>
          <w:color w:val="000000"/>
        </w:rPr>
      </w:pPr>
    </w:p>
    <w:p w14:paraId="5C84B62F"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Once the FAO of a crime scene has observed the safety of the area an</w:t>
      </w:r>
      <w:r>
        <w:rPr>
          <w:rFonts w:ascii="Arial" w:eastAsia="Arial" w:hAnsi="Arial" w:cs="Arial"/>
          <w:color w:val="000000"/>
        </w:rPr>
        <w:t>d completed the thorough initial assessment, they must then preserve life. The preservation of life takes priority over the evidence of a person whether they be witness, victim or suspect they have the right to life and the officer must do what they can to</w:t>
      </w:r>
      <w:r>
        <w:rPr>
          <w:rFonts w:ascii="Arial" w:eastAsia="Arial" w:hAnsi="Arial" w:cs="Arial"/>
          <w:color w:val="000000"/>
        </w:rPr>
        <w:t xml:space="preserve"> save them whilst waiting for the relevant emergency team to arrive and take over. If emergency medical services are required, then the FAO needs to take note of anything that is altered in regards to objects on the scene or any other visible </w:t>
      </w:r>
      <w:r>
        <w:rPr>
          <w:rFonts w:ascii="Arial" w:eastAsia="Arial" w:hAnsi="Arial" w:cs="Arial"/>
          <w:color w:val="000000"/>
        </w:rPr>
        <w:lastRenderedPageBreak/>
        <w:t>evidence. The</w:t>
      </w:r>
      <w:r>
        <w:rPr>
          <w:rFonts w:ascii="Arial" w:eastAsia="Arial" w:hAnsi="Arial" w:cs="Arial"/>
          <w:color w:val="000000"/>
        </w:rPr>
        <w:t xml:space="preserve"> information will be passed on to the scientific support staff on their arrival </w:t>
      </w:r>
      <w:hyperlink r:id="rId13">
        <w:r>
          <w:rPr>
            <w:rFonts w:ascii="Arial" w:eastAsia="Arial" w:hAnsi="Arial" w:cs="Arial"/>
            <w:color w:val="000000"/>
          </w:rPr>
          <w:t>(Graça et al., 2012)</w:t>
        </w:r>
      </w:hyperlink>
      <w:r>
        <w:rPr>
          <w:rFonts w:ascii="Arial" w:eastAsia="Arial" w:hAnsi="Arial" w:cs="Arial"/>
          <w:color w:val="000000"/>
        </w:rPr>
        <w:t>.</w:t>
      </w:r>
    </w:p>
    <w:p w14:paraId="6A4E0C0D" w14:textId="77777777" w:rsidR="00841094" w:rsidRDefault="00841094">
      <w:pPr>
        <w:spacing w:before="0" w:line="276" w:lineRule="auto"/>
        <w:rPr>
          <w:rFonts w:ascii="Arial" w:eastAsia="Arial" w:hAnsi="Arial" w:cs="Arial"/>
          <w:color w:val="000000"/>
        </w:rPr>
      </w:pPr>
    </w:p>
    <w:p w14:paraId="4F314CE7"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The next duty of the FAO is to control the scene; they do this by arresting the suspect if they are still present, cordon off the area, identify the witnesses and taking their details, take control of onlookers and make the decision as to which of them are</w:t>
      </w:r>
      <w:r>
        <w:rPr>
          <w:rFonts w:ascii="Arial" w:eastAsia="Arial" w:hAnsi="Arial" w:cs="Arial"/>
          <w:color w:val="000000"/>
        </w:rPr>
        <w:t xml:space="preserve"> a help or hindrance. Those that are a hindrance are to be sent away. Finally, they must preserve the scene, which is to protect evidence; this is of paramount importance to prevent cross-contamination. There are some types of evidence the FAO is allowed t</w:t>
      </w:r>
      <w:r>
        <w:rPr>
          <w:rFonts w:ascii="Arial" w:eastAsia="Arial" w:hAnsi="Arial" w:cs="Arial"/>
          <w:color w:val="000000"/>
        </w:rPr>
        <w:t>o collect. However, the rest is to be done by the forensics examiners. They are also entitled to question those around the scene informally; however, not at length, this must be left to the follow-up officers because the FAO's first and foremost duty is th</w:t>
      </w:r>
      <w:r>
        <w:rPr>
          <w:rFonts w:ascii="Arial" w:eastAsia="Arial" w:hAnsi="Arial" w:cs="Arial"/>
          <w:color w:val="000000"/>
        </w:rPr>
        <w:t xml:space="preserve">e scene </w:t>
      </w:r>
      <w:hyperlink r:id="rId14">
        <w:r>
          <w:rPr>
            <w:rFonts w:ascii="Arial" w:eastAsia="Arial" w:hAnsi="Arial" w:cs="Arial"/>
            <w:color w:val="000000"/>
          </w:rPr>
          <w:t>(National Research Council et al., 2009)</w:t>
        </w:r>
      </w:hyperlink>
      <w:r>
        <w:rPr>
          <w:rFonts w:ascii="Arial" w:eastAsia="Arial" w:hAnsi="Arial" w:cs="Arial"/>
          <w:color w:val="000000"/>
        </w:rPr>
        <w:t>.</w:t>
      </w:r>
    </w:p>
    <w:p w14:paraId="31600F43" w14:textId="77777777" w:rsidR="00841094" w:rsidRDefault="00841094">
      <w:pPr>
        <w:spacing w:before="0" w:line="276" w:lineRule="auto"/>
        <w:rPr>
          <w:rFonts w:ascii="Arial" w:eastAsia="Arial" w:hAnsi="Arial" w:cs="Arial"/>
          <w:color w:val="000000"/>
        </w:rPr>
      </w:pPr>
    </w:p>
    <w:p w14:paraId="4D3652E8"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 xml:space="preserve">The purpose of a cordon is to preserve the scene; it protects the public, controls the onlookers and prevents the interference with the investigation </w:t>
      </w:r>
      <w:r>
        <w:rPr>
          <w:rFonts w:ascii="Arial" w:eastAsia="Arial" w:hAnsi="Arial" w:cs="Arial"/>
          <w:color w:val="000000"/>
        </w:rPr>
        <w:t>whilst also facilitating the emergency services. The cordon can be made with tape, a barrier, and in fatalities, there will be a tent. There are three stages to a cordon which are as follows: the inner cordon which provides immediate privacy of the crime s</w:t>
      </w:r>
      <w:r>
        <w:rPr>
          <w:rFonts w:ascii="Arial" w:eastAsia="Arial" w:hAnsi="Arial" w:cs="Arial"/>
          <w:color w:val="000000"/>
        </w:rPr>
        <w:t>cene, the outer cordon seals the extended area around the inner corden, and finally, there is a traffic cordon to prevent any unauthorised vehicle access. Crime scene preservation ensures all vital information is included within the barriers. Those enterin</w:t>
      </w:r>
      <w:r>
        <w:rPr>
          <w:rFonts w:ascii="Arial" w:eastAsia="Arial" w:hAnsi="Arial" w:cs="Arial"/>
          <w:color w:val="000000"/>
        </w:rPr>
        <w:t>g the crime scene must wear the appropriate Personal Protective Equipment which usually involves, latex gloves, bodysuit with hood, paper shoes, second pair of gloves and a mask. There can only be one entry and one exit to limit the area of foot traffic. W</w:t>
      </w:r>
      <w:r>
        <w:rPr>
          <w:rFonts w:ascii="Arial" w:eastAsia="Arial" w:hAnsi="Arial" w:cs="Arial"/>
          <w:color w:val="000000"/>
        </w:rPr>
        <w:t xml:space="preserve">hen leaving the scene, these items must be collected and analysed so as not to lose any trace of evidence. Evidence which has been contaminated may not be used in court </w:t>
      </w:r>
      <w:hyperlink r:id="rId15">
        <w:r>
          <w:rPr>
            <w:rFonts w:ascii="Arial" w:eastAsia="Arial" w:hAnsi="Arial" w:cs="Arial"/>
            <w:color w:val="000000"/>
          </w:rPr>
          <w:t>(Encyclopedia of Forensic Scienc</w:t>
        </w:r>
        <w:r>
          <w:rPr>
            <w:rFonts w:ascii="Arial" w:eastAsia="Arial" w:hAnsi="Arial" w:cs="Arial"/>
            <w:color w:val="000000"/>
          </w:rPr>
          <w:t>es, 2012)</w:t>
        </w:r>
      </w:hyperlink>
      <w:r>
        <w:rPr>
          <w:rFonts w:ascii="Arial" w:eastAsia="Arial" w:hAnsi="Arial" w:cs="Arial"/>
          <w:color w:val="000000"/>
        </w:rPr>
        <w:t>.</w:t>
      </w:r>
    </w:p>
    <w:p w14:paraId="381778C1" w14:textId="77777777" w:rsidR="00841094" w:rsidRDefault="00841094">
      <w:pPr>
        <w:spacing w:before="0" w:line="276" w:lineRule="auto"/>
        <w:rPr>
          <w:rFonts w:ascii="Arial" w:eastAsia="Arial" w:hAnsi="Arial" w:cs="Arial"/>
          <w:color w:val="000000"/>
        </w:rPr>
      </w:pPr>
    </w:p>
    <w:p w14:paraId="77806238"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The first officer on the scene creates a crime scene log; this establishes the time the crime took place and anyone who enters and leaves the crime scene, including the time date and reason for attending. Finally, the details of handing over re</w:t>
      </w:r>
      <w:r>
        <w:rPr>
          <w:rFonts w:ascii="Arial" w:eastAsia="Arial" w:hAnsi="Arial" w:cs="Arial"/>
          <w:color w:val="000000"/>
        </w:rPr>
        <w:t>sponsibility to another member of personnel are also included. The log is necessary, so other evidence which has been left is recorded, and in case it is used in court. The log shows who was at the scene, their reasons for being there, and that they had pe</w:t>
      </w:r>
      <w:r>
        <w:rPr>
          <w:rFonts w:ascii="Arial" w:eastAsia="Arial" w:hAnsi="Arial" w:cs="Arial"/>
          <w:color w:val="000000"/>
        </w:rPr>
        <w:t xml:space="preserve">rmission to be there by the FAO. Any documentation must be free of opinion and only be based on the facts </w:t>
      </w:r>
      <w:hyperlink r:id="rId16">
        <w:r>
          <w:rPr>
            <w:rFonts w:ascii="Arial" w:eastAsia="Arial" w:hAnsi="Arial" w:cs="Arial"/>
            <w:color w:val="000000"/>
          </w:rPr>
          <w:t>(Gehl and Plecas, 2017)</w:t>
        </w:r>
      </w:hyperlink>
      <w:r>
        <w:rPr>
          <w:rFonts w:ascii="Arial" w:eastAsia="Arial" w:hAnsi="Arial" w:cs="Arial"/>
          <w:color w:val="000000"/>
        </w:rPr>
        <w:t>.</w:t>
      </w:r>
    </w:p>
    <w:p w14:paraId="134503F2" w14:textId="77777777" w:rsidR="00841094" w:rsidRDefault="00841094">
      <w:pPr>
        <w:spacing w:before="0" w:line="276" w:lineRule="auto"/>
        <w:rPr>
          <w:rFonts w:ascii="Arial" w:eastAsia="Arial" w:hAnsi="Arial" w:cs="Arial"/>
          <w:color w:val="000000"/>
        </w:rPr>
      </w:pPr>
    </w:p>
    <w:p w14:paraId="59B5094B"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In the event of being called to a domestic abuse case, the first atte</w:t>
      </w:r>
      <w:r>
        <w:rPr>
          <w:rFonts w:ascii="Arial" w:eastAsia="Arial" w:hAnsi="Arial" w:cs="Arial"/>
          <w:color w:val="000000"/>
        </w:rPr>
        <w:t>nding officer will be aware that this is most probably not the first occurrence regardless of it being the first reporting, therefore, handling it with great sensitivity is important. On arrival, the officer deals with the incident that has been reported a</w:t>
      </w:r>
      <w:r>
        <w:rPr>
          <w:rFonts w:ascii="Arial" w:eastAsia="Arial" w:hAnsi="Arial" w:cs="Arial"/>
          <w:color w:val="000000"/>
        </w:rPr>
        <w:t xml:space="preserve">nd must also determine if there have been previous incidents. Domestic abuse has been described as being the iceberg because usually when the police become involved, they are starting at the tip of the iceberg. Any evidence of previous incidents can prove </w:t>
      </w:r>
      <w:r>
        <w:rPr>
          <w:rFonts w:ascii="Arial" w:eastAsia="Arial" w:hAnsi="Arial" w:cs="Arial"/>
          <w:color w:val="000000"/>
        </w:rPr>
        <w:t xml:space="preserve">to be invaluable in a court and can show coercive or controlling behaviour under section 76 of the Serious Crime Act 2015 </w:t>
      </w:r>
      <w:hyperlink r:id="rId17">
        <w:r>
          <w:rPr>
            <w:rFonts w:ascii="Arial" w:eastAsia="Arial" w:hAnsi="Arial" w:cs="Arial"/>
            <w:color w:val="000000"/>
          </w:rPr>
          <w:t>(Brown and Campbell, 2010)</w:t>
        </w:r>
      </w:hyperlink>
      <w:r>
        <w:rPr>
          <w:rFonts w:ascii="Arial" w:eastAsia="Arial" w:hAnsi="Arial" w:cs="Arial"/>
          <w:color w:val="000000"/>
        </w:rPr>
        <w:t>.</w:t>
      </w:r>
    </w:p>
    <w:p w14:paraId="11326CCC" w14:textId="77777777" w:rsidR="00841094" w:rsidRDefault="00841094">
      <w:pPr>
        <w:spacing w:before="0" w:line="276" w:lineRule="auto"/>
        <w:rPr>
          <w:rFonts w:ascii="Arial" w:eastAsia="Arial" w:hAnsi="Arial" w:cs="Arial"/>
          <w:color w:val="000000"/>
        </w:rPr>
      </w:pPr>
    </w:p>
    <w:p w14:paraId="56848CD3"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On route to a crime scene, the FAO must obtain all</w:t>
      </w:r>
      <w:r>
        <w:rPr>
          <w:rFonts w:ascii="Arial" w:eastAsia="Arial" w:hAnsi="Arial" w:cs="Arial"/>
          <w:color w:val="000000"/>
        </w:rPr>
        <w:t xml:space="preserve"> information checks from the call handler; it includes the names, addresses and backgrounds of those involved. If there are children present, then they will need to know whether they are on the child protection register or in any way involved with special </w:t>
      </w:r>
      <w:r>
        <w:rPr>
          <w:rFonts w:ascii="Arial" w:eastAsia="Arial" w:hAnsi="Arial" w:cs="Arial"/>
          <w:color w:val="000000"/>
        </w:rPr>
        <w:t>agencies. As with any response, the FAO must protect anyone present from harm; children can be victims of domestic violence when they are targeted directly or caught up in an incident between those around them. The FAO must consider the nature of the abuse</w:t>
      </w:r>
      <w:r>
        <w:rPr>
          <w:rFonts w:ascii="Arial" w:eastAsia="Arial" w:hAnsi="Arial" w:cs="Arial"/>
          <w:color w:val="000000"/>
        </w:rPr>
        <w:t xml:space="preserve"> and make the decision on who the relevant agencies are that should be informed. The FAO is held fully responsible for ensuring the details are passed onto the local children's safeguarding department. In the more serious cases, the FAO will need to exerci</w:t>
      </w:r>
      <w:r>
        <w:rPr>
          <w:rFonts w:ascii="Arial" w:eastAsia="Arial" w:hAnsi="Arial" w:cs="Arial"/>
          <w:color w:val="000000"/>
        </w:rPr>
        <w:t xml:space="preserve">se power to remove the child/ren into emergency care under Section 46 of The Children Act 1989 </w:t>
      </w:r>
      <w:hyperlink r:id="rId18">
        <w:r>
          <w:rPr>
            <w:rFonts w:ascii="Arial" w:eastAsia="Arial" w:hAnsi="Arial" w:cs="Arial"/>
            <w:color w:val="000000"/>
          </w:rPr>
          <w:t>(Concern for a child, no date)</w:t>
        </w:r>
      </w:hyperlink>
      <w:r>
        <w:rPr>
          <w:rFonts w:ascii="Arial" w:eastAsia="Arial" w:hAnsi="Arial" w:cs="Arial"/>
          <w:color w:val="000000"/>
        </w:rPr>
        <w:t>.</w:t>
      </w:r>
    </w:p>
    <w:p w14:paraId="361B55C4" w14:textId="77777777" w:rsidR="00841094" w:rsidRDefault="00841094">
      <w:pPr>
        <w:spacing w:before="0" w:line="276" w:lineRule="auto"/>
        <w:rPr>
          <w:rFonts w:ascii="Arial" w:eastAsia="Arial" w:hAnsi="Arial" w:cs="Arial"/>
          <w:color w:val="000000"/>
        </w:rPr>
      </w:pPr>
    </w:p>
    <w:p w14:paraId="51B6153F"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In modern-day policing officers now have the use of Body Worn Videos. The</w:t>
      </w:r>
      <w:r>
        <w:rPr>
          <w:rFonts w:ascii="Arial" w:eastAsia="Arial" w:hAnsi="Arial" w:cs="Arial"/>
          <w:color w:val="000000"/>
        </w:rPr>
        <w:t xml:space="preserve"> videos can prove invaluable, especially in criminal proceedings, it can give the court a visual of where the officer attended, the scene, the body language of those present on the scene and any comments they may make which can be the difference between gu</w:t>
      </w:r>
      <w:r>
        <w:rPr>
          <w:rFonts w:ascii="Arial" w:eastAsia="Arial" w:hAnsi="Arial" w:cs="Arial"/>
          <w:color w:val="000000"/>
        </w:rPr>
        <w:t xml:space="preserve">ilty or not guilty. There has been evidence to show the use of these BWC has increased the success of prosecutions in domestic abuse cases </w:t>
      </w:r>
      <w:hyperlink r:id="rId19">
        <w:r>
          <w:rPr>
            <w:rFonts w:ascii="Arial" w:eastAsia="Arial" w:hAnsi="Arial" w:cs="Arial"/>
            <w:color w:val="000000"/>
          </w:rPr>
          <w:t>(Miller, Hess and Orthmann, 2017)</w:t>
        </w:r>
      </w:hyperlink>
      <w:r>
        <w:rPr>
          <w:rFonts w:ascii="Arial" w:eastAsia="Arial" w:hAnsi="Arial" w:cs="Arial"/>
          <w:color w:val="000000"/>
        </w:rPr>
        <w:t>.</w:t>
      </w:r>
    </w:p>
    <w:p w14:paraId="5159F1F2" w14:textId="77777777" w:rsidR="00841094" w:rsidRDefault="00841094">
      <w:pPr>
        <w:spacing w:before="0" w:line="276" w:lineRule="auto"/>
        <w:rPr>
          <w:rFonts w:ascii="Arial" w:eastAsia="Arial" w:hAnsi="Arial" w:cs="Arial"/>
          <w:color w:val="000000"/>
        </w:rPr>
      </w:pPr>
    </w:p>
    <w:p w14:paraId="02A3A583"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 xml:space="preserve">Forensic evidence is what </w:t>
      </w:r>
      <w:r>
        <w:rPr>
          <w:rFonts w:ascii="Arial" w:eastAsia="Arial" w:hAnsi="Arial" w:cs="Arial"/>
          <w:color w:val="000000"/>
        </w:rPr>
        <w:t>is obtained from a crime scene using scientific methods so as not to contaminate it or change it in any way. Usually, the evidence is used to establish whether a person is innocent or guilty in court. The analysis of forensic evidence is used in investigat</w:t>
      </w:r>
      <w:r>
        <w:rPr>
          <w:rFonts w:ascii="Arial" w:eastAsia="Arial" w:hAnsi="Arial" w:cs="Arial"/>
          <w:color w:val="000000"/>
        </w:rPr>
        <w:t xml:space="preserve">ions and prosecutions in civil cases as well as criminal proceedings </w:t>
      </w:r>
      <w:hyperlink r:id="rId20">
        <w:r>
          <w:rPr>
            <w:rFonts w:ascii="Arial" w:eastAsia="Arial" w:hAnsi="Arial" w:cs="Arial"/>
            <w:color w:val="000000"/>
          </w:rPr>
          <w:t>(National Research Council et al., 1992)</w:t>
        </w:r>
      </w:hyperlink>
      <w:r>
        <w:rPr>
          <w:rFonts w:ascii="Arial" w:eastAsia="Arial" w:hAnsi="Arial" w:cs="Arial"/>
          <w:color w:val="000000"/>
        </w:rPr>
        <w:t xml:space="preserve">. </w:t>
      </w:r>
    </w:p>
    <w:p w14:paraId="5B1148D6" w14:textId="77777777" w:rsidR="00841094" w:rsidRDefault="00841094">
      <w:pPr>
        <w:spacing w:before="0" w:line="276" w:lineRule="auto"/>
        <w:rPr>
          <w:rFonts w:ascii="Arial" w:eastAsia="Arial" w:hAnsi="Arial" w:cs="Arial"/>
          <w:color w:val="000000"/>
        </w:rPr>
      </w:pPr>
    </w:p>
    <w:p w14:paraId="41242711"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Contamination is the transfer of trace evidence by any means other than direct or indire</w:t>
      </w:r>
      <w:r>
        <w:rPr>
          <w:rFonts w:ascii="Arial" w:eastAsia="Arial" w:hAnsi="Arial" w:cs="Arial"/>
          <w:color w:val="000000"/>
        </w:rPr>
        <w:t>ct involvement with the crime; it is also used to describe damaged evidence or evidence altered in some way. Evidence will be scrutinised in a court by the defence team to cast doubt on the integrity of an exhibit and to have a judge disallow it. The defen</w:t>
      </w:r>
      <w:r>
        <w:rPr>
          <w:rFonts w:ascii="Arial" w:eastAsia="Arial" w:hAnsi="Arial" w:cs="Arial"/>
          <w:color w:val="000000"/>
        </w:rPr>
        <w:t xml:space="preserve">ce team will look for errors in the continuity, packaging, handling and any sign of contamination </w:t>
      </w:r>
      <w:hyperlink r:id="rId21">
        <w:r>
          <w:rPr>
            <w:rFonts w:ascii="Arial" w:eastAsia="Arial" w:hAnsi="Arial" w:cs="Arial"/>
            <w:color w:val="000000"/>
          </w:rPr>
          <w:t>(Graça et al., 2012)</w:t>
        </w:r>
      </w:hyperlink>
      <w:r>
        <w:rPr>
          <w:rFonts w:ascii="Arial" w:eastAsia="Arial" w:hAnsi="Arial" w:cs="Arial"/>
          <w:color w:val="000000"/>
        </w:rPr>
        <w:t xml:space="preserve">. </w:t>
      </w:r>
    </w:p>
    <w:p w14:paraId="22FB822E" w14:textId="77777777" w:rsidR="00841094" w:rsidRDefault="00841094">
      <w:pPr>
        <w:spacing w:before="0" w:line="276" w:lineRule="auto"/>
        <w:rPr>
          <w:rFonts w:ascii="Arial" w:eastAsia="Arial" w:hAnsi="Arial" w:cs="Arial"/>
          <w:color w:val="000000"/>
        </w:rPr>
      </w:pPr>
    </w:p>
    <w:p w14:paraId="25BDF1BC"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To reduce the risk of contaminating exhibits, at the scene, all persons must we</w:t>
      </w:r>
      <w:r>
        <w:rPr>
          <w:rFonts w:ascii="Arial" w:eastAsia="Arial" w:hAnsi="Arial" w:cs="Arial"/>
          <w:color w:val="000000"/>
        </w:rPr>
        <w:t xml:space="preserve">ar their new surgical gloves and facemask at a minimum. Exhibits must be stored properly to avoid damage or decay; the property is stored in a cool, dry place whilst electronics are stored on plastic shelves </w:t>
      </w:r>
      <w:hyperlink r:id="rId22">
        <w:r>
          <w:rPr>
            <w:rFonts w:ascii="Arial" w:eastAsia="Arial" w:hAnsi="Arial" w:cs="Arial"/>
            <w:color w:val="000000"/>
          </w:rPr>
          <w:t>(Forensic Science Regulator, no date)</w:t>
        </w:r>
      </w:hyperlink>
      <w:r>
        <w:rPr>
          <w:rFonts w:ascii="Arial" w:eastAsia="Arial" w:hAnsi="Arial" w:cs="Arial"/>
          <w:color w:val="000000"/>
        </w:rPr>
        <w:t>.</w:t>
      </w:r>
    </w:p>
    <w:p w14:paraId="02EF76AB" w14:textId="77777777" w:rsidR="00841094" w:rsidRDefault="00841094">
      <w:pPr>
        <w:spacing w:before="0" w:line="276" w:lineRule="auto"/>
        <w:rPr>
          <w:rFonts w:ascii="Arial" w:eastAsia="Arial" w:hAnsi="Arial" w:cs="Arial"/>
          <w:color w:val="000000"/>
        </w:rPr>
      </w:pPr>
    </w:p>
    <w:p w14:paraId="37A82888"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 xml:space="preserve">According to the rule of Law "It is within the power of, and is the duty of, constables to retain for use in court things which may be evidence of a crime" R v Lushington ex p Otto (1894) 1 QB 420) </w:t>
      </w:r>
      <w:hyperlink r:id="rId23">
        <w:r>
          <w:rPr>
            <w:rFonts w:ascii="Arial" w:eastAsia="Arial" w:hAnsi="Arial" w:cs="Arial"/>
            <w:color w:val="000000"/>
          </w:rPr>
          <w:t>(Graça et al., 2012)</w:t>
        </w:r>
      </w:hyperlink>
      <w:r>
        <w:rPr>
          <w:rFonts w:ascii="Arial" w:eastAsia="Arial" w:hAnsi="Arial" w:cs="Arial"/>
          <w:color w:val="000000"/>
        </w:rPr>
        <w:t xml:space="preserve"> The ruling, in this case, formed the foundations of the most important sections within The PACE Act 1984, such as s19 on the seizure of material, s20 which refers to computer and digital evid</w:t>
      </w:r>
      <w:r>
        <w:rPr>
          <w:rFonts w:ascii="Arial" w:eastAsia="Arial" w:hAnsi="Arial" w:cs="Arial"/>
          <w:color w:val="000000"/>
        </w:rPr>
        <w:t xml:space="preserve">ence and s22 which describes police powers on seizing material </w:t>
      </w:r>
      <w:hyperlink r:id="rId24">
        <w:r>
          <w:rPr>
            <w:rFonts w:ascii="Arial" w:eastAsia="Arial" w:hAnsi="Arial" w:cs="Arial"/>
            <w:color w:val="000000"/>
          </w:rPr>
          <w:t>(Graça et al., 2012)</w:t>
        </w:r>
      </w:hyperlink>
      <w:r>
        <w:rPr>
          <w:rFonts w:ascii="Arial" w:eastAsia="Arial" w:hAnsi="Arial" w:cs="Arial"/>
          <w:color w:val="000000"/>
        </w:rPr>
        <w:t>.</w:t>
      </w:r>
    </w:p>
    <w:p w14:paraId="4927BBE8" w14:textId="77777777" w:rsidR="00841094" w:rsidRDefault="00841094">
      <w:pPr>
        <w:spacing w:before="0" w:line="276" w:lineRule="auto"/>
        <w:rPr>
          <w:rFonts w:ascii="Arial" w:eastAsia="Arial" w:hAnsi="Arial" w:cs="Arial"/>
          <w:color w:val="000000"/>
        </w:rPr>
      </w:pPr>
    </w:p>
    <w:p w14:paraId="14607D3D"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Under a code of practice within the Criminal Procedure and Investigation Act 1996, police officers investigating al</w:t>
      </w:r>
      <w:r>
        <w:rPr>
          <w:rFonts w:ascii="Arial" w:eastAsia="Arial" w:hAnsi="Arial" w:cs="Arial"/>
          <w:color w:val="000000"/>
        </w:rPr>
        <w:t xml:space="preserve">leged crimes "Have a duty to record and retain material which may be relevant to the investigation" </w:t>
      </w:r>
      <w:hyperlink r:id="rId25">
        <w:r>
          <w:rPr>
            <w:rFonts w:ascii="Arial" w:eastAsia="Arial" w:hAnsi="Arial" w:cs="Arial"/>
            <w:color w:val="000000"/>
          </w:rPr>
          <w:t>(Blackstone’s Criminal Practice 2012 (book only), 2011)</w:t>
        </w:r>
      </w:hyperlink>
      <w:r>
        <w:rPr>
          <w:rFonts w:ascii="Arial" w:eastAsia="Arial" w:hAnsi="Arial" w:cs="Arial"/>
          <w:color w:val="000000"/>
        </w:rPr>
        <w:t>. Exhibiting an article which may be used as e</w:t>
      </w:r>
      <w:r>
        <w:rPr>
          <w:rFonts w:ascii="Arial" w:eastAsia="Arial" w:hAnsi="Arial" w:cs="Arial"/>
          <w:color w:val="000000"/>
        </w:rPr>
        <w:t>vidence involves formally recording details about the object. The object must be labelled on the outside of the packaging, it must include the name of the person who found it, date and time, the location of where it was found and a description which is sho</w:t>
      </w:r>
      <w:r>
        <w:rPr>
          <w:rFonts w:ascii="Arial" w:eastAsia="Arial" w:hAnsi="Arial" w:cs="Arial"/>
          <w:color w:val="000000"/>
        </w:rPr>
        <w:t xml:space="preserve">rt to the point. Labelling must be done this way as if not done correctly the packaging could be opened and therefore cross-contaminating the exhibit </w:t>
      </w:r>
      <w:hyperlink r:id="rId26">
        <w:r>
          <w:rPr>
            <w:rFonts w:ascii="Arial" w:eastAsia="Arial" w:hAnsi="Arial" w:cs="Arial"/>
            <w:color w:val="000000"/>
          </w:rPr>
          <w:t>(Huxley, 2016)</w:t>
        </w:r>
      </w:hyperlink>
      <w:r>
        <w:rPr>
          <w:rFonts w:ascii="Arial" w:eastAsia="Arial" w:hAnsi="Arial" w:cs="Arial"/>
          <w:color w:val="000000"/>
        </w:rPr>
        <w:t>.</w:t>
      </w:r>
    </w:p>
    <w:p w14:paraId="54B14B5A" w14:textId="77777777" w:rsidR="00841094" w:rsidRDefault="00841094">
      <w:pPr>
        <w:spacing w:before="0" w:line="276" w:lineRule="auto"/>
        <w:rPr>
          <w:rFonts w:ascii="Arial" w:eastAsia="Arial" w:hAnsi="Arial" w:cs="Arial"/>
          <w:color w:val="000000"/>
        </w:rPr>
      </w:pPr>
    </w:p>
    <w:p w14:paraId="30A48C65"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 xml:space="preserve">The continuity of exhibits must be maintained, every movement and transfer must be accurately documented, which is known as "The chain of custody". If evidence is removed from storage, for whatever reason or transferred for forensic examination, then this </w:t>
      </w:r>
      <w:r>
        <w:rPr>
          <w:rFonts w:ascii="Arial" w:eastAsia="Arial" w:hAnsi="Arial" w:cs="Arial"/>
          <w:color w:val="000000"/>
        </w:rPr>
        <w:t>must be documented. The details must provide as follows, who, when and why it was removed and to who it has been transferred to. Evidence can get lost, which is why records of its transportation must ensure continuity of the evidence from recovery to the c</w:t>
      </w:r>
      <w:r>
        <w:rPr>
          <w:rFonts w:ascii="Arial" w:eastAsia="Arial" w:hAnsi="Arial" w:cs="Arial"/>
          <w:color w:val="000000"/>
        </w:rPr>
        <w:t>ourtroom.</w:t>
      </w:r>
    </w:p>
    <w:p w14:paraId="33AACA38" w14:textId="77777777" w:rsidR="00841094" w:rsidRDefault="00841094">
      <w:pPr>
        <w:spacing w:before="0" w:line="276" w:lineRule="auto"/>
        <w:rPr>
          <w:rFonts w:ascii="Arial" w:eastAsia="Arial" w:hAnsi="Arial" w:cs="Arial"/>
          <w:color w:val="000000"/>
        </w:rPr>
      </w:pPr>
    </w:p>
    <w:p w14:paraId="3A1CA3C8"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In more complicated cases, content records are held on the ACPO 2005 index. Standardized operating protocols from the Major Incident Room include guidelines for indexing information collected in an investigation. Using the HOLMES 2 database or w</w:t>
      </w:r>
      <w:r>
        <w:rPr>
          <w:rFonts w:ascii="Arial" w:eastAsia="Arial" w:hAnsi="Arial" w:cs="Arial"/>
          <w:color w:val="000000"/>
        </w:rPr>
        <w:t xml:space="preserve">hat is generally known as proper indexing systems, guidelines may be referenced. Investigators should get acquainted with the approaches available to them </w:t>
      </w:r>
      <w:hyperlink r:id="rId27">
        <w:r>
          <w:rPr>
            <w:rFonts w:ascii="Arial" w:eastAsia="Arial" w:hAnsi="Arial" w:cs="Arial"/>
            <w:color w:val="000000"/>
          </w:rPr>
          <w:t>(Garrod, Scott and Freeland, 2013)</w:t>
        </w:r>
      </w:hyperlink>
      <w:r>
        <w:rPr>
          <w:rFonts w:ascii="Arial" w:eastAsia="Arial" w:hAnsi="Arial" w:cs="Arial"/>
          <w:color w:val="000000"/>
        </w:rPr>
        <w:t>.</w:t>
      </w:r>
    </w:p>
    <w:p w14:paraId="77C3F689" w14:textId="77777777" w:rsidR="00841094" w:rsidRDefault="00841094">
      <w:pPr>
        <w:spacing w:before="0" w:line="276" w:lineRule="auto"/>
        <w:rPr>
          <w:rFonts w:ascii="Arial" w:eastAsia="Arial" w:hAnsi="Arial" w:cs="Arial"/>
          <w:color w:val="000000"/>
        </w:rPr>
      </w:pPr>
    </w:p>
    <w:p w14:paraId="33D5DF87"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There are</w:t>
      </w:r>
      <w:r>
        <w:rPr>
          <w:rFonts w:ascii="Arial" w:eastAsia="Arial" w:hAnsi="Arial" w:cs="Arial"/>
          <w:color w:val="000000"/>
        </w:rPr>
        <w:t xml:space="preserve"> three physical evidence strategies which are built on the foundations of Locards Principle of Exchange which states:</w:t>
      </w:r>
    </w:p>
    <w:p w14:paraId="2EED1E54"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"Every contact leaves a trace."</w:t>
      </w:r>
    </w:p>
    <w:p w14:paraId="59B13FA6"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 xml:space="preserve">The evidence strategies are as follows: The crime scene strategy, the forensic strategy and the pathology strategy. </w:t>
      </w:r>
    </w:p>
    <w:p w14:paraId="7FE3B9EA"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The three are hand in hand, and investigating officers should keep the objectives and outcomes of all three in mind when developing and man</w:t>
      </w:r>
      <w:r>
        <w:rPr>
          <w:rFonts w:ascii="Arial" w:eastAsia="Arial" w:hAnsi="Arial" w:cs="Arial"/>
          <w:color w:val="000000"/>
        </w:rPr>
        <w:t xml:space="preserve">aging these strategies </w:t>
      </w:r>
      <w:hyperlink r:id="rId28">
        <w:r>
          <w:rPr>
            <w:rFonts w:ascii="Arial" w:eastAsia="Arial" w:hAnsi="Arial" w:cs="Arial"/>
            <w:color w:val="000000"/>
          </w:rPr>
          <w:t>(Petherick, Turvey and Ferguson, 2009)</w:t>
        </w:r>
      </w:hyperlink>
      <w:r>
        <w:rPr>
          <w:rFonts w:ascii="Arial" w:eastAsia="Arial" w:hAnsi="Arial" w:cs="Arial"/>
          <w:color w:val="000000"/>
        </w:rPr>
        <w:t>.</w:t>
      </w:r>
    </w:p>
    <w:p w14:paraId="5E603473" w14:textId="77777777" w:rsidR="00841094" w:rsidRDefault="00841094">
      <w:pPr>
        <w:spacing w:before="0" w:line="276" w:lineRule="auto"/>
        <w:rPr>
          <w:rFonts w:ascii="Arial" w:eastAsia="Arial" w:hAnsi="Arial" w:cs="Arial"/>
          <w:color w:val="000000"/>
        </w:rPr>
      </w:pPr>
    </w:p>
    <w:p w14:paraId="2BC91617"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The types of physical evidence include any item which has been touched by the offender during the time they were committing the crime; it</w:t>
      </w:r>
      <w:r>
        <w:rPr>
          <w:rFonts w:ascii="Arial" w:eastAsia="Arial" w:hAnsi="Arial" w:cs="Arial"/>
          <w:color w:val="000000"/>
        </w:rPr>
        <w:t xml:space="preserve"> also includes how entry was made. Any weapons that were used to commit the crime which provides for sexual evidence and forensic awareness, whereby the offender has used, for example, gloves in an attempt to cover his DNA presence. Missing items are also </w:t>
      </w:r>
      <w:r>
        <w:rPr>
          <w:rFonts w:ascii="Arial" w:eastAsia="Arial" w:hAnsi="Arial" w:cs="Arial"/>
          <w:color w:val="000000"/>
        </w:rPr>
        <w:t>a form of physical evidence, blood distribution, for example, if the offender has left their blood whilst escaping through an exit route and Finally linking evidence, anything that is thought to be a link to another crime scene. DNA evidence can link a sus</w:t>
      </w:r>
      <w:r>
        <w:rPr>
          <w:rFonts w:ascii="Arial" w:eastAsia="Arial" w:hAnsi="Arial" w:cs="Arial"/>
          <w:color w:val="000000"/>
        </w:rPr>
        <w:t xml:space="preserve">pect to a crime scene. Physical evidence if correctly recovered and packaged, can provide objective and reliable information about the investigation at hand </w:t>
      </w:r>
      <w:hyperlink r:id="rId29">
        <w:r>
          <w:rPr>
            <w:rFonts w:ascii="Arial" w:eastAsia="Arial" w:hAnsi="Arial" w:cs="Arial"/>
            <w:color w:val="000000"/>
          </w:rPr>
          <w:t>(National Research Council et al., 2009)</w:t>
        </w:r>
      </w:hyperlink>
      <w:r>
        <w:rPr>
          <w:rFonts w:ascii="Arial" w:eastAsia="Arial" w:hAnsi="Arial" w:cs="Arial"/>
          <w:color w:val="000000"/>
        </w:rPr>
        <w:t>.</w:t>
      </w:r>
    </w:p>
    <w:p w14:paraId="5C6142ED" w14:textId="77777777" w:rsidR="00841094" w:rsidRDefault="00841094">
      <w:pPr>
        <w:spacing w:before="0" w:line="276" w:lineRule="auto"/>
        <w:rPr>
          <w:rFonts w:ascii="Arial" w:eastAsia="Arial" w:hAnsi="Arial" w:cs="Arial"/>
          <w:color w:val="000000"/>
        </w:rPr>
      </w:pPr>
    </w:p>
    <w:p w14:paraId="1A515E62"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T</w:t>
      </w:r>
      <w:r>
        <w:rPr>
          <w:rFonts w:ascii="Arial" w:eastAsia="Arial" w:hAnsi="Arial" w:cs="Arial"/>
          <w:color w:val="000000"/>
        </w:rPr>
        <w:t>he forensic strategy enables material recovered during a crime scene examination to be maximised; this can help with clarifying the circumstances by working out the movements of victims and suspects when the crime was taking place. It helps to discover whe</w:t>
      </w:r>
      <w:r>
        <w:rPr>
          <w:rFonts w:ascii="Arial" w:eastAsia="Arial" w:hAnsi="Arial" w:cs="Arial"/>
          <w:color w:val="000000"/>
        </w:rPr>
        <w:t xml:space="preserve">re the crime scenes are, the attack site location and in challenging the assumptions. Doing this can eliminate theories, therefore, narrowing them down and also eliminate suspects through partial DNA or partial palm prints </w:t>
      </w:r>
      <w:hyperlink r:id="rId30">
        <w:r>
          <w:rPr>
            <w:rFonts w:ascii="Arial" w:eastAsia="Arial" w:hAnsi="Arial" w:cs="Arial"/>
            <w:color w:val="000000"/>
          </w:rPr>
          <w:t>(Harfield, 2009)</w:t>
        </w:r>
      </w:hyperlink>
      <w:r>
        <w:rPr>
          <w:rFonts w:ascii="Arial" w:eastAsia="Arial" w:hAnsi="Arial" w:cs="Arial"/>
          <w:color w:val="000000"/>
        </w:rPr>
        <w:t xml:space="preserve">. </w:t>
      </w:r>
    </w:p>
    <w:p w14:paraId="3E9E98BD" w14:textId="77777777" w:rsidR="00841094" w:rsidRDefault="00841094">
      <w:pPr>
        <w:spacing w:before="0" w:line="276" w:lineRule="auto"/>
        <w:rPr>
          <w:rFonts w:ascii="Arial" w:eastAsia="Arial" w:hAnsi="Arial" w:cs="Arial"/>
          <w:color w:val="000000"/>
        </w:rPr>
      </w:pPr>
    </w:p>
    <w:p w14:paraId="65565AE8"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 xml:space="preserve">Corroboration includes independent confirmation of circumstances, critical facts or witness testimony and evidence of the guilt of a suspect. Forensic samples can provide information for use during interviewing to </w:t>
      </w:r>
      <w:r>
        <w:rPr>
          <w:rFonts w:ascii="Arial" w:eastAsia="Arial" w:hAnsi="Arial" w:cs="Arial"/>
          <w:color w:val="000000"/>
        </w:rPr>
        <w:t xml:space="preserve">test the reliability of an account; they may also prioritise lines of enquiry or submitting particular items for examination </w:t>
      </w:r>
      <w:hyperlink r:id="rId31">
        <w:r>
          <w:rPr>
            <w:rFonts w:ascii="Arial" w:eastAsia="Arial" w:hAnsi="Arial" w:cs="Arial"/>
            <w:color w:val="000000"/>
          </w:rPr>
          <w:t>(Weiner and Otto, 2013)</w:t>
        </w:r>
      </w:hyperlink>
      <w:r>
        <w:rPr>
          <w:rFonts w:ascii="Arial" w:eastAsia="Arial" w:hAnsi="Arial" w:cs="Arial"/>
          <w:color w:val="000000"/>
        </w:rPr>
        <w:t xml:space="preserve">. </w:t>
      </w:r>
    </w:p>
    <w:p w14:paraId="3CEA64BA" w14:textId="77777777" w:rsidR="00841094" w:rsidRDefault="00841094">
      <w:pPr>
        <w:spacing w:before="0" w:line="276" w:lineRule="auto"/>
        <w:rPr>
          <w:rFonts w:ascii="Arial" w:eastAsia="Arial" w:hAnsi="Arial" w:cs="Arial"/>
          <w:color w:val="000000"/>
        </w:rPr>
      </w:pPr>
    </w:p>
    <w:p w14:paraId="0727035F"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The retention of trace evidence can be affected b</w:t>
      </w:r>
      <w:r>
        <w:rPr>
          <w:rFonts w:ascii="Arial" w:eastAsia="Arial" w:hAnsi="Arial" w:cs="Arial"/>
          <w:color w:val="000000"/>
        </w:rPr>
        <w:t>y things such as washing, if the clothes worn at the crime scene are washed or the suspect/victim showers and if windows are cleaned. These processes can have an impact on the reliability of the evidence. The activity can also damage it; any movement can l</w:t>
      </w:r>
      <w:r>
        <w:rPr>
          <w:rFonts w:ascii="Arial" w:eastAsia="Arial" w:hAnsi="Arial" w:cs="Arial"/>
          <w:color w:val="000000"/>
        </w:rPr>
        <w:t xml:space="preserve">ead to the loss of evidence. Time is paramount when it comes to evidence, in regards to clothing, fragments can be lost within an hour, larger fragments are lost first, and smaller fragments may be retained but not always </w:t>
      </w:r>
      <w:hyperlink r:id="rId32">
        <w:r>
          <w:rPr>
            <w:rFonts w:ascii="Arial" w:eastAsia="Arial" w:hAnsi="Arial" w:cs="Arial"/>
            <w:color w:val="000000"/>
          </w:rPr>
          <w:t>(White, 2004)</w:t>
        </w:r>
      </w:hyperlink>
      <w:r>
        <w:rPr>
          <w:rFonts w:ascii="Arial" w:eastAsia="Arial" w:hAnsi="Arial" w:cs="Arial"/>
          <w:color w:val="000000"/>
        </w:rPr>
        <w:t>.</w:t>
      </w:r>
    </w:p>
    <w:p w14:paraId="7EB91824" w14:textId="77777777" w:rsidR="00841094" w:rsidRDefault="00841094">
      <w:pPr>
        <w:spacing w:before="0" w:line="276" w:lineRule="auto"/>
        <w:rPr>
          <w:rFonts w:ascii="Arial" w:eastAsia="Arial" w:hAnsi="Arial" w:cs="Arial"/>
          <w:color w:val="000000"/>
        </w:rPr>
      </w:pPr>
    </w:p>
    <w:p w14:paraId="1DE02BF8"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 xml:space="preserve">Advances in forensic science have become a technological success; however, according to morgan 2019, too much focus has been on detecting traces, and too little focus has been on interpretation of finding </w:t>
      </w:r>
      <w:hyperlink r:id="rId33">
        <w:r>
          <w:rPr>
            <w:rFonts w:ascii="Arial" w:eastAsia="Arial" w:hAnsi="Arial" w:cs="Arial"/>
            <w:color w:val="000000"/>
          </w:rPr>
          <w:t>(Morgan, 2019)</w:t>
        </w:r>
      </w:hyperlink>
      <w:r>
        <w:rPr>
          <w:rFonts w:ascii="Arial" w:eastAsia="Arial" w:hAnsi="Arial" w:cs="Arial"/>
          <w:color w:val="000000"/>
        </w:rPr>
        <w:t xml:space="preserve">. </w:t>
      </w:r>
    </w:p>
    <w:p w14:paraId="3C038B8E" w14:textId="77777777" w:rsidR="00841094" w:rsidRDefault="00841094">
      <w:pPr>
        <w:spacing w:before="0" w:line="276" w:lineRule="auto"/>
        <w:rPr>
          <w:rFonts w:ascii="Arial" w:eastAsia="Arial" w:hAnsi="Arial" w:cs="Arial"/>
          <w:color w:val="000000"/>
        </w:rPr>
      </w:pPr>
    </w:p>
    <w:p w14:paraId="6F0DA4D8"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Forensic scientific evidence is key in many criminal cases. The provision of justice depends on the quality and reliability of evidence and the faith that society has in it. In England and Wales, t</w:t>
      </w:r>
      <w:r>
        <w:rPr>
          <w:rFonts w:ascii="Arial" w:eastAsia="Arial" w:hAnsi="Arial" w:cs="Arial"/>
          <w:color w:val="000000"/>
        </w:rPr>
        <w:t>he consistency and delivery of forensic science are said to be insufficient. The Forensic Science Regulator issued a clear warning in its most recent annual report, released on 15 March 2019, that "profound changes to funding and governance are required to</w:t>
      </w:r>
      <w:r>
        <w:rPr>
          <w:rFonts w:ascii="Arial" w:eastAsia="Arial" w:hAnsi="Arial" w:cs="Arial"/>
          <w:color w:val="000000"/>
        </w:rPr>
        <w:t xml:space="preserve"> ensure that forensic science survives and begins to flourish rather than lurching from crisis to crisis." Importantly, she stressed that the Government should concentrate on "the protection of justice rather than the protection of historical or current po</w:t>
      </w:r>
      <w:r>
        <w:rPr>
          <w:rFonts w:ascii="Arial" w:eastAsia="Arial" w:hAnsi="Arial" w:cs="Arial"/>
          <w:color w:val="000000"/>
        </w:rPr>
        <w:t xml:space="preserve">licies." It found that there was a serious lack in the leadership and oversight of forensic science within the Ministry of justice </w:t>
      </w:r>
      <w:hyperlink r:id="rId34">
        <w:r>
          <w:rPr>
            <w:rFonts w:ascii="Arial" w:eastAsia="Arial" w:hAnsi="Arial" w:cs="Arial"/>
            <w:color w:val="000000"/>
          </w:rPr>
          <w:t>(National Research Council et al., 2009)</w:t>
        </w:r>
      </w:hyperlink>
      <w:r>
        <w:rPr>
          <w:rFonts w:ascii="Arial" w:eastAsia="Arial" w:hAnsi="Arial" w:cs="Arial"/>
          <w:color w:val="000000"/>
        </w:rPr>
        <w:t xml:space="preserve">. </w:t>
      </w:r>
    </w:p>
    <w:p w14:paraId="7979DFA3" w14:textId="77777777" w:rsidR="00841094" w:rsidRDefault="00841094">
      <w:pPr>
        <w:spacing w:before="0" w:line="276" w:lineRule="auto"/>
        <w:rPr>
          <w:rFonts w:ascii="Arial" w:eastAsia="Arial" w:hAnsi="Arial" w:cs="Arial"/>
          <w:color w:val="000000"/>
        </w:rPr>
      </w:pPr>
    </w:p>
    <w:p w14:paraId="53856314"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Forensic science providers</w:t>
      </w:r>
      <w:r>
        <w:rPr>
          <w:rFonts w:ascii="Arial" w:eastAsia="Arial" w:hAnsi="Arial" w:cs="Arial"/>
          <w:color w:val="000000"/>
        </w:rPr>
        <w:t xml:space="preserve"> have been put under intense pressure by simultaneous budget cuts and reorganisation, along with an exponential rise in the demand for new services such as digital proof. The consequence is a dysfunctional forensic science market; it will soon experience s</w:t>
      </w:r>
      <w:r>
        <w:rPr>
          <w:rFonts w:ascii="Arial" w:eastAsia="Arial" w:hAnsi="Arial" w:cs="Arial"/>
          <w:color w:val="000000"/>
        </w:rPr>
        <w:t>hocks from major forensic science providers that go out of business; this will place justice at risk unless it is adequately controlled, this means the 43 police authoritie’s way of commissioning forensic services are not consistent. Some police department</w:t>
      </w:r>
      <w:r>
        <w:rPr>
          <w:rFonts w:ascii="Arial" w:eastAsia="Arial" w:hAnsi="Arial" w:cs="Arial"/>
          <w:color w:val="000000"/>
        </w:rPr>
        <w:t>s have carried out mainly in-house forensic inquiries while outsourcing some resources to unregulated providers. These activities bring into question fair access for defendants and raise concerns about the consistency of the analysis carried out and the as</w:t>
      </w:r>
      <w:r>
        <w:rPr>
          <w:rFonts w:ascii="Arial" w:eastAsia="Arial" w:hAnsi="Arial" w:cs="Arial"/>
          <w:color w:val="000000"/>
        </w:rPr>
        <w:t>sessment of the evidence submitted. Research and development are under-resourced in forensic science, resulting in significant questions about the scientific validity of certain areas of forensic science, and the ability to provide forensic science evidenc</w:t>
      </w:r>
      <w:r>
        <w:rPr>
          <w:rFonts w:ascii="Arial" w:eastAsia="Arial" w:hAnsi="Arial" w:cs="Arial"/>
          <w:color w:val="000000"/>
        </w:rPr>
        <w:t>e with an evaluative interpretation. Public faith in forensic science evidence will continue to be lost, and confidence in the justice system will be threatened until these failures are acknowledged and improvements made. Crimes may go unresolved and can i</w:t>
      </w:r>
      <w:r>
        <w:rPr>
          <w:rFonts w:ascii="Arial" w:eastAsia="Arial" w:hAnsi="Arial" w:cs="Arial"/>
          <w:color w:val="000000"/>
        </w:rPr>
        <w:t xml:space="preserve">ncrease the number of miscarriages of justice </w:t>
      </w:r>
      <w:hyperlink r:id="rId35">
        <w:r>
          <w:rPr>
            <w:rFonts w:ascii="Arial" w:eastAsia="Arial" w:hAnsi="Arial" w:cs="Arial"/>
            <w:color w:val="000000"/>
          </w:rPr>
          <w:t>(Great Britain. Parliament. House of Lords. Science and Technology Committee, 2019)</w:t>
        </w:r>
      </w:hyperlink>
      <w:r>
        <w:rPr>
          <w:rFonts w:ascii="Arial" w:eastAsia="Arial" w:hAnsi="Arial" w:cs="Arial"/>
          <w:color w:val="000000"/>
        </w:rPr>
        <w:t>.</w:t>
      </w:r>
    </w:p>
    <w:p w14:paraId="3F36E1A3" w14:textId="77777777" w:rsidR="00841094" w:rsidRDefault="00841094">
      <w:pPr>
        <w:spacing w:before="0" w:line="276" w:lineRule="auto"/>
        <w:rPr>
          <w:rFonts w:ascii="Arial" w:eastAsia="Arial" w:hAnsi="Arial" w:cs="Arial"/>
          <w:color w:val="000000"/>
        </w:rPr>
      </w:pPr>
    </w:p>
    <w:p w14:paraId="377B0F38" w14:textId="77777777" w:rsidR="00841094" w:rsidRDefault="0093383E">
      <w:pPr>
        <w:spacing w:before="0" w:line="276" w:lineRule="auto"/>
        <w:rPr>
          <w:rFonts w:ascii="Arial" w:eastAsia="Arial" w:hAnsi="Arial" w:cs="Arial"/>
          <w:color w:val="000000"/>
        </w:rPr>
      </w:pPr>
      <w:r>
        <w:rPr>
          <w:rFonts w:ascii="Arial" w:eastAsia="Arial" w:hAnsi="Arial" w:cs="Arial"/>
          <w:color w:val="000000"/>
        </w:rPr>
        <w:t>To conclude, it is necessary to gather forensic evidence, and it requ</w:t>
      </w:r>
      <w:r>
        <w:rPr>
          <w:rFonts w:ascii="Arial" w:eastAsia="Arial" w:hAnsi="Arial" w:cs="Arial"/>
          <w:color w:val="000000"/>
        </w:rPr>
        <w:t xml:space="preserve">ires those who have an eye for detail and are well prepared for their job role, it is a role that puts them under tremendous pressure. Still, it is not possible to continue making mistakes. The fact that there are still miscarriages of justice going on is </w:t>
      </w:r>
      <w:r>
        <w:rPr>
          <w:rFonts w:ascii="Arial" w:eastAsia="Arial" w:hAnsi="Arial" w:cs="Arial"/>
          <w:color w:val="000000"/>
        </w:rPr>
        <w:t xml:space="preserve">ample proof that the retrieval of facts needs to be strengthened </w:t>
      </w:r>
      <w:hyperlink r:id="rId36">
        <w:r>
          <w:rPr>
            <w:rFonts w:ascii="Arial" w:eastAsia="Arial" w:hAnsi="Arial" w:cs="Arial"/>
            <w:color w:val="000000"/>
          </w:rPr>
          <w:t>(National Research Council et al., 2009)</w:t>
        </w:r>
      </w:hyperlink>
      <w:r>
        <w:rPr>
          <w:rFonts w:ascii="Arial" w:eastAsia="Arial" w:hAnsi="Arial" w:cs="Arial"/>
          <w:color w:val="000000"/>
        </w:rPr>
        <w:t xml:space="preserve">. </w:t>
      </w:r>
    </w:p>
    <w:p w14:paraId="0703AB7E" w14:textId="77777777" w:rsidR="00841094" w:rsidRDefault="00841094">
      <w:pPr>
        <w:spacing w:before="0" w:line="276" w:lineRule="auto"/>
        <w:rPr>
          <w:rFonts w:ascii="Arial" w:eastAsia="Arial" w:hAnsi="Arial" w:cs="Arial"/>
          <w:b/>
          <w:color w:val="000000"/>
          <w:u w:val="single"/>
        </w:rPr>
      </w:pPr>
    </w:p>
    <w:p w14:paraId="32D6B393" w14:textId="77777777" w:rsidR="00841094" w:rsidRDefault="00841094">
      <w:pPr>
        <w:spacing w:before="0" w:line="276" w:lineRule="auto"/>
        <w:rPr>
          <w:rFonts w:ascii="Arial" w:eastAsia="Arial" w:hAnsi="Arial" w:cs="Arial"/>
          <w:b/>
          <w:color w:val="000000"/>
          <w:u w:val="single"/>
        </w:rPr>
      </w:pPr>
    </w:p>
    <w:p w14:paraId="71B3EE15" w14:textId="77777777" w:rsidR="00841094" w:rsidRDefault="00841094">
      <w:pPr>
        <w:spacing w:before="0" w:line="276" w:lineRule="auto"/>
        <w:rPr>
          <w:rFonts w:ascii="Arial" w:eastAsia="Arial" w:hAnsi="Arial" w:cs="Arial"/>
          <w:b/>
          <w:color w:val="000000"/>
          <w:u w:val="single"/>
        </w:rPr>
      </w:pPr>
    </w:p>
    <w:p w14:paraId="1EC19A1C" w14:textId="77777777" w:rsidR="00841094" w:rsidRDefault="00841094">
      <w:pPr>
        <w:spacing w:before="0" w:line="276" w:lineRule="auto"/>
        <w:rPr>
          <w:rFonts w:ascii="Arial" w:eastAsia="Arial" w:hAnsi="Arial" w:cs="Arial"/>
          <w:b/>
          <w:color w:val="000000"/>
          <w:u w:val="single"/>
        </w:rPr>
      </w:pPr>
    </w:p>
    <w:p w14:paraId="0441EF07" w14:textId="77777777" w:rsidR="00841094" w:rsidRDefault="00841094">
      <w:pPr>
        <w:spacing w:before="0" w:line="276" w:lineRule="auto"/>
        <w:rPr>
          <w:rFonts w:ascii="Arial" w:eastAsia="Arial" w:hAnsi="Arial" w:cs="Arial"/>
          <w:b/>
          <w:color w:val="000000"/>
          <w:u w:val="single"/>
        </w:rPr>
      </w:pPr>
    </w:p>
    <w:p w14:paraId="707BA4A0" w14:textId="77777777" w:rsidR="00841094" w:rsidRDefault="00841094">
      <w:pPr>
        <w:spacing w:before="0" w:line="276" w:lineRule="auto"/>
        <w:rPr>
          <w:rFonts w:ascii="Arial" w:eastAsia="Arial" w:hAnsi="Arial" w:cs="Arial"/>
          <w:b/>
          <w:color w:val="000000"/>
          <w:u w:val="single"/>
        </w:rPr>
      </w:pPr>
    </w:p>
    <w:p w14:paraId="52677A19" w14:textId="77777777" w:rsidR="00841094" w:rsidRDefault="00841094">
      <w:pPr>
        <w:spacing w:before="0" w:line="276" w:lineRule="auto"/>
        <w:rPr>
          <w:rFonts w:ascii="Arial" w:eastAsia="Arial" w:hAnsi="Arial" w:cs="Arial"/>
          <w:b/>
          <w:color w:val="000000"/>
          <w:u w:val="single"/>
        </w:rPr>
      </w:pPr>
    </w:p>
    <w:p w14:paraId="66C3E12E" w14:textId="77777777" w:rsidR="00841094" w:rsidRDefault="00841094">
      <w:pPr>
        <w:spacing w:before="0" w:line="276" w:lineRule="auto"/>
        <w:rPr>
          <w:rFonts w:ascii="Arial" w:eastAsia="Arial" w:hAnsi="Arial" w:cs="Arial"/>
          <w:b/>
          <w:color w:val="000000"/>
          <w:u w:val="single"/>
        </w:rPr>
      </w:pPr>
    </w:p>
    <w:p w14:paraId="03A28239" w14:textId="77777777" w:rsidR="00841094" w:rsidRDefault="00841094">
      <w:pPr>
        <w:spacing w:before="0" w:line="276" w:lineRule="auto"/>
        <w:rPr>
          <w:rFonts w:ascii="Arial" w:eastAsia="Arial" w:hAnsi="Arial" w:cs="Arial"/>
          <w:b/>
          <w:color w:val="000000"/>
          <w:u w:val="single"/>
        </w:rPr>
      </w:pPr>
    </w:p>
    <w:p w14:paraId="0C6A7663" w14:textId="77777777" w:rsidR="00841094" w:rsidRDefault="00841094">
      <w:pPr>
        <w:spacing w:before="0" w:line="276" w:lineRule="auto"/>
        <w:rPr>
          <w:rFonts w:ascii="Arial" w:eastAsia="Arial" w:hAnsi="Arial" w:cs="Arial"/>
          <w:b/>
          <w:color w:val="000000"/>
          <w:u w:val="single"/>
        </w:rPr>
      </w:pPr>
    </w:p>
    <w:p w14:paraId="6B4C77D9" w14:textId="77777777" w:rsidR="00841094" w:rsidRDefault="00841094">
      <w:pPr>
        <w:spacing w:before="0" w:line="276" w:lineRule="auto"/>
        <w:rPr>
          <w:rFonts w:ascii="Arial" w:eastAsia="Arial" w:hAnsi="Arial" w:cs="Arial"/>
          <w:b/>
          <w:color w:val="000000"/>
          <w:u w:val="single"/>
        </w:rPr>
      </w:pPr>
    </w:p>
    <w:p w14:paraId="6F9EAF66" w14:textId="77777777" w:rsidR="00841094" w:rsidRDefault="00841094">
      <w:pPr>
        <w:spacing w:before="0" w:line="276" w:lineRule="auto"/>
        <w:rPr>
          <w:rFonts w:ascii="Arial" w:eastAsia="Arial" w:hAnsi="Arial" w:cs="Arial"/>
          <w:b/>
          <w:color w:val="000000"/>
          <w:u w:val="single"/>
        </w:rPr>
      </w:pPr>
    </w:p>
    <w:p w14:paraId="35BBC7BA" w14:textId="77777777" w:rsidR="00841094" w:rsidRDefault="00841094">
      <w:pPr>
        <w:spacing w:before="0" w:line="276" w:lineRule="auto"/>
        <w:rPr>
          <w:rFonts w:ascii="Arial" w:eastAsia="Arial" w:hAnsi="Arial" w:cs="Arial"/>
          <w:b/>
          <w:color w:val="000000"/>
          <w:u w:val="single"/>
        </w:rPr>
      </w:pPr>
    </w:p>
    <w:p w14:paraId="7FEA0528" w14:textId="77777777" w:rsidR="00841094" w:rsidRDefault="00841094">
      <w:pPr>
        <w:spacing w:before="0" w:line="276" w:lineRule="auto"/>
        <w:rPr>
          <w:rFonts w:ascii="Arial" w:eastAsia="Arial" w:hAnsi="Arial" w:cs="Arial"/>
          <w:b/>
          <w:color w:val="000000"/>
          <w:u w:val="single"/>
        </w:rPr>
      </w:pPr>
    </w:p>
    <w:p w14:paraId="4FD4C086" w14:textId="77777777" w:rsidR="00841094" w:rsidRDefault="00841094">
      <w:pPr>
        <w:spacing w:before="0" w:line="276" w:lineRule="auto"/>
        <w:rPr>
          <w:rFonts w:ascii="Arial" w:eastAsia="Arial" w:hAnsi="Arial" w:cs="Arial"/>
          <w:b/>
          <w:color w:val="000000"/>
          <w:u w:val="single"/>
        </w:rPr>
      </w:pPr>
    </w:p>
    <w:p w14:paraId="2FEAAB39" w14:textId="77777777" w:rsidR="00841094" w:rsidRDefault="00841094">
      <w:pPr>
        <w:spacing w:before="0" w:line="276" w:lineRule="auto"/>
        <w:rPr>
          <w:rFonts w:ascii="Arial" w:eastAsia="Arial" w:hAnsi="Arial" w:cs="Arial"/>
          <w:b/>
          <w:color w:val="000000"/>
          <w:u w:val="single"/>
        </w:rPr>
      </w:pPr>
    </w:p>
    <w:p w14:paraId="58B77BAD" w14:textId="77777777" w:rsidR="00841094" w:rsidRDefault="00841094">
      <w:pPr>
        <w:spacing w:before="0" w:line="276" w:lineRule="auto"/>
        <w:rPr>
          <w:rFonts w:ascii="Arial" w:eastAsia="Arial" w:hAnsi="Arial" w:cs="Arial"/>
          <w:b/>
          <w:color w:val="000000"/>
          <w:u w:val="single"/>
        </w:rPr>
      </w:pPr>
    </w:p>
    <w:p w14:paraId="1210911D" w14:textId="77777777" w:rsidR="00841094" w:rsidRDefault="00841094">
      <w:pPr>
        <w:spacing w:before="0" w:line="276" w:lineRule="auto"/>
        <w:rPr>
          <w:rFonts w:ascii="Arial" w:eastAsia="Arial" w:hAnsi="Arial" w:cs="Arial"/>
          <w:b/>
          <w:color w:val="000000"/>
          <w:u w:val="single"/>
        </w:rPr>
      </w:pPr>
    </w:p>
    <w:p w14:paraId="209BC347" w14:textId="77777777" w:rsidR="00841094" w:rsidRDefault="00841094">
      <w:pPr>
        <w:spacing w:before="0" w:line="276" w:lineRule="auto"/>
        <w:rPr>
          <w:rFonts w:ascii="Arial" w:eastAsia="Arial" w:hAnsi="Arial" w:cs="Arial"/>
          <w:b/>
          <w:color w:val="000000"/>
          <w:u w:val="single"/>
        </w:rPr>
      </w:pPr>
    </w:p>
    <w:p w14:paraId="129F480C" w14:textId="77777777" w:rsidR="00841094" w:rsidRDefault="00841094">
      <w:pPr>
        <w:spacing w:before="0" w:line="276" w:lineRule="auto"/>
        <w:rPr>
          <w:rFonts w:ascii="Arial" w:eastAsia="Arial" w:hAnsi="Arial" w:cs="Arial"/>
          <w:b/>
          <w:color w:val="000000"/>
          <w:u w:val="single"/>
        </w:rPr>
      </w:pPr>
    </w:p>
    <w:p w14:paraId="039BB241" w14:textId="77777777" w:rsidR="00841094" w:rsidRDefault="00841094">
      <w:pPr>
        <w:spacing w:before="0" w:line="276" w:lineRule="auto"/>
        <w:rPr>
          <w:rFonts w:ascii="Arial" w:eastAsia="Arial" w:hAnsi="Arial" w:cs="Arial"/>
          <w:b/>
          <w:color w:val="000000"/>
          <w:u w:val="single"/>
        </w:rPr>
      </w:pPr>
    </w:p>
    <w:p w14:paraId="07121C71" w14:textId="77777777" w:rsidR="00841094" w:rsidRDefault="00841094">
      <w:pPr>
        <w:spacing w:before="0" w:line="276" w:lineRule="auto"/>
        <w:rPr>
          <w:rFonts w:ascii="Arial" w:eastAsia="Arial" w:hAnsi="Arial" w:cs="Arial"/>
          <w:b/>
          <w:color w:val="000000"/>
          <w:u w:val="single"/>
        </w:rPr>
      </w:pPr>
    </w:p>
    <w:p w14:paraId="5CD9D0B3" w14:textId="77777777" w:rsidR="00841094" w:rsidRDefault="00841094">
      <w:pPr>
        <w:spacing w:before="0" w:line="276" w:lineRule="auto"/>
        <w:rPr>
          <w:rFonts w:ascii="Arial" w:eastAsia="Arial" w:hAnsi="Arial" w:cs="Arial"/>
          <w:b/>
          <w:color w:val="000000"/>
          <w:u w:val="single"/>
        </w:rPr>
      </w:pPr>
    </w:p>
    <w:p w14:paraId="2B283EF7" w14:textId="77777777" w:rsidR="00841094" w:rsidRDefault="00841094">
      <w:pPr>
        <w:spacing w:before="0" w:line="276" w:lineRule="auto"/>
        <w:rPr>
          <w:rFonts w:ascii="Arial" w:eastAsia="Arial" w:hAnsi="Arial" w:cs="Arial"/>
          <w:b/>
          <w:color w:val="000000"/>
          <w:u w:val="single"/>
        </w:rPr>
      </w:pPr>
    </w:p>
    <w:p w14:paraId="42045EB3" w14:textId="77777777" w:rsidR="00841094" w:rsidRDefault="00841094">
      <w:pPr>
        <w:spacing w:before="0" w:line="276" w:lineRule="auto"/>
        <w:rPr>
          <w:rFonts w:ascii="Arial" w:eastAsia="Arial" w:hAnsi="Arial" w:cs="Arial"/>
          <w:b/>
          <w:color w:val="000000"/>
          <w:u w:val="single"/>
        </w:rPr>
      </w:pPr>
    </w:p>
    <w:p w14:paraId="3CB1D21E" w14:textId="77777777" w:rsidR="00841094" w:rsidRDefault="00841094">
      <w:pPr>
        <w:spacing w:before="0" w:line="276" w:lineRule="auto"/>
        <w:rPr>
          <w:rFonts w:ascii="Arial" w:eastAsia="Arial" w:hAnsi="Arial" w:cs="Arial"/>
          <w:b/>
          <w:color w:val="000000"/>
          <w:u w:val="single"/>
        </w:rPr>
      </w:pPr>
    </w:p>
    <w:p w14:paraId="0CD6A19E" w14:textId="77777777" w:rsidR="00841094" w:rsidRDefault="00841094">
      <w:pPr>
        <w:spacing w:before="0" w:line="276" w:lineRule="auto"/>
        <w:rPr>
          <w:rFonts w:ascii="Arial" w:eastAsia="Arial" w:hAnsi="Arial" w:cs="Arial"/>
          <w:b/>
          <w:color w:val="000000"/>
          <w:u w:val="single"/>
        </w:rPr>
      </w:pPr>
    </w:p>
    <w:p w14:paraId="2102E046" w14:textId="77777777" w:rsidR="00841094" w:rsidRDefault="0093383E">
      <w:pPr>
        <w:spacing w:before="0" w:line="276" w:lineRule="auto"/>
        <w:rPr>
          <w:rFonts w:ascii="Arial" w:eastAsia="Arial" w:hAnsi="Arial" w:cs="Arial"/>
          <w:b/>
          <w:color w:val="000000"/>
          <w:u w:val="single"/>
        </w:rPr>
      </w:pPr>
      <w:r>
        <w:rPr>
          <w:rFonts w:ascii="Arial" w:eastAsia="Arial" w:hAnsi="Arial" w:cs="Arial"/>
          <w:b/>
          <w:color w:val="000000"/>
          <w:u w:val="single"/>
        </w:rPr>
        <w:t>Bibliography</w:t>
      </w:r>
    </w:p>
    <w:p w14:paraId="0662A7EA" w14:textId="77777777" w:rsidR="00841094" w:rsidRDefault="0093383E">
      <w:pPr>
        <w:widowControl w:val="0"/>
        <w:spacing w:before="240" w:after="240" w:line="240" w:lineRule="auto"/>
        <w:rPr>
          <w:rFonts w:ascii="Arial" w:eastAsia="Arial" w:hAnsi="Arial" w:cs="Arial"/>
          <w:color w:val="000000"/>
        </w:rPr>
      </w:pPr>
      <w:hyperlink r:id="rId37">
        <w:r>
          <w:rPr>
            <w:rFonts w:ascii="Arial" w:eastAsia="Arial" w:hAnsi="Arial" w:cs="Arial"/>
            <w:color w:val="000000"/>
          </w:rPr>
          <w:t>Blackstone’s Criminal Practice 2012 (book only) (2011). OUP Oxford.</w:t>
        </w:r>
      </w:hyperlink>
    </w:p>
    <w:p w14:paraId="11D05E41" w14:textId="77777777" w:rsidR="00841094" w:rsidRDefault="0093383E">
      <w:pPr>
        <w:widowControl w:val="0"/>
        <w:spacing w:before="0" w:after="240" w:line="240" w:lineRule="auto"/>
        <w:rPr>
          <w:rFonts w:ascii="Arial" w:eastAsia="Arial" w:hAnsi="Arial" w:cs="Arial"/>
          <w:color w:val="000000"/>
        </w:rPr>
      </w:pPr>
      <w:hyperlink r:id="rId38">
        <w:r>
          <w:rPr>
            <w:rFonts w:ascii="Arial" w:eastAsia="Arial" w:hAnsi="Arial" w:cs="Arial"/>
            <w:color w:val="000000"/>
          </w:rPr>
          <w:t>Bradbury, S.-A. and Feist, A. (2005) The use of forensic science in volume crime i</w:t>
        </w:r>
        <w:r>
          <w:rPr>
            <w:rFonts w:ascii="Arial" w:eastAsia="Arial" w:hAnsi="Arial" w:cs="Arial"/>
            <w:color w:val="000000"/>
          </w:rPr>
          <w:t>nvestigations: a review of the research literature. Citeseer.</w:t>
        </w:r>
      </w:hyperlink>
    </w:p>
    <w:p w14:paraId="01BC9778" w14:textId="77777777" w:rsidR="00841094" w:rsidRDefault="0093383E">
      <w:pPr>
        <w:widowControl w:val="0"/>
        <w:spacing w:before="0" w:after="240" w:line="240" w:lineRule="auto"/>
        <w:rPr>
          <w:rFonts w:ascii="Arial" w:eastAsia="Arial" w:hAnsi="Arial" w:cs="Arial"/>
          <w:color w:val="000000"/>
        </w:rPr>
      </w:pPr>
      <w:hyperlink r:id="rId39">
        <w:r>
          <w:rPr>
            <w:rFonts w:ascii="Arial" w:eastAsia="Arial" w:hAnsi="Arial" w:cs="Arial"/>
            <w:color w:val="000000"/>
          </w:rPr>
          <w:t>Brown, J. M. and Campbell, E. A. (2010) The Cambridge Handbook of Forensic Psychology. Cambridge University Press.</w:t>
        </w:r>
      </w:hyperlink>
    </w:p>
    <w:p w14:paraId="3B0B7E62" w14:textId="77777777" w:rsidR="00841094" w:rsidRDefault="0093383E">
      <w:pPr>
        <w:widowControl w:val="0"/>
        <w:spacing w:before="0" w:after="240" w:line="240" w:lineRule="auto"/>
        <w:rPr>
          <w:rFonts w:ascii="Arial" w:eastAsia="Arial" w:hAnsi="Arial" w:cs="Arial"/>
          <w:color w:val="000000"/>
        </w:rPr>
      </w:pPr>
      <w:hyperlink r:id="rId40">
        <w:r>
          <w:rPr>
            <w:rFonts w:ascii="Arial" w:eastAsia="Arial" w:hAnsi="Arial" w:cs="Arial"/>
            <w:color w:val="000000"/>
          </w:rPr>
          <w:t xml:space="preserve">Concern for a child (no date). Available at: </w:t>
        </w:r>
      </w:hyperlink>
      <w:hyperlink r:id="rId41">
        <w:r>
          <w:rPr>
            <w:rFonts w:ascii="Arial" w:eastAsia="Arial" w:hAnsi="Arial" w:cs="Arial"/>
            <w:color w:val="000000"/>
          </w:rPr>
          <w:t>https://www.app.college.police.uk/app-cont</w:t>
        </w:r>
        <w:r>
          <w:rPr>
            <w:rFonts w:ascii="Arial" w:eastAsia="Arial" w:hAnsi="Arial" w:cs="Arial"/>
            <w:color w:val="000000"/>
          </w:rPr>
          <w:t>ent/major-investigation-and-public-protection/child-abuse/concern-for-a-child/</w:t>
        </w:r>
      </w:hyperlink>
      <w:hyperlink r:id="rId42">
        <w:r>
          <w:rPr>
            <w:rFonts w:ascii="Arial" w:eastAsia="Arial" w:hAnsi="Arial" w:cs="Arial"/>
            <w:color w:val="000000"/>
          </w:rPr>
          <w:t xml:space="preserve"> (Accessed: 3 November 2020).</w:t>
        </w:r>
      </w:hyperlink>
    </w:p>
    <w:p w14:paraId="42FC3A63" w14:textId="77777777" w:rsidR="00841094" w:rsidRDefault="0093383E">
      <w:pPr>
        <w:widowControl w:val="0"/>
        <w:spacing w:before="0" w:after="240" w:line="240" w:lineRule="auto"/>
        <w:rPr>
          <w:rFonts w:ascii="Arial" w:eastAsia="Arial" w:hAnsi="Arial" w:cs="Arial"/>
          <w:color w:val="000000"/>
        </w:rPr>
      </w:pPr>
      <w:hyperlink r:id="rId43">
        <w:r>
          <w:rPr>
            <w:rFonts w:ascii="Arial" w:eastAsia="Arial" w:hAnsi="Arial" w:cs="Arial"/>
            <w:color w:val="000000"/>
          </w:rPr>
          <w:t>Encyclopedia of Forensic Sciences (2012)</w:t>
        </w:r>
        <w:r>
          <w:rPr>
            <w:rFonts w:ascii="Arial" w:eastAsia="Arial" w:hAnsi="Arial" w:cs="Arial"/>
            <w:color w:val="000000"/>
          </w:rPr>
          <w:t>. Academic Press.</w:t>
        </w:r>
      </w:hyperlink>
    </w:p>
    <w:p w14:paraId="6158CF11" w14:textId="77777777" w:rsidR="00841094" w:rsidRDefault="0093383E">
      <w:pPr>
        <w:widowControl w:val="0"/>
        <w:spacing w:before="0" w:after="240" w:line="240" w:lineRule="auto"/>
        <w:rPr>
          <w:rFonts w:ascii="Arial" w:eastAsia="Arial" w:hAnsi="Arial" w:cs="Arial"/>
          <w:color w:val="000000"/>
        </w:rPr>
      </w:pPr>
      <w:hyperlink r:id="rId44">
        <w:r>
          <w:rPr>
            <w:rFonts w:ascii="Arial" w:eastAsia="Arial" w:hAnsi="Arial" w:cs="Arial"/>
            <w:color w:val="000000"/>
          </w:rPr>
          <w:t xml:space="preserve">First response (no date). Available at: </w:t>
        </w:r>
      </w:hyperlink>
      <w:hyperlink r:id="rId45">
        <w:r>
          <w:rPr>
            <w:rFonts w:ascii="Arial" w:eastAsia="Arial" w:hAnsi="Arial" w:cs="Arial"/>
            <w:color w:val="000000"/>
          </w:rPr>
          <w:t>https:</w:t>
        </w:r>
        <w:r>
          <w:rPr>
            <w:rFonts w:ascii="Arial" w:eastAsia="Arial" w:hAnsi="Arial" w:cs="Arial"/>
            <w:color w:val="000000"/>
          </w:rPr>
          <w:t>//www.app.college.police.uk/app-content/major-investigation-and-public-protection/domestic-abuse/first-response/</w:t>
        </w:r>
      </w:hyperlink>
      <w:hyperlink r:id="rId46">
        <w:r>
          <w:rPr>
            <w:rFonts w:ascii="Arial" w:eastAsia="Arial" w:hAnsi="Arial" w:cs="Arial"/>
            <w:color w:val="000000"/>
          </w:rPr>
          <w:t xml:space="preserve"> (Accessed: 3 November 2020).</w:t>
        </w:r>
      </w:hyperlink>
    </w:p>
    <w:p w14:paraId="270C969E" w14:textId="77777777" w:rsidR="00841094" w:rsidRDefault="0093383E">
      <w:pPr>
        <w:widowControl w:val="0"/>
        <w:spacing w:before="0" w:after="240" w:line="240" w:lineRule="auto"/>
        <w:rPr>
          <w:rFonts w:ascii="Arial" w:eastAsia="Arial" w:hAnsi="Arial" w:cs="Arial"/>
          <w:color w:val="000000"/>
        </w:rPr>
      </w:pPr>
      <w:hyperlink r:id="rId47">
        <w:r>
          <w:rPr>
            <w:rFonts w:ascii="Arial" w:eastAsia="Arial" w:hAnsi="Arial" w:cs="Arial"/>
            <w:color w:val="000000"/>
          </w:rPr>
          <w:t>Forens</w:t>
        </w:r>
        <w:r>
          <w:rPr>
            <w:rFonts w:ascii="Arial" w:eastAsia="Arial" w:hAnsi="Arial" w:cs="Arial"/>
            <w:color w:val="000000"/>
          </w:rPr>
          <w:t xml:space="preserve">ic Science Regulator (no date). Available at: </w:t>
        </w:r>
      </w:hyperlink>
      <w:hyperlink r:id="rId48">
        <w:r>
          <w:rPr>
            <w:rFonts w:ascii="Arial" w:eastAsia="Arial" w:hAnsi="Arial" w:cs="Arial"/>
            <w:color w:val="000000"/>
          </w:rPr>
          <w:t>https://www.gov.uk/government/organisations/forensic-science-regulator</w:t>
        </w:r>
      </w:hyperlink>
      <w:hyperlink r:id="rId49">
        <w:r>
          <w:rPr>
            <w:rFonts w:ascii="Arial" w:eastAsia="Arial" w:hAnsi="Arial" w:cs="Arial"/>
            <w:color w:val="000000"/>
          </w:rPr>
          <w:t xml:space="preserve"> (Accessed: 3 November 2020).</w:t>
        </w:r>
      </w:hyperlink>
    </w:p>
    <w:p w14:paraId="28FB0444" w14:textId="77777777" w:rsidR="00841094" w:rsidRDefault="0093383E">
      <w:pPr>
        <w:widowControl w:val="0"/>
        <w:spacing w:before="0" w:after="240" w:line="240" w:lineRule="auto"/>
        <w:rPr>
          <w:rFonts w:ascii="Arial" w:eastAsia="Arial" w:hAnsi="Arial" w:cs="Arial"/>
          <w:color w:val="000000"/>
        </w:rPr>
      </w:pPr>
      <w:hyperlink r:id="rId50">
        <w:r>
          <w:rPr>
            <w:rFonts w:ascii="Arial" w:eastAsia="Arial" w:hAnsi="Arial" w:cs="Arial"/>
            <w:color w:val="000000"/>
          </w:rPr>
          <w:t xml:space="preserve">Garrod, J. K., Scott, J. and Freeland, C. (2013) ‘Managing disconnected investigations’, US Patent. Available at: </w:t>
        </w:r>
      </w:hyperlink>
      <w:hyperlink r:id="rId51">
        <w:r>
          <w:rPr>
            <w:rFonts w:ascii="Arial" w:eastAsia="Arial" w:hAnsi="Arial" w:cs="Arial"/>
            <w:color w:val="000000"/>
          </w:rPr>
          <w:t>https://patentimages.storage.googleapis.c</w:t>
        </w:r>
        <w:r>
          <w:rPr>
            <w:rFonts w:ascii="Arial" w:eastAsia="Arial" w:hAnsi="Arial" w:cs="Arial"/>
            <w:color w:val="000000"/>
          </w:rPr>
          <w:t>om/15/be/9e/9c29eaec3420a6/US8364642.pdf</w:t>
        </w:r>
      </w:hyperlink>
      <w:hyperlink r:id="rId52">
        <w:r>
          <w:rPr>
            <w:rFonts w:ascii="Arial" w:eastAsia="Arial" w:hAnsi="Arial" w:cs="Arial"/>
            <w:color w:val="000000"/>
          </w:rPr>
          <w:t xml:space="preserve"> (Accessed: 3 November 2020).</w:t>
        </w:r>
      </w:hyperlink>
    </w:p>
    <w:p w14:paraId="40DF6883" w14:textId="77777777" w:rsidR="00841094" w:rsidRDefault="0093383E">
      <w:pPr>
        <w:widowControl w:val="0"/>
        <w:spacing w:before="0" w:after="240" w:line="240" w:lineRule="auto"/>
        <w:rPr>
          <w:rFonts w:ascii="Arial" w:eastAsia="Arial" w:hAnsi="Arial" w:cs="Arial"/>
          <w:color w:val="000000"/>
        </w:rPr>
      </w:pPr>
      <w:hyperlink r:id="rId53">
        <w:r>
          <w:rPr>
            <w:rFonts w:ascii="Arial" w:eastAsia="Arial" w:hAnsi="Arial" w:cs="Arial"/>
            <w:color w:val="000000"/>
          </w:rPr>
          <w:t>Gehl, R. and Plecas, D. (2017) Introduction to criminal investigation: process</w:t>
        </w:r>
        <w:r>
          <w:rPr>
            <w:rFonts w:ascii="Arial" w:eastAsia="Arial" w:hAnsi="Arial" w:cs="Arial"/>
            <w:color w:val="000000"/>
          </w:rPr>
          <w:t>es, practices and thinking. Justice Institute of British Columbia.</w:t>
        </w:r>
      </w:hyperlink>
    </w:p>
    <w:p w14:paraId="55B95230" w14:textId="77777777" w:rsidR="00841094" w:rsidRDefault="0093383E">
      <w:pPr>
        <w:widowControl w:val="0"/>
        <w:spacing w:before="0" w:after="240" w:line="240" w:lineRule="auto"/>
        <w:rPr>
          <w:rFonts w:ascii="Arial" w:eastAsia="Arial" w:hAnsi="Arial" w:cs="Arial"/>
          <w:color w:val="000000"/>
        </w:rPr>
      </w:pPr>
      <w:hyperlink r:id="rId54">
        <w:r>
          <w:rPr>
            <w:rFonts w:ascii="Arial" w:eastAsia="Arial" w:hAnsi="Arial" w:cs="Arial"/>
            <w:color w:val="000000"/>
          </w:rPr>
          <w:t>Graça, S. et al. (2012) Blackstone’s Handbook for Policing Students 2013. OUP Oxford.</w:t>
        </w:r>
      </w:hyperlink>
    </w:p>
    <w:p w14:paraId="4192EB28" w14:textId="77777777" w:rsidR="00841094" w:rsidRDefault="0093383E">
      <w:pPr>
        <w:widowControl w:val="0"/>
        <w:spacing w:before="0" w:after="240" w:line="240" w:lineRule="auto"/>
        <w:rPr>
          <w:rFonts w:ascii="Arial" w:eastAsia="Arial" w:hAnsi="Arial" w:cs="Arial"/>
          <w:color w:val="000000"/>
        </w:rPr>
      </w:pPr>
      <w:hyperlink r:id="rId55">
        <w:r>
          <w:rPr>
            <w:rFonts w:ascii="Arial" w:eastAsia="Arial" w:hAnsi="Arial" w:cs="Arial"/>
            <w:color w:val="000000"/>
          </w:rPr>
          <w:t>Great Britain. Parliament. House of Lords. Science and Technology Committee (2019) Forensic Science and the Criminal</w:t>
        </w:r>
        <w:r>
          <w:rPr>
            <w:rFonts w:ascii="Arial" w:eastAsia="Arial" w:hAnsi="Arial" w:cs="Arial"/>
            <w:color w:val="000000"/>
          </w:rPr>
          <w:t xml:space="preserve"> Justice System: A Blueprint for Change : 3rd Report of Session 2017-19. Oral and written evidence. Dandy Booksellers Limited.</w:t>
        </w:r>
      </w:hyperlink>
    </w:p>
    <w:p w14:paraId="3C5430B4" w14:textId="77777777" w:rsidR="00841094" w:rsidRDefault="0093383E">
      <w:pPr>
        <w:widowControl w:val="0"/>
        <w:spacing w:before="0" w:after="240" w:line="240" w:lineRule="auto"/>
        <w:rPr>
          <w:rFonts w:ascii="Arial" w:eastAsia="Arial" w:hAnsi="Arial" w:cs="Arial"/>
          <w:color w:val="000000"/>
        </w:rPr>
      </w:pPr>
      <w:hyperlink r:id="rId56">
        <w:r>
          <w:rPr>
            <w:rFonts w:ascii="Arial" w:eastAsia="Arial" w:hAnsi="Arial" w:cs="Arial"/>
            <w:color w:val="000000"/>
          </w:rPr>
          <w:t xml:space="preserve">Harfield, C. (2009) Blackstone’s Police Operational Handbook: Practice and </w:t>
        </w:r>
        <w:r>
          <w:rPr>
            <w:rFonts w:ascii="Arial" w:eastAsia="Arial" w:hAnsi="Arial" w:cs="Arial"/>
            <w:color w:val="000000"/>
          </w:rPr>
          <w:t>Procedure. OUP Oxford.</w:t>
        </w:r>
      </w:hyperlink>
    </w:p>
    <w:p w14:paraId="04DD34B3" w14:textId="77777777" w:rsidR="00841094" w:rsidRDefault="0093383E">
      <w:pPr>
        <w:widowControl w:val="0"/>
        <w:spacing w:before="0" w:after="240" w:line="240" w:lineRule="auto"/>
        <w:rPr>
          <w:rFonts w:ascii="Arial" w:eastAsia="Arial" w:hAnsi="Arial" w:cs="Arial"/>
          <w:color w:val="000000"/>
        </w:rPr>
      </w:pPr>
      <w:hyperlink r:id="rId57">
        <w:r>
          <w:rPr>
            <w:rFonts w:ascii="Arial" w:eastAsia="Arial" w:hAnsi="Arial" w:cs="Arial"/>
            <w:color w:val="000000"/>
          </w:rPr>
          <w:t>Horswell, J. (2004) The Practice Of Crime Scene Investigation. CRC Press.</w:t>
        </w:r>
      </w:hyperlink>
    </w:p>
    <w:p w14:paraId="353B5932" w14:textId="77777777" w:rsidR="00841094" w:rsidRDefault="0093383E">
      <w:pPr>
        <w:widowControl w:val="0"/>
        <w:spacing w:before="0" w:after="240" w:line="240" w:lineRule="auto"/>
        <w:rPr>
          <w:rFonts w:ascii="Arial" w:eastAsia="Arial" w:hAnsi="Arial" w:cs="Arial"/>
          <w:color w:val="000000"/>
        </w:rPr>
      </w:pPr>
      <w:hyperlink r:id="rId58">
        <w:r>
          <w:rPr>
            <w:rFonts w:ascii="Arial" w:eastAsia="Arial" w:hAnsi="Arial" w:cs="Arial"/>
            <w:color w:val="000000"/>
          </w:rPr>
          <w:t>Huxley, P. (2016) Blackstone’s Statutes on Evidence</w:t>
        </w:r>
        <w:r>
          <w:rPr>
            <w:rFonts w:ascii="Arial" w:eastAsia="Arial" w:hAnsi="Arial" w:cs="Arial"/>
            <w:color w:val="000000"/>
          </w:rPr>
          <w:t>. Oxford University Press.</w:t>
        </w:r>
      </w:hyperlink>
    </w:p>
    <w:p w14:paraId="40D9A669" w14:textId="77777777" w:rsidR="00841094" w:rsidRDefault="0093383E">
      <w:pPr>
        <w:widowControl w:val="0"/>
        <w:spacing w:before="0" w:after="240" w:line="240" w:lineRule="auto"/>
        <w:rPr>
          <w:rFonts w:ascii="Arial" w:eastAsia="Arial" w:hAnsi="Arial" w:cs="Arial"/>
          <w:color w:val="000000"/>
        </w:rPr>
      </w:pPr>
      <w:hyperlink r:id="rId59">
        <w:r>
          <w:rPr>
            <w:rFonts w:ascii="Arial" w:eastAsia="Arial" w:hAnsi="Arial" w:cs="Arial"/>
            <w:color w:val="000000"/>
          </w:rPr>
          <w:t>Miller, L. S., Hess, K. M. and Orthmann, C. H. (2017) Community Policing: Partnerships for Problem Solving. Cengage Learning.</w:t>
        </w:r>
      </w:hyperlink>
    </w:p>
    <w:p w14:paraId="78D1DC6A" w14:textId="77777777" w:rsidR="00841094" w:rsidRDefault="0093383E">
      <w:pPr>
        <w:widowControl w:val="0"/>
        <w:spacing w:before="0" w:after="240" w:line="240" w:lineRule="auto"/>
        <w:rPr>
          <w:rFonts w:ascii="Arial" w:eastAsia="Arial" w:hAnsi="Arial" w:cs="Arial"/>
          <w:color w:val="000000"/>
        </w:rPr>
      </w:pPr>
      <w:hyperlink r:id="rId60">
        <w:r>
          <w:rPr>
            <w:rFonts w:ascii="Arial" w:eastAsia="Arial" w:hAnsi="Arial" w:cs="Arial"/>
            <w:color w:val="000000"/>
          </w:rPr>
          <w:t>Morgan, R. M. (2019) ‘Forensic science. The importance of identity in theory and practice’, Forensic science international, 1, pp. 239–242.</w:t>
        </w:r>
      </w:hyperlink>
    </w:p>
    <w:p w14:paraId="2601B948" w14:textId="77777777" w:rsidR="00841094" w:rsidRDefault="0093383E">
      <w:pPr>
        <w:widowControl w:val="0"/>
        <w:spacing w:before="0" w:after="240" w:line="240" w:lineRule="auto"/>
        <w:rPr>
          <w:rFonts w:ascii="Arial" w:eastAsia="Arial" w:hAnsi="Arial" w:cs="Arial"/>
          <w:color w:val="000000"/>
        </w:rPr>
      </w:pPr>
      <w:hyperlink r:id="rId61">
        <w:r>
          <w:rPr>
            <w:rFonts w:ascii="Arial" w:eastAsia="Arial" w:hAnsi="Arial" w:cs="Arial"/>
            <w:color w:val="000000"/>
          </w:rPr>
          <w:t>National Research Council et al. (1992) DNA Technology in</w:t>
        </w:r>
        <w:r>
          <w:rPr>
            <w:rFonts w:ascii="Arial" w:eastAsia="Arial" w:hAnsi="Arial" w:cs="Arial"/>
            <w:color w:val="000000"/>
          </w:rPr>
          <w:t xml:space="preserve"> Forensic Science. National Academies Press.</w:t>
        </w:r>
      </w:hyperlink>
    </w:p>
    <w:p w14:paraId="2B2DD2DA" w14:textId="77777777" w:rsidR="00841094" w:rsidRDefault="0093383E">
      <w:pPr>
        <w:widowControl w:val="0"/>
        <w:spacing w:before="0" w:after="240" w:line="240" w:lineRule="auto"/>
        <w:rPr>
          <w:rFonts w:ascii="Arial" w:eastAsia="Arial" w:hAnsi="Arial" w:cs="Arial"/>
          <w:color w:val="000000"/>
        </w:rPr>
      </w:pPr>
      <w:hyperlink r:id="rId62">
        <w:r>
          <w:rPr>
            <w:rFonts w:ascii="Arial" w:eastAsia="Arial" w:hAnsi="Arial" w:cs="Arial"/>
            <w:color w:val="000000"/>
          </w:rPr>
          <w:t>National Research Council et al. (2009) Strengthening Forensic Science in the United States: A Path Forward. National Academies Press.</w:t>
        </w:r>
      </w:hyperlink>
    </w:p>
    <w:p w14:paraId="17FECAEB" w14:textId="77777777" w:rsidR="00841094" w:rsidRDefault="0093383E">
      <w:pPr>
        <w:widowControl w:val="0"/>
        <w:spacing w:before="0" w:after="240" w:line="240" w:lineRule="auto"/>
        <w:rPr>
          <w:rFonts w:ascii="Arial" w:eastAsia="Arial" w:hAnsi="Arial" w:cs="Arial"/>
          <w:color w:val="000000"/>
        </w:rPr>
      </w:pPr>
      <w:hyperlink r:id="rId63">
        <w:r>
          <w:rPr>
            <w:rFonts w:ascii="Arial" w:eastAsia="Arial" w:hAnsi="Arial" w:cs="Arial"/>
            <w:color w:val="000000"/>
          </w:rPr>
          <w:t>Newburn, T., Williamson, T. and Wright, A. (2012) Handbook of Criminal Investigation. Routledge.</w:t>
        </w:r>
      </w:hyperlink>
    </w:p>
    <w:p w14:paraId="24BB450E" w14:textId="77777777" w:rsidR="00841094" w:rsidRDefault="0093383E">
      <w:pPr>
        <w:widowControl w:val="0"/>
        <w:spacing w:before="0" w:after="240" w:line="240" w:lineRule="auto"/>
        <w:rPr>
          <w:rFonts w:ascii="Arial" w:eastAsia="Arial" w:hAnsi="Arial" w:cs="Arial"/>
          <w:color w:val="000000"/>
        </w:rPr>
      </w:pPr>
      <w:hyperlink r:id="rId64">
        <w:r>
          <w:rPr>
            <w:rFonts w:ascii="Arial" w:eastAsia="Arial" w:hAnsi="Arial" w:cs="Arial"/>
            <w:color w:val="000000"/>
          </w:rPr>
          <w:t>Petherick, W., Turvey, B. E. and Ferguson, C. E. (2009) Forensic Criminol</w:t>
        </w:r>
        <w:r>
          <w:rPr>
            <w:rFonts w:ascii="Arial" w:eastAsia="Arial" w:hAnsi="Arial" w:cs="Arial"/>
            <w:color w:val="000000"/>
          </w:rPr>
          <w:t>ogy. Academic Press.</w:t>
        </w:r>
      </w:hyperlink>
    </w:p>
    <w:p w14:paraId="3F54FFF4" w14:textId="77777777" w:rsidR="00841094" w:rsidRDefault="0093383E">
      <w:pPr>
        <w:widowControl w:val="0"/>
        <w:spacing w:before="0" w:after="240" w:line="240" w:lineRule="auto"/>
        <w:rPr>
          <w:rFonts w:ascii="Arial" w:eastAsia="Arial" w:hAnsi="Arial" w:cs="Arial"/>
          <w:color w:val="000000"/>
        </w:rPr>
      </w:pPr>
      <w:hyperlink r:id="rId65">
        <w:r>
          <w:rPr>
            <w:rFonts w:ascii="Arial" w:eastAsia="Arial" w:hAnsi="Arial" w:cs="Arial"/>
            <w:color w:val="000000"/>
          </w:rPr>
          <w:t>Wallace, E. W., Cunningham, M. J. and Boggiano, D. (2015) Crime Scene Unit Management: A Path Forward. Routledge.</w:t>
        </w:r>
      </w:hyperlink>
    </w:p>
    <w:p w14:paraId="3AEC13A0" w14:textId="77777777" w:rsidR="00841094" w:rsidRDefault="0093383E">
      <w:pPr>
        <w:widowControl w:val="0"/>
        <w:spacing w:before="0" w:after="240" w:line="240" w:lineRule="auto"/>
        <w:rPr>
          <w:rFonts w:ascii="Arial" w:eastAsia="Arial" w:hAnsi="Arial" w:cs="Arial"/>
          <w:color w:val="000000"/>
        </w:rPr>
      </w:pPr>
      <w:hyperlink r:id="rId66">
        <w:r>
          <w:rPr>
            <w:rFonts w:ascii="Arial" w:eastAsia="Arial" w:hAnsi="Arial" w:cs="Arial"/>
            <w:color w:val="000000"/>
          </w:rPr>
          <w:t>Weiner, I. B.</w:t>
        </w:r>
        <w:r>
          <w:rPr>
            <w:rFonts w:ascii="Arial" w:eastAsia="Arial" w:hAnsi="Arial" w:cs="Arial"/>
            <w:color w:val="000000"/>
          </w:rPr>
          <w:t xml:space="preserve"> and Otto, R. K. (2013) The Handbook of Forensic Psychology. John Wiley &amp; Sons.</w:t>
        </w:r>
      </w:hyperlink>
    </w:p>
    <w:p w14:paraId="0DB9AEC1" w14:textId="77777777" w:rsidR="00841094" w:rsidRDefault="0093383E">
      <w:pPr>
        <w:widowControl w:val="0"/>
        <w:spacing w:before="0" w:after="240" w:line="240" w:lineRule="auto"/>
      </w:pPr>
      <w:hyperlink r:id="rId67">
        <w:r>
          <w:rPr>
            <w:rFonts w:ascii="Arial" w:eastAsia="Arial" w:hAnsi="Arial" w:cs="Arial"/>
            <w:color w:val="000000"/>
          </w:rPr>
          <w:t>White, P. C. (2004) Crime Scene to Court: The Essentials of Forensic Science. Royal Society of Chemistry.</w:t>
        </w:r>
      </w:hyperlink>
    </w:p>
    <w:sectPr w:rsidR="00841094">
      <w:headerReference w:type="default" r:id="rId68"/>
      <w:headerReference w:type="first" r:id="rId69"/>
      <w:footerReference w:type="first" r:id="rId70"/>
      <w:pgSz w:w="12240" w:h="15840"/>
      <w:pgMar w:top="1080" w:right="1440" w:bottom="108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DC7362" w14:textId="77777777" w:rsidR="0093383E" w:rsidRDefault="0093383E">
      <w:pPr>
        <w:spacing w:before="0" w:line="240" w:lineRule="auto"/>
      </w:pPr>
      <w:r>
        <w:separator/>
      </w:r>
    </w:p>
  </w:endnote>
  <w:endnote w:type="continuationSeparator" w:id="0">
    <w:p w14:paraId="5227C220" w14:textId="77777777" w:rsidR="0093383E" w:rsidRDefault="0093383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Open Sans">
    <w:panose1 w:val="020B0606030504020204"/>
    <w:charset w:val="00"/>
    <w:family w:val="swiss"/>
    <w:pitch w:val="variable"/>
    <w:sig w:usb0="E00002EF" w:usb1="4000205B" w:usb2="00000028" w:usb3="00000000" w:csb0="0000019F" w:csb1="00000000"/>
  </w:font>
  <w:font w:name="PT Sans Narrow">
    <w:charset w:val="00"/>
    <w:family w:val="auto"/>
    <w:pitch w:val="default"/>
  </w:font>
  <w:font w:name="Trebuchet MS">
    <w:panose1 w:val="020B0603020202020204"/>
    <w:charset w:val="00"/>
    <w:family w:val="auto"/>
    <w:pitch w:val="default"/>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03BBD" w14:textId="77777777" w:rsidR="00841094" w:rsidRDefault="00841094">
    <w:pPr>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D39DC1" w14:textId="77777777" w:rsidR="0093383E" w:rsidRDefault="0093383E">
      <w:pPr>
        <w:spacing w:before="0" w:line="240" w:lineRule="auto"/>
      </w:pPr>
      <w:r>
        <w:separator/>
      </w:r>
    </w:p>
  </w:footnote>
  <w:footnote w:type="continuationSeparator" w:id="0">
    <w:p w14:paraId="37295B9A" w14:textId="77777777" w:rsidR="0093383E" w:rsidRDefault="0093383E">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AFC1D1" w14:textId="77777777" w:rsidR="00841094" w:rsidRDefault="0093383E">
    <w:pPr>
      <w:pStyle w:val="Subtitle"/>
      <w:pBdr>
        <w:top w:val="nil"/>
        <w:left w:val="nil"/>
        <w:bottom w:val="nil"/>
        <w:right w:val="nil"/>
        <w:between w:val="nil"/>
      </w:pBdr>
      <w:spacing w:before="600"/>
      <w:jc w:val="right"/>
    </w:pPr>
    <w:bookmarkStart w:id="2" w:name="_9nvcibv3gama" w:colFirst="0" w:colLast="0"/>
    <w:bookmarkEnd w:id="2"/>
    <w:r>
      <w:rPr>
        <w:color w:val="000000"/>
      </w:rPr>
      <w:t xml:space="preserve">  </w:t>
    </w:r>
    <w:r>
      <w:rPr>
        <w:color w:val="000000"/>
      </w:rPr>
      <w:fldChar w:fldCharType="begin"/>
    </w:r>
    <w:r>
      <w:rPr>
        <w:color w:val="000000"/>
      </w:rPr>
      <w:instrText>PAGE</w:instrText>
    </w:r>
    <w:r w:rsidR="00BF7355">
      <w:rPr>
        <w:color w:val="000000"/>
      </w:rPr>
      <w:fldChar w:fldCharType="separate"/>
    </w:r>
    <w:r w:rsidR="00BF7355">
      <w:rPr>
        <w:noProof/>
        <w:color w:val="000000"/>
      </w:rPr>
      <w:t>1</w:t>
    </w:r>
    <w:r>
      <w:rPr>
        <w:color w:val="000000"/>
      </w:rPr>
      <w:fldChar w:fldCharType="end"/>
    </w:r>
  </w:p>
  <w:p w14:paraId="10AB294C" w14:textId="77777777" w:rsidR="00841094" w:rsidRDefault="0093383E">
    <w:pPr>
      <w:pBdr>
        <w:top w:val="nil"/>
        <w:left w:val="nil"/>
        <w:bottom w:val="nil"/>
        <w:right w:val="nil"/>
        <w:between w:val="nil"/>
      </w:pBdr>
      <w:spacing w:after="200"/>
    </w:pPr>
    <w:r>
      <w:rPr>
        <w:noProof/>
      </w:rPr>
      <w:drawing>
        <wp:inline distT="114300" distB="114300" distL="114300" distR="114300" wp14:anchorId="33B9EDC8" wp14:editId="7EE3E499">
          <wp:extent cx="5916349" cy="104775"/>
          <wp:effectExtent l="0" t="0" r="0" b="0"/>
          <wp:docPr id="1" name="image1.png" descr="horizontal line"/>
          <wp:cNvGraphicFramePr/>
          <a:graphic xmlns:a="http://schemas.openxmlformats.org/drawingml/2006/main">
            <a:graphicData uri="http://schemas.openxmlformats.org/drawingml/2006/picture">
              <pic:pic xmlns:pic="http://schemas.openxmlformats.org/drawingml/2006/picture">
                <pic:nvPicPr>
                  <pic:cNvPr id="0" name="image1.png" descr="horizontal line"/>
                  <pic:cNvPicPr preferRelativeResize="0"/>
                </pic:nvPicPr>
                <pic:blipFill>
                  <a:blip r:embed="rId1"/>
                  <a:srcRect b="-32286"/>
                  <a:stretch>
                    <a:fillRect/>
                  </a:stretch>
                </pic:blipFill>
                <pic:spPr>
                  <a:xfrm>
                    <a:off x="0" y="0"/>
                    <a:ext cx="5916349" cy="104775"/>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BFA8B0" w14:textId="77777777" w:rsidR="00841094" w:rsidRDefault="00841094">
    <w:pPr>
      <w:pBdr>
        <w:top w:val="nil"/>
        <w:left w:val="nil"/>
        <w:bottom w:val="nil"/>
        <w:right w:val="nil"/>
        <w:between w:val="nil"/>
      </w:pBdr>
      <w:spacing w:before="600"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bA0MzS0NLAwNDYxsDBS0lEKTi0uzszPAykwrAUAC1jT4SwAAAA="/>
  </w:docVars>
  <w:rsids>
    <w:rsidRoot w:val="00841094"/>
    <w:rsid w:val="00841094"/>
    <w:rsid w:val="0093383E"/>
    <w:rsid w:val="00BF7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828CC"/>
  <w15:docId w15:val="{0D286B21-F0CE-4675-97B9-BE8E1DAA6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Open Sans" w:eastAsia="Open Sans" w:hAnsi="Open Sans" w:cs="Open Sans"/>
        <w:color w:val="695D46"/>
        <w:sz w:val="22"/>
        <w:szCs w:val="22"/>
        <w:lang w:val="en" w:eastAsia="en-GB" w:bidi="ar-SA"/>
      </w:rPr>
    </w:rPrDefault>
    <w:pPrDefault>
      <w:pPr>
        <w:spacing w:before="12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widowControl w:val="0"/>
      <w:spacing w:before="480" w:line="312" w:lineRule="auto"/>
      <w:outlineLvl w:val="0"/>
    </w:pPr>
    <w:rPr>
      <w:rFonts w:ascii="PT Sans Narrow" w:eastAsia="PT Sans Narrow" w:hAnsi="PT Sans Narrow" w:cs="PT Sans Narrow"/>
      <w:b/>
      <w:color w:val="FF5E0E"/>
      <w:sz w:val="36"/>
      <w:szCs w:val="36"/>
    </w:rPr>
  </w:style>
  <w:style w:type="paragraph" w:styleId="Heading2">
    <w:name w:val="heading 2"/>
    <w:basedOn w:val="Normal"/>
    <w:next w:val="Normal"/>
    <w:uiPriority w:val="9"/>
    <w:unhideWhenUsed/>
    <w:qFormat/>
    <w:pPr>
      <w:spacing w:before="320" w:line="240" w:lineRule="auto"/>
      <w:outlineLvl w:val="1"/>
    </w:pPr>
    <w:rPr>
      <w:rFonts w:ascii="PT Sans Narrow" w:eastAsia="PT Sans Narrow" w:hAnsi="PT Sans Narrow" w:cs="PT Sans Narrow"/>
      <w:color w:val="008575"/>
      <w:sz w:val="32"/>
      <w:szCs w:val="32"/>
    </w:rPr>
  </w:style>
  <w:style w:type="paragraph" w:styleId="Heading3">
    <w:name w:val="heading 3"/>
    <w:basedOn w:val="Normal"/>
    <w:next w:val="Normal"/>
    <w:uiPriority w:val="9"/>
    <w:semiHidden/>
    <w:unhideWhenUsed/>
    <w:qFormat/>
    <w:pPr>
      <w:spacing w:before="200" w:line="240" w:lineRule="auto"/>
      <w:outlineLvl w:val="2"/>
    </w:pPr>
    <w:rPr>
      <w:rFonts w:ascii="PT Sans Narrow" w:eastAsia="PT Sans Narrow" w:hAnsi="PT Sans Narrow" w:cs="PT Sans Narrow"/>
      <w:sz w:val="28"/>
      <w:szCs w:val="28"/>
    </w:rPr>
  </w:style>
  <w:style w:type="paragraph" w:styleId="Heading4">
    <w:name w:val="heading 4"/>
    <w:basedOn w:val="Normal"/>
    <w:next w:val="Normal"/>
    <w:uiPriority w:val="9"/>
    <w:semiHidden/>
    <w:unhideWhenUsed/>
    <w:qFormat/>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320" w:line="240" w:lineRule="auto"/>
    </w:pPr>
    <w:rPr>
      <w:rFonts w:ascii="PT Sans Narrow" w:eastAsia="PT Sans Narrow" w:hAnsi="PT Sans Narrow" w:cs="PT Sans Narrow"/>
      <w:b/>
      <w:sz w:val="84"/>
      <w:szCs w:val="84"/>
    </w:rPr>
  </w:style>
  <w:style w:type="paragraph" w:styleId="Subtitle">
    <w:name w:val="Subtitle"/>
    <w:basedOn w:val="Normal"/>
    <w:next w:val="Normal"/>
    <w:uiPriority w:val="11"/>
    <w:qFormat/>
    <w:pPr>
      <w:spacing w:before="200" w:line="240" w:lineRule="auto"/>
    </w:pPr>
    <w:rPr>
      <w:rFonts w:ascii="PT Sans Narrow" w:eastAsia="PT Sans Narrow" w:hAnsi="PT Sans Narrow" w:cs="PT Sans Narrow"/>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paperpile.com/c/VaTxUc/ZZgm" TargetMode="External"/><Relationship Id="rId18" Type="http://schemas.openxmlformats.org/officeDocument/2006/relationships/hyperlink" Target="https://paperpile.com/c/VaTxUc/hJXQ" TargetMode="External"/><Relationship Id="rId26" Type="http://schemas.openxmlformats.org/officeDocument/2006/relationships/hyperlink" Target="https://paperpile.com/c/VaTxUc/crxw" TargetMode="External"/><Relationship Id="rId39" Type="http://schemas.openxmlformats.org/officeDocument/2006/relationships/hyperlink" Target="http://paperpile.com/b/VaTxUc/TiZn" TargetMode="External"/><Relationship Id="rId21" Type="http://schemas.openxmlformats.org/officeDocument/2006/relationships/hyperlink" Target="https://paperpile.com/c/VaTxUc/ZZgm" TargetMode="External"/><Relationship Id="rId34" Type="http://schemas.openxmlformats.org/officeDocument/2006/relationships/hyperlink" Target="https://paperpile.com/c/VaTxUc/wSs5" TargetMode="External"/><Relationship Id="rId42" Type="http://schemas.openxmlformats.org/officeDocument/2006/relationships/hyperlink" Target="http://paperpile.com/b/VaTxUc/hJXQ" TargetMode="External"/><Relationship Id="rId47" Type="http://schemas.openxmlformats.org/officeDocument/2006/relationships/hyperlink" Target="http://paperpile.com/b/VaTxUc/siok" TargetMode="External"/><Relationship Id="rId50" Type="http://schemas.openxmlformats.org/officeDocument/2006/relationships/hyperlink" Target="http://paperpile.com/b/VaTxUc/JRoc" TargetMode="External"/><Relationship Id="rId55" Type="http://schemas.openxmlformats.org/officeDocument/2006/relationships/hyperlink" Target="http://paperpile.com/b/VaTxUc/AvyR" TargetMode="External"/><Relationship Id="rId63" Type="http://schemas.openxmlformats.org/officeDocument/2006/relationships/hyperlink" Target="http://paperpile.com/b/VaTxUc/6L5g" TargetMode="External"/><Relationship Id="rId68" Type="http://schemas.openxmlformats.org/officeDocument/2006/relationships/header" Target="header1.xml"/><Relationship Id="rId7" Type="http://schemas.openxmlformats.org/officeDocument/2006/relationships/image" Target="media/image2.jpg"/><Relationship Id="rId71"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paperpile.com/c/VaTxUc/3ijI" TargetMode="External"/><Relationship Id="rId29" Type="http://schemas.openxmlformats.org/officeDocument/2006/relationships/hyperlink" Target="https://paperpile.com/c/VaTxUc/wSs5"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paperpile.com/c/VaTxUc/6hru" TargetMode="External"/><Relationship Id="rId24" Type="http://schemas.openxmlformats.org/officeDocument/2006/relationships/hyperlink" Target="https://paperpile.com/c/VaTxUc/ZZgm" TargetMode="External"/><Relationship Id="rId32" Type="http://schemas.openxmlformats.org/officeDocument/2006/relationships/hyperlink" Target="https://paperpile.com/c/VaTxUc/QUus" TargetMode="External"/><Relationship Id="rId37" Type="http://schemas.openxmlformats.org/officeDocument/2006/relationships/hyperlink" Target="http://paperpile.com/b/VaTxUc/PvSe" TargetMode="External"/><Relationship Id="rId40" Type="http://schemas.openxmlformats.org/officeDocument/2006/relationships/hyperlink" Target="http://paperpile.com/b/VaTxUc/hJXQ" TargetMode="External"/><Relationship Id="rId45" Type="http://schemas.openxmlformats.org/officeDocument/2006/relationships/hyperlink" Target="https://www.app.college.police.uk/app-content/major-investigation-and-public-protection/domestic-abuse/first-response/" TargetMode="External"/><Relationship Id="rId53" Type="http://schemas.openxmlformats.org/officeDocument/2006/relationships/hyperlink" Target="http://paperpile.com/b/VaTxUc/3ijI" TargetMode="External"/><Relationship Id="rId58" Type="http://schemas.openxmlformats.org/officeDocument/2006/relationships/hyperlink" Target="http://paperpile.com/b/VaTxUc/crxw" TargetMode="External"/><Relationship Id="rId66" Type="http://schemas.openxmlformats.org/officeDocument/2006/relationships/hyperlink" Target="http://paperpile.com/b/VaTxUc/02K6" TargetMode="External"/><Relationship Id="rId5" Type="http://schemas.openxmlformats.org/officeDocument/2006/relationships/endnotes" Target="endnotes.xml"/><Relationship Id="rId15" Type="http://schemas.openxmlformats.org/officeDocument/2006/relationships/hyperlink" Target="https://paperpile.com/c/VaTxUc/JLnD" TargetMode="External"/><Relationship Id="rId23" Type="http://schemas.openxmlformats.org/officeDocument/2006/relationships/hyperlink" Target="https://paperpile.com/c/VaTxUc/ZZgm" TargetMode="External"/><Relationship Id="rId28" Type="http://schemas.openxmlformats.org/officeDocument/2006/relationships/hyperlink" Target="https://paperpile.com/c/VaTxUc/WFhO" TargetMode="External"/><Relationship Id="rId36" Type="http://schemas.openxmlformats.org/officeDocument/2006/relationships/hyperlink" Target="https://paperpile.com/c/VaTxUc/wSs5" TargetMode="External"/><Relationship Id="rId49" Type="http://schemas.openxmlformats.org/officeDocument/2006/relationships/hyperlink" Target="http://paperpile.com/b/VaTxUc/siok" TargetMode="External"/><Relationship Id="rId57" Type="http://schemas.openxmlformats.org/officeDocument/2006/relationships/hyperlink" Target="http://paperpile.com/b/VaTxUc/6hru" TargetMode="External"/><Relationship Id="rId61" Type="http://schemas.openxmlformats.org/officeDocument/2006/relationships/hyperlink" Target="http://paperpile.com/b/VaTxUc/VdJn" TargetMode="External"/><Relationship Id="rId10" Type="http://schemas.openxmlformats.org/officeDocument/2006/relationships/hyperlink" Target="https://paperpile.com/c/VaTxUc/6L5g" TargetMode="External"/><Relationship Id="rId19" Type="http://schemas.openxmlformats.org/officeDocument/2006/relationships/hyperlink" Target="https://paperpile.com/c/VaTxUc/Fjco" TargetMode="External"/><Relationship Id="rId31" Type="http://schemas.openxmlformats.org/officeDocument/2006/relationships/hyperlink" Target="https://paperpile.com/c/VaTxUc/02K6" TargetMode="External"/><Relationship Id="rId44" Type="http://schemas.openxmlformats.org/officeDocument/2006/relationships/hyperlink" Target="http://paperpile.com/b/VaTxUc/rwyZ" TargetMode="External"/><Relationship Id="rId52" Type="http://schemas.openxmlformats.org/officeDocument/2006/relationships/hyperlink" Target="http://paperpile.com/b/VaTxUc/JRoc" TargetMode="External"/><Relationship Id="rId60" Type="http://schemas.openxmlformats.org/officeDocument/2006/relationships/hyperlink" Target="http://paperpile.com/b/VaTxUc/jA7C" TargetMode="External"/><Relationship Id="rId65" Type="http://schemas.openxmlformats.org/officeDocument/2006/relationships/hyperlink" Target="http://paperpile.com/b/VaTxUc/bBuq" TargetMode="External"/><Relationship Id="rId4" Type="http://schemas.openxmlformats.org/officeDocument/2006/relationships/footnotes" Target="footnotes.xml"/><Relationship Id="rId9" Type="http://schemas.openxmlformats.org/officeDocument/2006/relationships/hyperlink" Target="https://paperpile.com/c/VaTxUc/bBuq" TargetMode="External"/><Relationship Id="rId14" Type="http://schemas.openxmlformats.org/officeDocument/2006/relationships/hyperlink" Target="https://paperpile.com/c/VaTxUc/wSs5" TargetMode="External"/><Relationship Id="rId22" Type="http://schemas.openxmlformats.org/officeDocument/2006/relationships/hyperlink" Target="https://paperpile.com/c/VaTxUc/siok" TargetMode="External"/><Relationship Id="rId27" Type="http://schemas.openxmlformats.org/officeDocument/2006/relationships/hyperlink" Target="https://paperpile.com/c/VaTxUc/JRoc" TargetMode="External"/><Relationship Id="rId30" Type="http://schemas.openxmlformats.org/officeDocument/2006/relationships/hyperlink" Target="https://paperpile.com/c/VaTxUc/55RJ" TargetMode="External"/><Relationship Id="rId35" Type="http://schemas.openxmlformats.org/officeDocument/2006/relationships/hyperlink" Target="https://paperpile.com/c/VaTxUc/AvyR" TargetMode="External"/><Relationship Id="rId43" Type="http://schemas.openxmlformats.org/officeDocument/2006/relationships/hyperlink" Target="http://paperpile.com/b/VaTxUc/JLnD" TargetMode="External"/><Relationship Id="rId48" Type="http://schemas.openxmlformats.org/officeDocument/2006/relationships/hyperlink" Target="https://www.gov.uk/government/organisations/forensic-science-regulator" TargetMode="External"/><Relationship Id="rId56" Type="http://schemas.openxmlformats.org/officeDocument/2006/relationships/hyperlink" Target="http://paperpile.com/b/VaTxUc/55RJ" TargetMode="External"/><Relationship Id="rId64" Type="http://schemas.openxmlformats.org/officeDocument/2006/relationships/hyperlink" Target="http://paperpile.com/b/VaTxUc/WFhO" TargetMode="External"/><Relationship Id="rId69" Type="http://schemas.openxmlformats.org/officeDocument/2006/relationships/header" Target="header2.xml"/><Relationship Id="rId8" Type="http://schemas.openxmlformats.org/officeDocument/2006/relationships/hyperlink" Target="https://paperpile.com/c/VaTxUc/rwyZ" TargetMode="External"/><Relationship Id="rId51" Type="http://schemas.openxmlformats.org/officeDocument/2006/relationships/hyperlink" Target="https://patentimages.storage.googleapis.com/15/be/9e/9c29eaec3420a6/US8364642.pdf" TargetMode="External"/><Relationship Id="rId72"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paperpile.com/c/VaTxUc/hffg" TargetMode="External"/><Relationship Id="rId17" Type="http://schemas.openxmlformats.org/officeDocument/2006/relationships/hyperlink" Target="https://paperpile.com/c/VaTxUc/TiZn" TargetMode="External"/><Relationship Id="rId25" Type="http://schemas.openxmlformats.org/officeDocument/2006/relationships/hyperlink" Target="https://paperpile.com/c/VaTxUc/PvSe" TargetMode="External"/><Relationship Id="rId33" Type="http://schemas.openxmlformats.org/officeDocument/2006/relationships/hyperlink" Target="https://paperpile.com/c/VaTxUc/jA7C" TargetMode="External"/><Relationship Id="rId38" Type="http://schemas.openxmlformats.org/officeDocument/2006/relationships/hyperlink" Target="http://paperpile.com/b/VaTxUc/hffg" TargetMode="External"/><Relationship Id="rId46" Type="http://schemas.openxmlformats.org/officeDocument/2006/relationships/hyperlink" Target="http://paperpile.com/b/VaTxUc/rwyZ" TargetMode="External"/><Relationship Id="rId59" Type="http://schemas.openxmlformats.org/officeDocument/2006/relationships/hyperlink" Target="http://paperpile.com/b/VaTxUc/Fjco" TargetMode="External"/><Relationship Id="rId67" Type="http://schemas.openxmlformats.org/officeDocument/2006/relationships/hyperlink" Target="http://paperpile.com/b/VaTxUc/QUus" TargetMode="External"/><Relationship Id="rId20" Type="http://schemas.openxmlformats.org/officeDocument/2006/relationships/hyperlink" Target="https://paperpile.com/c/VaTxUc/VdJn" TargetMode="External"/><Relationship Id="rId41" Type="http://schemas.openxmlformats.org/officeDocument/2006/relationships/hyperlink" Target="https://www.app.college.police.uk/app-content/major-investigation-and-public-protection/child-abuse/concern-for-a-child/" TargetMode="External"/><Relationship Id="rId54" Type="http://schemas.openxmlformats.org/officeDocument/2006/relationships/hyperlink" Target="http://paperpile.com/b/VaTxUc/ZZgm" TargetMode="External"/><Relationship Id="rId62" Type="http://schemas.openxmlformats.org/officeDocument/2006/relationships/hyperlink" Target="http://paperpile.com/b/VaTxUc/wSs5" TargetMode="External"/><Relationship Id="rId7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3581</Words>
  <Characters>20412</Characters>
  <Application>Microsoft Office Word</Application>
  <DocSecurity>0</DocSecurity>
  <Lines>170</Lines>
  <Paragraphs>47</Paragraphs>
  <ScaleCrop>false</ScaleCrop>
  <Company/>
  <LinksUpToDate>false</LinksUpToDate>
  <CharactersWithSpaces>23946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Cassie Hammond</dc:creator>
  <cp:lastModifiedBy>Cassie Hammond</cp:lastModifiedBy>
  <cp:revision>2</cp:revision>
  <dcterms:created xsi:type="dcterms:W3CDTF">2020-11-04T11:00:00Z</dcterms:created>
  <dcterms:modified xsi:type="dcterms:W3CDTF">2020-11-04T11:00:00Z</dcterms:modified>
</cp:coreProperties>
</file>