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561473" w14:textId="45A16AAA" w:rsidR="00DE65CA" w:rsidRPr="00864E82" w:rsidRDefault="00864E82" w:rsidP="00864E82">
      <w:pPr>
        <w:spacing w:line="360" w:lineRule="auto"/>
        <w:jc w:val="center"/>
        <w:rPr>
          <w:rFonts w:ascii="Arial" w:hAnsi="Arial" w:cs="Arial"/>
          <w:color w:val="000000" w:themeColor="text1"/>
          <w:sz w:val="24"/>
          <w:lang w:val="en-IN"/>
        </w:rPr>
      </w:pPr>
      <w:bookmarkStart w:id="0" w:name="_GoBack"/>
      <w:bookmarkEnd w:id="0"/>
      <w:r>
        <w:rPr>
          <w:rFonts w:ascii="Arial" w:hAnsi="Arial" w:cs="Arial"/>
          <w:noProof/>
          <w:color w:val="000000" w:themeColor="text1"/>
          <w:sz w:val="24"/>
          <w:lang w:val="en-IN" w:eastAsia="en-IN" w:bidi="gu-IN"/>
        </w:rPr>
        <w:drawing>
          <wp:inline distT="0" distB="0" distL="0" distR="0" wp14:anchorId="5C85D705" wp14:editId="0F630A21">
            <wp:extent cx="5621655" cy="2471596"/>
            <wp:effectExtent l="0" t="0" r="4445" b="5080"/>
            <wp:docPr id="1478888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888987" name="Picture 1478888987"/>
                    <pic:cNvPicPr/>
                  </pic:nvPicPr>
                  <pic:blipFill>
                    <a:blip r:embed="rId8">
                      <a:extLst>
                        <a:ext uri="{28A0092B-C50C-407E-A947-70E740481C1C}">
                          <a14:useLocalDpi xmlns:a14="http://schemas.microsoft.com/office/drawing/2010/main" val="0"/>
                        </a:ext>
                      </a:extLst>
                    </a:blip>
                    <a:stretch>
                      <a:fillRect/>
                    </a:stretch>
                  </pic:blipFill>
                  <pic:spPr>
                    <a:xfrm>
                      <a:off x="0" y="0"/>
                      <a:ext cx="5673381" cy="2494338"/>
                    </a:xfrm>
                    <a:prstGeom prst="rect">
                      <a:avLst/>
                    </a:prstGeom>
                  </pic:spPr>
                </pic:pic>
              </a:graphicData>
            </a:graphic>
          </wp:inline>
        </w:drawing>
      </w:r>
    </w:p>
    <w:p w14:paraId="5D096CE5" w14:textId="77777777" w:rsidR="00A04ADD" w:rsidRPr="00864E82" w:rsidRDefault="00A04ADD" w:rsidP="00C55ABF">
      <w:pPr>
        <w:spacing w:line="360" w:lineRule="auto"/>
        <w:jc w:val="both"/>
        <w:rPr>
          <w:rFonts w:ascii="Arial" w:hAnsi="Arial" w:cs="Arial"/>
          <w:color w:val="000000" w:themeColor="text1"/>
          <w:sz w:val="24"/>
          <w:lang w:val="en-IN"/>
        </w:rPr>
      </w:pPr>
    </w:p>
    <w:p w14:paraId="4DA36E00" w14:textId="77777777" w:rsidR="00DE65CA" w:rsidRPr="00864E82" w:rsidRDefault="00DE65CA" w:rsidP="00C55ABF">
      <w:pPr>
        <w:spacing w:line="360" w:lineRule="auto"/>
        <w:jc w:val="both"/>
        <w:rPr>
          <w:rFonts w:ascii="Arial" w:hAnsi="Arial" w:cs="Arial"/>
          <w:color w:val="000000" w:themeColor="text1"/>
          <w:sz w:val="24"/>
          <w:lang w:val="en-IN"/>
        </w:rPr>
      </w:pPr>
    </w:p>
    <w:p w14:paraId="11BFC38E" w14:textId="77777777" w:rsidR="00DE65CA" w:rsidRPr="00864E82" w:rsidRDefault="00DE65CA" w:rsidP="00C55ABF">
      <w:pPr>
        <w:spacing w:line="360" w:lineRule="auto"/>
        <w:jc w:val="both"/>
        <w:rPr>
          <w:rFonts w:ascii="Arial" w:hAnsi="Arial" w:cs="Arial"/>
          <w:color w:val="000000" w:themeColor="text1"/>
          <w:sz w:val="24"/>
          <w:lang w:val="en-IN"/>
        </w:rPr>
      </w:pPr>
    </w:p>
    <w:p w14:paraId="640CF3CD" w14:textId="77777777" w:rsidR="004D0583" w:rsidRDefault="004D0583" w:rsidP="004D0583">
      <w:pPr>
        <w:spacing w:after="0" w:line="360" w:lineRule="auto"/>
        <w:jc w:val="center"/>
        <w:rPr>
          <w:rFonts w:ascii="Arial" w:hAnsi="Arial" w:cs="Arial"/>
          <w:b/>
          <w:bCs/>
          <w:color w:val="000000" w:themeColor="text1"/>
          <w:sz w:val="32"/>
          <w:lang w:val="en-IN"/>
        </w:rPr>
      </w:pPr>
      <w:r>
        <w:rPr>
          <w:rFonts w:ascii="Arial" w:hAnsi="Arial" w:cs="Arial"/>
          <w:b/>
          <w:bCs/>
          <w:color w:val="000000" w:themeColor="text1"/>
          <w:sz w:val="32"/>
          <w:lang w:val="en-IN"/>
        </w:rPr>
        <w:t xml:space="preserve">Programme Name: </w:t>
      </w:r>
      <w:r w:rsidRPr="0089084A">
        <w:rPr>
          <w:rFonts w:ascii="Arial" w:hAnsi="Arial" w:cs="Arial"/>
          <w:b/>
          <w:bCs/>
          <w:color w:val="000000" w:themeColor="text1"/>
          <w:sz w:val="32"/>
          <w:lang w:val="en-IN"/>
        </w:rPr>
        <w:t>Master of Business Administration</w:t>
      </w:r>
    </w:p>
    <w:p w14:paraId="5FF1E2C0" w14:textId="77777777" w:rsidR="004D0583" w:rsidRDefault="004D0583" w:rsidP="004D0583">
      <w:pPr>
        <w:spacing w:after="0" w:line="360" w:lineRule="auto"/>
        <w:jc w:val="center"/>
        <w:rPr>
          <w:rFonts w:ascii="Arial" w:hAnsi="Arial" w:cs="Arial"/>
          <w:b/>
          <w:bCs/>
          <w:color w:val="000000" w:themeColor="text1"/>
          <w:sz w:val="32"/>
          <w:lang w:val="en-IN"/>
        </w:rPr>
      </w:pPr>
    </w:p>
    <w:p w14:paraId="1483FAAD" w14:textId="77777777" w:rsidR="004D0583" w:rsidRDefault="004D0583" w:rsidP="004D0583">
      <w:pPr>
        <w:spacing w:after="0" w:line="360" w:lineRule="auto"/>
        <w:jc w:val="center"/>
        <w:rPr>
          <w:rFonts w:ascii="Arial" w:hAnsi="Arial" w:cs="Arial"/>
          <w:b/>
          <w:bCs/>
          <w:color w:val="000000" w:themeColor="text1"/>
          <w:sz w:val="32"/>
          <w:lang w:val="en-IN"/>
        </w:rPr>
      </w:pPr>
      <w:r w:rsidRPr="007E5A36">
        <w:rPr>
          <w:rFonts w:ascii="Arial" w:hAnsi="Arial" w:cs="Arial"/>
          <w:b/>
          <w:bCs/>
          <w:color w:val="000000" w:themeColor="text1"/>
          <w:sz w:val="32"/>
          <w:lang w:val="en-IN"/>
        </w:rPr>
        <w:t xml:space="preserve">Module Name: </w:t>
      </w:r>
      <w:r w:rsidRPr="004D0583">
        <w:rPr>
          <w:rFonts w:ascii="Arial" w:hAnsi="Arial" w:cs="Arial"/>
          <w:b/>
          <w:bCs/>
          <w:color w:val="000000" w:themeColor="text1"/>
          <w:sz w:val="32"/>
          <w:lang w:val="en-IN"/>
        </w:rPr>
        <w:t xml:space="preserve">International Marketing: Principles and Practices </w:t>
      </w:r>
    </w:p>
    <w:p w14:paraId="31805AE9" w14:textId="20EBE384" w:rsidR="004D0583" w:rsidRPr="007E5A36" w:rsidRDefault="004D0583" w:rsidP="004D0583">
      <w:pPr>
        <w:spacing w:after="0" w:line="360" w:lineRule="auto"/>
        <w:jc w:val="center"/>
        <w:rPr>
          <w:rFonts w:ascii="Arial" w:hAnsi="Arial" w:cs="Arial"/>
          <w:b/>
          <w:bCs/>
          <w:color w:val="000000" w:themeColor="text1"/>
          <w:sz w:val="32"/>
          <w:lang w:val="en-IN"/>
        </w:rPr>
      </w:pPr>
      <w:r w:rsidRPr="007E5A36">
        <w:rPr>
          <w:rFonts w:ascii="Arial" w:hAnsi="Arial" w:cs="Arial"/>
          <w:b/>
          <w:bCs/>
          <w:color w:val="000000" w:themeColor="text1"/>
          <w:sz w:val="32"/>
          <w:lang w:val="en-IN"/>
        </w:rPr>
        <w:t>Module Code: LCMB70</w:t>
      </w:r>
      <w:r>
        <w:rPr>
          <w:rFonts w:ascii="Arial" w:hAnsi="Arial" w:cs="Arial"/>
          <w:b/>
          <w:bCs/>
          <w:color w:val="000000" w:themeColor="text1"/>
          <w:sz w:val="32"/>
          <w:lang w:val="en-IN"/>
        </w:rPr>
        <w:t>26</w:t>
      </w:r>
    </w:p>
    <w:p w14:paraId="242C73B7" w14:textId="77777777" w:rsidR="004D0583" w:rsidRPr="0089084A" w:rsidRDefault="004D0583" w:rsidP="004D0583">
      <w:pPr>
        <w:spacing w:after="0" w:line="360" w:lineRule="auto"/>
        <w:jc w:val="center"/>
        <w:rPr>
          <w:rFonts w:ascii="Arial" w:hAnsi="Arial" w:cs="Arial"/>
          <w:color w:val="000000" w:themeColor="text1"/>
          <w:sz w:val="32"/>
          <w:lang w:val="en-IN"/>
        </w:rPr>
      </w:pPr>
    </w:p>
    <w:p w14:paraId="585FE981" w14:textId="18F83558" w:rsidR="004D0583" w:rsidRPr="007E5A36" w:rsidRDefault="004D0583" w:rsidP="004D0583">
      <w:pPr>
        <w:spacing w:after="0" w:line="360" w:lineRule="auto"/>
        <w:jc w:val="center"/>
        <w:rPr>
          <w:rFonts w:ascii="Arial" w:hAnsi="Arial" w:cs="Arial"/>
          <w:b/>
          <w:bCs/>
          <w:color w:val="000000" w:themeColor="text1"/>
          <w:sz w:val="32"/>
          <w:lang w:val="en-IN"/>
        </w:rPr>
      </w:pPr>
      <w:r>
        <w:rPr>
          <w:rFonts w:ascii="Arial" w:hAnsi="Arial" w:cs="Arial"/>
          <w:b/>
          <w:bCs/>
          <w:color w:val="000000" w:themeColor="text1"/>
          <w:sz w:val="32"/>
          <w:lang w:val="en-IN"/>
        </w:rPr>
        <w:t xml:space="preserve">Assessment Title: </w:t>
      </w:r>
      <w:r w:rsidRPr="004D0583">
        <w:rPr>
          <w:rFonts w:ascii="Arial" w:hAnsi="Arial" w:cs="Arial"/>
          <w:b/>
          <w:bCs/>
          <w:color w:val="000000" w:themeColor="text1"/>
          <w:sz w:val="32"/>
          <w:lang w:val="en-IN"/>
        </w:rPr>
        <w:t>INTERNATIONAL MARKET ENTRY STRATEGY AND MARKETING MIX: A COMPARATIVE ANALYSIS OF TOYOTA IN JAPAN (HOME COUNTRY) AND SINGAPORE (HOST COUNTRY)</w:t>
      </w:r>
    </w:p>
    <w:p w14:paraId="728DD247" w14:textId="77777777" w:rsidR="004D0583" w:rsidRPr="007E5A36" w:rsidRDefault="004D0583" w:rsidP="004D0583">
      <w:pPr>
        <w:spacing w:after="0" w:line="360" w:lineRule="auto"/>
        <w:jc w:val="center"/>
        <w:rPr>
          <w:rFonts w:ascii="Arial" w:hAnsi="Arial" w:cs="Arial"/>
          <w:color w:val="000000" w:themeColor="text1"/>
          <w:sz w:val="32"/>
          <w:lang w:val="en-IN"/>
        </w:rPr>
      </w:pPr>
    </w:p>
    <w:p w14:paraId="45C8D485" w14:textId="77777777" w:rsidR="004D0583" w:rsidRPr="007E5A36" w:rsidRDefault="004D0583" w:rsidP="004D0583">
      <w:pPr>
        <w:spacing w:after="0" w:line="360" w:lineRule="auto"/>
        <w:jc w:val="center"/>
        <w:rPr>
          <w:rFonts w:ascii="Arial" w:hAnsi="Arial" w:cs="Arial"/>
          <w:b/>
          <w:bCs/>
          <w:color w:val="000000" w:themeColor="text1"/>
          <w:sz w:val="32"/>
          <w:lang w:val="en-IN"/>
        </w:rPr>
      </w:pPr>
      <w:r>
        <w:rPr>
          <w:rFonts w:ascii="Arial" w:hAnsi="Arial" w:cs="Arial"/>
          <w:b/>
          <w:bCs/>
          <w:color w:val="000000" w:themeColor="text1"/>
          <w:sz w:val="32"/>
          <w:lang w:val="en-IN"/>
        </w:rPr>
        <w:t xml:space="preserve">Student Name: </w:t>
      </w:r>
      <w:proofErr w:type="spellStart"/>
      <w:r>
        <w:rPr>
          <w:rFonts w:ascii="Arial" w:hAnsi="Arial" w:cs="Arial"/>
          <w:b/>
          <w:bCs/>
          <w:color w:val="000000" w:themeColor="text1"/>
          <w:sz w:val="32"/>
          <w:lang w:val="en-IN"/>
        </w:rPr>
        <w:t>K</w:t>
      </w:r>
      <w:r w:rsidRPr="0089084A">
        <w:rPr>
          <w:rFonts w:ascii="Arial" w:hAnsi="Arial" w:cs="Arial"/>
          <w:b/>
          <w:bCs/>
          <w:color w:val="000000" w:themeColor="text1"/>
          <w:sz w:val="32"/>
          <w:lang w:val="en-IN"/>
        </w:rPr>
        <w:t>hatijabibi</w:t>
      </w:r>
      <w:proofErr w:type="spellEnd"/>
      <w:r w:rsidRPr="0089084A">
        <w:rPr>
          <w:rFonts w:ascii="Arial" w:hAnsi="Arial" w:cs="Arial"/>
          <w:b/>
          <w:bCs/>
          <w:color w:val="000000" w:themeColor="text1"/>
          <w:sz w:val="32"/>
          <w:lang w:val="en-IN"/>
        </w:rPr>
        <w:t xml:space="preserve"> </w:t>
      </w:r>
      <w:proofErr w:type="spellStart"/>
      <w:r>
        <w:rPr>
          <w:rFonts w:ascii="Arial" w:hAnsi="Arial" w:cs="Arial"/>
          <w:b/>
          <w:bCs/>
          <w:color w:val="000000" w:themeColor="text1"/>
          <w:sz w:val="32"/>
          <w:lang w:val="en-IN"/>
        </w:rPr>
        <w:t>M</w:t>
      </w:r>
      <w:r w:rsidRPr="0089084A">
        <w:rPr>
          <w:rFonts w:ascii="Arial" w:hAnsi="Arial" w:cs="Arial"/>
          <w:b/>
          <w:bCs/>
          <w:color w:val="000000" w:themeColor="text1"/>
          <w:sz w:val="32"/>
          <w:lang w:val="en-IN"/>
        </w:rPr>
        <w:t>ahebubbhai</w:t>
      </w:r>
      <w:proofErr w:type="spellEnd"/>
      <w:r w:rsidRPr="0089084A">
        <w:rPr>
          <w:rFonts w:ascii="Arial" w:hAnsi="Arial" w:cs="Arial"/>
          <w:b/>
          <w:bCs/>
          <w:color w:val="000000" w:themeColor="text1"/>
          <w:sz w:val="32"/>
          <w:lang w:val="en-IN"/>
        </w:rPr>
        <w:t xml:space="preserve"> </w:t>
      </w:r>
      <w:r>
        <w:rPr>
          <w:rFonts w:ascii="Arial" w:hAnsi="Arial" w:cs="Arial"/>
          <w:b/>
          <w:bCs/>
          <w:color w:val="000000" w:themeColor="text1"/>
          <w:sz w:val="32"/>
          <w:lang w:val="en-IN"/>
        </w:rPr>
        <w:t>R</w:t>
      </w:r>
      <w:r w:rsidRPr="0089084A">
        <w:rPr>
          <w:rFonts w:ascii="Arial" w:hAnsi="Arial" w:cs="Arial"/>
          <w:b/>
          <w:bCs/>
          <w:color w:val="000000" w:themeColor="text1"/>
          <w:sz w:val="32"/>
          <w:lang w:val="en-IN"/>
        </w:rPr>
        <w:t>adhanpuri</w:t>
      </w:r>
    </w:p>
    <w:p w14:paraId="5CC20737" w14:textId="054F8E59" w:rsidR="004D0583" w:rsidRPr="004D0583" w:rsidRDefault="004D0583" w:rsidP="004D0583">
      <w:pPr>
        <w:spacing w:after="0" w:line="360" w:lineRule="auto"/>
        <w:jc w:val="center"/>
        <w:rPr>
          <w:rFonts w:ascii="Arial" w:hAnsi="Arial" w:cs="Arial"/>
          <w:b/>
          <w:bCs/>
          <w:color w:val="000000" w:themeColor="text1"/>
          <w:sz w:val="32"/>
          <w:lang w:val="en-IN"/>
        </w:rPr>
      </w:pPr>
      <w:r>
        <w:rPr>
          <w:rFonts w:ascii="Arial" w:hAnsi="Arial" w:cs="Arial"/>
          <w:b/>
          <w:bCs/>
          <w:color w:val="000000" w:themeColor="text1"/>
          <w:sz w:val="32"/>
          <w:lang w:val="en-IN"/>
        </w:rPr>
        <w:t xml:space="preserve">Student ID: </w:t>
      </w:r>
      <w:r w:rsidRPr="00980BEF">
        <w:rPr>
          <w:rFonts w:ascii="Arial" w:hAnsi="Arial" w:cs="Arial"/>
          <w:b/>
          <w:bCs/>
          <w:color w:val="000000" w:themeColor="text1"/>
          <w:sz w:val="32"/>
          <w:lang w:val="en-IN"/>
        </w:rPr>
        <w:t>2420022</w:t>
      </w:r>
    </w:p>
    <w:p w14:paraId="51B5B59C" w14:textId="1C95293A" w:rsidR="00864E82" w:rsidRPr="00864E82" w:rsidRDefault="00864E82" w:rsidP="00C55ABF">
      <w:pPr>
        <w:spacing w:line="360" w:lineRule="auto"/>
        <w:jc w:val="center"/>
        <w:rPr>
          <w:rFonts w:ascii="Arial" w:hAnsi="Arial" w:cs="Arial"/>
          <w:b/>
          <w:color w:val="000000" w:themeColor="text1"/>
          <w:sz w:val="32"/>
          <w:lang w:val="en-IN"/>
        </w:rPr>
      </w:pPr>
      <w:r>
        <w:rPr>
          <w:rFonts w:ascii="Arial" w:hAnsi="Arial" w:cs="Arial"/>
          <w:b/>
          <w:color w:val="000000" w:themeColor="text1"/>
          <w:sz w:val="32"/>
          <w:lang w:val="en-IN"/>
        </w:rPr>
        <w:t xml:space="preserve">Word Count: </w:t>
      </w:r>
      <w:r w:rsidR="00433303">
        <w:rPr>
          <w:rFonts w:ascii="Arial" w:hAnsi="Arial" w:cs="Arial"/>
          <w:b/>
          <w:color w:val="000000" w:themeColor="text1"/>
          <w:sz w:val="32"/>
          <w:lang w:val="en-IN"/>
        </w:rPr>
        <w:t>5</w:t>
      </w:r>
      <w:r w:rsidR="004A6482">
        <w:rPr>
          <w:rFonts w:ascii="Arial" w:hAnsi="Arial" w:cs="Arial"/>
          <w:b/>
          <w:color w:val="000000" w:themeColor="text1"/>
          <w:sz w:val="32"/>
          <w:lang w:val="en-IN"/>
        </w:rPr>
        <w:t>170</w:t>
      </w:r>
    </w:p>
    <w:sdt>
      <w:sdtPr>
        <w:rPr>
          <w:rFonts w:ascii="Arial" w:eastAsiaTheme="minorHAnsi" w:hAnsi="Arial" w:cs="Arial"/>
          <w:b/>
          <w:color w:val="000000" w:themeColor="text1"/>
          <w:sz w:val="22"/>
          <w:szCs w:val="22"/>
          <w:lang w:val="en-GB"/>
        </w:rPr>
        <w:id w:val="883454906"/>
        <w:docPartObj>
          <w:docPartGallery w:val="Table of Contents"/>
          <w:docPartUnique/>
        </w:docPartObj>
      </w:sdtPr>
      <w:sdtEndPr>
        <w:rPr>
          <w:bCs/>
          <w:noProof/>
        </w:rPr>
      </w:sdtEndPr>
      <w:sdtContent>
        <w:p w14:paraId="223071DC" w14:textId="77777777" w:rsidR="00F84A48" w:rsidRPr="00864E82" w:rsidRDefault="008448E0" w:rsidP="00EA42DE">
          <w:pPr>
            <w:pStyle w:val="TOCHeading"/>
            <w:spacing w:line="360" w:lineRule="auto"/>
            <w:jc w:val="center"/>
            <w:rPr>
              <w:rFonts w:ascii="Arial" w:hAnsi="Arial" w:cs="Arial"/>
              <w:b/>
              <w:color w:val="000000" w:themeColor="text1"/>
              <w:sz w:val="24"/>
              <w:szCs w:val="24"/>
            </w:rPr>
          </w:pPr>
          <w:r w:rsidRPr="00864E82">
            <w:rPr>
              <w:rFonts w:ascii="Arial" w:hAnsi="Arial" w:cs="Arial"/>
              <w:b/>
              <w:color w:val="000000" w:themeColor="text1"/>
              <w:sz w:val="24"/>
              <w:szCs w:val="24"/>
            </w:rPr>
            <w:t>Table of Contents</w:t>
          </w:r>
        </w:p>
        <w:p w14:paraId="378CB720" w14:textId="77777777" w:rsidR="00EA42DE" w:rsidRPr="00864E82" w:rsidRDefault="008448E0" w:rsidP="00EA42DE">
          <w:pPr>
            <w:pStyle w:val="TOC1"/>
            <w:tabs>
              <w:tab w:val="right" w:leader="dot" w:pos="9016"/>
            </w:tabs>
            <w:spacing w:line="360" w:lineRule="auto"/>
            <w:rPr>
              <w:rFonts w:ascii="Arial" w:eastAsiaTheme="minorEastAsia" w:hAnsi="Arial" w:cs="Arial"/>
              <w:noProof/>
              <w:sz w:val="24"/>
              <w:szCs w:val="24"/>
              <w:lang w:val="en-IN" w:eastAsia="en-IN"/>
            </w:rPr>
          </w:pPr>
          <w:r w:rsidRPr="00864E82">
            <w:rPr>
              <w:rFonts w:ascii="Arial" w:hAnsi="Arial" w:cs="Arial"/>
              <w:color w:val="000000" w:themeColor="text1"/>
              <w:sz w:val="24"/>
              <w:szCs w:val="24"/>
            </w:rPr>
            <w:fldChar w:fldCharType="begin"/>
          </w:r>
          <w:r w:rsidRPr="00864E82">
            <w:rPr>
              <w:rFonts w:ascii="Arial" w:hAnsi="Arial" w:cs="Arial"/>
              <w:color w:val="000000" w:themeColor="text1"/>
              <w:sz w:val="24"/>
              <w:szCs w:val="24"/>
            </w:rPr>
            <w:instrText xml:space="preserve"> TOC \o "1-3" \h \z \u </w:instrText>
          </w:r>
          <w:r w:rsidRPr="00864E82">
            <w:rPr>
              <w:rFonts w:ascii="Arial" w:hAnsi="Arial" w:cs="Arial"/>
              <w:color w:val="000000" w:themeColor="text1"/>
              <w:sz w:val="24"/>
              <w:szCs w:val="24"/>
            </w:rPr>
            <w:fldChar w:fldCharType="separate"/>
          </w:r>
          <w:hyperlink w:anchor="_Toc236957841" w:history="1">
            <w:r w:rsidRPr="00864E82">
              <w:rPr>
                <w:rStyle w:val="Hyperlink"/>
                <w:rFonts w:ascii="Arial" w:hAnsi="Arial" w:cs="Arial"/>
                <w:noProof/>
                <w:sz w:val="24"/>
                <w:szCs w:val="24"/>
              </w:rPr>
              <w:t>Section 1: International Marketing Report</w:t>
            </w:r>
            <w:r w:rsidRPr="00864E82">
              <w:rPr>
                <w:rFonts w:ascii="Arial" w:hAnsi="Arial" w:cs="Arial"/>
                <w:noProof/>
                <w:webHidden/>
                <w:sz w:val="24"/>
                <w:szCs w:val="24"/>
              </w:rPr>
              <w:tab/>
            </w:r>
            <w:r w:rsidRPr="00864E82">
              <w:rPr>
                <w:rFonts w:ascii="Arial" w:hAnsi="Arial" w:cs="Arial"/>
                <w:noProof/>
                <w:webHidden/>
                <w:sz w:val="24"/>
                <w:szCs w:val="24"/>
              </w:rPr>
              <w:fldChar w:fldCharType="begin"/>
            </w:r>
            <w:r w:rsidRPr="00864E82">
              <w:rPr>
                <w:rFonts w:ascii="Arial" w:hAnsi="Arial" w:cs="Arial"/>
                <w:noProof/>
                <w:webHidden/>
                <w:sz w:val="24"/>
                <w:szCs w:val="24"/>
              </w:rPr>
              <w:instrText xml:space="preserve"> PAGEREF _Toc236957841 \h </w:instrText>
            </w:r>
            <w:r w:rsidRPr="00864E82">
              <w:rPr>
                <w:rFonts w:ascii="Arial" w:hAnsi="Arial" w:cs="Arial"/>
                <w:noProof/>
                <w:webHidden/>
                <w:sz w:val="24"/>
                <w:szCs w:val="24"/>
              </w:rPr>
            </w:r>
            <w:r w:rsidRPr="00864E82">
              <w:rPr>
                <w:rFonts w:ascii="Arial" w:hAnsi="Arial" w:cs="Arial"/>
                <w:noProof/>
                <w:webHidden/>
                <w:sz w:val="24"/>
                <w:szCs w:val="24"/>
              </w:rPr>
              <w:fldChar w:fldCharType="separate"/>
            </w:r>
            <w:r w:rsidRPr="00864E82">
              <w:rPr>
                <w:rFonts w:ascii="Arial" w:hAnsi="Arial" w:cs="Arial"/>
                <w:noProof/>
                <w:webHidden/>
                <w:sz w:val="24"/>
                <w:szCs w:val="24"/>
              </w:rPr>
              <w:t>4</w:t>
            </w:r>
            <w:r w:rsidRPr="00864E82">
              <w:rPr>
                <w:rFonts w:ascii="Arial" w:hAnsi="Arial" w:cs="Arial"/>
                <w:noProof/>
                <w:webHidden/>
                <w:sz w:val="24"/>
                <w:szCs w:val="24"/>
              </w:rPr>
              <w:fldChar w:fldCharType="end"/>
            </w:r>
          </w:hyperlink>
        </w:p>
        <w:p w14:paraId="2C5A14ED"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42" w:history="1">
            <w:r w:rsidR="008448E0" w:rsidRPr="00864E82">
              <w:rPr>
                <w:rStyle w:val="Hyperlink"/>
                <w:rFonts w:ascii="Arial" w:hAnsi="Arial" w:cs="Arial"/>
                <w:noProof/>
                <w:sz w:val="24"/>
                <w:szCs w:val="24"/>
              </w:rPr>
              <w:t>1. Introduction</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_Toc236957842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4</w:t>
            </w:r>
            <w:r w:rsidR="008448E0" w:rsidRPr="00864E82">
              <w:rPr>
                <w:rFonts w:ascii="Arial" w:hAnsi="Arial" w:cs="Arial"/>
                <w:noProof/>
                <w:webHidden/>
                <w:sz w:val="24"/>
                <w:szCs w:val="24"/>
              </w:rPr>
              <w:fldChar w:fldCharType="end"/>
            </w:r>
          </w:hyperlink>
        </w:p>
        <w:p w14:paraId="16E19AD2"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43" w:history="1">
            <w:r w:rsidR="008448E0" w:rsidRPr="00864E82">
              <w:rPr>
                <w:rStyle w:val="Hyperlink"/>
                <w:rFonts w:ascii="Arial" w:hAnsi="Arial" w:cs="Arial"/>
                <w:noProof/>
                <w:sz w:val="24"/>
                <w:szCs w:val="24"/>
              </w:rPr>
              <w:t>2. Comparative Analysis of the Markets</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_Toc236957843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4</w:t>
            </w:r>
            <w:r w:rsidR="008448E0" w:rsidRPr="00864E82">
              <w:rPr>
                <w:rFonts w:ascii="Arial" w:hAnsi="Arial" w:cs="Arial"/>
                <w:noProof/>
                <w:webHidden/>
                <w:sz w:val="24"/>
                <w:szCs w:val="24"/>
              </w:rPr>
              <w:fldChar w:fldCharType="end"/>
            </w:r>
          </w:hyperlink>
        </w:p>
        <w:p w14:paraId="67FD3225"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44" w:history="1">
            <w:r w:rsidR="008448E0" w:rsidRPr="00864E82">
              <w:rPr>
                <w:rStyle w:val="Hyperlink"/>
                <w:rFonts w:ascii="Arial" w:hAnsi="Arial" w:cs="Arial"/>
                <w:noProof/>
                <w:sz w:val="24"/>
                <w:szCs w:val="24"/>
              </w:rPr>
              <w:t>2.1 Overview of Toyota in Japan and Singapore</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_Toc236957844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4</w:t>
            </w:r>
            <w:r w:rsidR="008448E0" w:rsidRPr="00864E82">
              <w:rPr>
                <w:rFonts w:ascii="Arial" w:hAnsi="Arial" w:cs="Arial"/>
                <w:noProof/>
                <w:webHidden/>
                <w:sz w:val="24"/>
                <w:szCs w:val="24"/>
              </w:rPr>
              <w:fldChar w:fldCharType="end"/>
            </w:r>
          </w:hyperlink>
        </w:p>
        <w:p w14:paraId="777996B2"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45" w:history="1">
            <w:r w:rsidR="008448E0" w:rsidRPr="00864E82">
              <w:rPr>
                <w:rStyle w:val="Hyperlink"/>
                <w:rFonts w:ascii="Arial" w:hAnsi="Arial" w:cs="Arial"/>
                <w:noProof/>
                <w:sz w:val="24"/>
                <w:szCs w:val="24"/>
              </w:rPr>
              <w:t>2.2 Comparative PESTEL Analysis</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_Toc236957845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5</w:t>
            </w:r>
            <w:r w:rsidR="008448E0" w:rsidRPr="00864E82">
              <w:rPr>
                <w:rFonts w:ascii="Arial" w:hAnsi="Arial" w:cs="Arial"/>
                <w:noProof/>
                <w:webHidden/>
                <w:sz w:val="24"/>
                <w:szCs w:val="24"/>
              </w:rPr>
              <w:fldChar w:fldCharType="end"/>
            </w:r>
          </w:hyperlink>
        </w:p>
        <w:p w14:paraId="0E972207"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46" w:history="1">
            <w:r w:rsidR="008448E0" w:rsidRPr="00864E82">
              <w:rPr>
                <w:rStyle w:val="Hyperlink"/>
                <w:rFonts w:ascii="Arial" w:hAnsi="Arial" w:cs="Arial"/>
                <w:noProof/>
                <w:sz w:val="24"/>
                <w:szCs w:val="24"/>
              </w:rPr>
              <w:t>2.3 Comparative Cultural Analysis Using Hofstede’s Framework</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_Toc236957846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8</w:t>
            </w:r>
            <w:r w:rsidR="008448E0" w:rsidRPr="00864E82">
              <w:rPr>
                <w:rFonts w:ascii="Arial" w:hAnsi="Arial" w:cs="Arial"/>
                <w:noProof/>
                <w:webHidden/>
                <w:sz w:val="24"/>
                <w:szCs w:val="24"/>
              </w:rPr>
              <w:fldChar w:fldCharType="end"/>
            </w:r>
          </w:hyperlink>
        </w:p>
        <w:p w14:paraId="570127A8"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47" w:history="1">
            <w:r w:rsidR="008448E0" w:rsidRPr="00864E82">
              <w:rPr>
                <w:rStyle w:val="Hyperlink"/>
                <w:rFonts w:ascii="Arial" w:hAnsi="Arial" w:cs="Arial"/>
                <w:noProof/>
                <w:sz w:val="24"/>
                <w:szCs w:val="24"/>
              </w:rPr>
              <w:t>3. Comparative Analysis of STP and International Marketing Mix</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_Toc236957847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9</w:t>
            </w:r>
            <w:r w:rsidR="008448E0" w:rsidRPr="00864E82">
              <w:rPr>
                <w:rFonts w:ascii="Arial" w:hAnsi="Arial" w:cs="Arial"/>
                <w:noProof/>
                <w:webHidden/>
                <w:sz w:val="24"/>
                <w:szCs w:val="24"/>
              </w:rPr>
              <w:fldChar w:fldCharType="end"/>
            </w:r>
          </w:hyperlink>
        </w:p>
        <w:p w14:paraId="625B2BF3"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48" w:history="1">
            <w:r w:rsidR="008448E0" w:rsidRPr="00864E82">
              <w:rPr>
                <w:rStyle w:val="Hyperlink"/>
                <w:rFonts w:ascii="Arial" w:hAnsi="Arial" w:cs="Arial"/>
                <w:noProof/>
                <w:sz w:val="24"/>
                <w:szCs w:val="24"/>
              </w:rPr>
              <w:t>3.1 Segmentation Strategy</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_Toc236957848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9</w:t>
            </w:r>
            <w:r w:rsidR="008448E0" w:rsidRPr="00864E82">
              <w:rPr>
                <w:rFonts w:ascii="Arial" w:hAnsi="Arial" w:cs="Arial"/>
                <w:noProof/>
                <w:webHidden/>
                <w:sz w:val="24"/>
                <w:szCs w:val="24"/>
              </w:rPr>
              <w:fldChar w:fldCharType="end"/>
            </w:r>
          </w:hyperlink>
        </w:p>
        <w:p w14:paraId="5EB1F3E6"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49" w:history="1">
            <w:r w:rsidR="008448E0" w:rsidRPr="00864E82">
              <w:rPr>
                <w:rStyle w:val="Hyperlink"/>
                <w:rFonts w:ascii="Arial" w:hAnsi="Arial" w:cs="Arial"/>
                <w:noProof/>
                <w:sz w:val="24"/>
                <w:szCs w:val="24"/>
              </w:rPr>
              <w:t>3.2 Targeting Strategy</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_Toc236957849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10</w:t>
            </w:r>
            <w:r w:rsidR="008448E0" w:rsidRPr="00864E82">
              <w:rPr>
                <w:rFonts w:ascii="Arial" w:hAnsi="Arial" w:cs="Arial"/>
                <w:noProof/>
                <w:webHidden/>
                <w:sz w:val="24"/>
                <w:szCs w:val="24"/>
              </w:rPr>
              <w:fldChar w:fldCharType="end"/>
            </w:r>
          </w:hyperlink>
        </w:p>
        <w:p w14:paraId="6BE6AA99"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0" w:history="1">
            <w:r w:rsidR="008448E0" w:rsidRPr="00864E82">
              <w:rPr>
                <w:rStyle w:val="Hyperlink"/>
                <w:rFonts w:ascii="Arial" w:hAnsi="Arial" w:cs="Arial"/>
                <w:noProof/>
                <w:sz w:val="24"/>
                <w:szCs w:val="24"/>
              </w:rPr>
              <w:t>3.3 Positioning Strategy</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_Toc236957850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11</w:t>
            </w:r>
            <w:r w:rsidR="008448E0" w:rsidRPr="00864E82">
              <w:rPr>
                <w:rFonts w:ascii="Arial" w:hAnsi="Arial" w:cs="Arial"/>
                <w:noProof/>
                <w:webHidden/>
                <w:sz w:val="24"/>
                <w:szCs w:val="24"/>
              </w:rPr>
              <w:fldChar w:fldCharType="end"/>
            </w:r>
          </w:hyperlink>
        </w:p>
        <w:p w14:paraId="0B2BACF1"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1" w:history="1">
            <w:r w:rsidR="008448E0" w:rsidRPr="00864E82">
              <w:rPr>
                <w:rStyle w:val="Hyperlink"/>
                <w:rFonts w:ascii="Arial" w:hAnsi="Arial" w:cs="Arial"/>
                <w:noProof/>
                <w:sz w:val="24"/>
                <w:szCs w:val="24"/>
              </w:rPr>
              <w:t>3.4 Comparative International Marketing Mix</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_Toc236957851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11</w:t>
            </w:r>
            <w:r w:rsidR="008448E0" w:rsidRPr="00864E82">
              <w:rPr>
                <w:rFonts w:ascii="Arial" w:hAnsi="Arial" w:cs="Arial"/>
                <w:noProof/>
                <w:webHidden/>
                <w:sz w:val="24"/>
                <w:szCs w:val="24"/>
              </w:rPr>
              <w:fldChar w:fldCharType="end"/>
            </w:r>
          </w:hyperlink>
        </w:p>
        <w:p w14:paraId="259648AF"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52" w:history="1">
            <w:r w:rsidR="008448E0" w:rsidRPr="00864E82">
              <w:rPr>
                <w:rStyle w:val="Hyperlink"/>
                <w:rFonts w:ascii="Arial" w:hAnsi="Arial" w:cs="Arial"/>
                <w:noProof/>
                <w:sz w:val="24"/>
                <w:szCs w:val="24"/>
              </w:rPr>
              <w:t>4. Analysis of Toyota’s Market Entry Strategy in Singapore</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_Toc236957852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16</w:t>
            </w:r>
            <w:r w:rsidR="008448E0" w:rsidRPr="00864E82">
              <w:rPr>
                <w:rFonts w:ascii="Arial" w:hAnsi="Arial" w:cs="Arial"/>
                <w:noProof/>
                <w:webHidden/>
                <w:sz w:val="24"/>
                <w:szCs w:val="24"/>
              </w:rPr>
              <w:fldChar w:fldCharType="end"/>
            </w:r>
          </w:hyperlink>
        </w:p>
        <w:p w14:paraId="116F1EB8"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3" w:history="1">
            <w:r w:rsidR="008448E0" w:rsidRPr="00864E82">
              <w:rPr>
                <w:rStyle w:val="Hyperlink"/>
                <w:rFonts w:ascii="Arial" w:hAnsi="Arial" w:cs="Arial"/>
                <w:noProof/>
                <w:sz w:val="24"/>
                <w:szCs w:val="24"/>
              </w:rPr>
              <w:t>4.1 Current Entry Arrangement</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_Toc236957853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16</w:t>
            </w:r>
            <w:r w:rsidR="008448E0" w:rsidRPr="00864E82">
              <w:rPr>
                <w:rFonts w:ascii="Arial" w:hAnsi="Arial" w:cs="Arial"/>
                <w:noProof/>
                <w:webHidden/>
                <w:sz w:val="24"/>
                <w:szCs w:val="24"/>
              </w:rPr>
              <w:fldChar w:fldCharType="end"/>
            </w:r>
          </w:hyperlink>
        </w:p>
        <w:p w14:paraId="6EFA34B5"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4" w:history="1">
            <w:r w:rsidR="008448E0" w:rsidRPr="00864E82">
              <w:rPr>
                <w:rStyle w:val="Hyperlink"/>
                <w:rFonts w:ascii="Arial" w:hAnsi="Arial" w:cs="Arial"/>
                <w:noProof/>
                <w:sz w:val="24"/>
                <w:szCs w:val="24"/>
              </w:rPr>
              <w:t>4.2 Critical Evaluation of Strategic Suitability</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_Toc236957854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16</w:t>
            </w:r>
            <w:r w:rsidR="008448E0" w:rsidRPr="00864E82">
              <w:rPr>
                <w:rFonts w:ascii="Arial" w:hAnsi="Arial" w:cs="Arial"/>
                <w:noProof/>
                <w:webHidden/>
                <w:sz w:val="24"/>
                <w:szCs w:val="24"/>
              </w:rPr>
              <w:fldChar w:fldCharType="end"/>
            </w:r>
          </w:hyperlink>
        </w:p>
        <w:p w14:paraId="0FC508FB"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55" w:history="1">
            <w:r w:rsidR="008448E0" w:rsidRPr="00864E82">
              <w:rPr>
                <w:rStyle w:val="Hyperlink"/>
                <w:rFonts w:ascii="Arial" w:hAnsi="Arial" w:cs="Arial"/>
                <w:noProof/>
                <w:sz w:val="24"/>
                <w:szCs w:val="24"/>
              </w:rPr>
              <w:t>5. Evaluation of Ethical Issues in Toyota’s Singapore Marketing Mix</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_Toc236957855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16</w:t>
            </w:r>
            <w:r w:rsidR="008448E0" w:rsidRPr="00864E82">
              <w:rPr>
                <w:rFonts w:ascii="Arial" w:hAnsi="Arial" w:cs="Arial"/>
                <w:noProof/>
                <w:webHidden/>
                <w:sz w:val="24"/>
                <w:szCs w:val="24"/>
              </w:rPr>
              <w:fldChar w:fldCharType="end"/>
            </w:r>
          </w:hyperlink>
        </w:p>
        <w:p w14:paraId="14F63704"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6" w:history="1">
            <w:r w:rsidR="008448E0" w:rsidRPr="00864E82">
              <w:rPr>
                <w:rStyle w:val="Hyperlink"/>
                <w:rFonts w:ascii="Arial" w:hAnsi="Arial" w:cs="Arial"/>
                <w:noProof/>
                <w:sz w:val="24"/>
                <w:szCs w:val="24"/>
              </w:rPr>
              <w:t>5.1 Environmental and Product Claims</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_Toc236957856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16</w:t>
            </w:r>
            <w:r w:rsidR="008448E0" w:rsidRPr="00864E82">
              <w:rPr>
                <w:rFonts w:ascii="Arial" w:hAnsi="Arial" w:cs="Arial"/>
                <w:noProof/>
                <w:webHidden/>
                <w:sz w:val="24"/>
                <w:szCs w:val="24"/>
              </w:rPr>
              <w:fldChar w:fldCharType="end"/>
            </w:r>
          </w:hyperlink>
        </w:p>
        <w:p w14:paraId="44A93FE9"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7" w:history="1">
            <w:r w:rsidR="008448E0" w:rsidRPr="00864E82">
              <w:rPr>
                <w:rStyle w:val="Hyperlink"/>
                <w:rFonts w:ascii="Arial" w:hAnsi="Arial" w:cs="Arial"/>
                <w:noProof/>
                <w:sz w:val="24"/>
                <w:szCs w:val="24"/>
              </w:rPr>
              <w:t>5.2 Pricing, Data, and Consumer Fairness</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_Toc236957857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17</w:t>
            </w:r>
            <w:r w:rsidR="008448E0" w:rsidRPr="00864E82">
              <w:rPr>
                <w:rFonts w:ascii="Arial" w:hAnsi="Arial" w:cs="Arial"/>
                <w:noProof/>
                <w:webHidden/>
                <w:sz w:val="24"/>
                <w:szCs w:val="24"/>
              </w:rPr>
              <w:fldChar w:fldCharType="end"/>
            </w:r>
          </w:hyperlink>
        </w:p>
        <w:p w14:paraId="2C05B4F9"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58" w:history="1">
            <w:r w:rsidR="008448E0" w:rsidRPr="00864E82">
              <w:rPr>
                <w:rStyle w:val="Hyperlink"/>
                <w:rFonts w:ascii="Arial" w:hAnsi="Arial" w:cs="Arial"/>
                <w:noProof/>
                <w:sz w:val="24"/>
                <w:szCs w:val="24"/>
              </w:rPr>
              <w:t>6. Recommendations for Toyota’s International Marketing Strategy</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_Toc236957858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17</w:t>
            </w:r>
            <w:r w:rsidR="008448E0" w:rsidRPr="00864E82">
              <w:rPr>
                <w:rFonts w:ascii="Arial" w:hAnsi="Arial" w:cs="Arial"/>
                <w:noProof/>
                <w:webHidden/>
                <w:sz w:val="24"/>
                <w:szCs w:val="24"/>
              </w:rPr>
              <w:fldChar w:fldCharType="end"/>
            </w:r>
          </w:hyperlink>
        </w:p>
        <w:p w14:paraId="71FC7A70"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59" w:history="1">
            <w:r w:rsidR="008448E0" w:rsidRPr="00864E82">
              <w:rPr>
                <w:rStyle w:val="Hyperlink"/>
                <w:rFonts w:ascii="Arial" w:hAnsi="Arial" w:cs="Arial"/>
                <w:noProof/>
                <w:sz w:val="24"/>
                <w:szCs w:val="24"/>
              </w:rPr>
              <w:t>6.1 Rebalance the Singapore Product Portfolio</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_Toc236957859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17</w:t>
            </w:r>
            <w:r w:rsidR="008448E0" w:rsidRPr="00864E82">
              <w:rPr>
                <w:rFonts w:ascii="Arial" w:hAnsi="Arial" w:cs="Arial"/>
                <w:noProof/>
                <w:webHidden/>
                <w:sz w:val="24"/>
                <w:szCs w:val="24"/>
              </w:rPr>
              <w:fldChar w:fldCharType="end"/>
            </w:r>
          </w:hyperlink>
        </w:p>
        <w:p w14:paraId="7DF20D8D"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0" w:history="1">
            <w:r w:rsidR="008448E0" w:rsidRPr="00864E82">
              <w:rPr>
                <w:rStyle w:val="Hyperlink"/>
                <w:rFonts w:ascii="Arial" w:hAnsi="Arial" w:cs="Arial"/>
                <w:noProof/>
                <w:sz w:val="24"/>
                <w:szCs w:val="24"/>
              </w:rPr>
              <w:t>6.2 Strengthen Channel Governance and Market Trust</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_Toc236957860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18</w:t>
            </w:r>
            <w:r w:rsidR="008448E0" w:rsidRPr="00864E82">
              <w:rPr>
                <w:rFonts w:ascii="Arial" w:hAnsi="Arial" w:cs="Arial"/>
                <w:noProof/>
                <w:webHidden/>
                <w:sz w:val="24"/>
                <w:szCs w:val="24"/>
              </w:rPr>
              <w:fldChar w:fldCharType="end"/>
            </w:r>
          </w:hyperlink>
        </w:p>
        <w:p w14:paraId="49FEC598"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61" w:history="1">
            <w:r w:rsidR="008448E0" w:rsidRPr="00864E82">
              <w:rPr>
                <w:rStyle w:val="Hyperlink"/>
                <w:rFonts w:ascii="Arial" w:hAnsi="Arial" w:cs="Arial"/>
                <w:noProof/>
                <w:sz w:val="24"/>
                <w:szCs w:val="24"/>
              </w:rPr>
              <w:t>7. Conclusion</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_Toc236957861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18</w:t>
            </w:r>
            <w:r w:rsidR="008448E0" w:rsidRPr="00864E82">
              <w:rPr>
                <w:rFonts w:ascii="Arial" w:hAnsi="Arial" w:cs="Arial"/>
                <w:noProof/>
                <w:webHidden/>
                <w:sz w:val="24"/>
                <w:szCs w:val="24"/>
              </w:rPr>
              <w:fldChar w:fldCharType="end"/>
            </w:r>
          </w:hyperlink>
        </w:p>
        <w:p w14:paraId="4DEF3D4C"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62" w:history="1">
            <w:r w:rsidR="008448E0" w:rsidRPr="00864E82">
              <w:rPr>
                <w:rStyle w:val="Hyperlink"/>
                <w:rFonts w:ascii="Arial" w:hAnsi="Arial" w:cs="Arial"/>
                <w:noProof/>
                <w:sz w:val="24"/>
                <w:szCs w:val="24"/>
              </w:rPr>
              <w:t>Section 2: Reflective Account Using Gibbs’ Reflective Cycle</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_Toc236957862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20</w:t>
            </w:r>
            <w:r w:rsidR="008448E0" w:rsidRPr="00864E82">
              <w:rPr>
                <w:rFonts w:ascii="Arial" w:hAnsi="Arial" w:cs="Arial"/>
                <w:noProof/>
                <w:webHidden/>
                <w:sz w:val="24"/>
                <w:szCs w:val="24"/>
              </w:rPr>
              <w:fldChar w:fldCharType="end"/>
            </w:r>
          </w:hyperlink>
        </w:p>
        <w:p w14:paraId="6E0F67B8"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3" w:history="1">
            <w:r w:rsidR="008448E0" w:rsidRPr="00864E82">
              <w:rPr>
                <w:rStyle w:val="Hyperlink"/>
                <w:rFonts w:ascii="Arial" w:hAnsi="Arial" w:cs="Arial"/>
                <w:noProof/>
                <w:sz w:val="24"/>
                <w:szCs w:val="24"/>
              </w:rPr>
              <w:t>8.1 Description</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_Toc236957863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20</w:t>
            </w:r>
            <w:r w:rsidR="008448E0" w:rsidRPr="00864E82">
              <w:rPr>
                <w:rFonts w:ascii="Arial" w:hAnsi="Arial" w:cs="Arial"/>
                <w:noProof/>
                <w:webHidden/>
                <w:sz w:val="24"/>
                <w:szCs w:val="24"/>
              </w:rPr>
              <w:fldChar w:fldCharType="end"/>
            </w:r>
          </w:hyperlink>
        </w:p>
        <w:p w14:paraId="600AF940"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4" w:history="1">
            <w:r w:rsidR="008448E0" w:rsidRPr="00864E82">
              <w:rPr>
                <w:rStyle w:val="Hyperlink"/>
                <w:rFonts w:ascii="Arial" w:hAnsi="Arial" w:cs="Arial"/>
                <w:noProof/>
                <w:sz w:val="24"/>
                <w:szCs w:val="24"/>
              </w:rPr>
              <w:t>8.2 Feelings</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_Toc236957864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20</w:t>
            </w:r>
            <w:r w:rsidR="008448E0" w:rsidRPr="00864E82">
              <w:rPr>
                <w:rFonts w:ascii="Arial" w:hAnsi="Arial" w:cs="Arial"/>
                <w:noProof/>
                <w:webHidden/>
                <w:sz w:val="24"/>
                <w:szCs w:val="24"/>
              </w:rPr>
              <w:fldChar w:fldCharType="end"/>
            </w:r>
          </w:hyperlink>
        </w:p>
        <w:p w14:paraId="2008EC63"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5" w:history="1">
            <w:r w:rsidR="008448E0" w:rsidRPr="00864E82">
              <w:rPr>
                <w:rStyle w:val="Hyperlink"/>
                <w:rFonts w:ascii="Arial" w:hAnsi="Arial" w:cs="Arial"/>
                <w:noProof/>
                <w:sz w:val="24"/>
                <w:szCs w:val="24"/>
              </w:rPr>
              <w:t>8.3 Evaluation</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_Toc236957865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20</w:t>
            </w:r>
            <w:r w:rsidR="008448E0" w:rsidRPr="00864E82">
              <w:rPr>
                <w:rFonts w:ascii="Arial" w:hAnsi="Arial" w:cs="Arial"/>
                <w:noProof/>
                <w:webHidden/>
                <w:sz w:val="24"/>
                <w:szCs w:val="24"/>
              </w:rPr>
              <w:fldChar w:fldCharType="end"/>
            </w:r>
          </w:hyperlink>
        </w:p>
        <w:p w14:paraId="1161472B"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6" w:history="1">
            <w:r w:rsidR="008448E0" w:rsidRPr="00864E82">
              <w:rPr>
                <w:rStyle w:val="Hyperlink"/>
                <w:rFonts w:ascii="Arial" w:hAnsi="Arial" w:cs="Arial"/>
                <w:noProof/>
                <w:sz w:val="24"/>
                <w:szCs w:val="24"/>
              </w:rPr>
              <w:t>8.4 Analysis</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_Toc236957866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21</w:t>
            </w:r>
            <w:r w:rsidR="008448E0" w:rsidRPr="00864E82">
              <w:rPr>
                <w:rFonts w:ascii="Arial" w:hAnsi="Arial" w:cs="Arial"/>
                <w:noProof/>
                <w:webHidden/>
                <w:sz w:val="24"/>
                <w:szCs w:val="24"/>
              </w:rPr>
              <w:fldChar w:fldCharType="end"/>
            </w:r>
          </w:hyperlink>
        </w:p>
        <w:p w14:paraId="5BF3EEBF"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7" w:history="1">
            <w:r w:rsidR="008448E0" w:rsidRPr="00864E82">
              <w:rPr>
                <w:rStyle w:val="Hyperlink"/>
                <w:rFonts w:ascii="Arial" w:hAnsi="Arial" w:cs="Arial"/>
                <w:noProof/>
                <w:sz w:val="24"/>
                <w:szCs w:val="24"/>
              </w:rPr>
              <w:t>8.5 Conclusion</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_Toc236957867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21</w:t>
            </w:r>
            <w:r w:rsidR="008448E0" w:rsidRPr="00864E82">
              <w:rPr>
                <w:rFonts w:ascii="Arial" w:hAnsi="Arial" w:cs="Arial"/>
                <w:noProof/>
                <w:webHidden/>
                <w:sz w:val="24"/>
                <w:szCs w:val="24"/>
              </w:rPr>
              <w:fldChar w:fldCharType="end"/>
            </w:r>
          </w:hyperlink>
        </w:p>
        <w:p w14:paraId="381B0315" w14:textId="77777777" w:rsidR="00EA42DE" w:rsidRPr="00864E82" w:rsidRDefault="00BE5F28" w:rsidP="00EA42DE">
          <w:pPr>
            <w:pStyle w:val="TOC2"/>
            <w:tabs>
              <w:tab w:val="right" w:leader="dot" w:pos="9016"/>
            </w:tabs>
            <w:spacing w:line="360" w:lineRule="auto"/>
            <w:rPr>
              <w:rFonts w:ascii="Arial" w:eastAsiaTheme="minorEastAsia" w:hAnsi="Arial" w:cs="Arial"/>
              <w:noProof/>
              <w:sz w:val="24"/>
              <w:szCs w:val="24"/>
              <w:lang w:val="en-IN" w:eastAsia="en-IN"/>
            </w:rPr>
          </w:pPr>
          <w:hyperlink w:anchor="_Toc236957868" w:history="1">
            <w:r w:rsidR="008448E0" w:rsidRPr="00864E82">
              <w:rPr>
                <w:rStyle w:val="Hyperlink"/>
                <w:rFonts w:ascii="Arial" w:hAnsi="Arial" w:cs="Arial"/>
                <w:noProof/>
                <w:sz w:val="24"/>
                <w:szCs w:val="24"/>
              </w:rPr>
              <w:t>8.6 Action Plan</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_Toc236957868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22</w:t>
            </w:r>
            <w:r w:rsidR="008448E0" w:rsidRPr="00864E82">
              <w:rPr>
                <w:rFonts w:ascii="Arial" w:hAnsi="Arial" w:cs="Arial"/>
                <w:noProof/>
                <w:webHidden/>
                <w:sz w:val="24"/>
                <w:szCs w:val="24"/>
              </w:rPr>
              <w:fldChar w:fldCharType="end"/>
            </w:r>
          </w:hyperlink>
        </w:p>
        <w:p w14:paraId="7F521378" w14:textId="77777777" w:rsidR="00EA42DE" w:rsidRPr="00864E82" w:rsidRDefault="00BE5F28" w:rsidP="00EA42DE">
          <w:pPr>
            <w:pStyle w:val="TOC1"/>
            <w:tabs>
              <w:tab w:val="right" w:leader="dot" w:pos="9016"/>
            </w:tabs>
            <w:spacing w:line="360" w:lineRule="auto"/>
            <w:rPr>
              <w:rFonts w:ascii="Arial" w:eastAsiaTheme="minorEastAsia" w:hAnsi="Arial" w:cs="Arial"/>
              <w:noProof/>
              <w:sz w:val="24"/>
              <w:szCs w:val="24"/>
              <w:lang w:val="en-IN" w:eastAsia="en-IN"/>
            </w:rPr>
          </w:pPr>
          <w:hyperlink w:anchor="_Toc236957869" w:history="1">
            <w:r w:rsidR="008448E0" w:rsidRPr="00864E82">
              <w:rPr>
                <w:rStyle w:val="Hyperlink"/>
                <w:rFonts w:ascii="Arial" w:hAnsi="Arial" w:cs="Arial"/>
                <w:noProof/>
                <w:sz w:val="24"/>
                <w:szCs w:val="24"/>
              </w:rPr>
              <w:t>Reference List</w:t>
            </w:r>
            <w:r w:rsidR="008448E0" w:rsidRPr="00864E82">
              <w:rPr>
                <w:rFonts w:ascii="Arial" w:hAnsi="Arial" w:cs="Arial"/>
                <w:noProof/>
                <w:webHidden/>
                <w:sz w:val="24"/>
                <w:szCs w:val="24"/>
              </w:rPr>
              <w:tab/>
            </w:r>
            <w:r w:rsidR="008448E0" w:rsidRPr="00864E82">
              <w:rPr>
                <w:rFonts w:ascii="Arial" w:hAnsi="Arial" w:cs="Arial"/>
                <w:noProof/>
                <w:webHidden/>
                <w:sz w:val="24"/>
                <w:szCs w:val="24"/>
              </w:rPr>
              <w:fldChar w:fldCharType="begin"/>
            </w:r>
            <w:r w:rsidR="008448E0" w:rsidRPr="00864E82">
              <w:rPr>
                <w:rFonts w:ascii="Arial" w:hAnsi="Arial" w:cs="Arial"/>
                <w:noProof/>
                <w:webHidden/>
                <w:sz w:val="24"/>
                <w:szCs w:val="24"/>
              </w:rPr>
              <w:instrText xml:space="preserve"> PAGEREF _Toc236957869 \h </w:instrText>
            </w:r>
            <w:r w:rsidR="008448E0" w:rsidRPr="00864E82">
              <w:rPr>
                <w:rFonts w:ascii="Arial" w:hAnsi="Arial" w:cs="Arial"/>
                <w:noProof/>
                <w:webHidden/>
                <w:sz w:val="24"/>
                <w:szCs w:val="24"/>
              </w:rPr>
            </w:r>
            <w:r w:rsidR="008448E0" w:rsidRPr="00864E82">
              <w:rPr>
                <w:rFonts w:ascii="Arial" w:hAnsi="Arial" w:cs="Arial"/>
                <w:noProof/>
                <w:webHidden/>
                <w:sz w:val="24"/>
                <w:szCs w:val="24"/>
              </w:rPr>
              <w:fldChar w:fldCharType="separate"/>
            </w:r>
            <w:r w:rsidR="008448E0" w:rsidRPr="00864E82">
              <w:rPr>
                <w:rFonts w:ascii="Arial" w:hAnsi="Arial" w:cs="Arial"/>
                <w:noProof/>
                <w:webHidden/>
                <w:sz w:val="24"/>
                <w:szCs w:val="24"/>
              </w:rPr>
              <w:t>23</w:t>
            </w:r>
            <w:r w:rsidR="008448E0" w:rsidRPr="00864E82">
              <w:rPr>
                <w:rFonts w:ascii="Arial" w:hAnsi="Arial" w:cs="Arial"/>
                <w:noProof/>
                <w:webHidden/>
                <w:sz w:val="24"/>
                <w:szCs w:val="24"/>
              </w:rPr>
              <w:fldChar w:fldCharType="end"/>
            </w:r>
          </w:hyperlink>
        </w:p>
        <w:p w14:paraId="0AC1D071" w14:textId="77777777" w:rsidR="00F84A48" w:rsidRPr="00864E82" w:rsidRDefault="008448E0" w:rsidP="00EA42DE">
          <w:pPr>
            <w:spacing w:line="360" w:lineRule="auto"/>
            <w:rPr>
              <w:rFonts w:ascii="Arial" w:hAnsi="Arial" w:cs="Arial"/>
              <w:color w:val="000000" w:themeColor="text1"/>
            </w:rPr>
          </w:pPr>
          <w:r w:rsidRPr="00864E82">
            <w:rPr>
              <w:rFonts w:ascii="Arial" w:hAnsi="Arial" w:cs="Arial"/>
              <w:b/>
              <w:bCs/>
              <w:noProof/>
              <w:color w:val="000000" w:themeColor="text1"/>
              <w:sz w:val="24"/>
              <w:szCs w:val="24"/>
            </w:rPr>
            <w:fldChar w:fldCharType="end"/>
          </w:r>
        </w:p>
      </w:sdtContent>
    </w:sdt>
    <w:p w14:paraId="48663D77" w14:textId="77777777" w:rsidR="00DE65CA" w:rsidRPr="00864E82" w:rsidRDefault="00DE65CA" w:rsidP="00C55ABF">
      <w:pPr>
        <w:spacing w:line="360" w:lineRule="auto"/>
        <w:jc w:val="center"/>
        <w:rPr>
          <w:rFonts w:ascii="Arial" w:hAnsi="Arial" w:cs="Arial"/>
          <w:b/>
          <w:color w:val="000000" w:themeColor="text1"/>
          <w:sz w:val="32"/>
          <w:lang w:val="en-IN"/>
        </w:rPr>
      </w:pPr>
    </w:p>
    <w:p w14:paraId="1550E3D6" w14:textId="77777777" w:rsidR="00DE65CA" w:rsidRPr="00864E82" w:rsidRDefault="00DE65CA" w:rsidP="00C55ABF">
      <w:pPr>
        <w:spacing w:line="360" w:lineRule="auto"/>
        <w:jc w:val="both"/>
        <w:rPr>
          <w:rFonts w:ascii="Arial" w:hAnsi="Arial" w:cs="Arial"/>
          <w:color w:val="000000" w:themeColor="text1"/>
          <w:sz w:val="24"/>
          <w:lang w:val="en-IN"/>
        </w:rPr>
      </w:pPr>
    </w:p>
    <w:p w14:paraId="5B4147E8" w14:textId="77777777" w:rsidR="00DE65CA" w:rsidRPr="00864E82" w:rsidRDefault="00DE65CA" w:rsidP="00C55ABF">
      <w:pPr>
        <w:spacing w:line="360" w:lineRule="auto"/>
        <w:jc w:val="both"/>
        <w:rPr>
          <w:rFonts w:ascii="Arial" w:hAnsi="Arial" w:cs="Arial"/>
          <w:color w:val="000000" w:themeColor="text1"/>
          <w:sz w:val="24"/>
          <w:lang w:val="en-IN"/>
        </w:rPr>
      </w:pPr>
    </w:p>
    <w:p w14:paraId="72706DD7" w14:textId="77777777" w:rsidR="00DE65CA" w:rsidRPr="00864E82" w:rsidRDefault="00DE65CA" w:rsidP="00C55ABF">
      <w:pPr>
        <w:spacing w:line="360" w:lineRule="auto"/>
        <w:jc w:val="both"/>
        <w:rPr>
          <w:rFonts w:ascii="Arial" w:hAnsi="Arial" w:cs="Arial"/>
          <w:color w:val="000000" w:themeColor="text1"/>
          <w:sz w:val="24"/>
          <w:lang w:val="en-IN"/>
        </w:rPr>
      </w:pPr>
    </w:p>
    <w:p w14:paraId="5E32B3C9" w14:textId="77777777" w:rsidR="00DE65CA" w:rsidRPr="00864E82" w:rsidRDefault="00DE65CA" w:rsidP="00C55ABF">
      <w:pPr>
        <w:spacing w:line="360" w:lineRule="auto"/>
        <w:jc w:val="both"/>
        <w:rPr>
          <w:rFonts w:ascii="Arial" w:hAnsi="Arial" w:cs="Arial"/>
          <w:color w:val="000000" w:themeColor="text1"/>
          <w:sz w:val="24"/>
          <w:lang w:val="en-IN"/>
        </w:rPr>
      </w:pPr>
    </w:p>
    <w:p w14:paraId="5A280866" w14:textId="77777777" w:rsidR="00DE65CA" w:rsidRPr="00864E82" w:rsidRDefault="00DE65CA" w:rsidP="00C55ABF">
      <w:pPr>
        <w:spacing w:line="360" w:lineRule="auto"/>
        <w:jc w:val="both"/>
        <w:rPr>
          <w:rFonts w:ascii="Arial" w:hAnsi="Arial" w:cs="Arial"/>
          <w:color w:val="000000" w:themeColor="text1"/>
          <w:sz w:val="24"/>
          <w:lang w:val="en-IN"/>
        </w:rPr>
      </w:pPr>
    </w:p>
    <w:p w14:paraId="4CD71DDA" w14:textId="77777777" w:rsidR="00DE65CA" w:rsidRPr="00864E82" w:rsidRDefault="00DE65CA" w:rsidP="00C55ABF">
      <w:pPr>
        <w:spacing w:line="360" w:lineRule="auto"/>
        <w:jc w:val="both"/>
        <w:rPr>
          <w:rFonts w:ascii="Arial" w:hAnsi="Arial" w:cs="Arial"/>
          <w:color w:val="000000" w:themeColor="text1"/>
          <w:sz w:val="24"/>
          <w:lang w:val="en-IN"/>
        </w:rPr>
      </w:pPr>
    </w:p>
    <w:p w14:paraId="73A10424" w14:textId="77777777" w:rsidR="00DE65CA" w:rsidRPr="00864E82" w:rsidRDefault="00DE65CA" w:rsidP="00C55ABF">
      <w:pPr>
        <w:spacing w:line="360" w:lineRule="auto"/>
        <w:jc w:val="both"/>
        <w:rPr>
          <w:rFonts w:ascii="Arial" w:hAnsi="Arial" w:cs="Arial"/>
          <w:color w:val="000000" w:themeColor="text1"/>
          <w:sz w:val="24"/>
          <w:lang w:val="en-IN"/>
        </w:rPr>
      </w:pPr>
    </w:p>
    <w:p w14:paraId="0328D204" w14:textId="77777777" w:rsidR="00DE65CA" w:rsidRPr="00864E82" w:rsidRDefault="00DE65CA" w:rsidP="00C55ABF">
      <w:pPr>
        <w:spacing w:line="360" w:lineRule="auto"/>
        <w:jc w:val="both"/>
        <w:rPr>
          <w:rFonts w:ascii="Arial" w:hAnsi="Arial" w:cs="Arial"/>
          <w:color w:val="000000" w:themeColor="text1"/>
          <w:sz w:val="24"/>
          <w:lang w:val="en-IN"/>
        </w:rPr>
      </w:pPr>
    </w:p>
    <w:p w14:paraId="500D9D5F" w14:textId="77777777" w:rsidR="00DE65CA" w:rsidRPr="00864E82" w:rsidRDefault="00DE65CA" w:rsidP="00C55ABF">
      <w:pPr>
        <w:spacing w:line="360" w:lineRule="auto"/>
        <w:jc w:val="both"/>
        <w:rPr>
          <w:rFonts w:ascii="Arial" w:hAnsi="Arial" w:cs="Arial"/>
          <w:color w:val="000000" w:themeColor="text1"/>
          <w:sz w:val="24"/>
          <w:lang w:val="en-IN"/>
        </w:rPr>
      </w:pPr>
    </w:p>
    <w:p w14:paraId="355B2F04" w14:textId="77777777" w:rsidR="00DE65CA" w:rsidRPr="00864E82" w:rsidRDefault="00DE65CA" w:rsidP="00C55ABF">
      <w:pPr>
        <w:spacing w:line="360" w:lineRule="auto"/>
        <w:jc w:val="both"/>
        <w:rPr>
          <w:rFonts w:ascii="Arial" w:hAnsi="Arial" w:cs="Arial"/>
          <w:color w:val="000000" w:themeColor="text1"/>
          <w:sz w:val="24"/>
          <w:lang w:val="en-IN"/>
        </w:rPr>
      </w:pPr>
    </w:p>
    <w:p w14:paraId="06276D58" w14:textId="77777777" w:rsidR="00DE65CA" w:rsidRPr="00864E82" w:rsidRDefault="008448E0" w:rsidP="00C55ABF">
      <w:pPr>
        <w:spacing w:line="360" w:lineRule="auto"/>
        <w:jc w:val="both"/>
        <w:rPr>
          <w:rFonts w:ascii="Arial" w:hAnsi="Arial" w:cs="Arial"/>
          <w:color w:val="000000" w:themeColor="text1"/>
          <w:sz w:val="24"/>
          <w:lang w:val="en-IN"/>
        </w:rPr>
      </w:pPr>
      <w:r w:rsidRPr="00864E82">
        <w:rPr>
          <w:rFonts w:ascii="Arial" w:hAnsi="Arial" w:cs="Arial"/>
          <w:color w:val="000000" w:themeColor="text1"/>
          <w:sz w:val="24"/>
          <w:lang w:val="en-IN"/>
        </w:rPr>
        <w:br w:type="page"/>
      </w:r>
    </w:p>
    <w:p w14:paraId="319A87FC" w14:textId="77777777" w:rsidR="00DE65CA" w:rsidRPr="0025492A" w:rsidRDefault="008448E0" w:rsidP="00CD5252">
      <w:pPr>
        <w:pStyle w:val="Heading1"/>
        <w:rPr>
          <w:rFonts w:ascii="Arial" w:hAnsi="Arial" w:cs="Arial"/>
          <w:color w:val="0D0D0D" w:themeColor="text1" w:themeTint="F2"/>
        </w:rPr>
      </w:pPr>
      <w:bookmarkStart w:id="1" w:name="_Toc236957841"/>
      <w:r w:rsidRPr="0025492A">
        <w:rPr>
          <w:rFonts w:ascii="Arial" w:hAnsi="Arial" w:cs="Arial"/>
          <w:color w:val="0D0D0D" w:themeColor="text1" w:themeTint="F2"/>
        </w:rPr>
        <w:lastRenderedPageBreak/>
        <w:t>Section 1: International Marketing Report</w:t>
      </w:r>
      <w:bookmarkEnd w:id="1"/>
    </w:p>
    <w:p w14:paraId="105F9F2C" w14:textId="77777777" w:rsidR="00DE65CA" w:rsidRPr="0025492A" w:rsidRDefault="008448E0" w:rsidP="00EA42DE">
      <w:pPr>
        <w:pStyle w:val="Heading2"/>
        <w:rPr>
          <w:rFonts w:ascii="Arial" w:hAnsi="Arial" w:cs="Arial"/>
          <w:color w:val="0D0D0D" w:themeColor="text1" w:themeTint="F2"/>
        </w:rPr>
      </w:pPr>
      <w:bookmarkStart w:id="2" w:name="_Toc236957842"/>
      <w:r w:rsidRPr="0025492A">
        <w:rPr>
          <w:rFonts w:ascii="Arial" w:hAnsi="Arial" w:cs="Arial"/>
          <w:color w:val="0D0D0D" w:themeColor="text1" w:themeTint="F2"/>
        </w:rPr>
        <w:t>1. Introduction</w:t>
      </w:r>
      <w:bookmarkEnd w:id="2"/>
    </w:p>
    <w:p w14:paraId="3F6A1F8B" w14:textId="77777777" w:rsidR="00DE65CA" w:rsidRPr="0025492A" w:rsidRDefault="002B3B6E"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In order to enter into the international market, companies have to adjust their strategy to the various economic, cultural and regulatory environments. Toyota Motor Corp is a world leader in the automobile industry with technology innovation, quality management and sustainability initiatives. Toyota was also a good performer in terms of their operating income innovation activities (Toyota Motor Corporation, 2024c). Besides, in FY2024, Toyota's global vehicle sales totalled around 11.09 million units, demonstrating the company's dedication to maintaining a strong global footprint and tailoring its marketing strategies to the specific needs of each country (Toyota Motor Corporation, 2024b). This scale helps Toyota's ability to adapt to very different markets around the world successfully</w:t>
      </w:r>
      <w:r w:rsidR="008448E0" w:rsidRPr="0025492A">
        <w:rPr>
          <w:rFonts w:ascii="Arial" w:hAnsi="Arial" w:cs="Arial"/>
          <w:color w:val="0D0D0D" w:themeColor="text1" w:themeTint="F2"/>
          <w:sz w:val="24"/>
          <w:szCs w:val="24"/>
        </w:rPr>
        <w:t>.</w:t>
      </w:r>
    </w:p>
    <w:p w14:paraId="6548F90D" w14:textId="77777777" w:rsidR="00DE65CA"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 xml:space="preserve">The countries chosen are Japan and </w:t>
      </w:r>
      <w:r w:rsidRPr="0025492A">
        <w:rPr>
          <w:rFonts w:ascii="Arial" w:hAnsi="Arial" w:cs="Arial"/>
          <w:color w:val="0D0D0D" w:themeColor="text1" w:themeTint="F2"/>
          <w:sz w:val="24"/>
          <w:szCs w:val="24"/>
        </w:rPr>
        <w:t>Singapore</w:t>
      </w:r>
      <w:r w:rsidRPr="0025492A">
        <w:rPr>
          <w:rFonts w:ascii="Arial" w:hAnsi="Arial" w:cs="Arial"/>
          <w:color w:val="0D0D0D" w:themeColor="text1" w:themeTint="F2"/>
          <w:sz w:val="24"/>
          <w:szCs w:val="24"/>
          <w:lang w:val="en-IN"/>
        </w:rPr>
        <w:t>. Japan is selected because it is the centre of Toyota's headquarters, research and development and primary decision making. Toyota Japan had robust sales revenues for the financial year ending in March 2024: Consolidated sales revenues were ¥45.10 trillion, despite the growing competition and transformation of the industry (Toyota Motor Corporation, 2024a). Besides, Toyota was also strong with its operating income in FY2024, which reached a new record of ¥5.35 trillion, demonstrating its financial strength for international expansion and innovation efforts (Toyota Motor Corporation, 2024c). In addition, the second country chosen for the assessment is Singapore, due to the fact that it has an advanced economy, regulatory stability and government support of low-emission mobility solutions in Singapore. Singapore requires all new car and taxi registrations to be cleaner-energy models from 2030. Singapore is targeting 60,000 electric vehicle charging points by 2030 (Singapore Green Plan, 2026).</w:t>
      </w:r>
      <w:r w:rsidRPr="0025492A">
        <w:rPr>
          <w:rFonts w:ascii="Arial" w:hAnsi="Arial" w:cs="Arial"/>
          <w:color w:val="0D0D0D" w:themeColor="text1" w:themeTint="F2"/>
          <w:sz w:val="24"/>
          <w:szCs w:val="24"/>
        </w:rPr>
        <w:t xml:space="preserve"> These policy commitments make Singapore strategically important for Toyota’s future electrification plans.</w:t>
      </w:r>
    </w:p>
    <w:p w14:paraId="3B875498" w14:textId="77777777" w:rsidR="00DE65CA"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 xml:space="preserve">This report, therefore, critically analyses Toyota's international marketing strategies in Japan and Singapore with regard to macro-environment, cultural differences, STP (segmentation, targeting and positioning), marketing mix (7Ps), market entry strategy and ethical issues. The analysis also aims to make recommendations based on evidence provided by the analysis to boost the international marketing performance of Toyota in the future. </w:t>
      </w:r>
    </w:p>
    <w:p w14:paraId="51C52223" w14:textId="77777777" w:rsidR="00DE65CA" w:rsidRPr="0025492A" w:rsidRDefault="008448E0" w:rsidP="00CD5252">
      <w:pPr>
        <w:pStyle w:val="Heading1"/>
        <w:rPr>
          <w:rFonts w:ascii="Arial" w:hAnsi="Arial" w:cs="Arial"/>
          <w:color w:val="0D0D0D" w:themeColor="text1" w:themeTint="F2"/>
        </w:rPr>
      </w:pPr>
      <w:bookmarkStart w:id="3" w:name="_Toc236957843"/>
      <w:r w:rsidRPr="0025492A">
        <w:rPr>
          <w:rFonts w:ascii="Arial" w:hAnsi="Arial" w:cs="Arial"/>
          <w:color w:val="0D0D0D" w:themeColor="text1" w:themeTint="F2"/>
        </w:rPr>
        <w:lastRenderedPageBreak/>
        <w:t>2. Comparative Analysis of the Markets</w:t>
      </w:r>
      <w:bookmarkEnd w:id="3"/>
    </w:p>
    <w:p w14:paraId="12BB672B" w14:textId="77777777" w:rsidR="00DE65CA" w:rsidRPr="0025492A" w:rsidRDefault="008448E0" w:rsidP="00EA42DE">
      <w:pPr>
        <w:pStyle w:val="Heading2"/>
        <w:rPr>
          <w:rFonts w:ascii="Arial" w:hAnsi="Arial" w:cs="Arial"/>
          <w:color w:val="0D0D0D" w:themeColor="text1" w:themeTint="F2"/>
        </w:rPr>
      </w:pPr>
      <w:bookmarkStart w:id="4" w:name="_Toc236957844"/>
      <w:r w:rsidRPr="0025492A">
        <w:rPr>
          <w:rFonts w:ascii="Arial" w:hAnsi="Arial" w:cs="Arial"/>
          <w:color w:val="0D0D0D" w:themeColor="text1" w:themeTint="F2"/>
        </w:rPr>
        <w:t>2.1 Overview of Toyota in Japan and Singapore</w:t>
      </w:r>
      <w:bookmarkEnd w:id="4"/>
    </w:p>
    <w:p w14:paraId="3A7196EA" w14:textId="77777777" w:rsidR="00DE65CA"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rPr>
        <w:t>Toyota has its headquarters, manufacturing plant, suppliers, and innovation in Japan. Toyota reported overall sales of 11.3 million cars globally in 2025, more than two-fifths of which were sold in Japan and the U.S. (Reuters, 2026c). Singapore is a high-income market where value-based positioning, regulatory compliance and selective distribution are key</w:t>
      </w:r>
      <w:r w:rsidRPr="0025492A">
        <w:rPr>
          <w:rFonts w:ascii="Arial" w:hAnsi="Arial" w:cs="Arial"/>
          <w:b/>
          <w:color w:val="0D0D0D" w:themeColor="text1" w:themeTint="F2"/>
          <w:sz w:val="24"/>
          <w:szCs w:val="24"/>
          <w:lang w:val="en-IN"/>
        </w:rPr>
        <w:t>.</w:t>
      </w:r>
    </w:p>
    <w:p w14:paraId="32B774FD" w14:textId="77777777" w:rsidR="00DE65CA" w:rsidRPr="0025492A" w:rsidRDefault="008448E0" w:rsidP="00EA42DE">
      <w:pPr>
        <w:pStyle w:val="Heading2"/>
        <w:rPr>
          <w:rFonts w:ascii="Arial" w:hAnsi="Arial" w:cs="Arial"/>
          <w:color w:val="0D0D0D" w:themeColor="text1" w:themeTint="F2"/>
        </w:rPr>
      </w:pPr>
      <w:bookmarkStart w:id="5" w:name="_Toc236957845"/>
      <w:r w:rsidRPr="0025492A">
        <w:rPr>
          <w:rFonts w:ascii="Arial" w:hAnsi="Arial" w:cs="Arial"/>
          <w:color w:val="0D0D0D" w:themeColor="text1" w:themeTint="F2"/>
        </w:rPr>
        <w:t>2.2 Comparative PESTEL Analysis</w:t>
      </w:r>
      <w:bookmarkEnd w:id="5"/>
    </w:p>
    <w:p w14:paraId="430FC98E" w14:textId="77777777" w:rsidR="00DE65C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Political Factors</w:t>
      </w:r>
    </w:p>
    <w:p w14:paraId="4FB4168A" w14:textId="77777777" w:rsidR="00DE65CA"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lang w:val="en-IN"/>
        </w:rPr>
        <w:t xml:space="preserve">Japan provides Toyota with a secure climate policy environment, but the demands of climate policy are increasing. For instance, Japan's greenhouse-gas emissions were already 24.9% lower than in 2013, with a 46% reduction by 2030 targeted (Reuters, 2026a). </w:t>
      </w:r>
      <w:r w:rsidRPr="0025492A">
        <w:rPr>
          <w:rFonts w:ascii="Arial" w:hAnsi="Arial" w:cs="Arial"/>
          <w:color w:val="0D0D0D" w:themeColor="text1" w:themeTint="F2"/>
          <w:sz w:val="24"/>
          <w:szCs w:val="24"/>
        </w:rPr>
        <w:t>This increases Toyota's compliance burden and hastens investment in low-emission vehicles, clean production and emissions reporting in Japan.</w:t>
      </w:r>
      <w:r w:rsidRPr="0025492A">
        <w:rPr>
          <w:rFonts w:ascii="Arial" w:hAnsi="Arial" w:cs="Arial"/>
          <w:color w:val="0D0D0D" w:themeColor="text1" w:themeTint="F2"/>
          <w:sz w:val="24"/>
          <w:szCs w:val="24"/>
          <w:lang w:val="en-IN"/>
        </w:rPr>
        <w:t xml:space="preserve"> However, Singapore is more stringent within the transport sector, with new diesel car and taxi registrations ending in 2025 and all new car and taxi registrations being cleaner energy models from 2030 (Singapore Green Plan, 2026). Thus, the political situation in Singapore is good for Toyota's hybrid strategy and the pressure to speed up its EV plans</w:t>
      </w:r>
      <w:r w:rsidRPr="0025492A">
        <w:rPr>
          <w:rFonts w:ascii="Arial" w:hAnsi="Arial" w:cs="Arial"/>
          <w:b/>
          <w:color w:val="0D0D0D" w:themeColor="text1" w:themeTint="F2"/>
          <w:sz w:val="24"/>
          <w:szCs w:val="24"/>
          <w:lang w:val="en-IN"/>
        </w:rPr>
        <w:t>.</w:t>
      </w:r>
    </w:p>
    <w:p w14:paraId="4AD190B0" w14:textId="77777777" w:rsidR="00DE65C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Economic Factors</w:t>
      </w:r>
    </w:p>
    <w:p w14:paraId="64A880A2" w14:textId="77777777" w:rsidR="00DE65CA"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lang w:val="en-IN"/>
        </w:rPr>
        <w:t>Even though Toyota is a brand with great loyalty, the growth in Japan is limited due to the market's size and slow growth. Replacement demand is more significant than the growth of new ownership in Japan's economy, which was 2.8% annualised in Q4 2024, despite the economy maintaining only moderate growth (AP News, 2025). The GDP growth for Singapore was sluggish, recording 4.4% in 2024 and 4.8% in 2025, which was driven by manufacturing and AI-related demand (Reuters, 2026b). However, it is a market with a limited number of cars, and the high cost of car ownership requires Toyota to focus on margin, fleet sales and after-sales revenue</w:t>
      </w:r>
      <w:r w:rsidRPr="0025492A">
        <w:rPr>
          <w:rFonts w:ascii="Arial" w:hAnsi="Arial" w:cs="Arial"/>
          <w:b/>
          <w:color w:val="0D0D0D" w:themeColor="text1" w:themeTint="F2"/>
          <w:sz w:val="24"/>
          <w:szCs w:val="24"/>
          <w:lang w:val="en-IN"/>
        </w:rPr>
        <w:t>.</w:t>
      </w:r>
    </w:p>
    <w:p w14:paraId="2F5BB8BE" w14:textId="77777777" w:rsidR="00DE65C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Social Factors</w:t>
      </w:r>
    </w:p>
    <w:p w14:paraId="6CCB2E75" w14:textId="77777777" w:rsidR="00880302" w:rsidRPr="0025492A" w:rsidRDefault="008448E0" w:rsidP="00880302">
      <w:pPr>
        <w:spacing w:after="0" w:line="360" w:lineRule="auto"/>
        <w:jc w:val="both"/>
        <w:rPr>
          <w:rFonts w:ascii="Arial" w:hAnsi="Arial" w:cs="Arial"/>
          <w:color w:val="0D0D0D" w:themeColor="text1" w:themeTint="F2"/>
          <w:sz w:val="24"/>
          <w:szCs w:val="24"/>
        </w:rPr>
      </w:pPr>
      <w:r w:rsidRPr="0025492A">
        <w:rPr>
          <w:rFonts w:ascii="Arial" w:hAnsi="Arial" w:cs="Arial"/>
          <w:color w:val="0D0D0D" w:themeColor="text1" w:themeTint="F2"/>
          <w:sz w:val="24"/>
          <w:szCs w:val="24"/>
        </w:rPr>
        <w:t xml:space="preserve">Japan has an ageing and declining population: in 2023, births totalled 758,631, deaths 1,590,503 and nearly one in three people was aged 65+, according to The Guardian (2024). </w:t>
      </w:r>
      <w:r w:rsidR="001101F5" w:rsidRPr="0025492A">
        <w:rPr>
          <w:rFonts w:ascii="Arial" w:hAnsi="Arial" w:cs="Arial"/>
          <w:color w:val="0D0D0D" w:themeColor="text1" w:themeTint="F2"/>
          <w:sz w:val="24"/>
          <w:szCs w:val="24"/>
        </w:rPr>
        <w:t>Figure 1 supports demand for compact, accessible cars</w:t>
      </w:r>
      <w:r w:rsidRPr="0025492A">
        <w:rPr>
          <w:rFonts w:ascii="Arial" w:hAnsi="Arial" w:cs="Arial"/>
          <w:color w:val="0D0D0D" w:themeColor="text1" w:themeTint="F2"/>
          <w:sz w:val="24"/>
          <w:szCs w:val="24"/>
        </w:rPr>
        <w:t xml:space="preserve">. Toyota should prioritise safety, easy entry, driver assistance and dealer support. </w:t>
      </w:r>
    </w:p>
    <w:p w14:paraId="49C22BC0" w14:textId="77777777" w:rsidR="00A878F4" w:rsidRPr="0025492A" w:rsidRDefault="008448E0" w:rsidP="00880302">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rPr>
        <w:lastRenderedPageBreak/>
        <w:t xml:space="preserve">Because of limited space on roads and quota restrictions on private car ownership, public and shared mobility (PSM) has become the norm in Singapore (LTA, 2026). </w:t>
      </w:r>
      <w:r w:rsidR="00C94E78" w:rsidRPr="0025492A">
        <w:rPr>
          <w:rFonts w:ascii="Arial" w:hAnsi="Arial" w:cs="Arial"/>
          <w:color w:val="0D0D0D" w:themeColor="text1" w:themeTint="F2"/>
          <w:sz w:val="24"/>
          <w:szCs w:val="24"/>
        </w:rPr>
        <w:t>This will have a negative impact on volumes but a positive impact on margins, fleet business and efficient low-emission models for Toyota. The ownership of a Toyota ought to be reliable and convenient, with transparency around costs for the life cycle, financing options and authorised after-sales service</w:t>
      </w:r>
      <w:r w:rsidRPr="0025492A">
        <w:rPr>
          <w:rFonts w:ascii="Arial" w:hAnsi="Arial" w:cs="Arial"/>
          <w:b/>
          <w:color w:val="0D0D0D" w:themeColor="text1" w:themeTint="F2"/>
          <w:sz w:val="24"/>
          <w:szCs w:val="24"/>
          <w:lang w:val="en-IN"/>
        </w:rPr>
        <w:t>.</w:t>
      </w:r>
    </w:p>
    <w:p w14:paraId="39153825" w14:textId="77777777" w:rsidR="00DE65CA" w:rsidRPr="0025492A" w:rsidRDefault="00DE65CA" w:rsidP="00DE65CA">
      <w:pPr>
        <w:spacing w:after="0" w:line="360" w:lineRule="auto"/>
        <w:jc w:val="both"/>
        <w:rPr>
          <w:rFonts w:ascii="Arial" w:hAnsi="Arial" w:cs="Arial"/>
          <w:color w:val="0D0D0D" w:themeColor="text1" w:themeTint="F2"/>
          <w:sz w:val="24"/>
          <w:szCs w:val="24"/>
          <w:lang w:val="en-IN"/>
        </w:rPr>
      </w:pPr>
    </w:p>
    <w:p w14:paraId="7E17C3A5" w14:textId="77777777" w:rsidR="00DE65CA" w:rsidRPr="0025492A" w:rsidRDefault="00DE65CA" w:rsidP="00B640B9">
      <w:pPr>
        <w:spacing w:after="0" w:line="360" w:lineRule="auto"/>
        <w:jc w:val="both"/>
        <w:rPr>
          <w:rFonts w:ascii="Arial" w:hAnsi="Arial" w:cs="Arial"/>
          <w:color w:val="0D0D0D" w:themeColor="text1" w:themeTint="F2"/>
          <w:sz w:val="24"/>
          <w:szCs w:val="24"/>
          <w:lang w:val="en-IN"/>
        </w:rPr>
      </w:pPr>
    </w:p>
    <w:p w14:paraId="70B999D5" w14:textId="77777777" w:rsidR="00932204"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noProof/>
          <w:color w:val="0D0D0D" w:themeColor="text1" w:themeTint="F2"/>
          <w:sz w:val="24"/>
          <w:szCs w:val="24"/>
          <w:lang w:val="en-IN" w:eastAsia="en-IN" w:bidi="gu-IN"/>
        </w:rPr>
        <w:drawing>
          <wp:inline distT="0" distB="0" distL="0" distR="0" wp14:anchorId="57E09A82" wp14:editId="5E9442F1">
            <wp:extent cx="5692633" cy="4016088"/>
            <wp:effectExtent l="19050" t="19050" r="2286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2633" cy="4016088"/>
                    </a:xfrm>
                    <a:prstGeom prst="rect">
                      <a:avLst/>
                    </a:prstGeom>
                    <a:ln>
                      <a:solidFill>
                        <a:schemeClr val="tx1"/>
                      </a:solidFill>
                    </a:ln>
                  </pic:spPr>
                </pic:pic>
              </a:graphicData>
            </a:graphic>
          </wp:inline>
        </w:drawing>
      </w:r>
    </w:p>
    <w:p w14:paraId="1B4F7B30" w14:textId="77777777" w:rsidR="002E7E49" w:rsidRPr="0025492A" w:rsidRDefault="008448E0" w:rsidP="00B640B9">
      <w:pPr>
        <w:spacing w:after="0" w:line="360" w:lineRule="auto"/>
        <w:jc w:val="center"/>
        <w:rPr>
          <w:rFonts w:ascii="Arial" w:hAnsi="Arial" w:cs="Arial"/>
          <w:b/>
          <w:color w:val="0D0D0D" w:themeColor="text1" w:themeTint="F2"/>
          <w:sz w:val="24"/>
          <w:szCs w:val="24"/>
        </w:rPr>
      </w:pPr>
      <w:r w:rsidRPr="0025492A">
        <w:rPr>
          <w:rFonts w:ascii="Arial" w:hAnsi="Arial" w:cs="Arial"/>
          <w:b/>
          <w:color w:val="0D0D0D" w:themeColor="text1" w:themeTint="F2"/>
          <w:sz w:val="24"/>
          <w:szCs w:val="24"/>
          <w:lang w:val="en-IN"/>
        </w:rPr>
        <w:t xml:space="preserve">Figure 1: </w:t>
      </w:r>
      <w:r w:rsidRPr="0025492A">
        <w:rPr>
          <w:rFonts w:ascii="Arial" w:hAnsi="Arial" w:cs="Arial"/>
          <w:b/>
          <w:color w:val="0D0D0D" w:themeColor="text1" w:themeTint="F2"/>
          <w:sz w:val="24"/>
          <w:szCs w:val="24"/>
        </w:rPr>
        <w:t>Population Pyramid</w:t>
      </w:r>
    </w:p>
    <w:p w14:paraId="5335AF30" w14:textId="77777777" w:rsidR="0049623B" w:rsidRPr="0025492A" w:rsidRDefault="008448E0" w:rsidP="0019662E">
      <w:pPr>
        <w:spacing w:after="0" w:line="360" w:lineRule="auto"/>
        <w:jc w:val="center"/>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(Source: Statistics Bureau of Japan, 2025)</w:t>
      </w:r>
    </w:p>
    <w:p w14:paraId="4D8E9A9B" w14:textId="77777777" w:rsidR="00DE65C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Technological Factors</w:t>
      </w:r>
    </w:p>
    <w:p w14:paraId="72CE01CD" w14:textId="77777777" w:rsidR="00197A06" w:rsidRPr="0025492A" w:rsidRDefault="00C94E78"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Toyota's advantages are biggest in hybrid technologies and could be a strategic disadvantage if policy and consumer attitudes move even more quickly toward BEVs. By 2025, about 42 percent of the Toyota parent company's sales were hybrid models, and 1.9 percent were BEVs (Reuters, 2026c). This imbalance gives rise to reputational risk with the growth of competitors' electric activities.</w:t>
      </w:r>
    </w:p>
    <w:p w14:paraId="6427F8FA" w14:textId="77777777" w:rsidR="00197A06"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noProof/>
          <w:color w:val="0D0D0D" w:themeColor="text1" w:themeTint="F2"/>
          <w:sz w:val="24"/>
          <w:szCs w:val="24"/>
          <w:lang w:val="en-IN" w:eastAsia="en-IN" w:bidi="gu-IN"/>
        </w:rPr>
        <w:lastRenderedPageBreak/>
        <w:drawing>
          <wp:inline distT="0" distB="0" distL="0" distR="0" wp14:anchorId="78D90FF5" wp14:editId="3A46263C">
            <wp:extent cx="4267570" cy="5578323"/>
            <wp:effectExtent l="19050" t="19050" r="19050" b="228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267570" cy="5578323"/>
                    </a:xfrm>
                    <a:prstGeom prst="rect">
                      <a:avLst/>
                    </a:prstGeom>
                    <a:ln>
                      <a:solidFill>
                        <a:schemeClr val="tx1"/>
                      </a:solidFill>
                    </a:ln>
                  </pic:spPr>
                </pic:pic>
              </a:graphicData>
            </a:graphic>
          </wp:inline>
        </w:drawing>
      </w:r>
    </w:p>
    <w:p w14:paraId="6C87710D" w14:textId="77777777" w:rsidR="00C46CAF" w:rsidRPr="0025492A" w:rsidRDefault="008448E0" w:rsidP="00B640B9">
      <w:pPr>
        <w:spacing w:after="0" w:line="360" w:lineRule="auto"/>
        <w:jc w:val="center"/>
        <w:rPr>
          <w:rFonts w:ascii="Arial" w:hAnsi="Arial" w:cs="Arial"/>
          <w:b/>
          <w:color w:val="0D0D0D" w:themeColor="text1" w:themeTint="F2"/>
          <w:sz w:val="24"/>
          <w:szCs w:val="24"/>
        </w:rPr>
      </w:pPr>
      <w:r w:rsidRPr="0025492A">
        <w:rPr>
          <w:rFonts w:ascii="Arial" w:hAnsi="Arial" w:cs="Arial"/>
          <w:b/>
          <w:color w:val="0D0D0D" w:themeColor="text1" w:themeTint="F2"/>
          <w:sz w:val="24"/>
          <w:szCs w:val="24"/>
          <w:lang w:val="en-IN"/>
        </w:rPr>
        <w:t xml:space="preserve">Figure 2: </w:t>
      </w:r>
      <w:r w:rsidRPr="0025492A">
        <w:rPr>
          <w:rFonts w:ascii="Arial" w:hAnsi="Arial" w:cs="Arial"/>
          <w:b/>
          <w:color w:val="0D0D0D" w:themeColor="text1" w:themeTint="F2"/>
          <w:sz w:val="24"/>
          <w:szCs w:val="24"/>
        </w:rPr>
        <w:t xml:space="preserve">Electric car registrations and sales share in selected countries and regions, 2018-2024 </w:t>
      </w:r>
    </w:p>
    <w:p w14:paraId="2308DE95" w14:textId="77777777" w:rsidR="00C46CAF"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(Source: IEA, 2025b)</w:t>
      </w:r>
    </w:p>
    <w:p w14:paraId="264FD252" w14:textId="77777777" w:rsidR="00DE65CA"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rPr>
        <w:t>Figure 2 shows accelerating EV adoption internationally; Singapore complements this with chargers in over 90% of HDB carparks and a 60,000-point target (Ministry of Transport Singapore, 2026)</w:t>
      </w:r>
      <w:r w:rsidR="00D40099" w:rsidRPr="0025492A">
        <w:rPr>
          <w:rFonts w:ascii="Arial" w:hAnsi="Arial" w:cs="Arial"/>
          <w:color w:val="0D0D0D" w:themeColor="text1" w:themeTint="F2"/>
          <w:sz w:val="24"/>
          <w:szCs w:val="24"/>
          <w:lang w:val="en-IN"/>
        </w:rPr>
        <w:t>. Toyota's hybrid prowess is well-suited to the transition, but its BEV deficit may lead to a weaker innovation impression</w:t>
      </w:r>
      <w:r w:rsidR="00D40099" w:rsidRPr="0025492A">
        <w:rPr>
          <w:rFonts w:ascii="Arial" w:hAnsi="Arial" w:cs="Arial"/>
          <w:b/>
          <w:color w:val="0D0D0D" w:themeColor="text1" w:themeTint="F2"/>
          <w:sz w:val="24"/>
          <w:szCs w:val="24"/>
          <w:lang w:val="en-IN"/>
        </w:rPr>
        <w:t>.</w:t>
      </w:r>
    </w:p>
    <w:p w14:paraId="5F44659C" w14:textId="77777777" w:rsidR="00DE65C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Environmental Factors</w:t>
      </w:r>
    </w:p>
    <w:p w14:paraId="5DFAF8FF" w14:textId="77777777" w:rsidR="00DE65CA"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lang w:val="en-IN"/>
        </w:rPr>
        <w:t>Both countries have high pressure from the environment, but in different ways. The problem is that Japan's decarbonisation scale is huge, even after its emissions reached 1.046 billion tonnes of CO</w:t>
      </w:r>
      <w:r w:rsidRPr="0025492A">
        <w:rPr>
          <w:rFonts w:ascii="Cambria Math" w:hAnsi="Cambria Math" w:cs="Cambria Math"/>
          <w:color w:val="0D0D0D" w:themeColor="text1" w:themeTint="F2"/>
          <w:sz w:val="24"/>
          <w:szCs w:val="24"/>
          <w:lang w:val="en-IN"/>
        </w:rPr>
        <w:t>₂</w:t>
      </w:r>
      <w:r w:rsidRPr="0025492A">
        <w:rPr>
          <w:rFonts w:ascii="Arial" w:hAnsi="Arial" w:cs="Arial"/>
          <w:color w:val="0D0D0D" w:themeColor="text1" w:themeTint="F2"/>
          <w:sz w:val="24"/>
          <w:szCs w:val="24"/>
          <w:lang w:val="en-IN"/>
        </w:rPr>
        <w:t xml:space="preserve"> equivalent in FY2024, thermal power continues to generate 67.5% of electricity (Reuters, 2026a). Environmental pressures in </w:t>
      </w:r>
      <w:r w:rsidRPr="0025492A">
        <w:rPr>
          <w:rFonts w:ascii="Arial" w:hAnsi="Arial" w:cs="Arial"/>
          <w:color w:val="0D0D0D" w:themeColor="text1" w:themeTint="F2"/>
          <w:sz w:val="24"/>
          <w:szCs w:val="24"/>
          <w:lang w:val="en-IN"/>
        </w:rPr>
        <w:lastRenderedPageBreak/>
        <w:t>Singapore include pricing and regulation, with the carbon tax being raised to S$25 per tonne in 2024–2025, and to be raised to S$45 per tonne in 2026–2027 (NEA, 2026). Therefore, Toyota is not allowed to make a general “green” claim and should convey proven benefits on fuel efficiency and emissions</w:t>
      </w:r>
      <w:r w:rsidRPr="0025492A">
        <w:rPr>
          <w:rFonts w:ascii="Arial" w:hAnsi="Arial" w:cs="Arial"/>
          <w:b/>
          <w:color w:val="0D0D0D" w:themeColor="text1" w:themeTint="F2"/>
          <w:sz w:val="24"/>
          <w:szCs w:val="24"/>
          <w:lang w:val="en-IN"/>
        </w:rPr>
        <w:t>.</w:t>
      </w:r>
    </w:p>
    <w:p w14:paraId="002F3AFD" w14:textId="77777777" w:rsidR="00DE65C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Legal Factors</w:t>
      </w:r>
    </w:p>
    <w:p w14:paraId="2EF6A20D" w14:textId="77777777" w:rsidR="00DE65CA"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color w:val="0D0D0D" w:themeColor="text1" w:themeTint="F2"/>
          <w:sz w:val="24"/>
          <w:szCs w:val="24"/>
          <w:lang w:val="en-IN"/>
        </w:rPr>
        <w:t xml:space="preserve">There are varying legal issues involved in each market for Toyota. </w:t>
      </w:r>
      <w:r w:rsidRPr="0025492A">
        <w:rPr>
          <w:rFonts w:ascii="Arial" w:hAnsi="Arial" w:cs="Arial"/>
          <w:color w:val="0D0D0D" w:themeColor="text1" w:themeTint="F2"/>
          <w:sz w:val="24"/>
          <w:szCs w:val="24"/>
        </w:rPr>
        <w:t>Seven models were rejected for certification tests, and three failed certification in Japan in 2024, which hurt Toyota's quality image (AP News, 2024). This unfavourable legal posture increases compliance expenses, requiring Toyota to enhance testing controls, independent audits and transparent corrective communication.</w:t>
      </w:r>
      <w:r w:rsidRPr="0025492A">
        <w:rPr>
          <w:rFonts w:ascii="Arial" w:hAnsi="Arial" w:cs="Arial"/>
          <w:color w:val="0D0D0D" w:themeColor="text1" w:themeTint="F2"/>
          <w:sz w:val="24"/>
          <w:szCs w:val="24"/>
          <w:lang w:val="en-IN"/>
        </w:rPr>
        <w:t xml:space="preserve"> In Singapore, the legal constraints are primarily in the form of a restriction on access to the market. The COE system allows buyers to own and operate a vehicle for 10 years, while the Vehicle Quota System is implemented due to the limited road space (Land Transport Authority, 2026a). This creates a very price-sensitive environment for Toyota in Singapore, and prevents them from pursuing high-price volume strategies</w:t>
      </w:r>
      <w:r w:rsidRPr="0025492A">
        <w:rPr>
          <w:rFonts w:ascii="Arial" w:hAnsi="Arial" w:cs="Arial"/>
          <w:b/>
          <w:color w:val="0D0D0D" w:themeColor="text1" w:themeTint="F2"/>
          <w:sz w:val="24"/>
          <w:szCs w:val="24"/>
          <w:lang w:val="en-IN"/>
        </w:rPr>
        <w:t>.</w:t>
      </w:r>
    </w:p>
    <w:p w14:paraId="46B391A8" w14:textId="77777777" w:rsidR="00B23641" w:rsidRPr="0025492A" w:rsidRDefault="008448E0" w:rsidP="00B640B9">
      <w:pPr>
        <w:spacing w:after="0" w:line="360" w:lineRule="auto"/>
        <w:jc w:val="both"/>
        <w:rPr>
          <w:rFonts w:ascii="Arial" w:hAnsi="Arial" w:cs="Arial"/>
          <w:b/>
          <w:color w:val="0D0D0D" w:themeColor="text1" w:themeTint="F2"/>
          <w:sz w:val="24"/>
          <w:szCs w:val="24"/>
          <w:lang w:val="en-IN"/>
        </w:rPr>
      </w:pPr>
      <w:r w:rsidRPr="0025492A">
        <w:rPr>
          <w:rFonts w:ascii="Arial" w:hAnsi="Arial" w:cs="Arial"/>
          <w:b/>
          <w:color w:val="0D0D0D" w:themeColor="text1" w:themeTint="F2"/>
          <w:sz w:val="24"/>
          <w:szCs w:val="24"/>
        </w:rPr>
        <w:t>Critical summary of key PESTEL findings</w:t>
      </w:r>
    </w:p>
    <w:p w14:paraId="71E7C673" w14:textId="77777777" w:rsidR="00CC1D06"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Japan is the best technologically and operationally. Singapore is more robust politically and environmentally, but there are economic and legal limitations on Toyota sales</w:t>
      </w:r>
      <w:r w:rsidR="001E2DFF" w:rsidRPr="0025492A">
        <w:rPr>
          <w:rFonts w:ascii="Arial" w:hAnsi="Arial" w:cs="Arial"/>
          <w:color w:val="0D0D0D" w:themeColor="text1" w:themeTint="F2"/>
          <w:sz w:val="24"/>
          <w:szCs w:val="24"/>
        </w:rPr>
        <w:t>.</w:t>
      </w:r>
      <w:r w:rsidR="007E7C66" w:rsidRPr="0025492A">
        <w:rPr>
          <w:rFonts w:ascii="Arial" w:hAnsi="Arial" w:cs="Arial"/>
          <w:color w:val="0D0D0D" w:themeColor="text1" w:themeTint="F2"/>
          <w:sz w:val="24"/>
          <w:szCs w:val="24"/>
          <w:lang w:val="en-IN"/>
        </w:rPr>
        <w:t xml:space="preserve"> </w:t>
      </w:r>
      <w:r w:rsidR="00FA0885" w:rsidRPr="0025492A">
        <w:rPr>
          <w:rFonts w:ascii="Arial" w:hAnsi="Arial" w:cs="Arial"/>
          <w:color w:val="0D0D0D" w:themeColor="text1" w:themeTint="F2"/>
          <w:sz w:val="24"/>
          <w:szCs w:val="24"/>
        </w:rPr>
        <w:t>Toyota will have the scale, capability, supplier integration and replacement demand in Japan, as revealed in the PESTEL analysis. But slow population growth, maturing consumers, certification issues and firmer decarbonisation demands are risking future growth at home. High income, political stability, regulation of cleaner energy, increasing charging infrastructure, demand for fleet and profitable after-sales services are some of the opportunities Singapore has. However, high ownership costs, the COE system, effective public transport, small market, and faster battery electric competition limit volumes from growing.</w:t>
      </w:r>
      <w:r w:rsidR="001E2DFF" w:rsidRPr="0025492A">
        <w:rPr>
          <w:rFonts w:ascii="Arial" w:hAnsi="Arial" w:cs="Arial"/>
          <w:color w:val="0D0D0D" w:themeColor="text1" w:themeTint="F2"/>
          <w:sz w:val="24"/>
          <w:szCs w:val="24"/>
        </w:rPr>
        <w:t xml:space="preserve"> </w:t>
      </w:r>
      <w:r w:rsidRPr="0025492A">
        <w:rPr>
          <w:rFonts w:ascii="Arial" w:hAnsi="Arial" w:cs="Arial"/>
          <w:color w:val="0D0D0D" w:themeColor="text1" w:themeTint="F2"/>
          <w:sz w:val="24"/>
          <w:szCs w:val="24"/>
        </w:rPr>
        <w:t>Overall, Japan has better scale/operational economics, and Singapore is a strategic market test for high-end, high-compliance, low-emission urban mobility</w:t>
      </w:r>
      <w:r w:rsidR="004C066F" w:rsidRPr="0025492A">
        <w:rPr>
          <w:rFonts w:ascii="Arial" w:hAnsi="Arial" w:cs="Arial"/>
          <w:color w:val="0D0D0D" w:themeColor="text1" w:themeTint="F2"/>
          <w:sz w:val="24"/>
          <w:szCs w:val="24"/>
        </w:rPr>
        <w:t>.</w:t>
      </w:r>
      <w:r w:rsidRPr="0025492A">
        <w:rPr>
          <w:rFonts w:ascii="Arial" w:hAnsi="Arial" w:cs="Arial"/>
          <w:color w:val="0D0D0D" w:themeColor="text1" w:themeTint="F2"/>
          <w:sz w:val="24"/>
          <w:szCs w:val="24"/>
          <w:lang w:val="en-IN"/>
        </w:rPr>
        <w:t xml:space="preserve"> </w:t>
      </w:r>
    </w:p>
    <w:p w14:paraId="63B5239C" w14:textId="77777777" w:rsidR="00F27584" w:rsidRPr="0025492A" w:rsidRDefault="008448E0" w:rsidP="00EA42DE">
      <w:pPr>
        <w:pStyle w:val="Heading2"/>
        <w:rPr>
          <w:rFonts w:ascii="Arial" w:hAnsi="Arial" w:cs="Arial"/>
          <w:color w:val="0D0D0D" w:themeColor="text1" w:themeTint="F2"/>
        </w:rPr>
      </w:pPr>
      <w:bookmarkStart w:id="6" w:name="_Toc236957846"/>
      <w:r w:rsidRPr="0025492A">
        <w:rPr>
          <w:rFonts w:ascii="Arial" w:hAnsi="Arial" w:cs="Arial"/>
          <w:color w:val="0D0D0D" w:themeColor="text1" w:themeTint="F2"/>
        </w:rPr>
        <w:t>2.3 Comparative Cultural Analysis Using Hofstede’s Framework</w:t>
      </w:r>
      <w:bookmarkEnd w:id="6"/>
    </w:p>
    <w:p w14:paraId="3723FED9" w14:textId="77777777" w:rsidR="00F27584" w:rsidRPr="0025492A" w:rsidRDefault="008448E0" w:rsidP="00FA0885">
      <w:pPr>
        <w:spacing w:after="0" w:line="360" w:lineRule="auto"/>
        <w:jc w:val="both"/>
        <w:rPr>
          <w:rFonts w:ascii="Arial" w:hAnsi="Arial" w:cs="Arial"/>
          <w:color w:val="0D0D0D" w:themeColor="text1" w:themeTint="F2"/>
          <w:sz w:val="24"/>
          <w:szCs w:val="24"/>
        </w:rPr>
      </w:pPr>
      <w:r w:rsidRPr="0025492A">
        <w:rPr>
          <w:rFonts w:ascii="Arial" w:hAnsi="Arial" w:cs="Arial"/>
          <w:color w:val="0D0D0D" w:themeColor="text1" w:themeTint="F2"/>
          <w:sz w:val="24"/>
          <w:szCs w:val="24"/>
        </w:rPr>
        <w:t xml:space="preserve">Japan/Singapore scores reported by The Culture Factor (2026) are 54/74 for Power Distance, 62/43 for Individualism, 95/48 for Masculinity, 92/8 for Uncertainty Avoidance, 100/72 for Long-term orientation and 42/46 for Indulgence. </w:t>
      </w:r>
    </w:p>
    <w:p w14:paraId="7AF4A93D" w14:textId="77777777" w:rsidR="00F27584" w:rsidRPr="0025492A" w:rsidRDefault="008448E0" w:rsidP="00F27584">
      <w:pPr>
        <w:spacing w:after="0" w:line="360" w:lineRule="auto"/>
        <w:jc w:val="center"/>
        <w:rPr>
          <w:rFonts w:ascii="Arial" w:hAnsi="Arial" w:cs="Arial"/>
          <w:color w:val="0D0D0D" w:themeColor="text1" w:themeTint="F2"/>
          <w:sz w:val="24"/>
          <w:szCs w:val="24"/>
        </w:rPr>
      </w:pPr>
      <w:r w:rsidRPr="0025492A">
        <w:rPr>
          <w:rFonts w:ascii="Arial" w:hAnsi="Arial" w:cs="Arial"/>
          <w:noProof/>
          <w:color w:val="0D0D0D" w:themeColor="text1" w:themeTint="F2"/>
          <w:sz w:val="24"/>
          <w:szCs w:val="24"/>
          <w:lang w:val="en-IN" w:eastAsia="en-IN" w:bidi="gu-IN"/>
        </w:rPr>
        <w:lastRenderedPageBreak/>
        <w:drawing>
          <wp:inline distT="0" distB="0" distL="0" distR="0" wp14:anchorId="3035ABC8" wp14:editId="160BE549">
            <wp:extent cx="5250180" cy="2808899"/>
            <wp:effectExtent l="19050" t="19050" r="26670" b="107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5260095" cy="2814204"/>
                    </a:xfrm>
                    <a:prstGeom prst="rect">
                      <a:avLst/>
                    </a:prstGeom>
                    <a:ln>
                      <a:solidFill>
                        <a:schemeClr val="tx1"/>
                      </a:solidFill>
                    </a:ln>
                  </pic:spPr>
                </pic:pic>
              </a:graphicData>
            </a:graphic>
          </wp:inline>
        </w:drawing>
      </w:r>
    </w:p>
    <w:p w14:paraId="170D8445" w14:textId="77777777" w:rsidR="00BE28E7" w:rsidRPr="0025492A" w:rsidRDefault="008448E0" w:rsidP="00F27584">
      <w:pPr>
        <w:spacing w:after="0" w:line="360" w:lineRule="auto"/>
        <w:jc w:val="center"/>
        <w:rPr>
          <w:rFonts w:ascii="Arial" w:hAnsi="Arial" w:cs="Arial"/>
          <w:b/>
          <w:color w:val="0D0D0D" w:themeColor="text1" w:themeTint="F2"/>
          <w:sz w:val="24"/>
          <w:szCs w:val="24"/>
        </w:rPr>
      </w:pPr>
      <w:r w:rsidRPr="0025492A">
        <w:rPr>
          <w:rFonts w:ascii="Arial" w:hAnsi="Arial" w:cs="Arial"/>
          <w:b/>
          <w:color w:val="0D0D0D" w:themeColor="text1" w:themeTint="F2"/>
          <w:sz w:val="24"/>
          <w:szCs w:val="24"/>
        </w:rPr>
        <w:t>Figure 3: Hofstede comparison of Japan and Singapore</w:t>
      </w:r>
    </w:p>
    <w:p w14:paraId="7C980F53" w14:textId="77777777" w:rsidR="00BE28E7" w:rsidRPr="0025492A" w:rsidRDefault="008448E0" w:rsidP="00F27584">
      <w:pPr>
        <w:spacing w:after="0" w:line="360" w:lineRule="auto"/>
        <w:jc w:val="center"/>
        <w:rPr>
          <w:rFonts w:ascii="Arial" w:hAnsi="Arial" w:cs="Arial"/>
          <w:color w:val="0D0D0D" w:themeColor="text1" w:themeTint="F2"/>
          <w:sz w:val="24"/>
          <w:szCs w:val="24"/>
        </w:rPr>
      </w:pPr>
      <w:r w:rsidRPr="0025492A">
        <w:rPr>
          <w:rFonts w:ascii="Arial" w:hAnsi="Arial" w:cs="Arial"/>
          <w:color w:val="0D0D0D" w:themeColor="text1" w:themeTint="F2"/>
          <w:sz w:val="24"/>
          <w:szCs w:val="24"/>
        </w:rPr>
        <w:t>(Source: The Culture Factor, 2026)</w:t>
      </w:r>
    </w:p>
    <w:p w14:paraId="7090CF32" w14:textId="77777777" w:rsidR="00D30F1C" w:rsidRPr="0025492A" w:rsidRDefault="008448E0" w:rsidP="00FA0885">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Figure 3 links Singapore’s higher power distance to authorised-dealer reassurance and Japan’s lower score to consultative selling. While Japan is more individualistic, Singapore is more collectivistic, giving rise to a preference for personal choice versus family use and community good. It is appropriate that Japan's exceptional masculinity is matched by "engineering", "performance" or "achievement" messages, while Singapore requires "comfort", "practicality" and "balanced-value" messages. Japan has a high degree of uncertainty avoidance, which demands specifications, proof of safety, warranties and predictable service. Digital services, trials and new ownership models benefit from Singapore's low score. The durability, efficiency, resale value and maintenance messages of both countries are supported by the high long-term orientation. Their indulgence scores are similar, and therefore, propositions with facts will be more effective than propositions that promote pleasure. Toyota should thus maintain reliability but focus on messages, dealerships and customer experiences and mainly the cultural differences for strategic positioning in Japan and Singapore. Further application will be conducted through segmentation, targeting and positioning sections, on how Toyota should adopt their strategies in Singapore and Japan (</w:t>
      </w:r>
      <w:proofErr w:type="spellStart"/>
      <w:r w:rsidRPr="0025492A">
        <w:rPr>
          <w:rFonts w:ascii="Arial" w:hAnsi="Arial" w:cs="Arial"/>
          <w:color w:val="0D0D0D" w:themeColor="text1" w:themeTint="F2"/>
          <w:sz w:val="24"/>
          <w:szCs w:val="24"/>
        </w:rPr>
        <w:t>Aririguzoh</w:t>
      </w:r>
      <w:proofErr w:type="spellEnd"/>
      <w:r w:rsidRPr="0025492A">
        <w:rPr>
          <w:rFonts w:ascii="Arial" w:hAnsi="Arial" w:cs="Arial"/>
          <w:color w:val="0D0D0D" w:themeColor="text1" w:themeTint="F2"/>
          <w:sz w:val="24"/>
          <w:szCs w:val="24"/>
        </w:rPr>
        <w:t xml:space="preserve">, 2022; </w:t>
      </w:r>
      <w:proofErr w:type="spellStart"/>
      <w:r w:rsidRPr="0025492A">
        <w:rPr>
          <w:rFonts w:ascii="Arial" w:hAnsi="Arial" w:cs="Arial"/>
          <w:color w:val="0D0D0D" w:themeColor="text1" w:themeTint="F2"/>
          <w:sz w:val="24"/>
          <w:szCs w:val="24"/>
        </w:rPr>
        <w:t>Vigliocco</w:t>
      </w:r>
      <w:proofErr w:type="spellEnd"/>
      <w:r w:rsidRPr="0025492A">
        <w:rPr>
          <w:rFonts w:ascii="Arial" w:hAnsi="Arial" w:cs="Arial"/>
          <w:color w:val="0D0D0D" w:themeColor="text1" w:themeTint="F2"/>
          <w:sz w:val="24"/>
          <w:szCs w:val="24"/>
        </w:rPr>
        <w:t xml:space="preserve"> et al., 2024)</w:t>
      </w:r>
      <w:r w:rsidRPr="0025492A">
        <w:rPr>
          <w:rFonts w:ascii="Arial" w:hAnsi="Arial" w:cs="Arial"/>
          <w:color w:val="0D0D0D" w:themeColor="text1" w:themeTint="F2"/>
          <w:sz w:val="24"/>
          <w:szCs w:val="24"/>
          <w:lang w:val="en-IN"/>
        </w:rPr>
        <w:t>.</w:t>
      </w:r>
      <w:r w:rsidRPr="0025492A">
        <w:rPr>
          <w:rFonts w:ascii="Arial" w:hAnsi="Arial" w:cs="Arial"/>
          <w:color w:val="0D0D0D" w:themeColor="text1" w:themeTint="F2"/>
          <w:sz w:val="24"/>
          <w:szCs w:val="24"/>
        </w:rPr>
        <w:t xml:space="preserve"> These cultural differences require distinct communication, service, and locally specific positioning decisions.</w:t>
      </w:r>
    </w:p>
    <w:p w14:paraId="7E69AE84" w14:textId="77777777" w:rsidR="00D30F1C" w:rsidRPr="0025492A" w:rsidRDefault="008448E0" w:rsidP="00CD5252">
      <w:pPr>
        <w:pStyle w:val="Heading1"/>
        <w:rPr>
          <w:rFonts w:ascii="Arial" w:hAnsi="Arial" w:cs="Arial"/>
          <w:color w:val="0D0D0D" w:themeColor="text1" w:themeTint="F2"/>
        </w:rPr>
      </w:pPr>
      <w:bookmarkStart w:id="7" w:name="_Toc236957847"/>
      <w:r w:rsidRPr="0025492A">
        <w:rPr>
          <w:rFonts w:ascii="Arial" w:hAnsi="Arial" w:cs="Arial"/>
          <w:color w:val="0D0D0D" w:themeColor="text1" w:themeTint="F2"/>
        </w:rPr>
        <w:t>3. Comparative Analysis of STP and International Marketing Mix</w:t>
      </w:r>
      <w:bookmarkEnd w:id="7"/>
    </w:p>
    <w:p w14:paraId="3758F9CF" w14:textId="77777777" w:rsidR="00D30F1C" w:rsidRPr="0025492A" w:rsidRDefault="008448E0" w:rsidP="00EA42DE">
      <w:pPr>
        <w:pStyle w:val="Heading2"/>
        <w:rPr>
          <w:rFonts w:ascii="Arial" w:hAnsi="Arial" w:cs="Arial"/>
          <w:color w:val="0D0D0D" w:themeColor="text1" w:themeTint="F2"/>
        </w:rPr>
      </w:pPr>
      <w:bookmarkStart w:id="8" w:name="_Toc236957848"/>
      <w:r w:rsidRPr="0025492A">
        <w:rPr>
          <w:rFonts w:ascii="Arial" w:hAnsi="Arial" w:cs="Arial"/>
          <w:color w:val="0D0D0D" w:themeColor="text1" w:themeTint="F2"/>
        </w:rPr>
        <w:lastRenderedPageBreak/>
        <w:t>3.1 Segmentation Strategy</w:t>
      </w:r>
      <w:bookmarkEnd w:id="8"/>
    </w:p>
    <w:p w14:paraId="6B745DC7"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Japan</w:t>
      </w:r>
    </w:p>
    <w:p w14:paraId="6A3E847D"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 xml:space="preserve">Toyota segments Japan by life stage, use and mobility need: Yaris for urban efficiency, </w:t>
      </w:r>
      <w:proofErr w:type="spellStart"/>
      <w:r w:rsidRPr="0025492A">
        <w:rPr>
          <w:rFonts w:ascii="Arial" w:hAnsi="Arial" w:cs="Arial"/>
          <w:color w:val="0D0D0D" w:themeColor="text1" w:themeTint="F2"/>
          <w:sz w:val="24"/>
          <w:szCs w:val="24"/>
        </w:rPr>
        <w:t>Sienta</w:t>
      </w:r>
      <w:proofErr w:type="spellEnd"/>
      <w:r w:rsidRPr="0025492A">
        <w:rPr>
          <w:rFonts w:ascii="Arial" w:hAnsi="Arial" w:cs="Arial"/>
          <w:color w:val="0D0D0D" w:themeColor="text1" w:themeTint="F2"/>
          <w:sz w:val="24"/>
          <w:szCs w:val="24"/>
        </w:rPr>
        <w:t xml:space="preserve"> and Noah for families, </w:t>
      </w:r>
      <w:proofErr w:type="spellStart"/>
      <w:r w:rsidRPr="0025492A">
        <w:rPr>
          <w:rFonts w:ascii="Arial" w:hAnsi="Arial" w:cs="Arial"/>
          <w:color w:val="0D0D0D" w:themeColor="text1" w:themeTint="F2"/>
          <w:sz w:val="24"/>
          <w:szCs w:val="24"/>
        </w:rPr>
        <w:t>Welcab</w:t>
      </w:r>
      <w:proofErr w:type="spellEnd"/>
      <w:r w:rsidRPr="0025492A">
        <w:rPr>
          <w:rFonts w:ascii="Arial" w:hAnsi="Arial" w:cs="Arial"/>
          <w:color w:val="0D0D0D" w:themeColor="text1" w:themeTint="F2"/>
          <w:sz w:val="24"/>
          <w:szCs w:val="24"/>
        </w:rPr>
        <w:t xml:space="preserve"> for accessibility, GR models for performance and commercial vehicles for business use (Toyota Motor Corporation, 2026b). Japan’s ageing population and demand for hybrid, connected and driver-assistance technologies further shape these segments (Statistics Bureau of Japan, 2025; Toyota Motor Corporation, 2026d)</w:t>
      </w:r>
      <w:r w:rsidRPr="0025492A">
        <w:rPr>
          <w:rFonts w:ascii="Arial" w:hAnsi="Arial" w:cs="Arial"/>
          <w:color w:val="0D0D0D" w:themeColor="text1" w:themeTint="F2"/>
          <w:sz w:val="24"/>
          <w:szCs w:val="24"/>
          <w:highlight w:val="yellow"/>
        </w:rPr>
        <w:t>.</w:t>
      </w:r>
      <w:r w:rsidRPr="0025492A">
        <w:rPr>
          <w:rFonts w:ascii="Arial" w:hAnsi="Arial" w:cs="Arial"/>
          <w:color w:val="0D0D0D" w:themeColor="text1" w:themeTint="F2"/>
          <w:sz w:val="24"/>
          <w:szCs w:val="24"/>
          <w:lang w:val="en-IN"/>
        </w:rPr>
        <w:t xml:space="preserve"> </w:t>
      </w:r>
      <w:r w:rsidRPr="0025492A">
        <w:rPr>
          <w:rFonts w:ascii="Arial" w:hAnsi="Arial" w:cs="Arial"/>
          <w:color w:val="0D0D0D" w:themeColor="text1" w:themeTint="F2"/>
          <w:sz w:val="24"/>
          <w:szCs w:val="24"/>
        </w:rPr>
        <w:t xml:space="preserve"> Accordingly, Toyota’s Japanese segmentation reflects demographic and mobility-related demand patterns more closely.</w:t>
      </w:r>
    </w:p>
    <w:p w14:paraId="7B6DB082"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Singapore</w:t>
      </w:r>
    </w:p>
    <w:p w14:paraId="3A196A28"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 xml:space="preserve">The narrow segmentation in Singapore is due to the high ownership costs, short distances and high efficiency of public transport in the city. There are high-income families, fleets, ride-hailing companies, professionals and eco-oriented private consumers who are all relevant segments. </w:t>
      </w:r>
      <w:proofErr w:type="spellStart"/>
      <w:r w:rsidRPr="0025492A">
        <w:rPr>
          <w:rFonts w:ascii="Arial" w:hAnsi="Arial" w:cs="Arial"/>
          <w:color w:val="0D0D0D" w:themeColor="text1" w:themeTint="F2"/>
          <w:sz w:val="24"/>
          <w:szCs w:val="24"/>
        </w:rPr>
        <w:t>Balcioglu</w:t>
      </w:r>
      <w:proofErr w:type="spellEnd"/>
      <w:r w:rsidRPr="0025492A">
        <w:rPr>
          <w:rFonts w:ascii="Arial" w:hAnsi="Arial" w:cs="Arial"/>
          <w:color w:val="0D0D0D" w:themeColor="text1" w:themeTint="F2"/>
          <w:sz w:val="24"/>
          <w:szCs w:val="24"/>
        </w:rPr>
        <w:t xml:space="preserve">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(2024) conclude that the perceived usefulness and economic value have an impact on sustainable vehicle preferences. Toyota ought to categorise car buyers according to their income, access to the car, trip pattern and the benefits they are expecting to get from the car</w:t>
      </w:r>
      <w:r w:rsidRPr="0025492A">
        <w:rPr>
          <w:rFonts w:ascii="Arial" w:hAnsi="Arial" w:cs="Arial"/>
          <w:color w:val="0D0D0D" w:themeColor="text1" w:themeTint="F2"/>
          <w:sz w:val="24"/>
          <w:szCs w:val="24"/>
          <w:lang w:val="en-IN"/>
        </w:rPr>
        <w:t>.</w:t>
      </w:r>
    </w:p>
    <w:p w14:paraId="7C0A4ED4"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Comparison</w:t>
      </w:r>
    </w:p>
    <w:p w14:paraId="327F141A"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 xml:space="preserve">Japan supports broad segmentation because its market scale and product range allow Toyota to serve diverse household and commercial needs efficiently. </w:t>
      </w:r>
      <w:proofErr w:type="spellStart"/>
      <w:r w:rsidRPr="0025492A">
        <w:rPr>
          <w:rFonts w:ascii="Arial" w:hAnsi="Arial" w:cs="Arial"/>
          <w:color w:val="0D0D0D" w:themeColor="text1" w:themeTint="F2"/>
          <w:sz w:val="24"/>
          <w:szCs w:val="24"/>
        </w:rPr>
        <w:t>Haghani</w:t>
      </w:r>
      <w:proofErr w:type="spellEnd"/>
      <w:r w:rsidRPr="0025492A">
        <w:rPr>
          <w:rFonts w:ascii="Arial" w:hAnsi="Arial" w:cs="Arial"/>
          <w:color w:val="0D0D0D" w:themeColor="text1" w:themeTint="F2"/>
          <w:sz w:val="24"/>
          <w:szCs w:val="24"/>
        </w:rPr>
        <w:t xml:space="preserve">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(2023) demonstrate that there are significant differences in EV adoption rates among countries and EV user segments. Singapore instead needs selective segmentation because ownership restrictions shrink the addressable market, making focused marketing resources more commercially valuable.</w:t>
      </w:r>
    </w:p>
    <w:p w14:paraId="5032F14D" w14:textId="77777777" w:rsidR="00D30F1C" w:rsidRPr="0025492A" w:rsidRDefault="008448E0" w:rsidP="00EA42DE">
      <w:pPr>
        <w:pStyle w:val="Heading2"/>
        <w:rPr>
          <w:rFonts w:ascii="Arial" w:hAnsi="Arial" w:cs="Arial"/>
          <w:color w:val="0D0D0D" w:themeColor="text1" w:themeTint="F2"/>
        </w:rPr>
      </w:pPr>
      <w:bookmarkStart w:id="9" w:name="_Toc236957849"/>
      <w:r w:rsidRPr="0025492A">
        <w:rPr>
          <w:rFonts w:ascii="Arial" w:hAnsi="Arial" w:cs="Arial"/>
          <w:color w:val="0D0D0D" w:themeColor="text1" w:themeTint="F2"/>
        </w:rPr>
        <w:t>3.2 Targeting Strategy</w:t>
      </w:r>
      <w:bookmarkEnd w:id="9"/>
    </w:p>
    <w:p w14:paraId="4D5FF83B"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Japan</w:t>
      </w:r>
    </w:p>
    <w:p w14:paraId="75C2C06E"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The Japanese market is an ageing market, and targeting by age, by household use and mobility requirement is supported by the Statistics Bureau of Japan (2025). Toyota's focus should be on the safety and accessibility of older drivers, convenience for families, and service uptime for commercial users</w:t>
      </w:r>
      <w:r w:rsidRPr="0025492A">
        <w:rPr>
          <w:rFonts w:ascii="Arial" w:hAnsi="Arial" w:cs="Arial"/>
          <w:color w:val="0D0D0D" w:themeColor="text1" w:themeTint="F2"/>
          <w:sz w:val="24"/>
          <w:szCs w:val="24"/>
          <w:lang w:val="en-IN"/>
        </w:rPr>
        <w:t>.</w:t>
      </w:r>
    </w:p>
    <w:p w14:paraId="4B5D235D"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Singapore</w:t>
      </w:r>
    </w:p>
    <w:p w14:paraId="4F2273BC"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The COE-constrained market and increasing charging access in Singapore necessitate a targeted approach towards wealthy households, fleet and efficiency-</w:t>
      </w:r>
      <w:r w:rsidRPr="0025492A">
        <w:rPr>
          <w:rFonts w:ascii="Arial" w:hAnsi="Arial" w:cs="Arial"/>
          <w:color w:val="0D0D0D" w:themeColor="text1" w:themeTint="F2"/>
          <w:sz w:val="24"/>
          <w:szCs w:val="24"/>
        </w:rPr>
        <w:lastRenderedPageBreak/>
        <w:t>minded consumers (Land Transport Authority, 2026a; Ministry of Transport Singapore, 2026). Toyota should target charging-ready customers with BEVs and reliability-oriented customers with hybrids.</w:t>
      </w:r>
    </w:p>
    <w:p w14:paraId="77BEE20A"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Comparison</w:t>
      </w:r>
    </w:p>
    <w:p w14:paraId="70F2854D"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Both markets value reliability, but Japan supports broader targeting while Singapore requires tighter financial and usage filters. Deloitte (2024) mentions four factors in automotive purchase consideration: price, quality, charging and performance, and infrastructure. This matters because Singapore’s ownership costs raise the penalty for poor targeting, so affordability, parking, driving behaviour and replacement timing must shape selection.</w:t>
      </w:r>
    </w:p>
    <w:p w14:paraId="22F0DBED" w14:textId="77777777" w:rsidR="00D30F1C" w:rsidRPr="0025492A" w:rsidRDefault="008448E0" w:rsidP="00EA42DE">
      <w:pPr>
        <w:pStyle w:val="Heading2"/>
        <w:rPr>
          <w:rFonts w:ascii="Arial" w:hAnsi="Arial" w:cs="Arial"/>
          <w:color w:val="0D0D0D" w:themeColor="text1" w:themeTint="F2"/>
        </w:rPr>
      </w:pPr>
      <w:bookmarkStart w:id="10" w:name="_Toc236957850"/>
      <w:r w:rsidRPr="0025492A">
        <w:rPr>
          <w:rFonts w:ascii="Arial" w:hAnsi="Arial" w:cs="Arial"/>
          <w:color w:val="0D0D0D" w:themeColor="text1" w:themeTint="F2"/>
        </w:rPr>
        <w:t>3.3 Positioning Strategy</w:t>
      </w:r>
      <w:bookmarkEnd w:id="10"/>
    </w:p>
    <w:p w14:paraId="0D31DDCE" w14:textId="77777777" w:rsidR="00A334A2"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 xml:space="preserve">Toyota has a trusted reputation in Japan due to its quality, engineering, safety, reliability and the making of automobiles. Portfolio breadth allows for individual positions in terms of mobility, top quality comfort and sporting quality. But this heritage has posed a danger that Toyota is showing conservatism in the high-speed battery electric race. Figure 4 shows Toyota’s patent shift towards batteries, electrification, connectivity and automated driving, supporting Ma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(2022)</w:t>
      </w:r>
      <w:r w:rsidRPr="0025492A">
        <w:rPr>
          <w:rFonts w:ascii="Arial" w:hAnsi="Arial" w:cs="Arial"/>
          <w:color w:val="0D0D0D" w:themeColor="text1" w:themeTint="F2"/>
          <w:sz w:val="24"/>
          <w:szCs w:val="24"/>
          <w:lang w:val="en-IN"/>
        </w:rPr>
        <w:t xml:space="preserve">. </w:t>
      </w:r>
      <w:r w:rsidRPr="0025492A">
        <w:rPr>
          <w:rFonts w:ascii="Arial" w:hAnsi="Arial" w:cs="Arial"/>
          <w:color w:val="0D0D0D" w:themeColor="text1" w:themeTint="F2"/>
          <w:sz w:val="24"/>
          <w:szCs w:val="24"/>
        </w:rPr>
        <w:t>The Japanese “Mobility for All” is presented through “Start Your Impossible”, while Singapore’s Yaris Cross campaign emphasises efficient mobility and ownership confidence (Toyota Motor Corporation, 2023; Toyota Singapore, 2026c). However, both campaigns require clearer links between innovation claims and customer value.</w:t>
      </w:r>
    </w:p>
    <w:p w14:paraId="4D16DEFC" w14:textId="77777777" w:rsidR="00C46CAF"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noProof/>
          <w:color w:val="0D0D0D" w:themeColor="text1" w:themeTint="F2"/>
          <w:sz w:val="24"/>
          <w:szCs w:val="24"/>
          <w:lang w:val="en-IN" w:eastAsia="en-IN" w:bidi="gu-IN"/>
        </w:rPr>
        <w:drawing>
          <wp:inline distT="0" distB="0" distL="0" distR="0" wp14:anchorId="6167DBE3" wp14:editId="686B8069">
            <wp:extent cx="5616427" cy="2263336"/>
            <wp:effectExtent l="19050" t="19050" r="22860"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a:stretch>
                      <a:fillRect/>
                    </a:stretch>
                  </pic:blipFill>
                  <pic:spPr>
                    <a:xfrm>
                      <a:off x="0" y="0"/>
                      <a:ext cx="5616427" cy="2263336"/>
                    </a:xfrm>
                    <a:prstGeom prst="rect">
                      <a:avLst/>
                    </a:prstGeom>
                    <a:ln>
                      <a:solidFill>
                        <a:schemeClr val="tx1"/>
                      </a:solidFill>
                    </a:ln>
                  </pic:spPr>
                </pic:pic>
              </a:graphicData>
            </a:graphic>
          </wp:inline>
        </w:drawing>
      </w:r>
    </w:p>
    <w:p w14:paraId="01753767" w14:textId="77777777" w:rsidR="00C46CAF" w:rsidRPr="0025492A" w:rsidRDefault="008448E0" w:rsidP="00B640B9">
      <w:pPr>
        <w:spacing w:after="0" w:line="360" w:lineRule="auto"/>
        <w:jc w:val="center"/>
        <w:rPr>
          <w:rFonts w:ascii="Arial" w:hAnsi="Arial" w:cs="Arial"/>
          <w:b/>
          <w:color w:val="0D0D0D" w:themeColor="text1" w:themeTint="F2"/>
          <w:sz w:val="24"/>
          <w:szCs w:val="24"/>
        </w:rPr>
      </w:pPr>
      <w:r w:rsidRPr="0025492A">
        <w:rPr>
          <w:rFonts w:ascii="Arial" w:hAnsi="Arial" w:cs="Arial"/>
          <w:b/>
          <w:color w:val="0D0D0D" w:themeColor="text1" w:themeTint="F2"/>
          <w:sz w:val="24"/>
          <w:szCs w:val="24"/>
          <w:lang w:val="en-IN"/>
        </w:rPr>
        <w:t xml:space="preserve">Figure </w:t>
      </w:r>
      <w:r w:rsidR="00376B03" w:rsidRPr="0025492A">
        <w:rPr>
          <w:rFonts w:ascii="Arial" w:hAnsi="Arial" w:cs="Arial"/>
          <w:b/>
          <w:color w:val="0D0D0D" w:themeColor="text1" w:themeTint="F2"/>
          <w:sz w:val="24"/>
          <w:szCs w:val="24"/>
          <w:lang w:val="en-IN"/>
        </w:rPr>
        <w:t>4</w:t>
      </w:r>
      <w:r w:rsidRPr="0025492A">
        <w:rPr>
          <w:rFonts w:ascii="Arial" w:hAnsi="Arial" w:cs="Arial"/>
          <w:b/>
          <w:color w:val="0D0D0D" w:themeColor="text1" w:themeTint="F2"/>
          <w:sz w:val="24"/>
          <w:szCs w:val="24"/>
          <w:lang w:val="en-IN"/>
        </w:rPr>
        <w:t xml:space="preserve">: </w:t>
      </w:r>
      <w:r w:rsidR="00BC57C6" w:rsidRPr="0025492A">
        <w:rPr>
          <w:rFonts w:ascii="Arial" w:hAnsi="Arial" w:cs="Arial"/>
          <w:b/>
          <w:color w:val="0D0D0D" w:themeColor="text1" w:themeTint="F2"/>
          <w:sz w:val="24"/>
          <w:szCs w:val="24"/>
        </w:rPr>
        <w:t>Percentage of Patents by Technological Field</w:t>
      </w:r>
    </w:p>
    <w:p w14:paraId="08DB1355" w14:textId="77777777" w:rsidR="00BC57C6"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(Source: Toyota Motor Corporation, 2026a)</w:t>
      </w:r>
    </w:p>
    <w:p w14:paraId="57815E19"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lastRenderedPageBreak/>
        <w:t>Toyota should make innovation appear believable and trustworthy</w:t>
      </w:r>
      <w:r w:rsidRPr="0025492A">
        <w:rPr>
          <w:rFonts w:ascii="Arial" w:hAnsi="Arial" w:cs="Arial"/>
          <w:color w:val="0D0D0D" w:themeColor="text1" w:themeTint="F2"/>
          <w:sz w:val="24"/>
          <w:szCs w:val="24"/>
          <w:lang w:val="en-IN"/>
        </w:rPr>
        <w:t xml:space="preserve">. </w:t>
      </w:r>
      <w:r w:rsidRPr="0025492A">
        <w:rPr>
          <w:rFonts w:ascii="Arial" w:hAnsi="Arial" w:cs="Arial"/>
          <w:color w:val="0D0D0D" w:themeColor="text1" w:themeTint="F2"/>
          <w:sz w:val="24"/>
          <w:szCs w:val="24"/>
        </w:rPr>
        <w:t>The positioning should make clear that Singapore is a great place for efficient mobility, where the company can have confidence in ownership and enjoy their services from authorised service centres, with warranties and complete ownership details (Toyota Singapore, 2026d). Hybrid enhances reliability, but BEV competition is a major blow to Toyota's image as an innovator</w:t>
      </w:r>
      <w:r w:rsidRPr="0025492A">
        <w:rPr>
          <w:rFonts w:ascii="Arial" w:hAnsi="Arial" w:cs="Arial"/>
          <w:color w:val="0D0D0D" w:themeColor="text1" w:themeTint="F2"/>
          <w:sz w:val="24"/>
          <w:szCs w:val="24"/>
          <w:lang w:val="en-IN"/>
        </w:rPr>
        <w:t>.</w:t>
      </w:r>
    </w:p>
    <w:p w14:paraId="1903CF98" w14:textId="77777777" w:rsidR="00D30F1C" w:rsidRPr="0025492A" w:rsidRDefault="008448E0" w:rsidP="00EA42DE">
      <w:pPr>
        <w:pStyle w:val="Heading2"/>
        <w:rPr>
          <w:rFonts w:ascii="Arial" w:hAnsi="Arial" w:cs="Arial"/>
          <w:color w:val="0D0D0D" w:themeColor="text1" w:themeTint="F2"/>
        </w:rPr>
      </w:pPr>
      <w:bookmarkStart w:id="11" w:name="_Toc236957851"/>
      <w:r w:rsidRPr="0025492A">
        <w:rPr>
          <w:rFonts w:ascii="Arial" w:hAnsi="Arial" w:cs="Arial"/>
          <w:color w:val="0D0D0D" w:themeColor="text1" w:themeTint="F2"/>
        </w:rPr>
        <w:t>3.4 Comparative International Marketing Mix</w:t>
      </w:r>
      <w:bookmarkEnd w:id="11"/>
    </w:p>
    <w:p w14:paraId="423FC8AB"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Product Strategy</w:t>
      </w:r>
    </w:p>
    <w:p w14:paraId="240228C8" w14:textId="77777777" w:rsidR="00E04D17"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bCs/>
          <w:color w:val="0D0D0D" w:themeColor="text1" w:themeTint="F2"/>
          <w:sz w:val="24"/>
          <w:szCs w:val="24"/>
        </w:rPr>
        <w:t xml:space="preserve">Toyota unifies its brand, hybrid technology, and Toyota Safety Sense for both markets but adjusts its model range, equipment and ownership support to local regulation, infrastructure and customer needs. Compact package, hybrid efficiency and Toyota Safety Sense make Yaris a vehicle in Japan, and </w:t>
      </w:r>
      <w:proofErr w:type="spellStart"/>
      <w:r w:rsidRPr="0025492A">
        <w:rPr>
          <w:rFonts w:ascii="Arial" w:hAnsi="Arial" w:cs="Arial"/>
          <w:bCs/>
          <w:color w:val="0D0D0D" w:themeColor="text1" w:themeTint="F2"/>
          <w:sz w:val="24"/>
          <w:szCs w:val="24"/>
        </w:rPr>
        <w:t>Welcab</w:t>
      </w:r>
      <w:proofErr w:type="spellEnd"/>
      <w:r w:rsidRPr="0025492A">
        <w:rPr>
          <w:rFonts w:ascii="Arial" w:hAnsi="Arial" w:cs="Arial"/>
          <w:bCs/>
          <w:color w:val="0D0D0D" w:themeColor="text1" w:themeTint="F2"/>
          <w:sz w:val="24"/>
          <w:szCs w:val="24"/>
        </w:rPr>
        <w:t xml:space="preserve"> has the accessibility solution. The urban-family models, like Yaris Cross and Corolla </w:t>
      </w:r>
      <w:proofErr w:type="spellStart"/>
      <w:r w:rsidRPr="0025492A">
        <w:rPr>
          <w:rFonts w:ascii="Arial" w:hAnsi="Arial" w:cs="Arial"/>
          <w:bCs/>
          <w:color w:val="0D0D0D" w:themeColor="text1" w:themeTint="F2"/>
          <w:sz w:val="24"/>
          <w:szCs w:val="24"/>
        </w:rPr>
        <w:t>Altis</w:t>
      </w:r>
      <w:proofErr w:type="spellEnd"/>
      <w:r w:rsidRPr="0025492A">
        <w:rPr>
          <w:rFonts w:ascii="Arial" w:hAnsi="Arial" w:cs="Arial"/>
          <w:bCs/>
          <w:color w:val="0D0D0D" w:themeColor="text1" w:themeTint="F2"/>
          <w:sz w:val="24"/>
          <w:szCs w:val="24"/>
        </w:rPr>
        <w:t>, are highlighted, as is safety technology, airbags, smartphone connectivity and local warranty/service support (Toyota Motor Corporation, 2026d; Toyota Singapore, 2026d). Figure 5 shows Toyota’s electrified scale, while portfolio features and services remain locally customised</w:t>
      </w:r>
      <w:r w:rsidRPr="0025492A">
        <w:rPr>
          <w:rFonts w:ascii="Arial" w:hAnsi="Arial" w:cs="Arial"/>
          <w:color w:val="0D0D0D" w:themeColor="text1" w:themeTint="F2"/>
          <w:sz w:val="24"/>
          <w:szCs w:val="24"/>
          <w:lang w:val="en-IN"/>
        </w:rPr>
        <w:t xml:space="preserve">. </w:t>
      </w:r>
    </w:p>
    <w:p w14:paraId="01E34046" w14:textId="77777777" w:rsidR="00E04D17"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noProof/>
          <w:color w:val="0D0D0D" w:themeColor="text1" w:themeTint="F2"/>
          <w:sz w:val="24"/>
          <w:szCs w:val="24"/>
          <w:lang w:val="en-IN" w:eastAsia="en-IN" w:bidi="gu-IN"/>
        </w:rPr>
        <w:drawing>
          <wp:inline distT="0" distB="0" distL="0" distR="0" wp14:anchorId="7F2A1A07" wp14:editId="0D356F3D">
            <wp:extent cx="5731510" cy="2442845"/>
            <wp:effectExtent l="19050" t="19050" r="2159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a:stretch>
                      <a:fillRect/>
                    </a:stretch>
                  </pic:blipFill>
                  <pic:spPr>
                    <a:xfrm>
                      <a:off x="0" y="0"/>
                      <a:ext cx="5731510" cy="2442845"/>
                    </a:xfrm>
                    <a:prstGeom prst="rect">
                      <a:avLst/>
                    </a:prstGeom>
                    <a:ln>
                      <a:solidFill>
                        <a:schemeClr val="tx1"/>
                      </a:solidFill>
                    </a:ln>
                  </pic:spPr>
                </pic:pic>
              </a:graphicData>
            </a:graphic>
          </wp:inline>
        </w:drawing>
      </w:r>
    </w:p>
    <w:p w14:paraId="06257914" w14:textId="77777777" w:rsidR="00E04D17" w:rsidRPr="0025492A" w:rsidRDefault="008448E0" w:rsidP="00B640B9">
      <w:pPr>
        <w:spacing w:after="0" w:line="360" w:lineRule="auto"/>
        <w:jc w:val="center"/>
        <w:rPr>
          <w:rFonts w:ascii="Arial" w:hAnsi="Arial" w:cs="Arial"/>
          <w:b/>
          <w:color w:val="0D0D0D" w:themeColor="text1" w:themeTint="F2"/>
          <w:sz w:val="24"/>
          <w:szCs w:val="24"/>
        </w:rPr>
      </w:pPr>
      <w:r w:rsidRPr="0025492A">
        <w:rPr>
          <w:rFonts w:ascii="Arial" w:hAnsi="Arial" w:cs="Arial"/>
          <w:b/>
          <w:color w:val="0D0D0D" w:themeColor="text1" w:themeTint="F2"/>
          <w:sz w:val="24"/>
          <w:szCs w:val="24"/>
          <w:lang w:val="en-IN"/>
        </w:rPr>
        <w:t xml:space="preserve">Figure </w:t>
      </w:r>
      <w:r w:rsidR="00376B03" w:rsidRPr="0025492A">
        <w:rPr>
          <w:rFonts w:ascii="Arial" w:hAnsi="Arial" w:cs="Arial"/>
          <w:b/>
          <w:color w:val="0D0D0D" w:themeColor="text1" w:themeTint="F2"/>
          <w:sz w:val="24"/>
          <w:szCs w:val="24"/>
          <w:lang w:val="en-IN"/>
        </w:rPr>
        <w:t>5</w:t>
      </w:r>
      <w:r w:rsidRPr="0025492A">
        <w:rPr>
          <w:rFonts w:ascii="Arial" w:hAnsi="Arial" w:cs="Arial"/>
          <w:b/>
          <w:color w:val="0D0D0D" w:themeColor="text1" w:themeTint="F2"/>
          <w:sz w:val="24"/>
          <w:szCs w:val="24"/>
          <w:lang w:val="en-IN"/>
        </w:rPr>
        <w:t xml:space="preserve">: </w:t>
      </w:r>
      <w:r w:rsidRPr="0025492A">
        <w:rPr>
          <w:rFonts w:ascii="Arial" w:hAnsi="Arial" w:cs="Arial"/>
          <w:b/>
          <w:color w:val="0D0D0D" w:themeColor="text1" w:themeTint="F2"/>
          <w:sz w:val="24"/>
          <w:szCs w:val="24"/>
        </w:rPr>
        <w:t>Cumulative Sales of Electrified Vehicles</w:t>
      </w:r>
    </w:p>
    <w:p w14:paraId="66A297DB" w14:textId="77777777" w:rsidR="00E04D17"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(Source: Toyota Motor Corporation, 2026a)</w:t>
      </w:r>
    </w:p>
    <w:p w14:paraId="06A8A81D"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This adaptation of the brand is also influenced by culture: Japan has high uncertainty avoidance, which plays a significant role in emphasising detailed safety specifications and technical proof, whilst Singapore has high power distance and collectivism that helps to enable authorised-dealer reassurance, practical family value, and clear ownership guidance (The Culture Factor, 2026)</w:t>
      </w:r>
      <w:r w:rsidR="008A5FC0" w:rsidRPr="0025492A">
        <w:rPr>
          <w:rFonts w:ascii="Arial" w:hAnsi="Arial" w:cs="Arial"/>
          <w:color w:val="0D0D0D" w:themeColor="text1" w:themeTint="F2"/>
          <w:sz w:val="24"/>
          <w:szCs w:val="24"/>
        </w:rPr>
        <w:t>.</w:t>
      </w:r>
      <w:r w:rsidRPr="0025492A">
        <w:rPr>
          <w:rFonts w:ascii="Arial" w:hAnsi="Arial" w:cs="Arial"/>
          <w:color w:val="0D0D0D" w:themeColor="text1" w:themeTint="F2"/>
          <w:sz w:val="24"/>
          <w:szCs w:val="24"/>
        </w:rPr>
        <w:t xml:space="preserve"> Therefore, local </w:t>
      </w:r>
      <w:r w:rsidRPr="0025492A">
        <w:rPr>
          <w:rFonts w:ascii="Arial" w:hAnsi="Arial" w:cs="Arial"/>
          <w:color w:val="0D0D0D" w:themeColor="text1" w:themeTint="F2"/>
          <w:sz w:val="24"/>
          <w:szCs w:val="24"/>
        </w:rPr>
        <w:lastRenderedPageBreak/>
        <w:t>adaptation should remain visible throughout the complete customer journey consistently.</w:t>
      </w:r>
    </w:p>
    <w:p w14:paraId="0F462087"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Price Strategy</w:t>
      </w:r>
    </w:p>
    <w:p w14:paraId="105A932B" w14:textId="77777777" w:rsidR="00BB691F" w:rsidRPr="0025492A" w:rsidRDefault="008448E0" w:rsidP="00B640B9">
      <w:pPr>
        <w:spacing w:after="0" w:line="360" w:lineRule="auto"/>
        <w:jc w:val="both"/>
        <w:rPr>
          <w:rFonts w:ascii="Arial" w:hAnsi="Arial" w:cs="Arial"/>
          <w:color w:val="0D0D0D" w:themeColor="text1" w:themeTint="F2"/>
          <w:sz w:val="24"/>
          <w:szCs w:val="24"/>
        </w:rPr>
      </w:pPr>
      <w:r w:rsidRPr="0025492A">
        <w:rPr>
          <w:rFonts w:ascii="Arial" w:hAnsi="Arial" w:cs="Arial"/>
          <w:bCs/>
          <w:color w:val="0D0D0D" w:themeColor="text1" w:themeTint="F2"/>
          <w:sz w:val="24"/>
          <w:szCs w:val="24"/>
        </w:rPr>
        <w:t>In Japan, Toyota has a wider price band, while Singapore incorporates list prices into COE-pricing affordability and clever price movements, so there is a lot more room for manoeuvre in pricing in Singapore. Toyota has published manufacturer-recommended prices in Japan, which enables the dealers to set the final selling prices and thus compete on pricing. Table 1 shows Japanese Yaris prices of ¥1,697,300–¥2,994,200 (Toyota Motor Corporation, 2026d). Singapore’s COE permits 10-year vehicle ownership (Land Transport Authority, 2026a). The other method promoted by Toyota is its 'Mid-Year Sale'. Toyota Singapore (2026c) advertised an additional S$10,000 discount on the Yaris Cross during its 2026 Mid-Year Sale</w:t>
      </w:r>
      <w:r w:rsidRPr="0025492A">
        <w:rPr>
          <w:rFonts w:ascii="Arial" w:hAnsi="Arial" w:cs="Arial"/>
          <w:color w:val="0D0D0D" w:themeColor="text1" w:themeTint="F2"/>
          <w:sz w:val="24"/>
          <w:szCs w:val="24"/>
        </w:rPr>
        <w:t xml:space="preserve">. </w:t>
      </w:r>
    </w:p>
    <w:tbl>
      <w:tblPr>
        <w:tblStyle w:val="TableGrid"/>
        <w:tblpPr w:leftFromText="180" w:rightFromText="180" w:vertAnchor="text" w:horzAnchor="page" w:tblpX="2053" w:tblpY="326"/>
        <w:tblW w:w="7709" w:type="dxa"/>
        <w:tblLook w:val="04A0" w:firstRow="1" w:lastRow="0" w:firstColumn="1" w:lastColumn="0" w:noHBand="0" w:noVBand="1"/>
      </w:tblPr>
      <w:tblGrid>
        <w:gridCol w:w="1531"/>
        <w:gridCol w:w="2964"/>
        <w:gridCol w:w="3214"/>
      </w:tblGrid>
      <w:tr w:rsidR="0025492A" w:rsidRPr="0025492A" w14:paraId="0FB13508" w14:textId="77777777" w:rsidTr="00874B0C">
        <w:trPr>
          <w:trHeight w:val="446"/>
        </w:trPr>
        <w:tc>
          <w:tcPr>
            <w:tcW w:w="0" w:type="auto"/>
            <w:hideMark/>
          </w:tcPr>
          <w:p w14:paraId="7DCC8DF7" w14:textId="77777777" w:rsidR="00874B0C" w:rsidRPr="0025492A" w:rsidRDefault="008448E0" w:rsidP="00874B0C">
            <w:pPr>
              <w:spacing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Market</w:t>
            </w:r>
          </w:p>
        </w:tc>
        <w:tc>
          <w:tcPr>
            <w:tcW w:w="0" w:type="auto"/>
            <w:hideMark/>
          </w:tcPr>
          <w:p w14:paraId="2B6F4986" w14:textId="77777777" w:rsidR="00874B0C" w:rsidRPr="0025492A" w:rsidRDefault="008448E0" w:rsidP="00874B0C">
            <w:pPr>
              <w:spacing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Model</w:t>
            </w:r>
          </w:p>
        </w:tc>
        <w:tc>
          <w:tcPr>
            <w:tcW w:w="0" w:type="auto"/>
            <w:hideMark/>
          </w:tcPr>
          <w:p w14:paraId="676458D8" w14:textId="77777777" w:rsidR="00874B0C" w:rsidRPr="0025492A" w:rsidRDefault="008448E0" w:rsidP="00874B0C">
            <w:pPr>
              <w:spacing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2026 price</w:t>
            </w:r>
          </w:p>
        </w:tc>
      </w:tr>
      <w:tr w:rsidR="0025492A" w:rsidRPr="0025492A" w14:paraId="75618870" w14:textId="77777777" w:rsidTr="00874B0C">
        <w:trPr>
          <w:trHeight w:val="459"/>
        </w:trPr>
        <w:tc>
          <w:tcPr>
            <w:tcW w:w="0" w:type="auto"/>
            <w:hideMark/>
          </w:tcPr>
          <w:p w14:paraId="1C4C303A"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Japan</w:t>
            </w:r>
          </w:p>
        </w:tc>
        <w:tc>
          <w:tcPr>
            <w:tcW w:w="0" w:type="auto"/>
            <w:hideMark/>
          </w:tcPr>
          <w:p w14:paraId="31E2DD04"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Yaris</w:t>
            </w:r>
          </w:p>
        </w:tc>
        <w:tc>
          <w:tcPr>
            <w:tcW w:w="0" w:type="auto"/>
            <w:hideMark/>
          </w:tcPr>
          <w:p w14:paraId="6745A1EA"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¥1,697,300–¥2,994,200</w:t>
            </w:r>
          </w:p>
        </w:tc>
      </w:tr>
      <w:tr w:rsidR="0025492A" w:rsidRPr="0025492A" w14:paraId="16D6C544" w14:textId="77777777" w:rsidTr="00874B0C">
        <w:trPr>
          <w:trHeight w:val="446"/>
        </w:trPr>
        <w:tc>
          <w:tcPr>
            <w:tcW w:w="0" w:type="auto"/>
            <w:hideMark/>
          </w:tcPr>
          <w:p w14:paraId="39BC293F"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Singapore</w:t>
            </w:r>
          </w:p>
        </w:tc>
        <w:tc>
          <w:tcPr>
            <w:tcW w:w="0" w:type="auto"/>
            <w:hideMark/>
          </w:tcPr>
          <w:p w14:paraId="028739C5"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 xml:space="preserve">Corolla </w:t>
            </w:r>
            <w:proofErr w:type="spellStart"/>
            <w:r w:rsidRPr="0025492A">
              <w:rPr>
                <w:rFonts w:ascii="Arial" w:hAnsi="Arial" w:cs="Arial"/>
                <w:color w:val="0D0D0D" w:themeColor="text1" w:themeTint="F2"/>
                <w:sz w:val="24"/>
                <w:szCs w:val="24"/>
                <w:lang w:val="en-IN"/>
              </w:rPr>
              <w:t>Altis</w:t>
            </w:r>
            <w:proofErr w:type="spellEnd"/>
            <w:r w:rsidRPr="0025492A">
              <w:rPr>
                <w:rFonts w:ascii="Arial" w:hAnsi="Arial" w:cs="Arial"/>
                <w:color w:val="0D0D0D" w:themeColor="text1" w:themeTint="F2"/>
                <w:sz w:val="24"/>
                <w:szCs w:val="24"/>
                <w:lang w:val="en-IN"/>
              </w:rPr>
              <w:t xml:space="preserve"> Standard</w:t>
            </w:r>
          </w:p>
        </w:tc>
        <w:tc>
          <w:tcPr>
            <w:tcW w:w="0" w:type="auto"/>
            <w:hideMark/>
          </w:tcPr>
          <w:p w14:paraId="18BFF2EA"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S$145,888</w:t>
            </w:r>
          </w:p>
        </w:tc>
      </w:tr>
      <w:tr w:rsidR="0025492A" w:rsidRPr="0025492A" w14:paraId="26D0945C" w14:textId="77777777" w:rsidTr="00874B0C">
        <w:trPr>
          <w:trHeight w:val="459"/>
        </w:trPr>
        <w:tc>
          <w:tcPr>
            <w:tcW w:w="0" w:type="auto"/>
            <w:hideMark/>
          </w:tcPr>
          <w:p w14:paraId="485A8C68"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Singapore</w:t>
            </w:r>
          </w:p>
        </w:tc>
        <w:tc>
          <w:tcPr>
            <w:tcW w:w="0" w:type="auto"/>
            <w:hideMark/>
          </w:tcPr>
          <w:p w14:paraId="54C94F4A"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Yaris Cross Active</w:t>
            </w:r>
          </w:p>
        </w:tc>
        <w:tc>
          <w:tcPr>
            <w:tcW w:w="0" w:type="auto"/>
            <w:hideMark/>
          </w:tcPr>
          <w:p w14:paraId="49F3BE19" w14:textId="77777777" w:rsidR="00874B0C" w:rsidRPr="0025492A" w:rsidRDefault="008448E0" w:rsidP="00874B0C">
            <w:pPr>
              <w:spacing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S$178,388</w:t>
            </w:r>
          </w:p>
        </w:tc>
      </w:tr>
    </w:tbl>
    <w:p w14:paraId="2AD847A5" w14:textId="77777777" w:rsidR="00874B0C" w:rsidRPr="0025492A" w:rsidRDefault="00874B0C" w:rsidP="00B640B9">
      <w:pPr>
        <w:spacing w:after="0" w:line="360" w:lineRule="auto"/>
        <w:jc w:val="both"/>
        <w:rPr>
          <w:rFonts w:ascii="Arial" w:hAnsi="Arial" w:cs="Arial"/>
          <w:color w:val="0D0D0D" w:themeColor="text1" w:themeTint="F2"/>
          <w:sz w:val="24"/>
          <w:szCs w:val="24"/>
        </w:rPr>
      </w:pPr>
    </w:p>
    <w:p w14:paraId="46413D96" w14:textId="77777777" w:rsidR="00874B0C" w:rsidRPr="0025492A" w:rsidRDefault="00874B0C" w:rsidP="00B640B9">
      <w:pPr>
        <w:spacing w:after="0" w:line="360" w:lineRule="auto"/>
        <w:jc w:val="both"/>
        <w:rPr>
          <w:rFonts w:ascii="Arial" w:hAnsi="Arial" w:cs="Arial"/>
          <w:color w:val="0D0D0D" w:themeColor="text1" w:themeTint="F2"/>
          <w:sz w:val="24"/>
          <w:szCs w:val="24"/>
        </w:rPr>
      </w:pPr>
    </w:p>
    <w:p w14:paraId="4FE4899E" w14:textId="77777777" w:rsidR="00874B0C" w:rsidRPr="0025492A" w:rsidRDefault="00874B0C" w:rsidP="00B640B9">
      <w:pPr>
        <w:spacing w:after="0" w:line="360" w:lineRule="auto"/>
        <w:jc w:val="both"/>
        <w:rPr>
          <w:rFonts w:ascii="Arial" w:hAnsi="Arial" w:cs="Arial"/>
          <w:color w:val="0D0D0D" w:themeColor="text1" w:themeTint="F2"/>
          <w:sz w:val="24"/>
          <w:szCs w:val="24"/>
        </w:rPr>
      </w:pPr>
    </w:p>
    <w:p w14:paraId="0D806258" w14:textId="77777777" w:rsidR="0061326B" w:rsidRPr="0025492A" w:rsidRDefault="0061326B" w:rsidP="0061326B">
      <w:pPr>
        <w:spacing w:after="0" w:line="360" w:lineRule="auto"/>
        <w:rPr>
          <w:rFonts w:ascii="Arial" w:hAnsi="Arial" w:cs="Arial"/>
          <w:color w:val="0D0D0D" w:themeColor="text1" w:themeTint="F2"/>
          <w:sz w:val="24"/>
          <w:szCs w:val="24"/>
          <w:lang w:val="en-IN"/>
        </w:rPr>
      </w:pPr>
    </w:p>
    <w:p w14:paraId="11498BAF" w14:textId="77777777" w:rsidR="006B1CA0" w:rsidRPr="0025492A" w:rsidRDefault="006B1CA0" w:rsidP="0061326B">
      <w:pPr>
        <w:spacing w:after="0" w:line="360" w:lineRule="auto"/>
        <w:jc w:val="center"/>
        <w:rPr>
          <w:rFonts w:ascii="Arial" w:hAnsi="Arial" w:cs="Arial"/>
          <w:color w:val="0D0D0D" w:themeColor="text1" w:themeTint="F2"/>
          <w:sz w:val="24"/>
          <w:szCs w:val="24"/>
        </w:rPr>
      </w:pPr>
    </w:p>
    <w:p w14:paraId="4D807783" w14:textId="77777777" w:rsidR="006B1CA0" w:rsidRPr="0025492A" w:rsidRDefault="006B1CA0" w:rsidP="0061326B">
      <w:pPr>
        <w:spacing w:after="0" w:line="360" w:lineRule="auto"/>
        <w:jc w:val="center"/>
        <w:rPr>
          <w:rFonts w:ascii="Arial" w:hAnsi="Arial" w:cs="Arial"/>
          <w:color w:val="0D0D0D" w:themeColor="text1" w:themeTint="F2"/>
          <w:sz w:val="24"/>
          <w:szCs w:val="24"/>
        </w:rPr>
      </w:pPr>
    </w:p>
    <w:p w14:paraId="0BE92BD3" w14:textId="77777777" w:rsidR="005205BA" w:rsidRPr="0025492A" w:rsidRDefault="008448E0" w:rsidP="0061326B">
      <w:pPr>
        <w:spacing w:after="0" w:line="360" w:lineRule="auto"/>
        <w:jc w:val="center"/>
        <w:rPr>
          <w:rFonts w:ascii="Arial" w:hAnsi="Arial"/>
          <w:b/>
          <w:color w:val="0D0D0D" w:themeColor="text1" w:themeTint="F2"/>
          <w:sz w:val="24"/>
        </w:rPr>
      </w:pPr>
      <w:r w:rsidRPr="0025492A">
        <w:rPr>
          <w:rFonts w:ascii="Arial" w:hAnsi="Arial" w:cs="Arial"/>
          <w:b/>
          <w:color w:val="0D0D0D" w:themeColor="text1" w:themeTint="F2"/>
          <w:sz w:val="24"/>
          <w:szCs w:val="24"/>
        </w:rPr>
        <w:t>Table 1: Selected Toyota prices, 2026</w:t>
      </w:r>
      <w:r w:rsidRPr="0025492A">
        <w:rPr>
          <w:rFonts w:ascii="Arial" w:hAnsi="Arial"/>
          <w:b/>
          <w:color w:val="0D0D0D" w:themeColor="text1" w:themeTint="F2"/>
          <w:sz w:val="24"/>
        </w:rPr>
        <w:t xml:space="preserve">. </w:t>
      </w:r>
    </w:p>
    <w:p w14:paraId="5475CC9B" w14:textId="1CD0A8D1" w:rsidR="0061326B" w:rsidRPr="0025492A" w:rsidRDefault="008448E0" w:rsidP="0061326B">
      <w:pPr>
        <w:spacing w:after="0" w:line="360" w:lineRule="auto"/>
        <w:jc w:val="center"/>
        <w:rPr>
          <w:rFonts w:ascii="Arial" w:hAnsi="Arial" w:cs="Arial"/>
          <w:b/>
          <w:color w:val="0D0D0D" w:themeColor="text1" w:themeTint="F2"/>
          <w:sz w:val="24"/>
          <w:szCs w:val="24"/>
          <w:lang w:val="en-IN"/>
        </w:rPr>
      </w:pPr>
      <w:r w:rsidRPr="0025492A">
        <w:rPr>
          <w:rFonts w:ascii="Arial" w:hAnsi="Arial"/>
          <w:b/>
          <w:color w:val="0D0D0D" w:themeColor="text1" w:themeTint="F2"/>
          <w:sz w:val="24"/>
        </w:rPr>
        <w:t>Note: Yen and SGD prices are shown in local currency and are not directly comparable without conversion.</w:t>
      </w:r>
    </w:p>
    <w:p w14:paraId="4637455A"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Place Strategy</w:t>
      </w:r>
    </w:p>
    <w:p w14:paraId="516C6EE0" w14:textId="77777777" w:rsidR="00CF2211" w:rsidRPr="0025492A" w:rsidRDefault="008448E0" w:rsidP="00B640B9">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rPr>
        <w:t xml:space="preserve">Distribution is standardised on the level of brand and service controls and adapted on the level of channel presence: Japan has a wide dealer network, while Singapore has a centralised authorised-distributor model. Japan has nationwide dealer companies such as Toyota Mobility Tokyo and Aichi Toyota, which are backed up by new-car, used-car and service outlets (Toyota Motor Corporation, 2026c). Selective centralised distribution is implemented in Singapore via Borneo Motors, which is Toyota's authorised distributor with principal showrooms at </w:t>
      </w:r>
      <w:proofErr w:type="spellStart"/>
      <w:r w:rsidRPr="0025492A">
        <w:rPr>
          <w:rFonts w:ascii="Arial" w:hAnsi="Arial" w:cs="Arial"/>
          <w:bCs/>
          <w:color w:val="0D0D0D" w:themeColor="text1" w:themeTint="F2"/>
          <w:sz w:val="24"/>
          <w:szCs w:val="24"/>
        </w:rPr>
        <w:t>Leng</w:t>
      </w:r>
      <w:proofErr w:type="spellEnd"/>
      <w:r w:rsidRPr="0025492A">
        <w:rPr>
          <w:rFonts w:ascii="Arial" w:hAnsi="Arial" w:cs="Arial"/>
          <w:bCs/>
          <w:color w:val="0D0D0D" w:themeColor="text1" w:themeTint="F2"/>
          <w:sz w:val="24"/>
          <w:szCs w:val="24"/>
        </w:rPr>
        <w:t xml:space="preserve"> </w:t>
      </w:r>
      <w:proofErr w:type="spellStart"/>
      <w:r w:rsidRPr="0025492A">
        <w:rPr>
          <w:rFonts w:ascii="Arial" w:hAnsi="Arial" w:cs="Arial"/>
          <w:bCs/>
          <w:color w:val="0D0D0D" w:themeColor="text1" w:themeTint="F2"/>
          <w:sz w:val="24"/>
          <w:szCs w:val="24"/>
        </w:rPr>
        <w:t>Kee</w:t>
      </w:r>
      <w:proofErr w:type="spellEnd"/>
      <w:r w:rsidRPr="0025492A">
        <w:rPr>
          <w:rFonts w:ascii="Arial" w:hAnsi="Arial" w:cs="Arial"/>
          <w:bCs/>
          <w:color w:val="0D0D0D" w:themeColor="text1" w:themeTint="F2"/>
          <w:sz w:val="24"/>
          <w:szCs w:val="24"/>
        </w:rPr>
        <w:t xml:space="preserve"> and </w:t>
      </w:r>
      <w:proofErr w:type="spellStart"/>
      <w:r w:rsidRPr="0025492A">
        <w:rPr>
          <w:rFonts w:ascii="Arial" w:hAnsi="Arial" w:cs="Arial"/>
          <w:bCs/>
          <w:color w:val="0D0D0D" w:themeColor="text1" w:themeTint="F2"/>
          <w:sz w:val="24"/>
          <w:szCs w:val="24"/>
        </w:rPr>
        <w:t>Ubi</w:t>
      </w:r>
      <w:proofErr w:type="spellEnd"/>
      <w:r w:rsidRPr="0025492A">
        <w:rPr>
          <w:rFonts w:ascii="Arial" w:hAnsi="Arial" w:cs="Arial"/>
          <w:bCs/>
          <w:color w:val="0D0D0D" w:themeColor="text1" w:themeTint="F2"/>
          <w:sz w:val="24"/>
          <w:szCs w:val="24"/>
        </w:rPr>
        <w:t xml:space="preserve"> (Borneo Motors, 2026). This adaptation is suitable for Singapore's smaller regulated market as it combines the Toyota brand's sales, compliance and after-sales support function</w:t>
      </w:r>
      <w:r w:rsidRPr="0025492A">
        <w:rPr>
          <w:rFonts w:ascii="Arial" w:hAnsi="Arial" w:cs="Arial"/>
          <w:color w:val="0D0D0D" w:themeColor="text1" w:themeTint="F2"/>
          <w:sz w:val="24"/>
          <w:szCs w:val="24"/>
        </w:rPr>
        <w:t>.</w:t>
      </w:r>
      <w:r w:rsidRPr="0025492A">
        <w:rPr>
          <w:rFonts w:ascii="Arial" w:hAnsi="Arial" w:cs="Arial"/>
          <w:color w:val="0D0D0D" w:themeColor="text1" w:themeTint="F2"/>
          <w:sz w:val="24"/>
          <w:szCs w:val="24"/>
          <w:lang w:val="en-IN"/>
        </w:rPr>
        <w:t xml:space="preserve"> </w:t>
      </w:r>
    </w:p>
    <w:p w14:paraId="47E677C4" w14:textId="77777777" w:rsidR="00CF2211"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noProof/>
          <w:color w:val="0D0D0D" w:themeColor="text1" w:themeTint="F2"/>
          <w:sz w:val="24"/>
          <w:szCs w:val="24"/>
          <w:lang w:val="en-IN" w:eastAsia="en-IN" w:bidi="gu-IN"/>
        </w:rPr>
        <w:lastRenderedPageBreak/>
        <w:drawing>
          <wp:inline distT="0" distB="0" distL="0" distR="0" wp14:anchorId="55F931D4" wp14:editId="53F97478">
            <wp:extent cx="5731510" cy="2600960"/>
            <wp:effectExtent l="19050" t="19050" r="21590" b="279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5731510" cy="2600960"/>
                    </a:xfrm>
                    <a:prstGeom prst="rect">
                      <a:avLst/>
                    </a:prstGeom>
                    <a:ln>
                      <a:solidFill>
                        <a:schemeClr val="tx1"/>
                      </a:solidFill>
                    </a:ln>
                  </pic:spPr>
                </pic:pic>
              </a:graphicData>
            </a:graphic>
          </wp:inline>
        </w:drawing>
      </w:r>
    </w:p>
    <w:p w14:paraId="6F8D85B9" w14:textId="77777777" w:rsidR="00CF2211" w:rsidRPr="0025492A" w:rsidRDefault="008448E0" w:rsidP="00B640B9">
      <w:pPr>
        <w:spacing w:after="0" w:line="360" w:lineRule="auto"/>
        <w:jc w:val="center"/>
        <w:rPr>
          <w:rFonts w:ascii="Arial" w:hAnsi="Arial" w:cs="Arial"/>
          <w:b/>
          <w:color w:val="0D0D0D" w:themeColor="text1" w:themeTint="F2"/>
          <w:sz w:val="24"/>
          <w:szCs w:val="24"/>
        </w:rPr>
      </w:pPr>
      <w:r w:rsidRPr="0025492A">
        <w:rPr>
          <w:rFonts w:ascii="Arial" w:hAnsi="Arial" w:cs="Arial"/>
          <w:b/>
          <w:color w:val="0D0D0D" w:themeColor="text1" w:themeTint="F2"/>
          <w:sz w:val="24"/>
          <w:szCs w:val="24"/>
          <w:lang w:val="en-IN"/>
        </w:rPr>
        <w:t xml:space="preserve">Figure </w:t>
      </w:r>
      <w:r w:rsidR="00376B03" w:rsidRPr="0025492A">
        <w:rPr>
          <w:rFonts w:ascii="Arial" w:hAnsi="Arial" w:cs="Arial"/>
          <w:b/>
          <w:color w:val="0D0D0D" w:themeColor="text1" w:themeTint="F2"/>
          <w:sz w:val="24"/>
          <w:szCs w:val="24"/>
          <w:lang w:val="en-IN"/>
        </w:rPr>
        <w:t>6</w:t>
      </w:r>
      <w:r w:rsidRPr="0025492A">
        <w:rPr>
          <w:rFonts w:ascii="Arial" w:hAnsi="Arial" w:cs="Arial"/>
          <w:b/>
          <w:color w:val="0D0D0D" w:themeColor="text1" w:themeTint="F2"/>
          <w:sz w:val="24"/>
          <w:szCs w:val="24"/>
          <w:lang w:val="en-IN"/>
        </w:rPr>
        <w:t xml:space="preserve">: </w:t>
      </w:r>
      <w:r w:rsidRPr="0025492A">
        <w:rPr>
          <w:rFonts w:ascii="Arial" w:hAnsi="Arial" w:cs="Arial"/>
          <w:b/>
          <w:color w:val="0D0D0D" w:themeColor="text1" w:themeTint="F2"/>
          <w:sz w:val="24"/>
          <w:szCs w:val="24"/>
        </w:rPr>
        <w:t>Number of public light-duty vehicle charging points by region in the Stated Policies Scenario, 2024-2030</w:t>
      </w:r>
    </w:p>
    <w:p w14:paraId="234FFD26" w14:textId="77777777" w:rsidR="00CF2211" w:rsidRPr="0025492A" w:rsidRDefault="008448E0" w:rsidP="00B640B9">
      <w:pPr>
        <w:spacing w:after="0" w:line="360" w:lineRule="auto"/>
        <w:jc w:val="center"/>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lang w:val="en-IN"/>
        </w:rPr>
        <w:t>(Source: IEA, 2025a)</w:t>
      </w:r>
    </w:p>
    <w:p w14:paraId="4EAF66B5"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 xml:space="preserve">Figure 6 shows charging expansion; Rempel </w:t>
      </w:r>
      <w:r w:rsidR="00F47FA5"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(2022) report reliability problems across fast-charging connectors</w:t>
      </w:r>
      <w:r w:rsidR="001507B4" w:rsidRPr="0025492A">
        <w:rPr>
          <w:rFonts w:ascii="Arial" w:hAnsi="Arial" w:cs="Arial"/>
          <w:color w:val="0D0D0D" w:themeColor="text1" w:themeTint="F2"/>
          <w:sz w:val="24"/>
          <w:szCs w:val="24"/>
        </w:rPr>
        <w:t>. Digital lead generation shouldn't take the place of test drives and expert knowledge; it should just be an addition to the dealership</w:t>
      </w:r>
      <w:r w:rsidRPr="0025492A">
        <w:rPr>
          <w:rFonts w:ascii="Arial" w:hAnsi="Arial" w:cs="Arial"/>
          <w:color w:val="0D0D0D" w:themeColor="text1" w:themeTint="F2"/>
          <w:sz w:val="24"/>
          <w:szCs w:val="24"/>
          <w:lang w:val="en-IN"/>
        </w:rPr>
        <w:t>.</w:t>
      </w:r>
    </w:p>
    <w:p w14:paraId="3A0407AB"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Promotion Strategy</w:t>
      </w:r>
    </w:p>
    <w:p w14:paraId="47A703C3" w14:textId="77777777" w:rsidR="007833EA" w:rsidRPr="0025492A" w:rsidRDefault="008448E0" w:rsidP="007833EA">
      <w:pPr>
        <w:spacing w:after="0" w:line="360" w:lineRule="auto"/>
        <w:jc w:val="both"/>
        <w:rPr>
          <w:rFonts w:ascii="Arial" w:hAnsi="Arial" w:cs="Arial"/>
          <w:bCs/>
          <w:color w:val="0D0D0D" w:themeColor="text1" w:themeTint="F2"/>
          <w:sz w:val="24"/>
          <w:szCs w:val="24"/>
        </w:rPr>
      </w:pPr>
      <w:r w:rsidRPr="0025492A">
        <w:rPr>
          <w:rFonts w:ascii="Arial" w:hAnsi="Arial" w:cs="Arial"/>
          <w:bCs/>
          <w:color w:val="0D0D0D" w:themeColor="text1" w:themeTint="F2"/>
          <w:sz w:val="24"/>
          <w:szCs w:val="24"/>
        </w:rPr>
        <w:t xml:space="preserve">To join ‘Mobility for All’ with Olympic and Paralympic mobility and electrified technology, Japan leverages Toyota’s ‘Start Your Impossible’ platform (Toyota Motor Corporation, 2023). Figure 7 shows Singapore’s Yaris Cross promotion: an additional S$10,000 saving directing customers to Toyota showrooms (Toyota Singapore, 2026c). </w:t>
      </w:r>
      <w:r w:rsidRPr="0025492A">
        <w:rPr>
          <w:rFonts w:ascii="Arial" w:hAnsi="Arial" w:cs="Arial"/>
          <w:color w:val="0D0D0D" w:themeColor="text1" w:themeTint="F2"/>
          <w:sz w:val="24"/>
          <w:szCs w:val="24"/>
        </w:rPr>
        <w:t xml:space="preserve"> The promotion demonstrates strong price emphasis but limited long-term differentiation for Toyota.</w:t>
      </w:r>
    </w:p>
    <w:p w14:paraId="6D48251B" w14:textId="77777777" w:rsidR="007833EA" w:rsidRPr="0025492A" w:rsidRDefault="008448E0" w:rsidP="007833EA">
      <w:pPr>
        <w:spacing w:after="0" w:line="360" w:lineRule="auto"/>
        <w:jc w:val="center"/>
        <w:rPr>
          <w:rFonts w:ascii="Arial" w:hAnsi="Arial" w:cs="Arial"/>
          <w:bCs/>
          <w:color w:val="0D0D0D" w:themeColor="text1" w:themeTint="F2"/>
          <w:sz w:val="24"/>
          <w:szCs w:val="24"/>
        </w:rPr>
      </w:pPr>
      <w:r w:rsidRPr="0025492A">
        <w:rPr>
          <w:rFonts w:ascii="Arial" w:hAnsi="Arial" w:cs="Arial"/>
          <w:bCs/>
          <w:noProof/>
          <w:color w:val="0D0D0D" w:themeColor="text1" w:themeTint="F2"/>
          <w:sz w:val="24"/>
          <w:szCs w:val="24"/>
          <w:lang w:val="en-IN" w:eastAsia="en-IN" w:bidi="gu-IN"/>
        </w:rPr>
        <w:lastRenderedPageBreak/>
        <w:drawing>
          <wp:inline distT="0" distB="0" distL="0" distR="0" wp14:anchorId="23F6135C" wp14:editId="32517C40">
            <wp:extent cx="5730737" cy="5197290"/>
            <wp:effectExtent l="19050" t="19050" r="22860" b="228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5"/>
                    <a:stretch>
                      <a:fillRect/>
                    </a:stretch>
                  </pic:blipFill>
                  <pic:spPr>
                    <a:xfrm>
                      <a:off x="0" y="0"/>
                      <a:ext cx="5730737" cy="5197290"/>
                    </a:xfrm>
                    <a:prstGeom prst="rect">
                      <a:avLst/>
                    </a:prstGeom>
                    <a:ln>
                      <a:solidFill>
                        <a:schemeClr val="tx1"/>
                      </a:solidFill>
                    </a:ln>
                  </pic:spPr>
                </pic:pic>
              </a:graphicData>
            </a:graphic>
          </wp:inline>
        </w:drawing>
      </w:r>
    </w:p>
    <w:p w14:paraId="03C471C7" w14:textId="77777777" w:rsidR="007833EA" w:rsidRPr="0025492A" w:rsidRDefault="008448E0" w:rsidP="007833EA">
      <w:pPr>
        <w:spacing w:after="0" w:line="360" w:lineRule="auto"/>
        <w:jc w:val="center"/>
        <w:rPr>
          <w:rFonts w:ascii="Arial" w:hAnsi="Arial" w:cs="Arial"/>
          <w:b/>
          <w:bCs/>
          <w:color w:val="0D0D0D" w:themeColor="text1" w:themeTint="F2"/>
          <w:sz w:val="24"/>
          <w:szCs w:val="24"/>
        </w:rPr>
      </w:pPr>
      <w:r w:rsidRPr="0025492A">
        <w:rPr>
          <w:rFonts w:ascii="Arial" w:hAnsi="Arial" w:cs="Arial"/>
          <w:b/>
          <w:bCs/>
          <w:color w:val="0D0D0D" w:themeColor="text1" w:themeTint="F2"/>
          <w:sz w:val="24"/>
          <w:szCs w:val="24"/>
        </w:rPr>
        <w:t xml:space="preserve">Figure </w:t>
      </w:r>
      <w:r w:rsidR="005F06EA" w:rsidRPr="0025492A">
        <w:rPr>
          <w:rFonts w:ascii="Arial" w:hAnsi="Arial" w:cs="Arial"/>
          <w:b/>
          <w:bCs/>
          <w:color w:val="0D0D0D" w:themeColor="text1" w:themeTint="F2"/>
          <w:sz w:val="24"/>
          <w:szCs w:val="24"/>
        </w:rPr>
        <w:t>7</w:t>
      </w:r>
      <w:r w:rsidRPr="0025492A">
        <w:rPr>
          <w:rFonts w:ascii="Arial" w:hAnsi="Arial" w:cs="Arial"/>
          <w:b/>
          <w:bCs/>
          <w:color w:val="0D0D0D" w:themeColor="text1" w:themeTint="F2"/>
          <w:sz w:val="24"/>
          <w:szCs w:val="24"/>
        </w:rPr>
        <w:t xml:space="preserve">: Toyota Mid-Year Sale 2026 campaign </w:t>
      </w:r>
    </w:p>
    <w:p w14:paraId="224D813D" w14:textId="77777777" w:rsidR="007833EA" w:rsidRPr="0025492A" w:rsidRDefault="008448E0" w:rsidP="007833EA">
      <w:pPr>
        <w:spacing w:after="0" w:line="360" w:lineRule="auto"/>
        <w:jc w:val="center"/>
        <w:rPr>
          <w:rFonts w:ascii="Arial" w:hAnsi="Arial" w:cs="Arial"/>
          <w:bCs/>
          <w:color w:val="0D0D0D" w:themeColor="text1" w:themeTint="F2"/>
          <w:sz w:val="24"/>
          <w:szCs w:val="24"/>
        </w:rPr>
      </w:pPr>
      <w:r w:rsidRPr="0025492A">
        <w:rPr>
          <w:rFonts w:ascii="Arial" w:hAnsi="Arial" w:cs="Arial"/>
          <w:bCs/>
          <w:color w:val="0D0D0D" w:themeColor="text1" w:themeTint="F2"/>
          <w:sz w:val="24"/>
          <w:szCs w:val="24"/>
        </w:rPr>
        <w:t>(Source: Toyota Singapore, 2026c)</w:t>
      </w:r>
    </w:p>
    <w:p w14:paraId="1263BF81"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People Strategy</w:t>
      </w:r>
    </w:p>
    <w:p w14:paraId="17B67023"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Toyota's longstanding tradition of courtesy, quality, technical competence and constant improvement is embodied by its customer-facing staff in Japan. However, sales teams need to be aware of details as buyers are comparing many models and propulsion options. Singapore sales teams need more knowledge of the rules on entitlement, taxation, charging, financing, insurance and multicultural communication. They have to interpret the complex regulations into simple suggestions, without being misleading in their recommendations. Borneo Motors (2026) is a Toyota sales, service, parts and ownership support company in Singapore. Celebrate employee satisfaction, disclosure quality, retention, and post-purchase results by rewarding employees with appropriate incentives.</w:t>
      </w:r>
    </w:p>
    <w:p w14:paraId="4CF8B200"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lastRenderedPageBreak/>
        <w:t>Process Strategy</w:t>
      </w:r>
    </w:p>
    <w:p w14:paraId="7BD1882E" w14:textId="77777777" w:rsidR="00D30F1C"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 xml:space="preserve">The Japanese processes are enabled by integrated manufacturing, distribution, dealership systems, planned maintenance and quality programs. Customers are mentally prepared for scheduled services, correct explanation, problem documentation and speedy problem solving. The process of quoting, financing, trade-in, registration, insurance and charging preparation is more complicated in Singapore. Toyota needs to merge all these stages into one clear customer journey for the buyers. In their paper, </w:t>
      </w:r>
      <w:proofErr w:type="spellStart"/>
      <w:r w:rsidRPr="0025492A">
        <w:rPr>
          <w:rFonts w:ascii="Arial" w:hAnsi="Arial" w:cs="Arial"/>
          <w:color w:val="0D0D0D" w:themeColor="text1" w:themeTint="F2"/>
          <w:sz w:val="24"/>
          <w:szCs w:val="24"/>
        </w:rPr>
        <w:t>Aïmeur</w:t>
      </w:r>
      <w:proofErr w:type="spellEnd"/>
      <w:r w:rsidRPr="0025492A">
        <w:rPr>
          <w:rFonts w:ascii="Arial" w:hAnsi="Arial" w:cs="Arial"/>
          <w:color w:val="0D0D0D" w:themeColor="text1" w:themeTint="F2"/>
          <w:sz w:val="24"/>
          <w:szCs w:val="24"/>
        </w:rPr>
        <w:t xml:space="preserve">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(2023) demonstrate that when there is a rapid spread of complex claims, the outcome of the decision-making process can be weakened by online misinformation. Toyota needs to provide authenticated, digital information on propulsion differences, charging, warranties, efficiency, and ownership costs. The responsibilities should be clearly defined in the complaint handling between the distributor and the manufacturer</w:t>
      </w:r>
      <w:r w:rsidRPr="0025492A">
        <w:rPr>
          <w:rFonts w:ascii="Arial" w:hAnsi="Arial" w:cs="Arial"/>
          <w:color w:val="0D0D0D" w:themeColor="text1" w:themeTint="F2"/>
          <w:sz w:val="24"/>
          <w:szCs w:val="24"/>
          <w:lang w:val="en-IN"/>
        </w:rPr>
        <w:t>.</w:t>
      </w:r>
    </w:p>
    <w:p w14:paraId="30625947" w14:textId="77777777" w:rsidR="00D30F1C"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Physical Evidence Strategy</w:t>
      </w:r>
    </w:p>
    <w:p w14:paraId="4807C957" w14:textId="77777777" w:rsidR="00B50377" w:rsidRPr="0025492A" w:rsidRDefault="008448E0" w:rsidP="00B640B9">
      <w:pPr>
        <w:spacing w:after="0" w:line="360" w:lineRule="auto"/>
        <w:jc w:val="both"/>
        <w:rPr>
          <w:rFonts w:ascii="Arial" w:hAnsi="Arial" w:cs="Arial"/>
          <w:color w:val="0D0D0D" w:themeColor="text1" w:themeTint="F2"/>
          <w:sz w:val="24"/>
          <w:szCs w:val="24"/>
          <w:lang w:val="en-IN"/>
        </w:rPr>
      </w:pPr>
      <w:r w:rsidRPr="0025492A">
        <w:rPr>
          <w:rFonts w:ascii="Arial" w:hAnsi="Arial" w:cs="Arial"/>
          <w:color w:val="0D0D0D" w:themeColor="text1" w:themeTint="F2"/>
          <w:sz w:val="24"/>
          <w:szCs w:val="24"/>
        </w:rPr>
        <w:t>The Japanese elements of physical evidence involve high-tech showrooms, demonstration cars, brand service centres, and quality procedures. Interactive pricing tools, charging demonstrations, and comparisons of technology should make vehicle ownership easier for Singapore customers. According to Inchcape (2025), distribution capabilities and customer services are at the heart of the automotive operations. The physical evidence must clearly present data on efficiency, warranty, repairability and information regarding the condition of the batteries. Customers need to try out all these propulsion methods on realistic test routes and get real-life training on how to charge. Consistency should be achieved with regular audits that demonstrate the same behaviour in websites, showrooms, employees, vehicles, after-sales contacts, etc</w:t>
      </w:r>
      <w:r w:rsidRPr="0025492A">
        <w:rPr>
          <w:rFonts w:ascii="Arial" w:hAnsi="Arial" w:cs="Arial"/>
          <w:color w:val="0D0D0D" w:themeColor="text1" w:themeTint="F2"/>
          <w:sz w:val="24"/>
          <w:szCs w:val="24"/>
          <w:lang w:val="en-IN"/>
        </w:rPr>
        <w:t>.</w:t>
      </w:r>
    </w:p>
    <w:p w14:paraId="6DC3F28F" w14:textId="77777777" w:rsidR="0015032A" w:rsidRPr="0025492A" w:rsidRDefault="008448E0" w:rsidP="00B640B9">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 xml:space="preserve">Summary of the key findings of the marketing mix application </w:t>
      </w:r>
    </w:p>
    <w:p w14:paraId="113D3DA1" w14:textId="77777777" w:rsidR="00BF2E8B" w:rsidRPr="0025492A" w:rsidRDefault="008448E0" w:rsidP="00B640B9">
      <w:pPr>
        <w:spacing w:after="0" w:line="360" w:lineRule="auto"/>
        <w:jc w:val="both"/>
        <w:rPr>
          <w:rFonts w:ascii="Arial" w:hAnsi="Arial" w:cs="Arial"/>
          <w:bCs/>
          <w:color w:val="0D0D0D" w:themeColor="text1" w:themeTint="F2"/>
          <w:sz w:val="24"/>
          <w:szCs w:val="24"/>
        </w:rPr>
      </w:pPr>
      <w:r w:rsidRPr="0025492A">
        <w:rPr>
          <w:rFonts w:ascii="Arial" w:hAnsi="Arial" w:cs="Arial"/>
          <w:bCs/>
          <w:color w:val="0D0D0D" w:themeColor="text1" w:themeTint="F2"/>
          <w:sz w:val="24"/>
          <w:szCs w:val="24"/>
        </w:rPr>
        <w:t>In general, Toyota standardises its brand, safety, and hybrid technology while tailoring its pricing, distribution, promotion and service processes to the unique characteristics of each market</w:t>
      </w:r>
      <w:r w:rsidR="0015032A" w:rsidRPr="0025492A">
        <w:rPr>
          <w:rFonts w:ascii="Arial" w:hAnsi="Arial" w:cs="Arial"/>
          <w:bCs/>
          <w:color w:val="0D0D0D" w:themeColor="text1" w:themeTint="F2"/>
          <w:sz w:val="24"/>
          <w:szCs w:val="24"/>
        </w:rPr>
        <w:t>.</w:t>
      </w:r>
    </w:p>
    <w:p w14:paraId="75720FB1" w14:textId="77777777" w:rsidR="003F004F" w:rsidRPr="0025492A" w:rsidRDefault="008448E0" w:rsidP="00EA42DE">
      <w:pPr>
        <w:pStyle w:val="Heading1"/>
        <w:rPr>
          <w:rFonts w:ascii="Arial" w:hAnsi="Arial" w:cs="Arial"/>
          <w:color w:val="0D0D0D" w:themeColor="text1" w:themeTint="F2"/>
        </w:rPr>
      </w:pPr>
      <w:bookmarkStart w:id="12" w:name="_Toc236957852"/>
      <w:r w:rsidRPr="0025492A">
        <w:rPr>
          <w:rFonts w:ascii="Arial" w:hAnsi="Arial" w:cs="Arial"/>
          <w:color w:val="0D0D0D" w:themeColor="text1" w:themeTint="F2"/>
        </w:rPr>
        <w:t>4. Analysis of Toyota’s Market Entry Strategy in Singapore</w:t>
      </w:r>
      <w:bookmarkEnd w:id="12"/>
    </w:p>
    <w:p w14:paraId="33D10112" w14:textId="77777777" w:rsidR="003F004F" w:rsidRPr="0025492A" w:rsidRDefault="008448E0" w:rsidP="00EA42DE">
      <w:pPr>
        <w:pStyle w:val="Heading2"/>
        <w:rPr>
          <w:rFonts w:ascii="Arial" w:hAnsi="Arial" w:cs="Arial"/>
          <w:color w:val="0D0D0D" w:themeColor="text1" w:themeTint="F2"/>
        </w:rPr>
      </w:pPr>
      <w:bookmarkStart w:id="13" w:name="_Toc236957853"/>
      <w:r w:rsidRPr="0025492A">
        <w:rPr>
          <w:rFonts w:ascii="Arial" w:hAnsi="Arial" w:cs="Arial"/>
          <w:color w:val="0D0D0D" w:themeColor="text1" w:themeTint="F2"/>
        </w:rPr>
        <w:t>4.1 Current Entry Arrangement</w:t>
      </w:r>
      <w:bookmarkEnd w:id="13"/>
    </w:p>
    <w:p w14:paraId="7422EE78" w14:textId="77777777" w:rsidR="003F004F" w:rsidRPr="0025492A" w:rsidRDefault="008448E0" w:rsidP="00D761EA">
      <w:pPr>
        <w:spacing w:after="0" w:line="360" w:lineRule="auto"/>
        <w:jc w:val="both"/>
        <w:rPr>
          <w:rFonts w:ascii="Arial" w:hAnsi="Arial" w:cs="Arial"/>
          <w:bCs/>
          <w:color w:val="0D0D0D" w:themeColor="text1" w:themeTint="F2"/>
          <w:sz w:val="24"/>
          <w:szCs w:val="24"/>
          <w:lang w:val="en-IN"/>
        </w:rPr>
      </w:pPr>
      <w:r w:rsidRPr="0025492A">
        <w:rPr>
          <w:rFonts w:ascii="Arial" w:hAnsi="Arial" w:cs="Arial"/>
          <w:color w:val="0D0D0D" w:themeColor="text1" w:themeTint="F2"/>
          <w:sz w:val="24"/>
          <w:szCs w:val="24"/>
        </w:rPr>
        <w:t xml:space="preserve">Borneo Motors is Toyota’s authorised distributor in Singapore (Borneo Motors Singapore, 2026). This model reduces Toyota’s investment while covering taxation, </w:t>
      </w:r>
      <w:r w:rsidRPr="0025492A">
        <w:rPr>
          <w:rFonts w:ascii="Arial" w:hAnsi="Arial" w:cs="Arial"/>
          <w:color w:val="0D0D0D" w:themeColor="text1" w:themeTint="F2"/>
          <w:sz w:val="24"/>
          <w:szCs w:val="24"/>
        </w:rPr>
        <w:lastRenderedPageBreak/>
        <w:t xml:space="preserve">registration, financing, and COE requirements. </w:t>
      </w:r>
      <w:proofErr w:type="spellStart"/>
      <w:r w:rsidRPr="0025492A">
        <w:rPr>
          <w:rFonts w:ascii="Arial" w:hAnsi="Arial" w:cs="Arial"/>
          <w:color w:val="0D0D0D" w:themeColor="text1" w:themeTint="F2"/>
          <w:sz w:val="24"/>
          <w:szCs w:val="24"/>
        </w:rPr>
        <w:t>Hilmersson</w:t>
      </w:r>
      <w:proofErr w:type="spellEnd"/>
      <w:r w:rsidRPr="0025492A">
        <w:rPr>
          <w:rFonts w:ascii="Arial" w:hAnsi="Arial" w:cs="Arial"/>
          <w:color w:val="0D0D0D" w:themeColor="text1" w:themeTint="F2"/>
          <w:sz w:val="24"/>
          <w:szCs w:val="24"/>
        </w:rPr>
        <w:t xml:space="preserve"> </w:t>
      </w:r>
      <w:r w:rsidR="00F47FA5"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(2022) associate gradual network development with improved foreign-market performance. Toyota, therefore, gains established local relationships with regulators and important commercial partners.</w:t>
      </w:r>
    </w:p>
    <w:p w14:paraId="7B23771D" w14:textId="77777777" w:rsidR="003F004F" w:rsidRPr="0025492A" w:rsidRDefault="008448E0" w:rsidP="00EA42DE">
      <w:pPr>
        <w:pStyle w:val="Heading2"/>
        <w:rPr>
          <w:rFonts w:ascii="Arial" w:hAnsi="Arial" w:cs="Arial"/>
          <w:color w:val="0D0D0D" w:themeColor="text1" w:themeTint="F2"/>
        </w:rPr>
      </w:pPr>
      <w:bookmarkStart w:id="14" w:name="_Toc236957854"/>
      <w:r w:rsidRPr="0025492A">
        <w:rPr>
          <w:rFonts w:ascii="Arial" w:hAnsi="Arial" w:cs="Arial"/>
          <w:color w:val="0D0D0D" w:themeColor="text1" w:themeTint="F2"/>
        </w:rPr>
        <w:t>4.2 Critical Evaluation of Strategic Suitability</w:t>
      </w:r>
      <w:bookmarkEnd w:id="14"/>
    </w:p>
    <w:p w14:paraId="1A9D879A" w14:textId="77777777" w:rsidR="003F004F" w:rsidRPr="0025492A" w:rsidRDefault="008448E0" w:rsidP="00D761EA">
      <w:pPr>
        <w:spacing w:after="0" w:line="360" w:lineRule="auto"/>
        <w:jc w:val="both"/>
        <w:rPr>
          <w:rFonts w:ascii="Arial" w:hAnsi="Arial" w:cs="Arial"/>
          <w:bCs/>
          <w:color w:val="0D0D0D" w:themeColor="text1" w:themeTint="F2"/>
          <w:sz w:val="24"/>
          <w:szCs w:val="24"/>
          <w:lang w:val="en-IN"/>
        </w:rPr>
      </w:pPr>
      <w:r w:rsidRPr="0025492A">
        <w:rPr>
          <w:rFonts w:ascii="Arial" w:hAnsi="Arial" w:cs="Arial"/>
          <w:color w:val="0D0D0D" w:themeColor="text1" w:themeTint="F2"/>
          <w:sz w:val="24"/>
          <w:szCs w:val="24"/>
        </w:rPr>
        <w:t xml:space="preserve">Toyota's recent sales movement exposes a weakness that global performance can conceal. Toyota sold 7,876 vehicles during 2024, exceeding BYD's 6,191 units by 1,685 vehicles, or 27.2 per cent. In January-April 2025, however, BYD managed to sell 3,002 units, whereas Toyota sold 2,050 units (Reuters, 2025). This 952-unit shortfall suggests BYD is gaining ground faster, but it doesn't necessarily mean failure on the part of the distributor. According to </w:t>
      </w:r>
      <w:proofErr w:type="spellStart"/>
      <w:r w:rsidRPr="0025492A">
        <w:rPr>
          <w:rFonts w:ascii="Arial" w:hAnsi="Arial" w:cs="Arial"/>
          <w:color w:val="0D0D0D" w:themeColor="text1" w:themeTint="F2"/>
          <w:sz w:val="24"/>
          <w:szCs w:val="24"/>
        </w:rPr>
        <w:t>Brouthers</w:t>
      </w:r>
      <w:proofErr w:type="spellEnd"/>
      <w:r w:rsidRPr="0025492A">
        <w:rPr>
          <w:rFonts w:ascii="Arial" w:hAnsi="Arial" w:cs="Arial"/>
          <w:color w:val="0D0D0D" w:themeColor="text1" w:themeTint="F2"/>
          <w:sz w:val="24"/>
          <w:szCs w:val="24"/>
        </w:rPr>
        <w:t xml:space="preserve">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(2022), the traditional entry model is being supplemented by digital ecosystems more and more. Toyota should retain Borneo Motors and to enhance digital engagement, customer analytics, product education and EV coordination in the region.</w:t>
      </w:r>
    </w:p>
    <w:p w14:paraId="2867E05C" w14:textId="77777777" w:rsidR="003F004F" w:rsidRPr="0025492A" w:rsidRDefault="008448E0" w:rsidP="00EA42DE">
      <w:pPr>
        <w:pStyle w:val="Heading1"/>
        <w:rPr>
          <w:rFonts w:ascii="Arial" w:hAnsi="Arial" w:cs="Arial"/>
          <w:color w:val="0D0D0D" w:themeColor="text1" w:themeTint="F2"/>
        </w:rPr>
      </w:pPr>
      <w:bookmarkStart w:id="15" w:name="_Toc236957855"/>
      <w:r w:rsidRPr="0025492A">
        <w:rPr>
          <w:rFonts w:ascii="Arial" w:hAnsi="Arial" w:cs="Arial"/>
          <w:color w:val="0D0D0D" w:themeColor="text1" w:themeTint="F2"/>
        </w:rPr>
        <w:t>5. Evaluation of Ethical Issues in Toyota’s Singapore Marketing Mix</w:t>
      </w:r>
      <w:bookmarkEnd w:id="15"/>
    </w:p>
    <w:p w14:paraId="3416F2DA" w14:textId="77777777" w:rsidR="003F004F" w:rsidRPr="0025492A" w:rsidRDefault="008448E0" w:rsidP="00EA42DE">
      <w:pPr>
        <w:pStyle w:val="Heading2"/>
        <w:rPr>
          <w:rFonts w:ascii="Arial" w:hAnsi="Arial" w:cs="Arial"/>
          <w:color w:val="0D0D0D" w:themeColor="text1" w:themeTint="F2"/>
        </w:rPr>
      </w:pPr>
      <w:bookmarkStart w:id="16" w:name="_Toc236957856"/>
      <w:r w:rsidRPr="0025492A">
        <w:rPr>
          <w:rFonts w:ascii="Arial" w:hAnsi="Arial" w:cs="Arial"/>
          <w:color w:val="0D0D0D" w:themeColor="text1" w:themeTint="F2"/>
        </w:rPr>
        <w:t>5.1 Environmental and Product Claims</w:t>
      </w:r>
      <w:bookmarkEnd w:id="16"/>
    </w:p>
    <w:p w14:paraId="6F6F6F55" w14:textId="77777777" w:rsidR="00C94E78" w:rsidRPr="0025492A" w:rsidRDefault="00C94E78" w:rsidP="00C94E78">
      <w:pPr>
        <w:spacing w:after="0" w:line="360" w:lineRule="auto"/>
        <w:jc w:val="both"/>
        <w:rPr>
          <w:rFonts w:ascii="Arial" w:hAnsi="Arial" w:cs="Arial"/>
          <w:color w:val="0D0D0D" w:themeColor="text1" w:themeTint="F2"/>
          <w:sz w:val="24"/>
          <w:szCs w:val="24"/>
        </w:rPr>
      </w:pPr>
      <w:r w:rsidRPr="0025492A">
        <w:rPr>
          <w:rFonts w:ascii="Arial" w:hAnsi="Arial" w:cs="Arial"/>
          <w:color w:val="0D0D0D" w:themeColor="text1" w:themeTint="F2"/>
          <w:sz w:val="24"/>
          <w:szCs w:val="24"/>
        </w:rPr>
        <w:t>The primary exposure for Toyota is in the area of the value they place on environmental gains to customers. According to the bZ4X webpage, it has a range of 478 kilometres, 16.3 kWh per 100 kilometres, and zero tailpipe emissions (Toyota Singapore, 2026a). These claims should include details on testing conditions, charging assumptions, ageing and electricity effects. This would aid in more informed choices by customers and significantly enhance the overall credibility.</w:t>
      </w:r>
    </w:p>
    <w:p w14:paraId="210EFD6D" w14:textId="77777777" w:rsidR="00590710" w:rsidRPr="0025492A" w:rsidRDefault="00C94E78" w:rsidP="00C94E78">
      <w:pPr>
        <w:spacing w:after="0" w:line="360" w:lineRule="auto"/>
        <w:jc w:val="both"/>
        <w:rPr>
          <w:rFonts w:ascii="Arial" w:hAnsi="Arial" w:cs="Arial"/>
          <w:bCs/>
          <w:color w:val="0D0D0D" w:themeColor="text1" w:themeTint="F2"/>
          <w:sz w:val="24"/>
          <w:szCs w:val="24"/>
          <w:lang w:val="en-IN"/>
        </w:rPr>
      </w:pPr>
      <w:r w:rsidRPr="0025492A">
        <w:rPr>
          <w:rFonts w:ascii="Arial" w:hAnsi="Arial" w:cs="Arial"/>
          <w:color w:val="0D0D0D" w:themeColor="text1" w:themeTint="F2"/>
          <w:sz w:val="24"/>
          <w:szCs w:val="24"/>
        </w:rPr>
        <w:t xml:space="preserve">Li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(2025) concluded that while greenwashing reduced trust, it was not a strong effect as environmental knowledge acted as a moderator in the purchasing behaviour. Therefore, Toyota should make a clear distinction between zero tailpipe emissions and the term zero lifecycle impact. A clear qualification would give validity to the bZ4X without detracting from its useful environmental properties.</w:t>
      </w:r>
    </w:p>
    <w:p w14:paraId="571D0780" w14:textId="77777777" w:rsidR="003F004F" w:rsidRPr="0025492A" w:rsidRDefault="008448E0" w:rsidP="00590710">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The Yaris Cross is also offered as a self-charging hybrid car that has a 1,490-cc engine and 390-litre luggage capacity (Toyota Singapore, 2026e). Marketing must help to convey the message that hybrid efficiency is not battery electric efficiency, in terms of fuel consumption and local emissions. Otherwise, significant differences in the product, which impact the decision of the customers, may be lost in the general green language.</w:t>
      </w:r>
    </w:p>
    <w:p w14:paraId="0FB5AF97" w14:textId="77777777" w:rsidR="003F004F" w:rsidRPr="0025492A" w:rsidRDefault="008448E0" w:rsidP="00EA42DE">
      <w:pPr>
        <w:pStyle w:val="Heading2"/>
        <w:rPr>
          <w:rFonts w:ascii="Arial" w:hAnsi="Arial" w:cs="Arial"/>
          <w:color w:val="0D0D0D" w:themeColor="text1" w:themeTint="F2"/>
        </w:rPr>
      </w:pPr>
      <w:bookmarkStart w:id="17" w:name="_Toc236957857"/>
      <w:r w:rsidRPr="0025492A">
        <w:rPr>
          <w:rFonts w:ascii="Arial" w:hAnsi="Arial" w:cs="Arial"/>
          <w:color w:val="0D0D0D" w:themeColor="text1" w:themeTint="F2"/>
        </w:rPr>
        <w:lastRenderedPageBreak/>
        <w:t>5.2 Pricing, Data, and Consumer Fairness</w:t>
      </w:r>
      <w:bookmarkEnd w:id="17"/>
    </w:p>
    <w:p w14:paraId="481DF185" w14:textId="77777777" w:rsidR="002758F6"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In Singapore, there is a high sensitivity to the advertised price as they need to be cognizant of the vehicle price, taxes, rebates, financing, insurance and COE exposure. Communications must be legal, decent, honest and truthful (Advertising Standards Authority of Singapore, 2026) in order to be in compliance with the advertising code. Toyota should include an illustration of the drive-away that shows all the material assumptions, rather than focus on the headline price.</w:t>
      </w:r>
    </w:p>
    <w:p w14:paraId="3FC767F6" w14:textId="77777777" w:rsidR="002758F6"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To complete the picture, Singapore's official tax structure includes ARF rebates and VES bands adjusted with registration assumptions (Land Transport Authority, 2026b). Sun </w:t>
      </w:r>
      <w:r w:rsidRPr="0025492A">
        <w:rPr>
          <w:rFonts w:ascii="Arial" w:hAnsi="Arial" w:cs="Arial"/>
          <w:bCs/>
          <w:i/>
          <w:color w:val="0D0D0D" w:themeColor="text1" w:themeTint="F2"/>
          <w:sz w:val="24"/>
          <w:szCs w:val="24"/>
          <w:lang w:val="en-IN"/>
        </w:rPr>
        <w:t>et al.</w:t>
      </w:r>
      <w:r w:rsidRPr="0025492A">
        <w:rPr>
          <w:rFonts w:ascii="Arial" w:hAnsi="Arial" w:cs="Arial"/>
          <w:bCs/>
          <w:color w:val="0D0D0D" w:themeColor="text1" w:themeTint="F2"/>
          <w:sz w:val="24"/>
          <w:szCs w:val="24"/>
          <w:lang w:val="en-IN"/>
        </w:rPr>
        <w:t xml:space="preserve"> (2022) demonstrate that measured standards, perceived quality, risk and product information are all important factors, combining to influence the process of EV adoption. All interest costs, any rebates, the limits of the warranties, servicing, charging equipment and potential variations in battery performance should be disclosed.</w:t>
      </w:r>
    </w:p>
    <w:p w14:paraId="5FEC30BE" w14:textId="77777777" w:rsidR="003F004F"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There are ethical duties related to consent, retention, access and disclosure to third parties with regard to digital enquiries and connected services as well. The Singaporean regulator (PDPC) suggests implementing measures of monitoring, migration testing, breach detection and data-loss prevention (DLP) (Personal Data Protection Commission, 2026). </w:t>
      </w:r>
      <w:r w:rsidR="00C94E78" w:rsidRPr="0025492A">
        <w:rPr>
          <w:rFonts w:ascii="Arial" w:hAnsi="Arial" w:cs="Arial"/>
          <w:bCs/>
          <w:color w:val="0D0D0D" w:themeColor="text1" w:themeTint="F2"/>
          <w:sz w:val="24"/>
          <w:szCs w:val="24"/>
        </w:rPr>
        <w:t>Sharing responsibility may lead to accountability gaps between Toyota and Borneo Motors, so there should be a joint audit of data flows.</w:t>
      </w:r>
    </w:p>
    <w:p w14:paraId="0316C3D7" w14:textId="77777777" w:rsidR="003F004F" w:rsidRPr="0025492A" w:rsidRDefault="008448E0" w:rsidP="00EA42DE">
      <w:pPr>
        <w:pStyle w:val="Heading1"/>
        <w:rPr>
          <w:rFonts w:ascii="Arial" w:hAnsi="Arial" w:cs="Arial"/>
          <w:color w:val="0D0D0D" w:themeColor="text1" w:themeTint="F2"/>
        </w:rPr>
      </w:pPr>
      <w:bookmarkStart w:id="18" w:name="_Toc236957858"/>
      <w:r w:rsidRPr="0025492A">
        <w:rPr>
          <w:rFonts w:ascii="Arial" w:hAnsi="Arial" w:cs="Arial"/>
          <w:color w:val="0D0D0D" w:themeColor="text1" w:themeTint="F2"/>
        </w:rPr>
        <w:t>6. Recommendations for Toyota’s International Marketing Strategy</w:t>
      </w:r>
      <w:bookmarkEnd w:id="18"/>
    </w:p>
    <w:p w14:paraId="1B63C847" w14:textId="77777777" w:rsidR="003F004F" w:rsidRPr="0025492A" w:rsidRDefault="008448E0" w:rsidP="00EA42DE">
      <w:pPr>
        <w:pStyle w:val="Heading2"/>
        <w:rPr>
          <w:rFonts w:ascii="Arial" w:hAnsi="Arial" w:cs="Arial"/>
          <w:color w:val="0D0D0D" w:themeColor="text1" w:themeTint="F2"/>
        </w:rPr>
      </w:pPr>
      <w:bookmarkStart w:id="19" w:name="_Toc236957859"/>
      <w:r w:rsidRPr="0025492A">
        <w:rPr>
          <w:rFonts w:ascii="Arial" w:hAnsi="Arial" w:cs="Arial"/>
          <w:color w:val="0D0D0D" w:themeColor="text1" w:themeTint="F2"/>
        </w:rPr>
        <w:t>6.1 Rebalance the Singapore Product Portfolio</w:t>
      </w:r>
      <w:bookmarkEnd w:id="19"/>
    </w:p>
    <w:p w14:paraId="5E0715F9" w14:textId="77777777" w:rsidR="00C94E78" w:rsidRPr="0025492A" w:rsidRDefault="00C94E78" w:rsidP="00C94E78">
      <w:pPr>
        <w:spacing w:after="0" w:line="360" w:lineRule="auto"/>
        <w:jc w:val="both"/>
        <w:rPr>
          <w:rFonts w:ascii="Arial" w:hAnsi="Arial" w:cs="Arial"/>
          <w:color w:val="0D0D0D" w:themeColor="text1" w:themeTint="F2"/>
          <w:sz w:val="24"/>
          <w:szCs w:val="24"/>
        </w:rPr>
      </w:pPr>
      <w:r w:rsidRPr="0025492A">
        <w:rPr>
          <w:rFonts w:ascii="Arial" w:hAnsi="Arial" w:cs="Arial"/>
          <w:color w:val="0D0D0D" w:themeColor="text1" w:themeTint="F2"/>
          <w:sz w:val="24"/>
          <w:szCs w:val="24"/>
        </w:rPr>
        <w:t>Toyota needs to switch from hybrid-driven transition messaging to a more straightforward path for battery electric vehicles. Singapore saw roughly 50% of new registrations as EVs during the January-August 2025 period. VES rebates will only be applied to electric vehicles from 2026 and hybrids will not be eligible (Land Transport Authority and National Environment Agency, 2025). The shift is a big blow to Toyota's existing hybrid value proposition in Singapore.</w:t>
      </w:r>
    </w:p>
    <w:p w14:paraId="50E2DB8E" w14:textId="77777777" w:rsidR="003F004F" w:rsidRPr="0025492A" w:rsidRDefault="00C94E78" w:rsidP="00C94E78">
      <w:pPr>
        <w:spacing w:after="0" w:line="360" w:lineRule="auto"/>
        <w:jc w:val="both"/>
        <w:rPr>
          <w:rFonts w:ascii="Arial" w:hAnsi="Arial" w:cs="Arial"/>
          <w:bCs/>
          <w:color w:val="0D0D0D" w:themeColor="text1" w:themeTint="F2"/>
          <w:sz w:val="24"/>
          <w:szCs w:val="24"/>
          <w:lang w:val="en-IN"/>
        </w:rPr>
      </w:pPr>
      <w:r w:rsidRPr="0025492A">
        <w:rPr>
          <w:rFonts w:ascii="Arial" w:hAnsi="Arial" w:cs="Arial"/>
          <w:color w:val="0D0D0D" w:themeColor="text1" w:themeTint="F2"/>
          <w:sz w:val="24"/>
          <w:szCs w:val="24"/>
        </w:rPr>
        <w:t xml:space="preserve">The bZ4X should not be a stand-alone electric product, but one of a range of strategic products. </w:t>
      </w:r>
      <w:proofErr w:type="spellStart"/>
      <w:r w:rsidRPr="0025492A">
        <w:rPr>
          <w:rFonts w:ascii="Arial" w:hAnsi="Arial" w:cs="Arial"/>
          <w:color w:val="0D0D0D" w:themeColor="text1" w:themeTint="F2"/>
          <w:sz w:val="24"/>
          <w:szCs w:val="24"/>
        </w:rPr>
        <w:t>Bryła</w:t>
      </w:r>
      <w:proofErr w:type="spellEnd"/>
      <w:r w:rsidRPr="0025492A">
        <w:rPr>
          <w:rFonts w:ascii="Arial" w:hAnsi="Arial" w:cs="Arial"/>
          <w:color w:val="0D0D0D" w:themeColor="text1" w:themeTint="F2"/>
          <w:sz w:val="24"/>
          <w:szCs w:val="24"/>
        </w:rPr>
        <w:t xml:space="preserve"> </w:t>
      </w:r>
      <w:r w:rsidRPr="0025492A">
        <w:rPr>
          <w:rFonts w:ascii="Arial" w:hAnsi="Arial" w:cs="Arial"/>
          <w:i/>
          <w:color w:val="0D0D0D" w:themeColor="text1" w:themeTint="F2"/>
          <w:sz w:val="24"/>
          <w:szCs w:val="24"/>
        </w:rPr>
        <w:t>et al.</w:t>
      </w:r>
      <w:r w:rsidRPr="0025492A">
        <w:rPr>
          <w:rFonts w:ascii="Arial" w:hAnsi="Arial" w:cs="Arial"/>
          <w:color w:val="0D0D0D" w:themeColor="text1" w:themeTint="F2"/>
          <w:sz w:val="24"/>
          <w:szCs w:val="24"/>
        </w:rPr>
        <w:t xml:space="preserve"> (2023) identify charging, range, safety, affordability, and confidence as adoption barriers. The Yaris Cross should remain available for customers lacking convenient charging access. </w:t>
      </w:r>
      <w:proofErr w:type="spellStart"/>
      <w:r w:rsidRPr="0025492A">
        <w:rPr>
          <w:rFonts w:ascii="Arial" w:hAnsi="Arial" w:cs="Arial"/>
          <w:color w:val="0D0D0D" w:themeColor="text1" w:themeTint="F2"/>
          <w:sz w:val="24"/>
          <w:szCs w:val="24"/>
        </w:rPr>
        <w:t>Anastasiadou</w:t>
      </w:r>
      <w:proofErr w:type="spellEnd"/>
      <w:r w:rsidRPr="0025492A">
        <w:rPr>
          <w:rFonts w:ascii="Arial" w:hAnsi="Arial" w:cs="Arial"/>
          <w:color w:val="0D0D0D" w:themeColor="text1" w:themeTint="F2"/>
          <w:sz w:val="24"/>
          <w:szCs w:val="24"/>
        </w:rPr>
        <w:t xml:space="preserve"> and </w:t>
      </w:r>
      <w:proofErr w:type="spellStart"/>
      <w:r w:rsidRPr="0025492A">
        <w:rPr>
          <w:rFonts w:ascii="Arial" w:hAnsi="Arial" w:cs="Arial"/>
          <w:color w:val="0D0D0D" w:themeColor="text1" w:themeTint="F2"/>
          <w:sz w:val="24"/>
          <w:szCs w:val="24"/>
        </w:rPr>
        <w:t>Gavanas</w:t>
      </w:r>
      <w:proofErr w:type="spellEnd"/>
      <w:r w:rsidRPr="0025492A">
        <w:rPr>
          <w:rFonts w:ascii="Arial" w:hAnsi="Arial" w:cs="Arial"/>
          <w:color w:val="0D0D0D" w:themeColor="text1" w:themeTint="F2"/>
          <w:sz w:val="24"/>
          <w:szCs w:val="24"/>
        </w:rPr>
        <w:t xml:space="preserve"> (2022) </w:t>
      </w:r>
      <w:r w:rsidRPr="0025492A">
        <w:rPr>
          <w:rFonts w:ascii="Arial" w:hAnsi="Arial" w:cs="Arial"/>
          <w:color w:val="0D0D0D" w:themeColor="text1" w:themeTint="F2"/>
          <w:sz w:val="24"/>
          <w:szCs w:val="24"/>
        </w:rPr>
        <w:lastRenderedPageBreak/>
        <w:t>show that adoption reflects interacting economic, technological, social, and policy conditions. Toyota should therefore match each model carefully with clearly defined customer needs.</w:t>
      </w:r>
    </w:p>
    <w:p w14:paraId="2A0DB838" w14:textId="77777777" w:rsidR="003F004F" w:rsidRPr="0025492A" w:rsidRDefault="008448E0" w:rsidP="00EA42DE">
      <w:pPr>
        <w:pStyle w:val="Heading2"/>
        <w:rPr>
          <w:rFonts w:ascii="Arial" w:hAnsi="Arial" w:cs="Arial"/>
          <w:color w:val="0D0D0D" w:themeColor="text1" w:themeTint="F2"/>
        </w:rPr>
      </w:pPr>
      <w:bookmarkStart w:id="20" w:name="_Toc236957860"/>
      <w:r w:rsidRPr="0025492A">
        <w:rPr>
          <w:rFonts w:ascii="Arial" w:hAnsi="Arial" w:cs="Arial"/>
          <w:color w:val="0D0D0D" w:themeColor="text1" w:themeTint="F2"/>
        </w:rPr>
        <w:t>6.2 Strengthen Channel Governance and Market Trust</w:t>
      </w:r>
      <w:bookmarkEnd w:id="20"/>
    </w:p>
    <w:p w14:paraId="6B6109D1" w14:textId="77777777" w:rsidR="002758F6"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A synergy office between regional product teams and Borneo Motors' sales and service model in Singapore should be established by Toyota. </w:t>
      </w:r>
      <w:proofErr w:type="spellStart"/>
      <w:r w:rsidRPr="0025492A">
        <w:rPr>
          <w:rFonts w:ascii="Arial" w:hAnsi="Arial" w:cs="Arial"/>
          <w:bCs/>
          <w:color w:val="0D0D0D" w:themeColor="text1" w:themeTint="F2"/>
          <w:sz w:val="24"/>
          <w:szCs w:val="24"/>
          <w:lang w:val="en-IN"/>
        </w:rPr>
        <w:t>Lampón</w:t>
      </w:r>
      <w:proofErr w:type="spellEnd"/>
      <w:r w:rsidRPr="0025492A">
        <w:rPr>
          <w:rFonts w:ascii="Arial" w:hAnsi="Arial" w:cs="Arial"/>
          <w:bCs/>
          <w:color w:val="0D0D0D" w:themeColor="text1" w:themeTint="F2"/>
          <w:sz w:val="24"/>
          <w:szCs w:val="24"/>
          <w:lang w:val="en-IN"/>
        </w:rPr>
        <w:t xml:space="preserve"> and Muñoz-</w:t>
      </w:r>
      <w:proofErr w:type="spellStart"/>
      <w:r w:rsidRPr="0025492A">
        <w:rPr>
          <w:rFonts w:ascii="Arial" w:hAnsi="Arial" w:cs="Arial"/>
          <w:bCs/>
          <w:color w:val="0D0D0D" w:themeColor="text1" w:themeTint="F2"/>
          <w:sz w:val="24"/>
          <w:szCs w:val="24"/>
          <w:lang w:val="en-IN"/>
        </w:rPr>
        <w:t>Dueñas</w:t>
      </w:r>
      <w:proofErr w:type="spellEnd"/>
      <w:r w:rsidRPr="0025492A">
        <w:rPr>
          <w:rFonts w:ascii="Arial" w:hAnsi="Arial" w:cs="Arial"/>
          <w:bCs/>
          <w:color w:val="0D0D0D" w:themeColor="text1" w:themeTint="F2"/>
          <w:sz w:val="24"/>
          <w:szCs w:val="24"/>
          <w:lang w:val="en-IN"/>
        </w:rPr>
        <w:t xml:space="preserve"> (2023) show that sustainable-mobility suppliers increasingly influence technology decisions across automotive value chains. This office should be responsible for managing battery expertise, charging partnerships, training technicians, making battery inventory plans, content and providing fleet proposals.</w:t>
      </w:r>
    </w:p>
    <w:p w14:paraId="04C29017" w14:textId="77777777" w:rsidR="002758F6"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Evidence files should be a part of Marketing Governance for all environmental, efficiency, range, discount and comparative performance claims. Singapore's consumer regulator recently required another retailer to stop false origin, quality and discount claims (Competition and Consumer Commission of Singapore, 2024). Toyota needs to validate claims locally as there is a risk for its reputation to be damaged as a result of its distributor's actions.</w:t>
      </w:r>
    </w:p>
    <w:p w14:paraId="371E6AE4" w14:textId="77777777" w:rsidR="002758F6"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The customer information should be more than a compliance document – it should be a positioning tool that is active. The information capability in their empirical model was found to positively influence green trust and green consumption intention, which was found by Luo </w:t>
      </w:r>
      <w:r w:rsidR="00F47FA5" w:rsidRPr="0025492A">
        <w:rPr>
          <w:rFonts w:ascii="Arial" w:hAnsi="Arial" w:cs="Arial"/>
          <w:bCs/>
          <w:i/>
          <w:color w:val="0D0D0D" w:themeColor="text1" w:themeTint="F2"/>
          <w:sz w:val="24"/>
          <w:szCs w:val="24"/>
          <w:lang w:val="en-IN"/>
        </w:rPr>
        <w:t>et al.</w:t>
      </w:r>
      <w:r w:rsidRPr="0025492A">
        <w:rPr>
          <w:rFonts w:ascii="Arial" w:hAnsi="Arial" w:cs="Arial"/>
          <w:bCs/>
          <w:color w:val="0D0D0D" w:themeColor="text1" w:themeTint="F2"/>
          <w:sz w:val="24"/>
          <w:szCs w:val="24"/>
          <w:lang w:val="en-IN"/>
        </w:rPr>
        <w:t xml:space="preserve"> (2023). Toyota should have calculators which can be interacted with, charging scenarios, certified comparisons and multilingual explanations through webpages, showrooms and follow-up communications.</w:t>
      </w:r>
    </w:p>
    <w:p w14:paraId="24F790EF" w14:textId="77777777" w:rsidR="003F004F" w:rsidRPr="0025492A" w:rsidRDefault="008448E0" w:rsidP="002758F6">
      <w:pPr>
        <w:spacing w:after="0" w:line="360" w:lineRule="auto"/>
        <w:jc w:val="both"/>
        <w:rPr>
          <w:rFonts w:ascii="Arial" w:hAnsi="Arial" w:cs="Arial"/>
          <w:bCs/>
          <w:color w:val="0D0D0D" w:themeColor="text1" w:themeTint="F2"/>
          <w:sz w:val="24"/>
          <w:szCs w:val="24"/>
          <w:lang w:val="en-IN"/>
        </w:rPr>
      </w:pPr>
      <w:r w:rsidRPr="0025492A">
        <w:rPr>
          <w:rFonts w:ascii="Arial" w:hAnsi="Arial" w:cs="Arial"/>
          <w:color w:val="0D0D0D" w:themeColor="text1" w:themeTint="F2"/>
          <w:sz w:val="24"/>
          <w:szCs w:val="24"/>
        </w:rPr>
        <w:t>Performance measurement should extend beyond campaigns, dealership visits, and basic sales activity. Toyota should target a fifteen-percentage-point increase in its Singapore BEV registration share within two years. Metrics should include enquiry conversion, complaint resolution, disclosure accuracy, service readiness and repeat-purchase rates.</w:t>
      </w:r>
    </w:p>
    <w:p w14:paraId="487FEE13" w14:textId="77777777" w:rsidR="003F004F" w:rsidRPr="0025492A" w:rsidRDefault="008448E0" w:rsidP="00EA42DE">
      <w:pPr>
        <w:pStyle w:val="Heading1"/>
        <w:rPr>
          <w:rFonts w:ascii="Arial" w:hAnsi="Arial" w:cs="Arial"/>
          <w:color w:val="0D0D0D" w:themeColor="text1" w:themeTint="F2"/>
        </w:rPr>
      </w:pPr>
      <w:bookmarkStart w:id="21" w:name="_Toc236957861"/>
      <w:r w:rsidRPr="0025492A">
        <w:rPr>
          <w:rFonts w:ascii="Arial" w:hAnsi="Arial" w:cs="Arial"/>
          <w:color w:val="0D0D0D" w:themeColor="text1" w:themeTint="F2"/>
        </w:rPr>
        <w:t>7. Conclusion</w:t>
      </w:r>
      <w:bookmarkEnd w:id="21"/>
    </w:p>
    <w:p w14:paraId="6EDD3327" w14:textId="77777777" w:rsidR="000250EF" w:rsidRPr="0025492A" w:rsidRDefault="00C94E78" w:rsidP="00195207">
      <w:pPr>
        <w:spacing w:after="0" w:line="360" w:lineRule="auto"/>
        <w:jc w:val="both"/>
        <w:rPr>
          <w:rFonts w:ascii="Arial" w:hAnsi="Arial" w:cs="Arial"/>
          <w:bCs/>
          <w:color w:val="0D0D0D" w:themeColor="text1" w:themeTint="F2"/>
          <w:sz w:val="24"/>
          <w:szCs w:val="24"/>
          <w:lang w:val="en-IN"/>
        </w:rPr>
      </w:pPr>
      <w:r w:rsidRPr="0025492A">
        <w:rPr>
          <w:rFonts w:ascii="Arial" w:hAnsi="Arial" w:cs="Arial"/>
          <w:color w:val="0D0D0D" w:themeColor="text1" w:themeTint="F2"/>
          <w:sz w:val="24"/>
          <w:szCs w:val="24"/>
        </w:rPr>
        <w:t xml:space="preserve">Toyota's authorised distributor model is appropriate since Singapore is small, regulated and complex. But the model restricts direct control of the customer intelligence, electric-vehicle education and competitive response. Previously, BYD was the leader of the pack, but that does not mean that they are strategically fit today. Borneo Motors should be kept on board and its governance, digital </w:t>
      </w:r>
      <w:r w:rsidRPr="0025492A">
        <w:rPr>
          <w:rFonts w:ascii="Arial" w:hAnsi="Arial" w:cs="Arial"/>
          <w:color w:val="0D0D0D" w:themeColor="text1" w:themeTint="F2"/>
          <w:sz w:val="24"/>
          <w:szCs w:val="24"/>
        </w:rPr>
        <w:lastRenderedPageBreak/>
        <w:t>engagement and electrification needs to be bolstered at Toyota. To meet the standards of ethical performance, environmental claims must be qualified, all ownership costs must be disclosed, and product comparisons must be defensible and data must be accountable. The bZ4X must have more strategic clarity and the Yaris Cross must appeal to customers whose situation continues to be in their favour. Toyota needs to put into practice a more concrete and detailed sustainability language and customer propositions.</w:t>
      </w:r>
      <w:r w:rsidR="008448E0" w:rsidRPr="0025492A">
        <w:rPr>
          <w:rFonts w:ascii="Arial" w:hAnsi="Arial" w:cs="Arial"/>
          <w:color w:val="0D0D0D" w:themeColor="text1" w:themeTint="F2"/>
          <w:sz w:val="24"/>
          <w:szCs w:val="24"/>
        </w:rPr>
        <w:t xml:space="preserve"> This approach would preserve trusted reliability while building a stronger position in Singapore’s electric-mobility transition.</w:t>
      </w:r>
    </w:p>
    <w:p w14:paraId="370060B8" w14:textId="77777777" w:rsidR="00195207" w:rsidRPr="0025492A" w:rsidRDefault="008448E0">
      <w:pPr>
        <w:rPr>
          <w:rFonts w:ascii="Arial" w:hAnsi="Arial" w:cs="Arial"/>
          <w:b/>
          <w:bCs/>
          <w:color w:val="0D0D0D" w:themeColor="text1" w:themeTint="F2"/>
          <w:sz w:val="28"/>
          <w:szCs w:val="24"/>
          <w:lang w:val="en-IN"/>
        </w:rPr>
      </w:pPr>
      <w:r w:rsidRPr="0025492A">
        <w:rPr>
          <w:rFonts w:ascii="Arial" w:hAnsi="Arial" w:cs="Arial"/>
          <w:b/>
          <w:bCs/>
          <w:color w:val="0D0D0D" w:themeColor="text1" w:themeTint="F2"/>
          <w:sz w:val="28"/>
          <w:szCs w:val="24"/>
          <w:lang w:val="en-IN"/>
        </w:rPr>
        <w:br w:type="page"/>
      </w:r>
    </w:p>
    <w:p w14:paraId="248B4EEF" w14:textId="77777777" w:rsidR="003F004F" w:rsidRPr="0025492A" w:rsidRDefault="008448E0" w:rsidP="00CD5252">
      <w:pPr>
        <w:pStyle w:val="Heading1"/>
        <w:rPr>
          <w:rFonts w:ascii="Arial" w:hAnsi="Arial" w:cs="Arial"/>
          <w:color w:val="0D0D0D" w:themeColor="text1" w:themeTint="F2"/>
        </w:rPr>
      </w:pPr>
      <w:bookmarkStart w:id="22" w:name="_Toc236957862"/>
      <w:r w:rsidRPr="0025492A">
        <w:rPr>
          <w:rFonts w:ascii="Arial" w:hAnsi="Arial" w:cs="Arial"/>
          <w:color w:val="0D0D0D" w:themeColor="text1" w:themeTint="F2"/>
        </w:rPr>
        <w:lastRenderedPageBreak/>
        <w:t>Section 2: Reflective Account Using Gibbs’ Reflective Cycle</w:t>
      </w:r>
      <w:bookmarkEnd w:id="22"/>
    </w:p>
    <w:p w14:paraId="0F5FE35F" w14:textId="77777777" w:rsidR="003F004F" w:rsidRPr="0025492A" w:rsidRDefault="008448E0" w:rsidP="00EA42DE">
      <w:pPr>
        <w:pStyle w:val="Heading2"/>
        <w:rPr>
          <w:rFonts w:ascii="Arial" w:hAnsi="Arial" w:cs="Arial"/>
          <w:color w:val="0D0D0D" w:themeColor="text1" w:themeTint="F2"/>
        </w:rPr>
      </w:pPr>
      <w:bookmarkStart w:id="23" w:name="_Toc236957863"/>
      <w:r w:rsidRPr="0025492A">
        <w:rPr>
          <w:rFonts w:ascii="Arial" w:hAnsi="Arial" w:cs="Arial"/>
          <w:color w:val="0D0D0D" w:themeColor="text1" w:themeTint="F2"/>
        </w:rPr>
        <w:t>8.1 Description</w:t>
      </w:r>
      <w:bookmarkEnd w:id="23"/>
    </w:p>
    <w:p w14:paraId="6CA25DFE" w14:textId="77777777" w:rsidR="003F004F" w:rsidRPr="0025492A" w:rsidRDefault="008448E0" w:rsidP="00D761EA">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rPr>
        <w:t xml:space="preserve">I started by reading the assessment requirements and what I needed to compare, enter, evaluate ethically, make recommendations and reflect. The current draft already includes PESTEL, Hofstede, STP and 7 marketing-mix elements for Japan and Singapore. I used the following questions to search each of the last 12 months of academic databases, company websites, government documents, and trustworthy news articles. </w:t>
      </w:r>
      <w:proofErr w:type="spellStart"/>
      <w:r w:rsidRPr="0025492A">
        <w:rPr>
          <w:rFonts w:ascii="Arial" w:hAnsi="Arial" w:cs="Arial"/>
          <w:bCs/>
          <w:color w:val="0D0D0D" w:themeColor="text1" w:themeTint="F2"/>
          <w:sz w:val="24"/>
          <w:szCs w:val="24"/>
        </w:rPr>
        <w:t>Zafeer</w:t>
      </w:r>
      <w:proofErr w:type="spellEnd"/>
      <w:r w:rsidRPr="0025492A">
        <w:rPr>
          <w:rFonts w:ascii="Arial" w:hAnsi="Arial" w:cs="Arial"/>
          <w:bCs/>
          <w:color w:val="0D0D0D" w:themeColor="text1" w:themeTint="F2"/>
          <w:sz w:val="24"/>
          <w:szCs w:val="24"/>
        </w:rPr>
        <w:t xml:space="preserve"> </w:t>
      </w:r>
      <w:r w:rsidR="00F47FA5" w:rsidRPr="0025492A">
        <w:rPr>
          <w:rFonts w:ascii="Arial" w:hAnsi="Arial" w:cs="Arial"/>
          <w:bCs/>
          <w:i/>
          <w:color w:val="0D0D0D" w:themeColor="text1" w:themeTint="F2"/>
          <w:sz w:val="24"/>
          <w:szCs w:val="24"/>
        </w:rPr>
        <w:t>et al.</w:t>
      </w:r>
      <w:r w:rsidRPr="0025492A">
        <w:rPr>
          <w:rFonts w:ascii="Arial" w:hAnsi="Arial" w:cs="Arial"/>
          <w:bCs/>
          <w:color w:val="0D0D0D" w:themeColor="text1" w:themeTint="F2"/>
          <w:sz w:val="24"/>
          <w:szCs w:val="24"/>
        </w:rPr>
        <w:t xml:space="preserve"> (2023) discovered that reflective writing over a longer period of time enhanced the critical reflection, engagement and perceived learning progress of graduate students. I made notes of emerging decisions and compared the relevance and reliability of the sources, as well as their date, the way they were measured and the direct relevance of each source</w:t>
      </w:r>
      <w:r w:rsidRPr="0025492A">
        <w:rPr>
          <w:rFonts w:ascii="Arial" w:hAnsi="Arial" w:cs="Arial"/>
          <w:bCs/>
          <w:color w:val="0D0D0D" w:themeColor="text1" w:themeTint="F2"/>
          <w:sz w:val="24"/>
          <w:szCs w:val="24"/>
          <w:lang w:val="en-IN"/>
        </w:rPr>
        <w:t>.</w:t>
      </w:r>
    </w:p>
    <w:p w14:paraId="2BFCD91A" w14:textId="77777777" w:rsidR="003F004F" w:rsidRPr="0025492A" w:rsidRDefault="008448E0" w:rsidP="00EA42DE">
      <w:pPr>
        <w:pStyle w:val="Heading2"/>
        <w:rPr>
          <w:rFonts w:ascii="Arial" w:hAnsi="Arial" w:cs="Arial"/>
          <w:color w:val="0D0D0D" w:themeColor="text1" w:themeTint="F2"/>
        </w:rPr>
      </w:pPr>
      <w:bookmarkStart w:id="24" w:name="_Toc236957864"/>
      <w:r w:rsidRPr="0025492A">
        <w:rPr>
          <w:rFonts w:ascii="Arial" w:hAnsi="Arial" w:cs="Arial"/>
          <w:color w:val="0D0D0D" w:themeColor="text1" w:themeTint="F2"/>
        </w:rPr>
        <w:t>8.2 Feelings</w:t>
      </w:r>
      <w:bookmarkEnd w:id="24"/>
    </w:p>
    <w:p w14:paraId="1E218FA4" w14:textId="77777777" w:rsidR="003F004F" w:rsidRPr="0025492A" w:rsidRDefault="008448E0" w:rsidP="00D761EA">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rPr>
        <w:t xml:space="preserve">At first, I already had confidence as Toyota was familiar, and the draft itself already gave me lots of market information. But, it dropped when using different dates, comparison of vehicle categories, prices and registration periods. Product pages also highlighted the appealing aspects and minimised the testing conditions and overall ownership issues. I began to worry about writing descriptively, that it might be knowledgeable, but without evidence of the post-graduate level analysis. According to Mohamed </w:t>
      </w:r>
      <w:r w:rsidR="00F47FA5" w:rsidRPr="0025492A">
        <w:rPr>
          <w:rFonts w:ascii="Arial" w:hAnsi="Arial" w:cs="Arial"/>
          <w:bCs/>
          <w:i/>
          <w:color w:val="0D0D0D" w:themeColor="text1" w:themeTint="F2"/>
          <w:sz w:val="24"/>
          <w:szCs w:val="24"/>
        </w:rPr>
        <w:t>et al.</w:t>
      </w:r>
      <w:r w:rsidRPr="0025492A">
        <w:rPr>
          <w:rFonts w:ascii="Arial" w:hAnsi="Arial" w:cs="Arial"/>
          <w:bCs/>
          <w:color w:val="0D0D0D" w:themeColor="text1" w:themeTint="F2"/>
          <w:sz w:val="24"/>
          <w:szCs w:val="24"/>
        </w:rPr>
        <w:t xml:space="preserve"> (2022), reflection is a cycle that links critical problem solving, future planning, action, and outcome evaluation. This concept inspired me to challenge rather than simply add to, or regurgitate, corporate jargon and assumptions</w:t>
      </w:r>
      <w:r w:rsidRPr="0025492A">
        <w:rPr>
          <w:rFonts w:ascii="Arial" w:hAnsi="Arial" w:cs="Arial"/>
          <w:bCs/>
          <w:color w:val="0D0D0D" w:themeColor="text1" w:themeTint="F2"/>
          <w:sz w:val="24"/>
          <w:szCs w:val="24"/>
          <w:lang w:val="en-IN"/>
        </w:rPr>
        <w:t>.</w:t>
      </w:r>
    </w:p>
    <w:p w14:paraId="08904E37" w14:textId="77777777" w:rsidR="003F004F" w:rsidRPr="0025492A" w:rsidRDefault="008448E0" w:rsidP="00EA42DE">
      <w:pPr>
        <w:pStyle w:val="Heading2"/>
        <w:rPr>
          <w:rFonts w:ascii="Arial" w:hAnsi="Arial" w:cs="Arial"/>
          <w:color w:val="0D0D0D" w:themeColor="text1" w:themeTint="F2"/>
        </w:rPr>
      </w:pPr>
      <w:bookmarkStart w:id="25" w:name="_Toc236957865"/>
      <w:r w:rsidRPr="0025492A">
        <w:rPr>
          <w:rFonts w:ascii="Arial" w:hAnsi="Arial" w:cs="Arial"/>
          <w:color w:val="0D0D0D" w:themeColor="text1" w:themeTint="F2"/>
        </w:rPr>
        <w:t>8.3 Evaluation</w:t>
      </w:r>
      <w:bookmarkEnd w:id="25"/>
    </w:p>
    <w:p w14:paraId="231539F9" w14:textId="77777777" w:rsidR="00FA4211" w:rsidRPr="0025492A" w:rsidRDefault="008448E0" w:rsidP="00FA4211">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The most compelling aspect of my work was the incorporation of theory with the existing evidence in Singapore. The calculation I made for Toyota's 2024 lead over BYD and January-April 2025 shortfall was done on a clearly defined period and denominator. This enhanced the earlier draft, where some increases and decreases were presented without explaining the basis of comparison or why the change was strategically important.</w:t>
      </w:r>
    </w:p>
    <w:p w14:paraId="005DBC75" w14:textId="77777777" w:rsidR="00FA4211" w:rsidRPr="0025492A" w:rsidRDefault="008448E0" w:rsidP="00FA4211">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In Alt </w:t>
      </w:r>
      <w:r w:rsidRPr="0025492A">
        <w:rPr>
          <w:rFonts w:ascii="Arial" w:hAnsi="Arial" w:cs="Arial"/>
          <w:bCs/>
          <w:i/>
          <w:color w:val="0D0D0D" w:themeColor="text1" w:themeTint="F2"/>
          <w:sz w:val="24"/>
          <w:szCs w:val="24"/>
          <w:lang w:val="en-IN"/>
        </w:rPr>
        <w:t>et al.</w:t>
      </w:r>
      <w:r w:rsidRPr="0025492A">
        <w:rPr>
          <w:rFonts w:ascii="Arial" w:hAnsi="Arial" w:cs="Arial"/>
          <w:bCs/>
          <w:color w:val="0D0D0D" w:themeColor="text1" w:themeTint="F2"/>
          <w:sz w:val="24"/>
          <w:szCs w:val="24"/>
          <w:lang w:val="en-IN"/>
        </w:rPr>
        <w:t xml:space="preserve"> (2022), structured reflective prompts are demonstrated to bring together the context of current tasks and their future implications with academics and professional life. It was identified that there was a gap, and I categorised evidence in </w:t>
      </w:r>
      <w:r w:rsidRPr="0025492A">
        <w:rPr>
          <w:rFonts w:ascii="Arial" w:hAnsi="Arial" w:cs="Arial"/>
          <w:bCs/>
          <w:color w:val="0D0D0D" w:themeColor="text1" w:themeTint="F2"/>
          <w:sz w:val="24"/>
          <w:szCs w:val="24"/>
          <w:lang w:val="en-IN"/>
        </w:rPr>
        <w:lastRenderedPageBreak/>
        <w:t>the form of claims into six categories: control, adaptation, ethics, products, customer trust, and measurable recommendations.</w:t>
      </w:r>
    </w:p>
    <w:p w14:paraId="2713946B" w14:textId="77777777" w:rsidR="003F004F" w:rsidRPr="0025492A" w:rsidRDefault="008448E0" w:rsidP="00FA4211">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The final evidence-based information also became more even between academic, governmental, corporate, regulatory, and journalistic information. However, pages for companies were still very much a description of products and not an independent evaluation. This separation created a barrier to making promotional claims to be accepted as fact.</w:t>
      </w:r>
    </w:p>
    <w:p w14:paraId="3531A464" w14:textId="77777777" w:rsidR="003F004F" w:rsidRPr="0025492A" w:rsidRDefault="008448E0" w:rsidP="00EA42DE">
      <w:pPr>
        <w:pStyle w:val="Heading2"/>
        <w:rPr>
          <w:rFonts w:ascii="Arial" w:hAnsi="Arial" w:cs="Arial"/>
          <w:color w:val="0D0D0D" w:themeColor="text1" w:themeTint="F2"/>
        </w:rPr>
      </w:pPr>
      <w:bookmarkStart w:id="26" w:name="_Toc236957866"/>
      <w:r w:rsidRPr="0025492A">
        <w:rPr>
          <w:rFonts w:ascii="Arial" w:hAnsi="Arial" w:cs="Arial"/>
          <w:color w:val="0D0D0D" w:themeColor="text1" w:themeTint="F2"/>
        </w:rPr>
        <w:t>8.4 Analysis</w:t>
      </w:r>
      <w:bookmarkEnd w:id="26"/>
    </w:p>
    <w:p w14:paraId="4C7C582F" w14:textId="77777777" w:rsidR="00AB43F1" w:rsidRPr="0025492A" w:rsidRDefault="008448E0" w:rsidP="00AB43F1">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The research showed that critical comparison is not an easy task, which can be done by juxtaposing descriptions of two countries. For every difference, an explanation had to be given pertaining to strategic cause, commercial consequence and managerial response. </w:t>
      </w:r>
      <w:proofErr w:type="spellStart"/>
      <w:r w:rsidRPr="0025492A">
        <w:rPr>
          <w:rFonts w:ascii="Arial" w:hAnsi="Arial" w:cs="Arial"/>
          <w:bCs/>
          <w:color w:val="0D0D0D" w:themeColor="text1" w:themeTint="F2"/>
          <w:sz w:val="24"/>
          <w:szCs w:val="24"/>
          <w:lang w:val="en-IN"/>
        </w:rPr>
        <w:t>Indrašienė</w:t>
      </w:r>
      <w:proofErr w:type="spellEnd"/>
      <w:r w:rsidRPr="0025492A">
        <w:rPr>
          <w:rFonts w:ascii="Arial" w:hAnsi="Arial" w:cs="Arial"/>
          <w:bCs/>
          <w:color w:val="0D0D0D" w:themeColor="text1" w:themeTint="F2"/>
          <w:sz w:val="24"/>
          <w:szCs w:val="24"/>
          <w:lang w:val="en-IN"/>
        </w:rPr>
        <w:t xml:space="preserve"> </w:t>
      </w:r>
      <w:r w:rsidRPr="0025492A">
        <w:rPr>
          <w:rFonts w:ascii="Arial" w:hAnsi="Arial" w:cs="Arial"/>
          <w:bCs/>
          <w:i/>
          <w:color w:val="0D0D0D" w:themeColor="text1" w:themeTint="F2"/>
          <w:sz w:val="24"/>
          <w:szCs w:val="24"/>
          <w:lang w:val="en-IN"/>
        </w:rPr>
        <w:t>et al.</w:t>
      </w:r>
      <w:r w:rsidRPr="0025492A">
        <w:rPr>
          <w:rFonts w:ascii="Arial" w:hAnsi="Arial" w:cs="Arial"/>
          <w:bCs/>
          <w:color w:val="0D0D0D" w:themeColor="text1" w:themeTint="F2"/>
          <w:sz w:val="24"/>
          <w:szCs w:val="24"/>
          <w:lang w:val="en-IN"/>
        </w:rPr>
        <w:t xml:space="preserve"> (2023) define critical reflection as integrating personal experience with new knowledge to develop a revised understanding. I've used this concept in trying to think about Toyota's distributor model in the context of the rapid change of the electric-vehicle market in Singapore. I initially thought that if Toyota had an 'established authorised distributor', it would be the best entry arrangement. Studying the network and channels revealed that local knowledge is valued and dependence can reduce control over data, learning and adaptation. This resulted in a more equitable assessment of the retained distribution and increased direct involvement by the manufacturer.</w:t>
      </w:r>
    </w:p>
    <w:p w14:paraId="594FE454" w14:textId="77777777" w:rsidR="00AB43F1" w:rsidRPr="0025492A" w:rsidRDefault="008448E0" w:rsidP="00AB43F1">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I also had a much more detailed numerical review, which altered my mind in terms of what I really think about market performance. Toyota’s 1,685-unit lead over BYD in 2024 seemed strong, until January-April 2025 revealed a 952-unit gap. I did not say “more or less” but rather the actual time periods, the actual differences, the percentage relationships, and the inferences that were limited. Ethical analysis was also needed, as efficient vehicles are not a given when being communicated in an ethical manner. There were a few issues that had to be qualified for green claims, including the boundaries of the lifecycle, the test conditions, and the differences in propulsion. Another explanation, beyond the isolated promotional numbers, for product prices was through assumptions on COE, rebates, financing, servicing and batteries.</w:t>
      </w:r>
    </w:p>
    <w:p w14:paraId="68F761E0" w14:textId="77777777" w:rsidR="003F004F" w:rsidRPr="0025492A" w:rsidRDefault="008448E0" w:rsidP="00AB43F1">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Within their pilot study, Hwang </w:t>
      </w:r>
      <w:r w:rsidR="00F47FA5" w:rsidRPr="0025492A">
        <w:rPr>
          <w:rFonts w:ascii="Arial" w:hAnsi="Arial" w:cs="Arial"/>
          <w:bCs/>
          <w:i/>
          <w:color w:val="0D0D0D" w:themeColor="text1" w:themeTint="F2"/>
          <w:sz w:val="24"/>
          <w:szCs w:val="24"/>
          <w:lang w:val="en-IN"/>
        </w:rPr>
        <w:t>et al.</w:t>
      </w:r>
      <w:r w:rsidRPr="0025492A">
        <w:rPr>
          <w:rFonts w:ascii="Arial" w:hAnsi="Arial" w:cs="Arial"/>
          <w:bCs/>
          <w:color w:val="0D0D0D" w:themeColor="text1" w:themeTint="F2"/>
          <w:sz w:val="24"/>
          <w:szCs w:val="24"/>
          <w:lang w:val="en-IN"/>
        </w:rPr>
        <w:t xml:space="preserve"> (2023) observed that the activities of decision, reflection and interaction enhanced the professional learning achievement, and the self-efficacy of the participants. The best learning was when I applied each </w:t>
      </w:r>
      <w:r w:rsidRPr="0025492A">
        <w:rPr>
          <w:rFonts w:ascii="Arial" w:hAnsi="Arial" w:cs="Arial"/>
          <w:bCs/>
          <w:color w:val="0D0D0D" w:themeColor="text1" w:themeTint="F2"/>
          <w:sz w:val="24"/>
          <w:szCs w:val="24"/>
          <w:lang w:val="en-IN"/>
        </w:rPr>
        <w:lastRenderedPageBreak/>
        <w:t>recommendation to evidence, operational feasibility, measurable outcomes and probable potential impacts of the recommendation on stakeholders. This evolved into actions on a portfolio level, in terms of priorities, governance, customer information and performance controls.</w:t>
      </w:r>
    </w:p>
    <w:p w14:paraId="7572B5C6" w14:textId="77777777" w:rsidR="003F004F" w:rsidRPr="0025492A" w:rsidRDefault="008448E0" w:rsidP="00EA42DE">
      <w:pPr>
        <w:pStyle w:val="Heading2"/>
        <w:rPr>
          <w:rFonts w:ascii="Arial" w:hAnsi="Arial" w:cs="Arial"/>
          <w:color w:val="0D0D0D" w:themeColor="text1" w:themeTint="F2"/>
        </w:rPr>
      </w:pPr>
      <w:bookmarkStart w:id="27" w:name="_Toc236957867"/>
      <w:r w:rsidRPr="0025492A">
        <w:rPr>
          <w:rFonts w:ascii="Arial" w:hAnsi="Arial" w:cs="Arial"/>
          <w:color w:val="0D0D0D" w:themeColor="text1" w:themeTint="F2"/>
        </w:rPr>
        <w:t>8.5 Conclusion</w:t>
      </w:r>
      <w:bookmarkEnd w:id="27"/>
    </w:p>
    <w:p w14:paraId="4CB4603E" w14:textId="77777777" w:rsidR="003F004F" w:rsidRPr="0025492A" w:rsidRDefault="008448E0" w:rsidP="00D761EA">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rPr>
        <w:t>This task gave me the idea that the longer the information is given, it doesn't necessarily mean that it will result in critical academic writing. Analysis is enhanced if evidence is chosen for a clear purpose, analysed constantly and then critically evaluated. I also found out that there needs to be numerical changes, there needs to be a baseline, period, unit, denominator, and an explanation. Specifications of the product should be visible, the use of the product, limitations and the meaning of the product in comparison with other products. The results of the reflection revealed that my key strengths were the ability to make comparisons and connections with structure, integration of evidence and generating practical recommendations. The problems I had were that I had an early accumulation of sources, a lack of basic clarification and dependency on the organisational language in the beginning</w:t>
      </w:r>
      <w:r w:rsidRPr="0025492A">
        <w:rPr>
          <w:rFonts w:ascii="Arial" w:hAnsi="Arial" w:cs="Arial"/>
          <w:bCs/>
          <w:color w:val="0D0D0D" w:themeColor="text1" w:themeTint="F2"/>
          <w:sz w:val="24"/>
          <w:szCs w:val="24"/>
          <w:lang w:val="en-IN"/>
        </w:rPr>
        <w:t>.</w:t>
      </w:r>
    </w:p>
    <w:p w14:paraId="3EDD1958" w14:textId="77777777" w:rsidR="003F004F" w:rsidRPr="0025492A" w:rsidRDefault="008448E0" w:rsidP="00EA42DE">
      <w:pPr>
        <w:pStyle w:val="Heading2"/>
        <w:rPr>
          <w:rFonts w:ascii="Arial" w:hAnsi="Arial" w:cs="Arial"/>
          <w:color w:val="0D0D0D" w:themeColor="text1" w:themeTint="F2"/>
        </w:rPr>
      </w:pPr>
      <w:bookmarkStart w:id="28" w:name="_Toc236957868"/>
      <w:r w:rsidRPr="0025492A">
        <w:rPr>
          <w:rFonts w:ascii="Arial" w:hAnsi="Arial" w:cs="Arial"/>
          <w:color w:val="0D0D0D" w:themeColor="text1" w:themeTint="F2"/>
        </w:rPr>
        <w:t>8.6 Action Plan</w:t>
      </w:r>
      <w:bookmarkEnd w:id="2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74"/>
        <w:gridCol w:w="1920"/>
        <w:gridCol w:w="1534"/>
        <w:gridCol w:w="1492"/>
        <w:gridCol w:w="1504"/>
        <w:gridCol w:w="1412"/>
      </w:tblGrid>
      <w:tr w:rsidR="0025492A" w:rsidRPr="0025492A" w14:paraId="2E83334B" w14:textId="77777777" w:rsidTr="005F53F7">
        <w:trPr>
          <w:tblHeader/>
          <w:tblCellSpacing w:w="15" w:type="dxa"/>
        </w:trPr>
        <w:tc>
          <w:tcPr>
            <w:tcW w:w="0" w:type="auto"/>
            <w:vAlign w:val="center"/>
            <w:hideMark/>
          </w:tcPr>
          <w:p w14:paraId="6762E20F" w14:textId="77777777" w:rsidR="005F53F7" w:rsidRPr="0025492A" w:rsidRDefault="005F53F7" w:rsidP="005F53F7">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Action</w:t>
            </w:r>
          </w:p>
        </w:tc>
        <w:tc>
          <w:tcPr>
            <w:tcW w:w="0" w:type="auto"/>
            <w:vAlign w:val="center"/>
            <w:hideMark/>
          </w:tcPr>
          <w:p w14:paraId="57874B7D" w14:textId="77777777" w:rsidR="005F53F7" w:rsidRPr="0025492A" w:rsidRDefault="005F53F7" w:rsidP="005F53F7">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Specific</w:t>
            </w:r>
          </w:p>
        </w:tc>
        <w:tc>
          <w:tcPr>
            <w:tcW w:w="0" w:type="auto"/>
            <w:vAlign w:val="center"/>
            <w:hideMark/>
          </w:tcPr>
          <w:p w14:paraId="7C67E5C7" w14:textId="77777777" w:rsidR="005F53F7" w:rsidRPr="0025492A" w:rsidRDefault="005F53F7" w:rsidP="005F53F7">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Measurable Check</w:t>
            </w:r>
          </w:p>
        </w:tc>
        <w:tc>
          <w:tcPr>
            <w:tcW w:w="0" w:type="auto"/>
            <w:vAlign w:val="center"/>
            <w:hideMark/>
          </w:tcPr>
          <w:p w14:paraId="38E70EA9" w14:textId="77777777" w:rsidR="005F53F7" w:rsidRPr="0025492A" w:rsidRDefault="005F53F7" w:rsidP="005F53F7">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Achievable Method</w:t>
            </w:r>
          </w:p>
        </w:tc>
        <w:tc>
          <w:tcPr>
            <w:tcW w:w="0" w:type="auto"/>
            <w:vAlign w:val="center"/>
            <w:hideMark/>
          </w:tcPr>
          <w:p w14:paraId="132A3D8B" w14:textId="77777777" w:rsidR="005F53F7" w:rsidRPr="0025492A" w:rsidRDefault="005F53F7" w:rsidP="005F53F7">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Relevance</w:t>
            </w:r>
          </w:p>
        </w:tc>
        <w:tc>
          <w:tcPr>
            <w:tcW w:w="0" w:type="auto"/>
            <w:vAlign w:val="center"/>
            <w:hideMark/>
          </w:tcPr>
          <w:p w14:paraId="5687B04C" w14:textId="77777777" w:rsidR="005F53F7" w:rsidRPr="0025492A" w:rsidRDefault="005F53F7" w:rsidP="005F53F7">
            <w:pPr>
              <w:spacing w:after="0" w:line="360" w:lineRule="auto"/>
              <w:jc w:val="both"/>
              <w:rPr>
                <w:rFonts w:ascii="Arial" w:hAnsi="Arial" w:cs="Arial"/>
                <w:b/>
                <w:bCs/>
                <w:color w:val="0D0D0D" w:themeColor="text1" w:themeTint="F2"/>
                <w:sz w:val="24"/>
                <w:szCs w:val="24"/>
                <w:lang w:val="en-IN"/>
              </w:rPr>
            </w:pPr>
            <w:r w:rsidRPr="0025492A">
              <w:rPr>
                <w:rFonts w:ascii="Arial" w:hAnsi="Arial" w:cs="Arial"/>
                <w:b/>
                <w:bCs/>
                <w:color w:val="0D0D0D" w:themeColor="text1" w:themeTint="F2"/>
                <w:sz w:val="24"/>
                <w:szCs w:val="24"/>
                <w:lang w:val="en-IN"/>
              </w:rPr>
              <w:t>Timeframe</w:t>
            </w:r>
          </w:p>
        </w:tc>
      </w:tr>
      <w:tr w:rsidR="0025492A" w:rsidRPr="0025492A" w14:paraId="32ED3C6A" w14:textId="77777777" w:rsidTr="005F53F7">
        <w:trPr>
          <w:tblCellSpacing w:w="15" w:type="dxa"/>
        </w:trPr>
        <w:tc>
          <w:tcPr>
            <w:tcW w:w="0" w:type="auto"/>
            <w:vAlign w:val="center"/>
            <w:hideMark/>
          </w:tcPr>
          <w:p w14:paraId="7A539C5C"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Evidence matrix</w:t>
            </w:r>
          </w:p>
        </w:tc>
        <w:tc>
          <w:tcPr>
            <w:tcW w:w="0" w:type="auto"/>
            <w:vAlign w:val="center"/>
            <w:hideMark/>
          </w:tcPr>
          <w:p w14:paraId="74A266A3"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Record claim, market, date, unit, source and limitation</w:t>
            </w:r>
          </w:p>
        </w:tc>
        <w:tc>
          <w:tcPr>
            <w:tcW w:w="0" w:type="auto"/>
            <w:vAlign w:val="center"/>
            <w:hideMark/>
          </w:tcPr>
          <w:p w14:paraId="154866BD"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100% key claims entered</w:t>
            </w:r>
          </w:p>
        </w:tc>
        <w:tc>
          <w:tcPr>
            <w:tcW w:w="0" w:type="auto"/>
            <w:vAlign w:val="center"/>
            <w:hideMark/>
          </w:tcPr>
          <w:p w14:paraId="159A2D51"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Complete matrix before drafting</w:t>
            </w:r>
          </w:p>
        </w:tc>
        <w:tc>
          <w:tcPr>
            <w:tcW w:w="0" w:type="auto"/>
            <w:vAlign w:val="center"/>
            <w:hideMark/>
          </w:tcPr>
          <w:p w14:paraId="56C928EF"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Improves evidence quality</w:t>
            </w:r>
          </w:p>
        </w:tc>
        <w:tc>
          <w:tcPr>
            <w:tcW w:w="0" w:type="auto"/>
            <w:vAlign w:val="center"/>
            <w:hideMark/>
          </w:tcPr>
          <w:p w14:paraId="7E342E9D"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Before each section</w:t>
            </w:r>
          </w:p>
        </w:tc>
      </w:tr>
      <w:tr w:rsidR="0025492A" w:rsidRPr="0025492A" w14:paraId="671F9841" w14:textId="77777777" w:rsidTr="005F53F7">
        <w:trPr>
          <w:tblCellSpacing w:w="15" w:type="dxa"/>
        </w:trPr>
        <w:tc>
          <w:tcPr>
            <w:tcW w:w="0" w:type="auto"/>
            <w:vAlign w:val="center"/>
            <w:hideMark/>
          </w:tcPr>
          <w:p w14:paraId="52338041"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Paragraph structure</w:t>
            </w:r>
          </w:p>
        </w:tc>
        <w:tc>
          <w:tcPr>
            <w:tcW w:w="0" w:type="auto"/>
            <w:vAlign w:val="center"/>
            <w:hideMark/>
          </w:tcPr>
          <w:p w14:paraId="1CCC1DF9"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Use Claim–Evidence–Comparison–Interpretation–Implication</w:t>
            </w:r>
          </w:p>
        </w:tc>
        <w:tc>
          <w:tcPr>
            <w:tcW w:w="0" w:type="auto"/>
            <w:vAlign w:val="center"/>
            <w:hideMark/>
          </w:tcPr>
          <w:p w14:paraId="5DA6A38F"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Check every analytical paragraph</w:t>
            </w:r>
          </w:p>
        </w:tc>
        <w:tc>
          <w:tcPr>
            <w:tcW w:w="0" w:type="auto"/>
            <w:vAlign w:val="center"/>
            <w:hideMark/>
          </w:tcPr>
          <w:p w14:paraId="5CDD9770"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Apply a five-part checklist</w:t>
            </w:r>
          </w:p>
        </w:tc>
        <w:tc>
          <w:tcPr>
            <w:tcW w:w="0" w:type="auto"/>
            <w:vAlign w:val="center"/>
            <w:hideMark/>
          </w:tcPr>
          <w:p w14:paraId="3C079282"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Strengthens critical analysis</w:t>
            </w:r>
          </w:p>
        </w:tc>
        <w:tc>
          <w:tcPr>
            <w:tcW w:w="0" w:type="auto"/>
            <w:vAlign w:val="center"/>
            <w:hideMark/>
          </w:tcPr>
          <w:p w14:paraId="098C5182"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During drafting</w:t>
            </w:r>
          </w:p>
        </w:tc>
      </w:tr>
      <w:tr w:rsidR="0025492A" w:rsidRPr="0025492A" w14:paraId="00346926" w14:textId="77777777" w:rsidTr="005F53F7">
        <w:trPr>
          <w:tblCellSpacing w:w="15" w:type="dxa"/>
        </w:trPr>
        <w:tc>
          <w:tcPr>
            <w:tcW w:w="0" w:type="auto"/>
            <w:vAlign w:val="center"/>
            <w:hideMark/>
          </w:tcPr>
          <w:p w14:paraId="4220E003"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Numerical accuracy</w:t>
            </w:r>
          </w:p>
        </w:tc>
        <w:tc>
          <w:tcPr>
            <w:tcW w:w="0" w:type="auto"/>
            <w:vAlign w:val="center"/>
            <w:hideMark/>
          </w:tcPr>
          <w:p w14:paraId="023EAA3C"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 xml:space="preserve">Verify percentages, units and comparison </w:t>
            </w:r>
            <w:r w:rsidRPr="0025492A">
              <w:rPr>
                <w:rFonts w:ascii="Arial" w:hAnsi="Arial" w:cs="Arial"/>
                <w:bCs/>
                <w:color w:val="0D0D0D" w:themeColor="text1" w:themeTint="F2"/>
                <w:sz w:val="24"/>
                <w:szCs w:val="24"/>
                <w:lang w:val="en-IN"/>
              </w:rPr>
              <w:lastRenderedPageBreak/>
              <w:t>periods</w:t>
            </w:r>
          </w:p>
        </w:tc>
        <w:tc>
          <w:tcPr>
            <w:tcW w:w="0" w:type="auto"/>
            <w:vAlign w:val="center"/>
            <w:hideMark/>
          </w:tcPr>
          <w:p w14:paraId="39157CCA"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lastRenderedPageBreak/>
              <w:t>Recalculate every figure</w:t>
            </w:r>
          </w:p>
        </w:tc>
        <w:tc>
          <w:tcPr>
            <w:tcW w:w="0" w:type="auto"/>
            <w:vAlign w:val="center"/>
            <w:hideMark/>
          </w:tcPr>
          <w:p w14:paraId="086125AF"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Cross-check with original source</w:t>
            </w:r>
          </w:p>
        </w:tc>
        <w:tc>
          <w:tcPr>
            <w:tcW w:w="0" w:type="auto"/>
            <w:vAlign w:val="center"/>
            <w:hideMark/>
          </w:tcPr>
          <w:p w14:paraId="11EF5BF5"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Prevents misleading conclusions</w:t>
            </w:r>
          </w:p>
        </w:tc>
        <w:tc>
          <w:tcPr>
            <w:tcW w:w="0" w:type="auto"/>
            <w:vAlign w:val="center"/>
            <w:hideMark/>
          </w:tcPr>
          <w:p w14:paraId="26A76E04"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Within 24 hours of drafting</w:t>
            </w:r>
          </w:p>
        </w:tc>
      </w:tr>
      <w:tr w:rsidR="0025492A" w:rsidRPr="0025492A" w14:paraId="1C5DF9EE" w14:textId="77777777" w:rsidTr="005F53F7">
        <w:trPr>
          <w:tblCellSpacing w:w="15" w:type="dxa"/>
        </w:trPr>
        <w:tc>
          <w:tcPr>
            <w:tcW w:w="0" w:type="auto"/>
            <w:vAlign w:val="center"/>
            <w:hideMark/>
          </w:tcPr>
          <w:p w14:paraId="75B2742C"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lastRenderedPageBreak/>
              <w:t>Local relevance</w:t>
            </w:r>
          </w:p>
        </w:tc>
        <w:tc>
          <w:tcPr>
            <w:tcW w:w="0" w:type="auto"/>
            <w:vAlign w:val="center"/>
            <w:hideMark/>
          </w:tcPr>
          <w:p w14:paraId="5A1FC3FB"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Match product evidence to local market requirements</w:t>
            </w:r>
          </w:p>
        </w:tc>
        <w:tc>
          <w:tcPr>
            <w:tcW w:w="0" w:type="auto"/>
            <w:vAlign w:val="center"/>
            <w:hideMark/>
          </w:tcPr>
          <w:p w14:paraId="0FAE5020"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Review each comparison</w:t>
            </w:r>
          </w:p>
        </w:tc>
        <w:tc>
          <w:tcPr>
            <w:tcW w:w="0" w:type="auto"/>
            <w:vAlign w:val="center"/>
            <w:hideMark/>
          </w:tcPr>
          <w:p w14:paraId="2D448A3B"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Prioritise country-specific evidence</w:t>
            </w:r>
          </w:p>
        </w:tc>
        <w:tc>
          <w:tcPr>
            <w:tcW w:w="0" w:type="auto"/>
            <w:vAlign w:val="center"/>
            <w:hideMark/>
          </w:tcPr>
          <w:p w14:paraId="3977D286"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Improves applicability</w:t>
            </w:r>
          </w:p>
        </w:tc>
        <w:tc>
          <w:tcPr>
            <w:tcW w:w="0" w:type="auto"/>
            <w:vAlign w:val="center"/>
            <w:hideMark/>
          </w:tcPr>
          <w:p w14:paraId="44D43765"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Before final editing</w:t>
            </w:r>
          </w:p>
        </w:tc>
      </w:tr>
      <w:tr w:rsidR="0025492A" w:rsidRPr="0025492A" w14:paraId="1AFE112E" w14:textId="77777777" w:rsidTr="005F53F7">
        <w:trPr>
          <w:tblCellSpacing w:w="15" w:type="dxa"/>
        </w:trPr>
        <w:tc>
          <w:tcPr>
            <w:tcW w:w="0" w:type="auto"/>
            <w:vAlign w:val="center"/>
            <w:hideMark/>
          </w:tcPr>
          <w:p w14:paraId="5C49E9F0"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Final audit</w:t>
            </w:r>
          </w:p>
        </w:tc>
        <w:tc>
          <w:tcPr>
            <w:tcW w:w="0" w:type="auto"/>
            <w:vAlign w:val="center"/>
            <w:hideMark/>
          </w:tcPr>
          <w:p w14:paraId="1AA08B29"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Review language, citations, references and word count</w:t>
            </w:r>
          </w:p>
        </w:tc>
        <w:tc>
          <w:tcPr>
            <w:tcW w:w="0" w:type="auto"/>
            <w:vAlign w:val="center"/>
            <w:hideMark/>
          </w:tcPr>
          <w:p w14:paraId="1C0757BF"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Zero unresolved errors</w:t>
            </w:r>
          </w:p>
        </w:tc>
        <w:tc>
          <w:tcPr>
            <w:tcW w:w="0" w:type="auto"/>
            <w:vAlign w:val="center"/>
            <w:hideMark/>
          </w:tcPr>
          <w:p w14:paraId="60BE0889"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Use final submission checklist</w:t>
            </w:r>
          </w:p>
        </w:tc>
        <w:tc>
          <w:tcPr>
            <w:tcW w:w="0" w:type="auto"/>
            <w:vAlign w:val="center"/>
            <w:hideMark/>
          </w:tcPr>
          <w:p w14:paraId="755A5AEA"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Improves academic quality</w:t>
            </w:r>
          </w:p>
        </w:tc>
        <w:tc>
          <w:tcPr>
            <w:tcW w:w="0" w:type="auto"/>
            <w:vAlign w:val="center"/>
            <w:hideMark/>
          </w:tcPr>
          <w:p w14:paraId="265EB979" w14:textId="77777777" w:rsidR="005F53F7" w:rsidRPr="0025492A" w:rsidRDefault="005F53F7" w:rsidP="005F53F7">
            <w:pPr>
              <w:spacing w:after="0" w:line="360" w:lineRule="auto"/>
              <w:jc w:val="both"/>
              <w:rPr>
                <w:rFonts w:ascii="Arial" w:hAnsi="Arial" w:cs="Arial"/>
                <w:bCs/>
                <w:color w:val="0D0D0D" w:themeColor="text1" w:themeTint="F2"/>
                <w:sz w:val="24"/>
                <w:szCs w:val="24"/>
                <w:lang w:val="en-IN"/>
              </w:rPr>
            </w:pPr>
            <w:r w:rsidRPr="0025492A">
              <w:rPr>
                <w:rFonts w:ascii="Arial" w:hAnsi="Arial" w:cs="Arial"/>
                <w:bCs/>
                <w:color w:val="0D0D0D" w:themeColor="text1" w:themeTint="F2"/>
                <w:sz w:val="24"/>
                <w:szCs w:val="24"/>
                <w:lang w:val="en-IN"/>
              </w:rPr>
              <w:t>48 hours before submission</w:t>
            </w:r>
          </w:p>
        </w:tc>
      </w:tr>
    </w:tbl>
    <w:p w14:paraId="4322113F" w14:textId="46A54FD1" w:rsidR="009D59D1" w:rsidRPr="00864E82" w:rsidRDefault="009D59D1" w:rsidP="00D761EA">
      <w:pPr>
        <w:spacing w:after="0" w:line="360" w:lineRule="auto"/>
        <w:jc w:val="both"/>
        <w:rPr>
          <w:rFonts w:ascii="Arial" w:hAnsi="Arial" w:cs="Arial"/>
          <w:bCs/>
          <w:color w:val="000000" w:themeColor="text1"/>
          <w:sz w:val="24"/>
          <w:szCs w:val="24"/>
          <w:lang w:val="en-IN"/>
        </w:rPr>
      </w:pPr>
    </w:p>
    <w:p w14:paraId="0CFC7448" w14:textId="77777777" w:rsidR="00BB691F" w:rsidRPr="00864E82" w:rsidRDefault="00BB691F" w:rsidP="00B640B9">
      <w:pPr>
        <w:spacing w:after="0" w:line="360" w:lineRule="auto"/>
        <w:jc w:val="both"/>
        <w:rPr>
          <w:rFonts w:ascii="Arial" w:hAnsi="Arial" w:cs="Arial"/>
          <w:bCs/>
          <w:color w:val="000000" w:themeColor="text1"/>
        </w:rPr>
      </w:pPr>
    </w:p>
    <w:p w14:paraId="4C05B231" w14:textId="77777777" w:rsidR="00BB691F" w:rsidRPr="00864E82" w:rsidRDefault="00BB691F" w:rsidP="00B640B9">
      <w:pPr>
        <w:spacing w:after="0" w:line="360" w:lineRule="auto"/>
        <w:jc w:val="both"/>
        <w:rPr>
          <w:rFonts w:ascii="Arial" w:hAnsi="Arial" w:cs="Arial"/>
          <w:bCs/>
          <w:color w:val="000000" w:themeColor="text1"/>
        </w:rPr>
      </w:pPr>
    </w:p>
    <w:p w14:paraId="1191D8F2" w14:textId="77777777" w:rsidR="00BB691F" w:rsidRPr="00864E82" w:rsidRDefault="00BB691F" w:rsidP="00B640B9">
      <w:pPr>
        <w:spacing w:after="0" w:line="360" w:lineRule="auto"/>
        <w:jc w:val="both"/>
        <w:rPr>
          <w:rFonts w:ascii="Arial" w:hAnsi="Arial" w:cs="Arial"/>
          <w:bCs/>
          <w:color w:val="000000" w:themeColor="text1"/>
        </w:rPr>
      </w:pPr>
    </w:p>
    <w:p w14:paraId="78C29459" w14:textId="77777777" w:rsidR="005F53F7" w:rsidRDefault="005F53F7">
      <w:pPr>
        <w:rPr>
          <w:rFonts w:ascii="Arial" w:hAnsi="Arial" w:cs="Arial"/>
          <w:b/>
          <w:bCs/>
          <w:color w:val="000000" w:themeColor="text1"/>
          <w:sz w:val="28"/>
          <w:szCs w:val="24"/>
          <w:lang w:val="en-IN"/>
        </w:rPr>
      </w:pPr>
      <w:bookmarkStart w:id="29" w:name="_Toc236957869"/>
      <w:r>
        <w:rPr>
          <w:rFonts w:ascii="Arial" w:hAnsi="Arial" w:cs="Arial"/>
        </w:rPr>
        <w:br w:type="page"/>
      </w:r>
    </w:p>
    <w:p w14:paraId="630F5E80" w14:textId="162A887B" w:rsidR="00DE65CA" w:rsidRPr="00864E82" w:rsidRDefault="008448E0" w:rsidP="00CD5252">
      <w:pPr>
        <w:pStyle w:val="Heading1"/>
        <w:rPr>
          <w:rFonts w:ascii="Arial" w:hAnsi="Arial" w:cs="Arial"/>
        </w:rPr>
      </w:pPr>
      <w:r w:rsidRPr="00864E82">
        <w:rPr>
          <w:rFonts w:ascii="Arial" w:hAnsi="Arial" w:cs="Arial"/>
        </w:rPr>
        <w:lastRenderedPageBreak/>
        <w:t>Reference List</w:t>
      </w:r>
      <w:bookmarkEnd w:id="29"/>
    </w:p>
    <w:p w14:paraId="2E745AE6"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Advertising Standards Authority of Singapore (2026) </w:t>
      </w:r>
      <w:r w:rsidRPr="00A0404B">
        <w:rPr>
          <w:rFonts w:ascii="Arial" w:hAnsi="Arial" w:cs="Arial"/>
          <w:i/>
          <w:iCs/>
          <w:color w:val="000000" w:themeColor="text1"/>
          <w:sz w:val="24"/>
          <w:lang w:val="en-IN"/>
        </w:rPr>
        <w:t>Singapore code of advertising practice</w:t>
      </w:r>
      <w:r w:rsidRPr="00A0404B">
        <w:rPr>
          <w:rFonts w:ascii="Arial" w:hAnsi="Arial" w:cs="Arial"/>
          <w:color w:val="000000" w:themeColor="text1"/>
          <w:sz w:val="24"/>
          <w:lang w:val="en-IN"/>
        </w:rPr>
        <w:t xml:space="preserve">. Available at: </w:t>
      </w:r>
      <w:hyperlink r:id="rId16" w:tgtFrame="_new" w:history="1">
        <w:r w:rsidRPr="00A0404B">
          <w:rPr>
            <w:rStyle w:val="Hyperlink"/>
            <w:rFonts w:ascii="Arial" w:hAnsi="Arial" w:cs="Arial"/>
            <w:sz w:val="24"/>
            <w:lang w:val="en-IN"/>
          </w:rPr>
          <w:t>https://asas.org.sg/About/Code</w:t>
        </w:r>
      </w:hyperlink>
      <w:r w:rsidRPr="00A0404B">
        <w:rPr>
          <w:rFonts w:ascii="Arial" w:hAnsi="Arial" w:cs="Arial"/>
          <w:color w:val="000000" w:themeColor="text1"/>
          <w:sz w:val="24"/>
          <w:lang w:val="en-IN"/>
        </w:rPr>
        <w:t xml:space="preserve"> (Accessed: 9 August 2026).</w:t>
      </w:r>
    </w:p>
    <w:p w14:paraId="40D00471"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Aïmeur</w:t>
      </w:r>
      <w:proofErr w:type="spellEnd"/>
      <w:r w:rsidRPr="00A0404B">
        <w:rPr>
          <w:rFonts w:ascii="Arial" w:hAnsi="Arial" w:cs="Arial"/>
          <w:color w:val="000000" w:themeColor="text1"/>
          <w:sz w:val="24"/>
          <w:lang w:val="en-IN"/>
        </w:rPr>
        <w:t xml:space="preserve">, E., </w:t>
      </w:r>
      <w:proofErr w:type="spellStart"/>
      <w:r w:rsidRPr="00A0404B">
        <w:rPr>
          <w:rFonts w:ascii="Arial" w:hAnsi="Arial" w:cs="Arial"/>
          <w:color w:val="000000" w:themeColor="text1"/>
          <w:sz w:val="24"/>
          <w:lang w:val="en-IN"/>
        </w:rPr>
        <w:t>Amri</w:t>
      </w:r>
      <w:proofErr w:type="spellEnd"/>
      <w:r w:rsidRPr="00A0404B">
        <w:rPr>
          <w:rFonts w:ascii="Arial" w:hAnsi="Arial" w:cs="Arial"/>
          <w:color w:val="000000" w:themeColor="text1"/>
          <w:sz w:val="24"/>
          <w:lang w:val="en-IN"/>
        </w:rPr>
        <w:t xml:space="preserve">, S. and Brassard, G. (2023) ‘Fake news, disinformation and misinformation in social media: a review’, </w:t>
      </w:r>
      <w:r w:rsidRPr="00A0404B">
        <w:rPr>
          <w:rFonts w:ascii="Arial" w:hAnsi="Arial" w:cs="Arial"/>
          <w:i/>
          <w:iCs/>
          <w:color w:val="000000" w:themeColor="text1"/>
          <w:sz w:val="24"/>
          <w:lang w:val="en-IN"/>
        </w:rPr>
        <w:t>Social Network Analysis and Mining</w:t>
      </w:r>
      <w:r w:rsidRPr="00A0404B">
        <w:rPr>
          <w:rFonts w:ascii="Arial" w:hAnsi="Arial" w:cs="Arial"/>
          <w:color w:val="000000" w:themeColor="text1"/>
          <w:sz w:val="24"/>
          <w:lang w:val="en-IN"/>
        </w:rPr>
        <w:t xml:space="preserve">, 13, article 30. Available at: </w:t>
      </w:r>
      <w:hyperlink r:id="rId17" w:tgtFrame="_new" w:history="1">
        <w:r w:rsidRPr="00A0404B">
          <w:rPr>
            <w:rStyle w:val="Hyperlink"/>
            <w:rFonts w:ascii="Arial" w:hAnsi="Arial" w:cs="Arial"/>
            <w:sz w:val="24"/>
            <w:lang w:val="en-IN"/>
          </w:rPr>
          <w:t>https://doi.org/10.1007/s13278-023-01028-5</w:t>
        </w:r>
      </w:hyperlink>
    </w:p>
    <w:p w14:paraId="0747498E"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Alonso-Cepeda, A., </w:t>
      </w:r>
      <w:proofErr w:type="spellStart"/>
      <w:r w:rsidRPr="00A0404B">
        <w:rPr>
          <w:rFonts w:ascii="Arial" w:hAnsi="Arial" w:cs="Arial"/>
          <w:color w:val="000000" w:themeColor="text1"/>
          <w:sz w:val="24"/>
          <w:lang w:val="en-IN"/>
        </w:rPr>
        <w:t>Villena</w:t>
      </w:r>
      <w:proofErr w:type="spellEnd"/>
      <w:r w:rsidRPr="00A0404B">
        <w:rPr>
          <w:rFonts w:ascii="Arial" w:hAnsi="Arial" w:cs="Arial"/>
          <w:color w:val="000000" w:themeColor="text1"/>
          <w:sz w:val="24"/>
          <w:lang w:val="en-IN"/>
        </w:rPr>
        <w:t xml:space="preserve">-Ruiz, R., </w:t>
      </w:r>
      <w:proofErr w:type="spellStart"/>
      <w:r w:rsidRPr="00A0404B">
        <w:rPr>
          <w:rFonts w:ascii="Arial" w:hAnsi="Arial" w:cs="Arial"/>
          <w:color w:val="000000" w:themeColor="text1"/>
          <w:sz w:val="24"/>
          <w:lang w:val="en-IN"/>
        </w:rPr>
        <w:t>Honrubia-Escribano</w:t>
      </w:r>
      <w:proofErr w:type="spellEnd"/>
      <w:r w:rsidRPr="00A0404B">
        <w:rPr>
          <w:rFonts w:ascii="Arial" w:hAnsi="Arial" w:cs="Arial"/>
          <w:color w:val="000000" w:themeColor="text1"/>
          <w:sz w:val="24"/>
          <w:lang w:val="en-IN"/>
        </w:rPr>
        <w:t>, A. and Gómez-</w:t>
      </w:r>
      <w:proofErr w:type="spellStart"/>
      <w:r w:rsidRPr="00A0404B">
        <w:rPr>
          <w:rFonts w:ascii="Arial" w:hAnsi="Arial" w:cs="Arial"/>
          <w:color w:val="000000" w:themeColor="text1"/>
          <w:sz w:val="24"/>
          <w:lang w:val="en-IN"/>
        </w:rPr>
        <w:t>Lázaro</w:t>
      </w:r>
      <w:proofErr w:type="spellEnd"/>
      <w:r w:rsidRPr="00A0404B">
        <w:rPr>
          <w:rFonts w:ascii="Arial" w:hAnsi="Arial" w:cs="Arial"/>
          <w:color w:val="000000" w:themeColor="text1"/>
          <w:sz w:val="24"/>
          <w:lang w:val="en-IN"/>
        </w:rPr>
        <w:t xml:space="preserve">, E. (2024) ‘A review on electric vehicles for holistic robust integration in cities: history, legislation, meta-analysis of technology and grid impact’, </w:t>
      </w:r>
      <w:r w:rsidRPr="00A0404B">
        <w:rPr>
          <w:rFonts w:ascii="Arial" w:hAnsi="Arial" w:cs="Arial"/>
          <w:i/>
          <w:iCs/>
          <w:color w:val="000000" w:themeColor="text1"/>
          <w:sz w:val="24"/>
          <w:lang w:val="en-IN"/>
        </w:rPr>
        <w:t>Applied Sciences</w:t>
      </w:r>
      <w:r w:rsidRPr="00A0404B">
        <w:rPr>
          <w:rFonts w:ascii="Arial" w:hAnsi="Arial" w:cs="Arial"/>
          <w:color w:val="000000" w:themeColor="text1"/>
          <w:sz w:val="24"/>
          <w:lang w:val="en-IN"/>
        </w:rPr>
        <w:t>, 14. Available at: https://www.mdpi.com/search?q=A+Review+on+Electric+Vehicles+for+Holistic+Robust+Integration+in+Cities (Accessed: 9 August 2026).</w:t>
      </w:r>
    </w:p>
    <w:p w14:paraId="54DD92A5"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Alt, D., Raichel, N. and </w:t>
      </w:r>
      <w:proofErr w:type="spellStart"/>
      <w:r w:rsidRPr="00A0404B">
        <w:rPr>
          <w:rFonts w:ascii="Arial" w:hAnsi="Arial" w:cs="Arial"/>
          <w:color w:val="000000" w:themeColor="text1"/>
          <w:sz w:val="24"/>
          <w:lang w:val="en-IN"/>
        </w:rPr>
        <w:t>Naamati</w:t>
      </w:r>
      <w:proofErr w:type="spellEnd"/>
      <w:r w:rsidRPr="00A0404B">
        <w:rPr>
          <w:rFonts w:ascii="Arial" w:hAnsi="Arial" w:cs="Arial"/>
          <w:color w:val="000000" w:themeColor="text1"/>
          <w:sz w:val="24"/>
          <w:lang w:val="en-IN"/>
        </w:rPr>
        <w:t xml:space="preserve">-Schneider, L. (2022) ‘Higher education students’ reflective journal writing and lifelong learning skills: insights from an exploratory sequential study’, </w:t>
      </w:r>
      <w:r w:rsidRPr="00A0404B">
        <w:rPr>
          <w:rFonts w:ascii="Arial" w:hAnsi="Arial" w:cs="Arial"/>
          <w:i/>
          <w:iCs/>
          <w:color w:val="000000" w:themeColor="text1"/>
          <w:sz w:val="24"/>
          <w:lang w:val="en-IN"/>
        </w:rPr>
        <w:t>Frontiers in Psychology</w:t>
      </w:r>
      <w:r w:rsidRPr="00A0404B">
        <w:rPr>
          <w:rFonts w:ascii="Arial" w:hAnsi="Arial" w:cs="Arial"/>
          <w:color w:val="000000" w:themeColor="text1"/>
          <w:sz w:val="24"/>
          <w:lang w:val="en-IN"/>
        </w:rPr>
        <w:t>, 12, article 707168. Available at: https://doi.org/10.3389/fpsyg.2021.707168</w:t>
      </w:r>
    </w:p>
    <w:p w14:paraId="534F9769"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Anastasiadou</w:t>
      </w:r>
      <w:proofErr w:type="spellEnd"/>
      <w:r w:rsidRPr="00A0404B">
        <w:rPr>
          <w:rFonts w:ascii="Arial" w:hAnsi="Arial" w:cs="Arial"/>
          <w:color w:val="000000" w:themeColor="text1"/>
          <w:sz w:val="24"/>
          <w:lang w:val="en-IN"/>
        </w:rPr>
        <w:t xml:space="preserve">, K. and </w:t>
      </w:r>
      <w:proofErr w:type="spellStart"/>
      <w:r w:rsidRPr="00A0404B">
        <w:rPr>
          <w:rFonts w:ascii="Arial" w:hAnsi="Arial" w:cs="Arial"/>
          <w:color w:val="000000" w:themeColor="text1"/>
          <w:sz w:val="24"/>
          <w:lang w:val="en-IN"/>
        </w:rPr>
        <w:t>Gavanas</w:t>
      </w:r>
      <w:proofErr w:type="spellEnd"/>
      <w:r w:rsidRPr="00A0404B">
        <w:rPr>
          <w:rFonts w:ascii="Arial" w:hAnsi="Arial" w:cs="Arial"/>
          <w:color w:val="000000" w:themeColor="text1"/>
          <w:sz w:val="24"/>
          <w:lang w:val="en-IN"/>
        </w:rPr>
        <w:t xml:space="preserve">, N. (2022) ‘State-of-the-art review of the key factors affecting electric vehicle adoption by consumers’, </w:t>
      </w:r>
      <w:r w:rsidRPr="00A0404B">
        <w:rPr>
          <w:rFonts w:ascii="Arial" w:hAnsi="Arial" w:cs="Arial"/>
          <w:i/>
          <w:iCs/>
          <w:color w:val="000000" w:themeColor="text1"/>
          <w:sz w:val="24"/>
          <w:lang w:val="en-IN"/>
        </w:rPr>
        <w:t>Energies</w:t>
      </w:r>
      <w:r w:rsidRPr="00A0404B">
        <w:rPr>
          <w:rFonts w:ascii="Arial" w:hAnsi="Arial" w:cs="Arial"/>
          <w:color w:val="000000" w:themeColor="text1"/>
          <w:sz w:val="24"/>
          <w:lang w:val="en-IN"/>
        </w:rPr>
        <w:t>, 15(24), article 9409. Available at: https://doi.org/10.3390/en15249409</w:t>
      </w:r>
    </w:p>
    <w:p w14:paraId="2F707E52"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AP News (2024) ‘Toyota apologizes for cheating on vehicle testing and halts production of three models’, </w:t>
      </w:r>
      <w:r w:rsidRPr="00A0404B">
        <w:rPr>
          <w:rFonts w:ascii="Arial" w:hAnsi="Arial" w:cs="Arial"/>
          <w:i/>
          <w:iCs/>
          <w:color w:val="000000" w:themeColor="text1"/>
          <w:sz w:val="24"/>
          <w:lang w:val="en-IN"/>
        </w:rPr>
        <w:t>AP News</w:t>
      </w:r>
      <w:r w:rsidRPr="00A0404B">
        <w:rPr>
          <w:rFonts w:ascii="Arial" w:hAnsi="Arial" w:cs="Arial"/>
          <w:color w:val="000000" w:themeColor="text1"/>
          <w:sz w:val="24"/>
          <w:lang w:val="en-IN"/>
        </w:rPr>
        <w:t>. Available at: https://apnews.com/article/26585a96df2a32f7d67a4011a0a98772 (Accessed: 9 August 2026).</w:t>
      </w:r>
    </w:p>
    <w:p w14:paraId="09AAEE34"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AP News (2025) ‘Japan’s economy grows more than expected on strong exports and moderate consumption’, </w:t>
      </w:r>
      <w:r w:rsidRPr="00A0404B">
        <w:rPr>
          <w:rFonts w:ascii="Arial" w:hAnsi="Arial" w:cs="Arial"/>
          <w:i/>
          <w:iCs/>
          <w:color w:val="000000" w:themeColor="text1"/>
          <w:sz w:val="24"/>
          <w:lang w:val="en-IN"/>
        </w:rPr>
        <w:t>AP News</w:t>
      </w:r>
      <w:r w:rsidRPr="00A0404B">
        <w:rPr>
          <w:rFonts w:ascii="Arial" w:hAnsi="Arial" w:cs="Arial"/>
          <w:color w:val="000000" w:themeColor="text1"/>
          <w:sz w:val="24"/>
          <w:lang w:val="en-IN"/>
        </w:rPr>
        <w:t>. Available at: https://apnews.com/article/537fad222241a0a7f61b84652421e8a0 (Accessed: 9 August 2026).</w:t>
      </w:r>
    </w:p>
    <w:p w14:paraId="7D80EF45"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Aririguzoh</w:t>
      </w:r>
      <w:proofErr w:type="spellEnd"/>
      <w:r w:rsidRPr="00A0404B">
        <w:rPr>
          <w:rFonts w:ascii="Arial" w:hAnsi="Arial" w:cs="Arial"/>
          <w:color w:val="000000" w:themeColor="text1"/>
          <w:sz w:val="24"/>
          <w:lang w:val="en-IN"/>
        </w:rPr>
        <w:t xml:space="preserve">, S. (2022) ‘Communication competencies, culture and SDGs: effective processes to cross-cultural communication’, </w:t>
      </w:r>
      <w:r w:rsidRPr="00A0404B">
        <w:rPr>
          <w:rFonts w:ascii="Arial" w:hAnsi="Arial" w:cs="Arial"/>
          <w:i/>
          <w:iCs/>
          <w:color w:val="000000" w:themeColor="text1"/>
          <w:sz w:val="24"/>
          <w:lang w:val="en-IN"/>
        </w:rPr>
        <w:t>Humanities and Social Sciences Communications</w:t>
      </w:r>
      <w:r w:rsidRPr="00A0404B">
        <w:rPr>
          <w:rFonts w:ascii="Arial" w:hAnsi="Arial" w:cs="Arial"/>
          <w:color w:val="000000" w:themeColor="text1"/>
          <w:sz w:val="24"/>
          <w:lang w:val="en-IN"/>
        </w:rPr>
        <w:t xml:space="preserve">, 9. Available at: </w:t>
      </w:r>
      <w:hyperlink r:id="rId18" w:tgtFrame="_new" w:history="1">
        <w:r w:rsidRPr="00A0404B">
          <w:rPr>
            <w:rStyle w:val="Hyperlink"/>
            <w:rFonts w:ascii="Arial" w:hAnsi="Arial" w:cs="Arial"/>
            <w:sz w:val="24"/>
            <w:lang w:val="en-IN"/>
          </w:rPr>
          <w:t>https://www.nature.com/articles/s41599-022-01109-4</w:t>
        </w:r>
      </w:hyperlink>
      <w:r w:rsidRPr="00A0404B">
        <w:rPr>
          <w:rFonts w:ascii="Arial" w:hAnsi="Arial" w:cs="Arial"/>
          <w:color w:val="000000" w:themeColor="text1"/>
          <w:sz w:val="24"/>
          <w:lang w:val="en-IN"/>
        </w:rPr>
        <w:t xml:space="preserve"> (Accessed: 9 August 2026).</w:t>
      </w:r>
    </w:p>
    <w:p w14:paraId="5668149D"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lastRenderedPageBreak/>
        <w:t>Balcioglu</w:t>
      </w:r>
      <w:proofErr w:type="spellEnd"/>
      <w:r w:rsidRPr="00A0404B">
        <w:rPr>
          <w:rFonts w:ascii="Arial" w:hAnsi="Arial" w:cs="Arial"/>
          <w:color w:val="000000" w:themeColor="text1"/>
          <w:sz w:val="24"/>
          <w:lang w:val="en-IN"/>
        </w:rPr>
        <w:t xml:space="preserve">, Y.S., </w:t>
      </w:r>
      <w:proofErr w:type="spellStart"/>
      <w:r w:rsidRPr="00A0404B">
        <w:rPr>
          <w:rFonts w:ascii="Arial" w:hAnsi="Arial" w:cs="Arial"/>
          <w:color w:val="000000" w:themeColor="text1"/>
          <w:sz w:val="24"/>
          <w:lang w:val="en-IN"/>
        </w:rPr>
        <w:t>Sezen</w:t>
      </w:r>
      <w:proofErr w:type="spellEnd"/>
      <w:r w:rsidRPr="00A0404B">
        <w:rPr>
          <w:rFonts w:ascii="Arial" w:hAnsi="Arial" w:cs="Arial"/>
          <w:color w:val="000000" w:themeColor="text1"/>
          <w:sz w:val="24"/>
          <w:lang w:val="en-IN"/>
        </w:rPr>
        <w:t xml:space="preserve">, B. and </w:t>
      </w:r>
      <w:proofErr w:type="spellStart"/>
      <w:r w:rsidRPr="00A0404B">
        <w:rPr>
          <w:rFonts w:ascii="Arial" w:hAnsi="Arial" w:cs="Arial"/>
          <w:color w:val="000000" w:themeColor="text1"/>
          <w:sz w:val="24"/>
          <w:lang w:val="en-IN"/>
        </w:rPr>
        <w:t>İşler</w:t>
      </w:r>
      <w:proofErr w:type="spellEnd"/>
      <w:r w:rsidRPr="00A0404B">
        <w:rPr>
          <w:rFonts w:ascii="Arial" w:hAnsi="Arial" w:cs="Arial"/>
          <w:color w:val="000000" w:themeColor="text1"/>
          <w:sz w:val="24"/>
          <w:lang w:val="en-IN"/>
        </w:rPr>
        <w:t xml:space="preserve">, A.U. (2024) ‘Evolving preferences in sustainable transportation: a comparative analysis of consumer segments for electric vehicles across Europe’, </w:t>
      </w:r>
      <w:r w:rsidRPr="00A0404B">
        <w:rPr>
          <w:rFonts w:ascii="Arial" w:hAnsi="Arial" w:cs="Arial"/>
          <w:i/>
          <w:iCs/>
          <w:color w:val="000000" w:themeColor="text1"/>
          <w:sz w:val="24"/>
          <w:lang w:val="en-IN"/>
        </w:rPr>
        <w:t>Social Responsibility Journal</w:t>
      </w:r>
      <w:r w:rsidRPr="00A0404B">
        <w:rPr>
          <w:rFonts w:ascii="Arial" w:hAnsi="Arial" w:cs="Arial"/>
          <w:color w:val="000000" w:themeColor="text1"/>
          <w:sz w:val="24"/>
          <w:lang w:val="en-IN"/>
        </w:rPr>
        <w:t>. Available at: https://www.emerald.com/insight/search?q=Evolving+preferences+in+sustainable+transportation (Accessed: 9 August 2026).</w:t>
      </w:r>
    </w:p>
    <w:p w14:paraId="71EBB043"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Borneo Motors (2026) </w:t>
      </w:r>
      <w:r w:rsidRPr="00A0404B">
        <w:rPr>
          <w:rFonts w:ascii="Arial" w:hAnsi="Arial" w:cs="Arial"/>
          <w:i/>
          <w:iCs/>
          <w:color w:val="000000" w:themeColor="text1"/>
          <w:sz w:val="24"/>
          <w:lang w:val="en-IN"/>
        </w:rPr>
        <w:t>Toyota showroom and service-centre locations</w:t>
      </w:r>
      <w:r w:rsidRPr="00A0404B">
        <w:rPr>
          <w:rFonts w:ascii="Arial" w:hAnsi="Arial" w:cs="Arial"/>
          <w:color w:val="000000" w:themeColor="text1"/>
          <w:sz w:val="24"/>
          <w:lang w:val="en-IN"/>
        </w:rPr>
        <w:t xml:space="preserve">. Available at: </w:t>
      </w:r>
      <w:hyperlink r:id="rId19" w:tgtFrame="_new" w:history="1">
        <w:r w:rsidRPr="00A0404B">
          <w:rPr>
            <w:rStyle w:val="Hyperlink"/>
            <w:rFonts w:ascii="Arial" w:hAnsi="Arial" w:cs="Arial"/>
            <w:sz w:val="24"/>
            <w:lang w:val="en-IN"/>
          </w:rPr>
          <w:t>https://www.toyota.com.sg/contact-us/locations</w:t>
        </w:r>
      </w:hyperlink>
      <w:r w:rsidRPr="00A0404B">
        <w:rPr>
          <w:rFonts w:ascii="Arial" w:hAnsi="Arial" w:cs="Arial"/>
          <w:color w:val="000000" w:themeColor="text1"/>
          <w:sz w:val="24"/>
          <w:lang w:val="en-IN"/>
        </w:rPr>
        <w:t xml:space="preserve"> (Accessed: 9 August 2026).</w:t>
      </w:r>
    </w:p>
    <w:p w14:paraId="79D5E363"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Borneo Motors Singapore (2026) </w:t>
      </w:r>
      <w:r w:rsidRPr="00A0404B">
        <w:rPr>
          <w:rFonts w:ascii="Arial" w:hAnsi="Arial" w:cs="Arial"/>
          <w:i/>
          <w:iCs/>
          <w:color w:val="000000" w:themeColor="text1"/>
          <w:sz w:val="24"/>
          <w:lang w:val="en-IN"/>
        </w:rPr>
        <w:t>Frequently asked questions about Toyota</w:t>
      </w:r>
      <w:r w:rsidRPr="00A0404B">
        <w:rPr>
          <w:rFonts w:ascii="Arial" w:hAnsi="Arial" w:cs="Arial"/>
          <w:color w:val="000000" w:themeColor="text1"/>
          <w:sz w:val="24"/>
          <w:lang w:val="en-IN"/>
        </w:rPr>
        <w:t xml:space="preserve">. Available at: </w:t>
      </w:r>
      <w:hyperlink r:id="rId20" w:tgtFrame="_new" w:history="1">
        <w:r w:rsidRPr="00A0404B">
          <w:rPr>
            <w:rStyle w:val="Hyperlink"/>
            <w:rFonts w:ascii="Arial" w:hAnsi="Arial" w:cs="Arial"/>
            <w:sz w:val="24"/>
            <w:lang w:val="en-IN"/>
          </w:rPr>
          <w:t>https://www.toyota.com.sg/faq</w:t>
        </w:r>
      </w:hyperlink>
      <w:r w:rsidRPr="00A0404B">
        <w:rPr>
          <w:rFonts w:ascii="Arial" w:hAnsi="Arial" w:cs="Arial"/>
          <w:color w:val="000000" w:themeColor="text1"/>
          <w:sz w:val="24"/>
          <w:lang w:val="en-IN"/>
        </w:rPr>
        <w:t xml:space="preserve"> (Accessed: 9 August 2026).</w:t>
      </w:r>
    </w:p>
    <w:p w14:paraId="1D814048"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Breves, P. and </w:t>
      </w:r>
      <w:proofErr w:type="spellStart"/>
      <w:r w:rsidRPr="00A0404B">
        <w:rPr>
          <w:rFonts w:ascii="Arial" w:hAnsi="Arial" w:cs="Arial"/>
          <w:color w:val="000000" w:themeColor="text1"/>
          <w:sz w:val="24"/>
          <w:lang w:val="en-IN"/>
        </w:rPr>
        <w:t>Liebers</w:t>
      </w:r>
      <w:proofErr w:type="spellEnd"/>
      <w:r w:rsidRPr="00A0404B">
        <w:rPr>
          <w:rFonts w:ascii="Arial" w:hAnsi="Arial" w:cs="Arial"/>
          <w:color w:val="000000" w:themeColor="text1"/>
          <w:sz w:val="24"/>
          <w:lang w:val="en-IN"/>
        </w:rPr>
        <w:t>, N. (2022) ‘#</w:t>
      </w:r>
      <w:proofErr w:type="spellStart"/>
      <w:r w:rsidRPr="00A0404B">
        <w:rPr>
          <w:rFonts w:ascii="Arial" w:hAnsi="Arial" w:cs="Arial"/>
          <w:color w:val="000000" w:themeColor="text1"/>
          <w:sz w:val="24"/>
          <w:lang w:val="en-IN"/>
        </w:rPr>
        <w:t>Greenfluencing</w:t>
      </w:r>
      <w:proofErr w:type="spellEnd"/>
      <w:r w:rsidRPr="00A0404B">
        <w:rPr>
          <w:rFonts w:ascii="Arial" w:hAnsi="Arial" w:cs="Arial"/>
          <w:color w:val="000000" w:themeColor="text1"/>
          <w:sz w:val="24"/>
          <w:lang w:val="en-IN"/>
        </w:rPr>
        <w:t xml:space="preserve">: the impact of parasocial relationships with social media influencers on advertising effectiveness and followers’ pro-environmental intentions’, </w:t>
      </w:r>
      <w:r w:rsidRPr="00A0404B">
        <w:rPr>
          <w:rFonts w:ascii="Arial" w:hAnsi="Arial" w:cs="Arial"/>
          <w:i/>
          <w:iCs/>
          <w:color w:val="000000" w:themeColor="text1"/>
          <w:sz w:val="24"/>
          <w:lang w:val="en-IN"/>
        </w:rPr>
        <w:t>Environmental Communication</w:t>
      </w:r>
      <w:r w:rsidRPr="00A0404B">
        <w:rPr>
          <w:rFonts w:ascii="Arial" w:hAnsi="Arial" w:cs="Arial"/>
          <w:color w:val="000000" w:themeColor="text1"/>
          <w:sz w:val="24"/>
          <w:lang w:val="en-IN"/>
        </w:rPr>
        <w:t>. Available at: https://www.tandfonline.com/action/doSearch?AllField=Greenfluencing+Breves+Liebers (Accessed: 9 August 2026).</w:t>
      </w:r>
    </w:p>
    <w:p w14:paraId="028BD29E"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Brouthers</w:t>
      </w:r>
      <w:proofErr w:type="spellEnd"/>
      <w:r w:rsidRPr="00A0404B">
        <w:rPr>
          <w:rFonts w:ascii="Arial" w:hAnsi="Arial" w:cs="Arial"/>
          <w:color w:val="000000" w:themeColor="text1"/>
          <w:sz w:val="24"/>
          <w:lang w:val="en-IN"/>
        </w:rPr>
        <w:t xml:space="preserve">, K.D., Chen, L., Li, S. and </w:t>
      </w:r>
      <w:proofErr w:type="spellStart"/>
      <w:r w:rsidRPr="00A0404B">
        <w:rPr>
          <w:rFonts w:ascii="Arial" w:hAnsi="Arial" w:cs="Arial"/>
          <w:color w:val="000000" w:themeColor="text1"/>
          <w:sz w:val="24"/>
          <w:lang w:val="en-IN"/>
        </w:rPr>
        <w:t>Shaheer</w:t>
      </w:r>
      <w:proofErr w:type="spellEnd"/>
      <w:r w:rsidRPr="00A0404B">
        <w:rPr>
          <w:rFonts w:ascii="Arial" w:hAnsi="Arial" w:cs="Arial"/>
          <w:color w:val="000000" w:themeColor="text1"/>
          <w:sz w:val="24"/>
          <w:lang w:val="en-IN"/>
        </w:rPr>
        <w:t xml:space="preserve">, N. (2022) ‘Charting new courses to enter foreign markets: conceptualization, theoretical framework, and research directions on non-traditional entry modes’, </w:t>
      </w:r>
      <w:r w:rsidRPr="00A0404B">
        <w:rPr>
          <w:rFonts w:ascii="Arial" w:hAnsi="Arial" w:cs="Arial"/>
          <w:i/>
          <w:iCs/>
          <w:color w:val="000000" w:themeColor="text1"/>
          <w:sz w:val="24"/>
          <w:lang w:val="en-IN"/>
        </w:rPr>
        <w:t>Journal of International Business Studies</w:t>
      </w:r>
      <w:r w:rsidRPr="00A0404B">
        <w:rPr>
          <w:rFonts w:ascii="Arial" w:hAnsi="Arial" w:cs="Arial"/>
          <w:color w:val="000000" w:themeColor="text1"/>
          <w:sz w:val="24"/>
          <w:lang w:val="en-IN"/>
        </w:rPr>
        <w:t xml:space="preserve">, 53, pp. 2088–2115. Available at: </w:t>
      </w:r>
      <w:hyperlink r:id="rId21" w:tgtFrame="_new" w:history="1">
        <w:r w:rsidRPr="00A0404B">
          <w:rPr>
            <w:rStyle w:val="Hyperlink"/>
            <w:rFonts w:ascii="Arial" w:hAnsi="Arial" w:cs="Arial"/>
            <w:sz w:val="24"/>
            <w:lang w:val="en-IN"/>
          </w:rPr>
          <w:t>https://doi.org/10.1057/s41267-022-00521-x</w:t>
        </w:r>
      </w:hyperlink>
    </w:p>
    <w:p w14:paraId="491B9D50"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Bryła</w:t>
      </w:r>
      <w:proofErr w:type="spellEnd"/>
      <w:r w:rsidRPr="00A0404B">
        <w:rPr>
          <w:rFonts w:ascii="Arial" w:hAnsi="Arial" w:cs="Arial"/>
          <w:color w:val="000000" w:themeColor="text1"/>
          <w:sz w:val="24"/>
          <w:lang w:val="en-IN"/>
        </w:rPr>
        <w:t xml:space="preserve">, P., Chatterjee, S. and </w:t>
      </w:r>
      <w:proofErr w:type="spellStart"/>
      <w:r w:rsidRPr="00A0404B">
        <w:rPr>
          <w:rFonts w:ascii="Arial" w:hAnsi="Arial" w:cs="Arial"/>
          <w:color w:val="000000" w:themeColor="text1"/>
          <w:sz w:val="24"/>
          <w:lang w:val="en-IN"/>
        </w:rPr>
        <w:t>Ciabiada-Bryła</w:t>
      </w:r>
      <w:proofErr w:type="spellEnd"/>
      <w:r w:rsidRPr="00A0404B">
        <w:rPr>
          <w:rFonts w:ascii="Arial" w:hAnsi="Arial" w:cs="Arial"/>
          <w:color w:val="000000" w:themeColor="text1"/>
          <w:sz w:val="24"/>
          <w:lang w:val="en-IN"/>
        </w:rPr>
        <w:t xml:space="preserve">, B. (2023) ‘Consumer adoption of electric vehicles: a systematic literature review’, </w:t>
      </w:r>
      <w:r w:rsidRPr="00A0404B">
        <w:rPr>
          <w:rFonts w:ascii="Arial" w:hAnsi="Arial" w:cs="Arial"/>
          <w:i/>
          <w:iCs/>
          <w:color w:val="000000" w:themeColor="text1"/>
          <w:sz w:val="24"/>
          <w:lang w:val="en-IN"/>
        </w:rPr>
        <w:t>Energies</w:t>
      </w:r>
      <w:r w:rsidRPr="00A0404B">
        <w:rPr>
          <w:rFonts w:ascii="Arial" w:hAnsi="Arial" w:cs="Arial"/>
          <w:color w:val="000000" w:themeColor="text1"/>
          <w:sz w:val="24"/>
          <w:lang w:val="en-IN"/>
        </w:rPr>
        <w:t xml:space="preserve">, 16(1), article 205. Available at: </w:t>
      </w:r>
      <w:hyperlink r:id="rId22" w:tgtFrame="_new" w:history="1">
        <w:r w:rsidRPr="00A0404B">
          <w:rPr>
            <w:rStyle w:val="Hyperlink"/>
            <w:rFonts w:ascii="Arial" w:hAnsi="Arial" w:cs="Arial"/>
            <w:sz w:val="24"/>
            <w:lang w:val="en-IN"/>
          </w:rPr>
          <w:t>https://doi.org/10.3390/en16010205</w:t>
        </w:r>
      </w:hyperlink>
    </w:p>
    <w:p w14:paraId="436EDC75"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Competition and Consumer Commission of Singapore (2024) </w:t>
      </w:r>
      <w:proofErr w:type="spellStart"/>
      <w:r w:rsidRPr="00A0404B">
        <w:rPr>
          <w:rFonts w:ascii="Arial" w:hAnsi="Arial" w:cs="Arial"/>
          <w:i/>
          <w:iCs/>
          <w:color w:val="000000" w:themeColor="text1"/>
          <w:sz w:val="24"/>
          <w:lang w:val="en-IN"/>
        </w:rPr>
        <w:t>Sterra</w:t>
      </w:r>
      <w:proofErr w:type="spellEnd"/>
      <w:r w:rsidRPr="00A0404B">
        <w:rPr>
          <w:rFonts w:ascii="Arial" w:hAnsi="Arial" w:cs="Arial"/>
          <w:i/>
          <w:iCs/>
          <w:color w:val="000000" w:themeColor="text1"/>
          <w:sz w:val="24"/>
          <w:lang w:val="en-IN"/>
        </w:rPr>
        <w:t xml:space="preserve"> apologises and undertakes to stop false and misleading marketing practices</w:t>
      </w:r>
      <w:r w:rsidRPr="00A0404B">
        <w:rPr>
          <w:rFonts w:ascii="Arial" w:hAnsi="Arial" w:cs="Arial"/>
          <w:color w:val="000000" w:themeColor="text1"/>
          <w:sz w:val="24"/>
          <w:lang w:val="en-IN"/>
        </w:rPr>
        <w:t xml:space="preserve">. Available at: </w:t>
      </w:r>
      <w:hyperlink r:id="rId23" w:tgtFrame="_new" w:history="1">
        <w:r w:rsidRPr="00A0404B">
          <w:rPr>
            <w:rStyle w:val="Hyperlink"/>
            <w:rFonts w:ascii="Arial" w:hAnsi="Arial" w:cs="Arial"/>
            <w:sz w:val="24"/>
            <w:lang w:val="en-IN"/>
          </w:rPr>
          <w:t>https://www.cccs.gov.sg/media-and-events/newsroom/announcements-and-media-releases/sterra-apologises-and-undertakes-to-stop-false-and-misleading-marketing-practices</w:t>
        </w:r>
      </w:hyperlink>
      <w:r w:rsidRPr="00A0404B">
        <w:rPr>
          <w:rFonts w:ascii="Arial" w:hAnsi="Arial" w:cs="Arial"/>
          <w:color w:val="000000" w:themeColor="text1"/>
          <w:sz w:val="24"/>
          <w:lang w:val="en-IN"/>
        </w:rPr>
        <w:t xml:space="preserve"> (Accessed: 9 August 2026).</w:t>
      </w:r>
    </w:p>
    <w:p w14:paraId="0F0C4F8C"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Deloitte (2024) </w:t>
      </w:r>
      <w:r w:rsidRPr="00A0404B">
        <w:rPr>
          <w:rFonts w:ascii="Arial" w:hAnsi="Arial" w:cs="Arial"/>
          <w:i/>
          <w:iCs/>
          <w:color w:val="000000" w:themeColor="text1"/>
          <w:sz w:val="24"/>
          <w:lang w:val="en-IN"/>
        </w:rPr>
        <w:t>2024 global automotive consumer study</w:t>
      </w:r>
      <w:r w:rsidRPr="00A0404B">
        <w:rPr>
          <w:rFonts w:ascii="Arial" w:hAnsi="Arial" w:cs="Arial"/>
          <w:color w:val="000000" w:themeColor="text1"/>
          <w:sz w:val="24"/>
          <w:lang w:val="en-IN"/>
        </w:rPr>
        <w:t xml:space="preserve">. Available at: </w:t>
      </w:r>
      <w:hyperlink r:id="rId24" w:tgtFrame="_new" w:history="1">
        <w:r w:rsidRPr="00A0404B">
          <w:rPr>
            <w:rStyle w:val="Hyperlink"/>
            <w:rFonts w:ascii="Arial" w:hAnsi="Arial" w:cs="Arial"/>
            <w:sz w:val="24"/>
            <w:lang w:val="en-IN"/>
          </w:rPr>
          <w:t>https://www.deloitte.com/global/en/Industries/automotive/perspectives/global-automotive-consumer-study.html</w:t>
        </w:r>
      </w:hyperlink>
      <w:r w:rsidRPr="00A0404B">
        <w:rPr>
          <w:rFonts w:ascii="Arial" w:hAnsi="Arial" w:cs="Arial"/>
          <w:color w:val="000000" w:themeColor="text1"/>
          <w:sz w:val="24"/>
          <w:lang w:val="en-IN"/>
        </w:rPr>
        <w:t xml:space="preserve"> (Accessed: 9 August 2026).</w:t>
      </w:r>
    </w:p>
    <w:p w14:paraId="66545592"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lastRenderedPageBreak/>
        <w:t>Haghani</w:t>
      </w:r>
      <w:proofErr w:type="spellEnd"/>
      <w:r w:rsidRPr="00A0404B">
        <w:rPr>
          <w:rFonts w:ascii="Arial" w:hAnsi="Arial" w:cs="Arial"/>
          <w:color w:val="000000" w:themeColor="text1"/>
          <w:sz w:val="24"/>
          <w:lang w:val="en-IN"/>
        </w:rPr>
        <w:t xml:space="preserve">, M., </w:t>
      </w:r>
      <w:proofErr w:type="spellStart"/>
      <w:r w:rsidRPr="00A0404B">
        <w:rPr>
          <w:rFonts w:ascii="Arial" w:hAnsi="Arial" w:cs="Arial"/>
          <w:color w:val="000000" w:themeColor="text1"/>
          <w:sz w:val="24"/>
          <w:lang w:val="en-IN"/>
        </w:rPr>
        <w:t>Sprei</w:t>
      </w:r>
      <w:proofErr w:type="spellEnd"/>
      <w:r w:rsidRPr="00A0404B">
        <w:rPr>
          <w:rFonts w:ascii="Arial" w:hAnsi="Arial" w:cs="Arial"/>
          <w:color w:val="000000" w:themeColor="text1"/>
          <w:sz w:val="24"/>
          <w:lang w:val="en-IN"/>
        </w:rPr>
        <w:t xml:space="preserve">, F., </w:t>
      </w:r>
      <w:proofErr w:type="spellStart"/>
      <w:r w:rsidRPr="00A0404B">
        <w:rPr>
          <w:rFonts w:ascii="Arial" w:hAnsi="Arial" w:cs="Arial"/>
          <w:color w:val="000000" w:themeColor="text1"/>
          <w:sz w:val="24"/>
          <w:lang w:val="en-IN"/>
        </w:rPr>
        <w:t>Kazemzadeh</w:t>
      </w:r>
      <w:proofErr w:type="spellEnd"/>
      <w:r w:rsidRPr="00A0404B">
        <w:rPr>
          <w:rFonts w:ascii="Arial" w:hAnsi="Arial" w:cs="Arial"/>
          <w:color w:val="000000" w:themeColor="text1"/>
          <w:sz w:val="24"/>
          <w:lang w:val="en-IN"/>
        </w:rPr>
        <w:t xml:space="preserve">, K., </w:t>
      </w:r>
      <w:proofErr w:type="spellStart"/>
      <w:r w:rsidRPr="00A0404B">
        <w:rPr>
          <w:rFonts w:ascii="Arial" w:hAnsi="Arial" w:cs="Arial"/>
          <w:color w:val="000000" w:themeColor="text1"/>
          <w:sz w:val="24"/>
          <w:lang w:val="en-IN"/>
        </w:rPr>
        <w:t>Shahhoseini</w:t>
      </w:r>
      <w:proofErr w:type="spellEnd"/>
      <w:r w:rsidRPr="00A0404B">
        <w:rPr>
          <w:rFonts w:ascii="Arial" w:hAnsi="Arial" w:cs="Arial"/>
          <w:color w:val="000000" w:themeColor="text1"/>
          <w:sz w:val="24"/>
          <w:lang w:val="en-IN"/>
        </w:rPr>
        <w:t xml:space="preserve">, Z. and </w:t>
      </w:r>
      <w:proofErr w:type="spellStart"/>
      <w:r w:rsidRPr="00A0404B">
        <w:rPr>
          <w:rFonts w:ascii="Arial" w:hAnsi="Arial" w:cs="Arial"/>
          <w:color w:val="000000" w:themeColor="text1"/>
          <w:sz w:val="24"/>
          <w:lang w:val="en-IN"/>
        </w:rPr>
        <w:t>Aghaei</w:t>
      </w:r>
      <w:proofErr w:type="spellEnd"/>
      <w:r w:rsidRPr="00A0404B">
        <w:rPr>
          <w:rFonts w:ascii="Arial" w:hAnsi="Arial" w:cs="Arial"/>
          <w:color w:val="000000" w:themeColor="text1"/>
          <w:sz w:val="24"/>
          <w:lang w:val="en-IN"/>
        </w:rPr>
        <w:t xml:space="preserve">, J. (2023) ‘Trends in electric vehicles research’, </w:t>
      </w:r>
      <w:r w:rsidRPr="00A0404B">
        <w:rPr>
          <w:rFonts w:ascii="Arial" w:hAnsi="Arial" w:cs="Arial"/>
          <w:i/>
          <w:iCs/>
          <w:color w:val="000000" w:themeColor="text1"/>
          <w:sz w:val="24"/>
          <w:lang w:val="en-IN"/>
        </w:rPr>
        <w:t>Transportation Research Part D: Transport and Environment</w:t>
      </w:r>
      <w:r w:rsidRPr="00A0404B">
        <w:rPr>
          <w:rFonts w:ascii="Arial" w:hAnsi="Arial" w:cs="Arial"/>
          <w:color w:val="000000" w:themeColor="text1"/>
          <w:sz w:val="24"/>
          <w:lang w:val="en-IN"/>
        </w:rPr>
        <w:t>, 123. Available at: https://www.sciencedirect.com/search?qs=Trends%20in%20electric%20vehicles%20research (Accessed: 9 August 2026).</w:t>
      </w:r>
    </w:p>
    <w:p w14:paraId="4C63A638"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Hilmersson</w:t>
      </w:r>
      <w:proofErr w:type="spellEnd"/>
      <w:r w:rsidRPr="00A0404B">
        <w:rPr>
          <w:rFonts w:ascii="Arial" w:hAnsi="Arial" w:cs="Arial"/>
          <w:color w:val="000000" w:themeColor="text1"/>
          <w:sz w:val="24"/>
          <w:lang w:val="en-IN"/>
        </w:rPr>
        <w:t xml:space="preserve">, M., Schweizer, R. and Chetty, S. (2022) ‘The relationship between timing, speed, and performance in foreign market network entry’, </w:t>
      </w:r>
      <w:r w:rsidRPr="00A0404B">
        <w:rPr>
          <w:rFonts w:ascii="Arial" w:hAnsi="Arial" w:cs="Arial"/>
          <w:i/>
          <w:iCs/>
          <w:color w:val="000000" w:themeColor="text1"/>
          <w:sz w:val="24"/>
          <w:lang w:val="en-IN"/>
        </w:rPr>
        <w:t>Management International Review</w:t>
      </w:r>
      <w:r w:rsidRPr="00A0404B">
        <w:rPr>
          <w:rFonts w:ascii="Arial" w:hAnsi="Arial" w:cs="Arial"/>
          <w:color w:val="000000" w:themeColor="text1"/>
          <w:sz w:val="24"/>
          <w:lang w:val="en-IN"/>
        </w:rPr>
        <w:t xml:space="preserve">, 62, pp. 325–349. Available at: </w:t>
      </w:r>
      <w:hyperlink r:id="rId25" w:tgtFrame="_new" w:history="1">
        <w:r w:rsidRPr="00A0404B">
          <w:rPr>
            <w:rStyle w:val="Hyperlink"/>
            <w:rFonts w:ascii="Arial" w:hAnsi="Arial" w:cs="Arial"/>
            <w:sz w:val="24"/>
            <w:lang w:val="en-IN"/>
          </w:rPr>
          <w:t>https://doi.org/10.1007/s11575-022-00470-5</w:t>
        </w:r>
      </w:hyperlink>
    </w:p>
    <w:p w14:paraId="25EC8691"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Hwang, G.-J., Jen, H.-J. and Chang, C.-Y. (2023) ‘Effects of a technology-supported decision, reflection, and interaction approach on nursing students’ learning achievement and self-efficacy in professional training: a pilot study’, </w:t>
      </w:r>
      <w:r w:rsidRPr="00A0404B">
        <w:rPr>
          <w:rFonts w:ascii="Arial" w:hAnsi="Arial" w:cs="Arial"/>
          <w:i/>
          <w:iCs/>
          <w:color w:val="000000" w:themeColor="text1"/>
          <w:sz w:val="24"/>
          <w:lang w:val="en-IN"/>
        </w:rPr>
        <w:t>Healthcare</w:t>
      </w:r>
      <w:r w:rsidRPr="00A0404B">
        <w:rPr>
          <w:rFonts w:ascii="Arial" w:hAnsi="Arial" w:cs="Arial"/>
          <w:color w:val="000000" w:themeColor="text1"/>
          <w:sz w:val="24"/>
          <w:lang w:val="en-IN"/>
        </w:rPr>
        <w:t xml:space="preserve">, 11(8), article 1164. Available at: </w:t>
      </w:r>
      <w:hyperlink r:id="rId26" w:tgtFrame="_new" w:history="1">
        <w:r w:rsidRPr="00A0404B">
          <w:rPr>
            <w:rStyle w:val="Hyperlink"/>
            <w:rFonts w:ascii="Arial" w:hAnsi="Arial" w:cs="Arial"/>
            <w:sz w:val="24"/>
            <w:lang w:val="en-IN"/>
          </w:rPr>
          <w:t>https://doi.org/10.3390/healthcare11081164</w:t>
        </w:r>
      </w:hyperlink>
    </w:p>
    <w:p w14:paraId="7DF32271"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Inchcape (2025) </w:t>
      </w:r>
      <w:r w:rsidRPr="00A0404B">
        <w:rPr>
          <w:rFonts w:ascii="Arial" w:hAnsi="Arial" w:cs="Arial"/>
          <w:i/>
          <w:iCs/>
          <w:color w:val="000000" w:themeColor="text1"/>
          <w:sz w:val="24"/>
          <w:lang w:val="en-IN"/>
        </w:rPr>
        <w:t>Annual report and accounts 2025</w:t>
      </w:r>
      <w:r w:rsidRPr="00A0404B">
        <w:rPr>
          <w:rFonts w:ascii="Arial" w:hAnsi="Arial" w:cs="Arial"/>
          <w:color w:val="000000" w:themeColor="text1"/>
          <w:sz w:val="24"/>
          <w:lang w:val="en-IN"/>
        </w:rPr>
        <w:t>. Available at: https://www.inchcape.com/investors/reports-and-presentations/ (Accessed: 9 August 2026).</w:t>
      </w:r>
    </w:p>
    <w:p w14:paraId="737D4AF9"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Indrašienė</w:t>
      </w:r>
      <w:proofErr w:type="spellEnd"/>
      <w:r w:rsidRPr="00A0404B">
        <w:rPr>
          <w:rFonts w:ascii="Arial" w:hAnsi="Arial" w:cs="Arial"/>
          <w:color w:val="000000" w:themeColor="text1"/>
          <w:sz w:val="24"/>
          <w:lang w:val="en-IN"/>
        </w:rPr>
        <w:t xml:space="preserve">, V., </w:t>
      </w:r>
      <w:proofErr w:type="spellStart"/>
      <w:r w:rsidRPr="00A0404B">
        <w:rPr>
          <w:rFonts w:ascii="Arial" w:hAnsi="Arial" w:cs="Arial"/>
          <w:color w:val="000000" w:themeColor="text1"/>
          <w:sz w:val="24"/>
          <w:lang w:val="en-IN"/>
        </w:rPr>
        <w:t>Jegelevičienė</w:t>
      </w:r>
      <w:proofErr w:type="spellEnd"/>
      <w:r w:rsidRPr="00A0404B">
        <w:rPr>
          <w:rFonts w:ascii="Arial" w:hAnsi="Arial" w:cs="Arial"/>
          <w:color w:val="000000" w:themeColor="text1"/>
          <w:sz w:val="24"/>
          <w:lang w:val="en-IN"/>
        </w:rPr>
        <w:t xml:space="preserve">, V., </w:t>
      </w:r>
      <w:proofErr w:type="spellStart"/>
      <w:r w:rsidRPr="00A0404B">
        <w:rPr>
          <w:rFonts w:ascii="Arial" w:hAnsi="Arial" w:cs="Arial"/>
          <w:color w:val="000000" w:themeColor="text1"/>
          <w:sz w:val="24"/>
          <w:lang w:val="en-IN"/>
        </w:rPr>
        <w:t>Merfeldaitė</w:t>
      </w:r>
      <w:proofErr w:type="spellEnd"/>
      <w:r w:rsidRPr="00A0404B">
        <w:rPr>
          <w:rFonts w:ascii="Arial" w:hAnsi="Arial" w:cs="Arial"/>
          <w:color w:val="000000" w:themeColor="text1"/>
          <w:sz w:val="24"/>
          <w:lang w:val="en-IN"/>
        </w:rPr>
        <w:t xml:space="preserve">, O., </w:t>
      </w:r>
      <w:proofErr w:type="spellStart"/>
      <w:r w:rsidRPr="00A0404B">
        <w:rPr>
          <w:rFonts w:ascii="Arial" w:hAnsi="Arial" w:cs="Arial"/>
          <w:color w:val="000000" w:themeColor="text1"/>
          <w:sz w:val="24"/>
          <w:lang w:val="en-IN"/>
        </w:rPr>
        <w:t>Penkauskienė</w:t>
      </w:r>
      <w:proofErr w:type="spellEnd"/>
      <w:r w:rsidRPr="00A0404B">
        <w:rPr>
          <w:rFonts w:ascii="Arial" w:hAnsi="Arial" w:cs="Arial"/>
          <w:color w:val="000000" w:themeColor="text1"/>
          <w:sz w:val="24"/>
          <w:lang w:val="en-IN"/>
        </w:rPr>
        <w:t xml:space="preserve">, D., </w:t>
      </w:r>
      <w:proofErr w:type="spellStart"/>
      <w:r w:rsidRPr="00A0404B">
        <w:rPr>
          <w:rFonts w:ascii="Arial" w:hAnsi="Arial" w:cs="Arial"/>
          <w:color w:val="000000" w:themeColor="text1"/>
          <w:sz w:val="24"/>
          <w:lang w:val="en-IN"/>
        </w:rPr>
        <w:t>Pivorienė</w:t>
      </w:r>
      <w:proofErr w:type="spellEnd"/>
      <w:r w:rsidRPr="00A0404B">
        <w:rPr>
          <w:rFonts w:ascii="Arial" w:hAnsi="Arial" w:cs="Arial"/>
          <w:color w:val="000000" w:themeColor="text1"/>
          <w:sz w:val="24"/>
          <w:lang w:val="en-IN"/>
        </w:rPr>
        <w:t xml:space="preserve">, J., </w:t>
      </w:r>
      <w:proofErr w:type="spellStart"/>
      <w:r w:rsidRPr="00A0404B">
        <w:rPr>
          <w:rFonts w:ascii="Arial" w:hAnsi="Arial" w:cs="Arial"/>
          <w:color w:val="000000" w:themeColor="text1"/>
          <w:sz w:val="24"/>
          <w:lang w:val="en-IN"/>
        </w:rPr>
        <w:t>Railienė</w:t>
      </w:r>
      <w:proofErr w:type="spellEnd"/>
      <w:r w:rsidRPr="00A0404B">
        <w:rPr>
          <w:rFonts w:ascii="Arial" w:hAnsi="Arial" w:cs="Arial"/>
          <w:color w:val="000000" w:themeColor="text1"/>
          <w:sz w:val="24"/>
          <w:lang w:val="en-IN"/>
        </w:rPr>
        <w:t xml:space="preserve">, A. and </w:t>
      </w:r>
      <w:proofErr w:type="spellStart"/>
      <w:r w:rsidRPr="00A0404B">
        <w:rPr>
          <w:rFonts w:ascii="Arial" w:hAnsi="Arial" w:cs="Arial"/>
          <w:color w:val="000000" w:themeColor="text1"/>
          <w:sz w:val="24"/>
          <w:lang w:val="en-IN"/>
        </w:rPr>
        <w:t>Sadauskas</w:t>
      </w:r>
      <w:proofErr w:type="spellEnd"/>
      <w:r w:rsidRPr="00A0404B">
        <w:rPr>
          <w:rFonts w:ascii="Arial" w:hAnsi="Arial" w:cs="Arial"/>
          <w:color w:val="000000" w:themeColor="text1"/>
          <w:sz w:val="24"/>
          <w:lang w:val="en-IN"/>
        </w:rPr>
        <w:t xml:space="preserve">, J. (2023) ‘Critical reflection in students’ critical thinking teaching and learning experiences’, </w:t>
      </w:r>
      <w:r w:rsidRPr="00A0404B">
        <w:rPr>
          <w:rFonts w:ascii="Arial" w:hAnsi="Arial" w:cs="Arial"/>
          <w:i/>
          <w:iCs/>
          <w:color w:val="000000" w:themeColor="text1"/>
          <w:sz w:val="24"/>
          <w:lang w:val="en-IN"/>
        </w:rPr>
        <w:t>Sustainability</w:t>
      </w:r>
      <w:r w:rsidRPr="00A0404B">
        <w:rPr>
          <w:rFonts w:ascii="Arial" w:hAnsi="Arial" w:cs="Arial"/>
          <w:color w:val="000000" w:themeColor="text1"/>
          <w:sz w:val="24"/>
          <w:lang w:val="en-IN"/>
        </w:rPr>
        <w:t xml:space="preserve">, 15(18), article 13500. Available at: </w:t>
      </w:r>
      <w:hyperlink r:id="rId27" w:tgtFrame="_new" w:history="1">
        <w:r w:rsidRPr="00A0404B">
          <w:rPr>
            <w:rStyle w:val="Hyperlink"/>
            <w:rFonts w:ascii="Arial" w:hAnsi="Arial" w:cs="Arial"/>
            <w:sz w:val="24"/>
            <w:lang w:val="en-IN"/>
          </w:rPr>
          <w:t>https://doi.org/10.3390/su151813500</w:t>
        </w:r>
      </w:hyperlink>
    </w:p>
    <w:p w14:paraId="28B23176"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International Energy Agency [IEA] (2025a) </w:t>
      </w:r>
      <w:r w:rsidRPr="00A0404B">
        <w:rPr>
          <w:rFonts w:ascii="Arial" w:hAnsi="Arial" w:cs="Arial"/>
          <w:i/>
          <w:iCs/>
          <w:color w:val="000000" w:themeColor="text1"/>
          <w:sz w:val="24"/>
          <w:lang w:val="en-IN"/>
        </w:rPr>
        <w:t>Global EV outlook 2025</w:t>
      </w:r>
      <w:r w:rsidRPr="00A0404B">
        <w:rPr>
          <w:rFonts w:ascii="Arial" w:hAnsi="Arial" w:cs="Arial"/>
          <w:color w:val="000000" w:themeColor="text1"/>
          <w:sz w:val="24"/>
          <w:lang w:val="en-IN"/>
        </w:rPr>
        <w:t xml:space="preserve">. Available at: </w:t>
      </w:r>
      <w:hyperlink r:id="rId28" w:tgtFrame="_new" w:history="1">
        <w:r w:rsidRPr="00A0404B">
          <w:rPr>
            <w:rStyle w:val="Hyperlink"/>
            <w:rFonts w:ascii="Arial" w:hAnsi="Arial" w:cs="Arial"/>
            <w:sz w:val="24"/>
            <w:lang w:val="en-IN"/>
          </w:rPr>
          <w:t>https://www.iea.org/reports/global-ev-outlook-2025</w:t>
        </w:r>
      </w:hyperlink>
      <w:r w:rsidRPr="00A0404B">
        <w:rPr>
          <w:rFonts w:ascii="Arial" w:hAnsi="Arial" w:cs="Arial"/>
          <w:color w:val="000000" w:themeColor="text1"/>
          <w:sz w:val="24"/>
          <w:lang w:val="en-IN"/>
        </w:rPr>
        <w:t xml:space="preserve"> (Accessed: 9 August 2026).</w:t>
      </w:r>
    </w:p>
    <w:p w14:paraId="57205136"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International Energy Agency [IEA] (2025b) </w:t>
      </w:r>
      <w:r w:rsidRPr="00A0404B">
        <w:rPr>
          <w:rFonts w:ascii="Arial" w:hAnsi="Arial" w:cs="Arial"/>
          <w:i/>
          <w:iCs/>
          <w:color w:val="000000" w:themeColor="text1"/>
          <w:sz w:val="24"/>
          <w:lang w:val="en-IN"/>
        </w:rPr>
        <w:t>Global EV outlook 2025: expanding sales in diverse markets</w:t>
      </w:r>
      <w:r w:rsidRPr="00A0404B">
        <w:rPr>
          <w:rFonts w:ascii="Arial" w:hAnsi="Arial" w:cs="Arial"/>
          <w:color w:val="000000" w:themeColor="text1"/>
          <w:sz w:val="24"/>
          <w:lang w:val="en-IN"/>
        </w:rPr>
        <w:t xml:space="preserve">. Available at: </w:t>
      </w:r>
      <w:hyperlink r:id="rId29" w:tgtFrame="_new" w:history="1">
        <w:r w:rsidRPr="00A0404B">
          <w:rPr>
            <w:rStyle w:val="Hyperlink"/>
            <w:rFonts w:ascii="Arial" w:hAnsi="Arial" w:cs="Arial"/>
            <w:sz w:val="24"/>
            <w:lang w:val="en-IN"/>
          </w:rPr>
          <w:t>https://iea.blob.core.windows.net/assets/7ea38b60-3033-42a6-9589-71134f4229f4/GlobalEVOutlook2025.pdf</w:t>
        </w:r>
      </w:hyperlink>
      <w:r w:rsidRPr="00A0404B">
        <w:rPr>
          <w:rFonts w:ascii="Arial" w:hAnsi="Arial" w:cs="Arial"/>
          <w:color w:val="000000" w:themeColor="text1"/>
          <w:sz w:val="24"/>
          <w:lang w:val="en-IN"/>
        </w:rPr>
        <w:t xml:space="preserve"> (Accessed: 9 August 2026).</w:t>
      </w:r>
    </w:p>
    <w:p w14:paraId="0DD85A30"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Lampón</w:t>
      </w:r>
      <w:proofErr w:type="spellEnd"/>
      <w:r w:rsidRPr="00A0404B">
        <w:rPr>
          <w:rFonts w:ascii="Arial" w:hAnsi="Arial" w:cs="Arial"/>
          <w:color w:val="000000" w:themeColor="text1"/>
          <w:sz w:val="24"/>
          <w:lang w:val="en-IN"/>
        </w:rPr>
        <w:t>, J.F. and Muñoz-</w:t>
      </w:r>
      <w:proofErr w:type="spellStart"/>
      <w:r w:rsidRPr="00A0404B">
        <w:rPr>
          <w:rFonts w:ascii="Arial" w:hAnsi="Arial" w:cs="Arial"/>
          <w:color w:val="000000" w:themeColor="text1"/>
          <w:sz w:val="24"/>
          <w:lang w:val="en-IN"/>
        </w:rPr>
        <w:t>Dueñas</w:t>
      </w:r>
      <w:proofErr w:type="spellEnd"/>
      <w:r w:rsidRPr="00A0404B">
        <w:rPr>
          <w:rFonts w:ascii="Arial" w:hAnsi="Arial" w:cs="Arial"/>
          <w:color w:val="000000" w:themeColor="text1"/>
          <w:sz w:val="24"/>
          <w:lang w:val="en-IN"/>
        </w:rPr>
        <w:t xml:space="preserve">, P. (2023) ‘Are sustainable mobility firms reshaping the traditional relationships in the automotive industry value chain?’, </w:t>
      </w:r>
      <w:r w:rsidRPr="00A0404B">
        <w:rPr>
          <w:rFonts w:ascii="Arial" w:hAnsi="Arial" w:cs="Arial"/>
          <w:i/>
          <w:iCs/>
          <w:color w:val="000000" w:themeColor="text1"/>
          <w:sz w:val="24"/>
          <w:lang w:val="en-IN"/>
        </w:rPr>
        <w:t>Journal of Cleaner Production</w:t>
      </w:r>
      <w:r w:rsidRPr="00A0404B">
        <w:rPr>
          <w:rFonts w:ascii="Arial" w:hAnsi="Arial" w:cs="Arial"/>
          <w:color w:val="000000" w:themeColor="text1"/>
          <w:sz w:val="24"/>
          <w:lang w:val="en-IN"/>
        </w:rPr>
        <w:t xml:space="preserve">, 413, article 137522. Available at: </w:t>
      </w:r>
      <w:hyperlink r:id="rId30" w:tgtFrame="_new" w:history="1">
        <w:r w:rsidRPr="00A0404B">
          <w:rPr>
            <w:rStyle w:val="Hyperlink"/>
            <w:rFonts w:ascii="Arial" w:hAnsi="Arial" w:cs="Arial"/>
            <w:sz w:val="24"/>
            <w:lang w:val="en-IN"/>
          </w:rPr>
          <w:t>https://doi.org/10.1016/j.jclepro.2023.137522</w:t>
        </w:r>
      </w:hyperlink>
    </w:p>
    <w:p w14:paraId="4008A78C"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lastRenderedPageBreak/>
        <w:t xml:space="preserve">Land Transport Authority (2026a) </w:t>
      </w:r>
      <w:r w:rsidRPr="00A0404B">
        <w:rPr>
          <w:rFonts w:ascii="Arial" w:hAnsi="Arial" w:cs="Arial"/>
          <w:i/>
          <w:iCs/>
          <w:color w:val="000000" w:themeColor="text1"/>
          <w:sz w:val="24"/>
          <w:lang w:val="en-IN"/>
        </w:rPr>
        <w:t>Certificate of entitlement</w:t>
      </w:r>
      <w:r w:rsidRPr="00A0404B">
        <w:rPr>
          <w:rFonts w:ascii="Arial" w:hAnsi="Arial" w:cs="Arial"/>
          <w:color w:val="000000" w:themeColor="text1"/>
          <w:sz w:val="24"/>
          <w:lang w:val="en-IN"/>
        </w:rPr>
        <w:t>. Available at: https://onemotoring.lta.gov.sg/content/onemotoring/home/buying/vehicle-types-and-registrations/coe.html (Accessed: 9 August 2026).</w:t>
      </w:r>
    </w:p>
    <w:p w14:paraId="271083F9"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Land Transport Authority (2026b) </w:t>
      </w:r>
      <w:r w:rsidRPr="00A0404B">
        <w:rPr>
          <w:rFonts w:ascii="Arial" w:hAnsi="Arial" w:cs="Arial"/>
          <w:i/>
          <w:iCs/>
          <w:color w:val="000000" w:themeColor="text1"/>
          <w:sz w:val="24"/>
          <w:lang w:val="en-IN"/>
        </w:rPr>
        <w:t>Vehicle tax structure</w:t>
      </w:r>
      <w:r w:rsidRPr="00A0404B">
        <w:rPr>
          <w:rFonts w:ascii="Arial" w:hAnsi="Arial" w:cs="Arial"/>
          <w:color w:val="000000" w:themeColor="text1"/>
          <w:sz w:val="24"/>
          <w:lang w:val="en-IN"/>
        </w:rPr>
        <w:t xml:space="preserve">. Available at: </w:t>
      </w:r>
      <w:hyperlink r:id="rId31" w:tgtFrame="_new" w:history="1">
        <w:r w:rsidRPr="00A0404B">
          <w:rPr>
            <w:rStyle w:val="Hyperlink"/>
            <w:rFonts w:ascii="Arial" w:hAnsi="Arial" w:cs="Arial"/>
            <w:sz w:val="24"/>
            <w:lang w:val="en-IN"/>
          </w:rPr>
          <w:t>https://onemotoring.lta.gov.sg/content/onemotoring/home/buying/upfront-vehicle-costs/tax-structure.html</w:t>
        </w:r>
      </w:hyperlink>
      <w:r w:rsidRPr="00A0404B">
        <w:rPr>
          <w:rFonts w:ascii="Arial" w:hAnsi="Arial" w:cs="Arial"/>
          <w:color w:val="000000" w:themeColor="text1"/>
          <w:sz w:val="24"/>
          <w:lang w:val="en-IN"/>
        </w:rPr>
        <w:t xml:space="preserve"> (Accessed: 9 August 2026).</w:t>
      </w:r>
    </w:p>
    <w:p w14:paraId="3FA3A054"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Land Transport Authority and National Environment Agency (2025) </w:t>
      </w:r>
      <w:r w:rsidRPr="00A0404B">
        <w:rPr>
          <w:rFonts w:ascii="Arial" w:hAnsi="Arial" w:cs="Arial"/>
          <w:i/>
          <w:iCs/>
          <w:color w:val="000000" w:themeColor="text1"/>
          <w:sz w:val="24"/>
          <w:lang w:val="en-IN"/>
        </w:rPr>
        <w:t>Extension of Vehicular Emissions Scheme and EV Early Adoption Incentive to support vehicle electrification</w:t>
      </w:r>
      <w:r w:rsidRPr="00A0404B">
        <w:rPr>
          <w:rFonts w:ascii="Arial" w:hAnsi="Arial" w:cs="Arial"/>
          <w:color w:val="000000" w:themeColor="text1"/>
          <w:sz w:val="24"/>
          <w:lang w:val="en-IN"/>
        </w:rPr>
        <w:t xml:space="preserve">. Available at: </w:t>
      </w:r>
      <w:hyperlink r:id="rId32" w:tgtFrame="_new" w:history="1">
        <w:r w:rsidRPr="00A0404B">
          <w:rPr>
            <w:rStyle w:val="Hyperlink"/>
            <w:rFonts w:ascii="Arial" w:hAnsi="Arial" w:cs="Arial"/>
            <w:sz w:val="24"/>
            <w:lang w:val="en-IN"/>
          </w:rPr>
          <w:t>https://www.lta.gov.sg/content/ltagov/en/newsroom/2025/9/news-releases/extension_of_ves_and_eeai_to_support_vehicle_electrification.html</w:t>
        </w:r>
      </w:hyperlink>
      <w:r w:rsidRPr="00A0404B">
        <w:rPr>
          <w:rFonts w:ascii="Arial" w:hAnsi="Arial" w:cs="Arial"/>
          <w:color w:val="000000" w:themeColor="text1"/>
          <w:sz w:val="24"/>
          <w:lang w:val="en-IN"/>
        </w:rPr>
        <w:t xml:space="preserve"> (Accessed: 9 August 2026).</w:t>
      </w:r>
    </w:p>
    <w:p w14:paraId="034A8B30"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Land Transport Authority Singapore (2026) </w:t>
      </w:r>
      <w:r w:rsidRPr="00A0404B">
        <w:rPr>
          <w:rFonts w:ascii="Arial" w:hAnsi="Arial" w:cs="Arial"/>
          <w:i/>
          <w:iCs/>
          <w:color w:val="000000" w:themeColor="text1"/>
          <w:sz w:val="24"/>
          <w:lang w:val="en-IN"/>
        </w:rPr>
        <w:t>Certificate of entitlement (COE)</w:t>
      </w:r>
      <w:r w:rsidRPr="00A0404B">
        <w:rPr>
          <w:rFonts w:ascii="Arial" w:hAnsi="Arial" w:cs="Arial"/>
          <w:color w:val="000000" w:themeColor="text1"/>
          <w:sz w:val="24"/>
          <w:lang w:val="en-IN"/>
        </w:rPr>
        <w:t xml:space="preserve">. Available at: </w:t>
      </w:r>
      <w:hyperlink r:id="rId33" w:tgtFrame="_new" w:history="1">
        <w:r w:rsidRPr="00A0404B">
          <w:rPr>
            <w:rStyle w:val="Hyperlink"/>
            <w:rFonts w:ascii="Arial" w:hAnsi="Arial" w:cs="Arial"/>
            <w:sz w:val="24"/>
            <w:lang w:val="en-IN"/>
          </w:rPr>
          <w:t>https://onemotoring.lta.gov.sg/content/onemotoring/home/buying/upfront-vehicle-costs/certificate-of-entitlement--coe-.html</w:t>
        </w:r>
      </w:hyperlink>
      <w:r w:rsidRPr="00A0404B">
        <w:rPr>
          <w:rFonts w:ascii="Arial" w:hAnsi="Arial" w:cs="Arial"/>
          <w:color w:val="000000" w:themeColor="text1"/>
          <w:sz w:val="24"/>
          <w:lang w:val="en-IN"/>
        </w:rPr>
        <w:t xml:space="preserve"> (Accessed: 9 August 2026).</w:t>
      </w:r>
    </w:p>
    <w:p w14:paraId="5DCA6DA7"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Li, S., Mohamad Saleh, M.S. and Huang, M. (2025) ‘Green marketing and greenwashing effects on consumer purchase of electric cars: the moderating role of environmental knowledge’, </w:t>
      </w:r>
      <w:r w:rsidRPr="00A0404B">
        <w:rPr>
          <w:rFonts w:ascii="Arial" w:hAnsi="Arial" w:cs="Arial"/>
          <w:i/>
          <w:iCs/>
          <w:color w:val="000000" w:themeColor="text1"/>
          <w:sz w:val="24"/>
          <w:lang w:val="en-IN"/>
        </w:rPr>
        <w:t>International Journal of Customer Relationship Marketing and Management</w:t>
      </w:r>
      <w:r w:rsidRPr="00A0404B">
        <w:rPr>
          <w:rFonts w:ascii="Arial" w:hAnsi="Arial" w:cs="Arial"/>
          <w:color w:val="000000" w:themeColor="text1"/>
          <w:sz w:val="24"/>
          <w:lang w:val="en-IN"/>
        </w:rPr>
        <w:t>, 16(1), pp. 1–21. Available at: https://doi.org/10.4018/IJCRMM.367599</w:t>
      </w:r>
    </w:p>
    <w:p w14:paraId="39DD88DF"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Luo, G.-L., Zheng, H. and Guo, Y.-L. (2023) ‘Impact of consumer information capability on green consumption intention: the role of green trust and media publicity’, </w:t>
      </w:r>
      <w:r w:rsidRPr="00A0404B">
        <w:rPr>
          <w:rFonts w:ascii="Arial" w:hAnsi="Arial" w:cs="Arial"/>
          <w:i/>
          <w:iCs/>
          <w:color w:val="000000" w:themeColor="text1"/>
          <w:sz w:val="24"/>
          <w:lang w:val="en-IN"/>
        </w:rPr>
        <w:t>Frontiers in Psychology</w:t>
      </w:r>
      <w:r w:rsidRPr="00A0404B">
        <w:rPr>
          <w:rFonts w:ascii="Arial" w:hAnsi="Arial" w:cs="Arial"/>
          <w:color w:val="000000" w:themeColor="text1"/>
          <w:sz w:val="24"/>
          <w:lang w:val="en-IN"/>
        </w:rPr>
        <w:t xml:space="preserve">, 14, article 1247479. Available at: </w:t>
      </w:r>
      <w:hyperlink r:id="rId34" w:tgtFrame="_new" w:history="1">
        <w:r w:rsidRPr="00A0404B">
          <w:rPr>
            <w:rStyle w:val="Hyperlink"/>
            <w:rFonts w:ascii="Arial" w:hAnsi="Arial" w:cs="Arial"/>
            <w:sz w:val="24"/>
            <w:lang w:val="en-IN"/>
          </w:rPr>
          <w:t>https://doi.org/10.3389/fpsyg.2023.1247479</w:t>
        </w:r>
      </w:hyperlink>
    </w:p>
    <w:p w14:paraId="02D89E65"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Ma, S.-C., Xu, J.-H. and Fan, Y. (2022) ‘Characteristics and key trends of global electric vehicle technology development: a multi-method patent analysis’, </w:t>
      </w:r>
      <w:r w:rsidRPr="00A0404B">
        <w:rPr>
          <w:rFonts w:ascii="Arial" w:hAnsi="Arial" w:cs="Arial"/>
          <w:i/>
          <w:iCs/>
          <w:color w:val="000000" w:themeColor="text1"/>
          <w:sz w:val="24"/>
          <w:lang w:val="en-IN"/>
        </w:rPr>
        <w:t>Journal of Cleaner Production</w:t>
      </w:r>
      <w:r w:rsidRPr="00A0404B">
        <w:rPr>
          <w:rFonts w:ascii="Arial" w:hAnsi="Arial" w:cs="Arial"/>
          <w:color w:val="000000" w:themeColor="text1"/>
          <w:sz w:val="24"/>
          <w:lang w:val="en-IN"/>
        </w:rPr>
        <w:t>. Available at: https://www.sciencedirect.com/search?qs=Characteristics%20and%20key%20trends%20of%20global%20electric%20vehicle%20technology%20development (Accessed: 9 August 2026).</w:t>
      </w:r>
    </w:p>
    <w:p w14:paraId="4B4131D4"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lastRenderedPageBreak/>
        <w:t xml:space="preserve">Ministry of Transport Singapore (2026) </w:t>
      </w:r>
      <w:r w:rsidRPr="00A0404B">
        <w:rPr>
          <w:rFonts w:ascii="Arial" w:hAnsi="Arial" w:cs="Arial"/>
          <w:i/>
          <w:iCs/>
          <w:color w:val="000000" w:themeColor="text1"/>
          <w:sz w:val="24"/>
          <w:lang w:val="en-IN"/>
        </w:rPr>
        <w:t>Electric vehicles</w:t>
      </w:r>
      <w:r w:rsidRPr="00A0404B">
        <w:rPr>
          <w:rFonts w:ascii="Arial" w:hAnsi="Arial" w:cs="Arial"/>
          <w:color w:val="000000" w:themeColor="text1"/>
          <w:sz w:val="24"/>
          <w:lang w:val="en-IN"/>
        </w:rPr>
        <w:t xml:space="preserve">. Available at: </w:t>
      </w:r>
      <w:hyperlink r:id="rId35" w:tgtFrame="_new" w:history="1">
        <w:r w:rsidRPr="00A0404B">
          <w:rPr>
            <w:rStyle w:val="Hyperlink"/>
            <w:rFonts w:ascii="Arial" w:hAnsi="Arial" w:cs="Arial"/>
            <w:sz w:val="24"/>
            <w:lang w:val="en-IN"/>
          </w:rPr>
          <w:t>https://www.mot.gov.sg/what-we-do/green-transport/electric-vehicles/</w:t>
        </w:r>
      </w:hyperlink>
      <w:r w:rsidRPr="00A0404B">
        <w:rPr>
          <w:rFonts w:ascii="Arial" w:hAnsi="Arial" w:cs="Arial"/>
          <w:color w:val="000000" w:themeColor="text1"/>
          <w:sz w:val="24"/>
          <w:lang w:val="en-IN"/>
        </w:rPr>
        <w:t xml:space="preserve"> (Accessed: 9 August 2026).</w:t>
      </w:r>
    </w:p>
    <w:p w14:paraId="1F216125"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Mohamed, M., Ab Rashid, R. and </w:t>
      </w:r>
      <w:proofErr w:type="spellStart"/>
      <w:r w:rsidRPr="00A0404B">
        <w:rPr>
          <w:rFonts w:ascii="Arial" w:hAnsi="Arial" w:cs="Arial"/>
          <w:color w:val="000000" w:themeColor="text1"/>
          <w:sz w:val="24"/>
          <w:lang w:val="en-IN"/>
        </w:rPr>
        <w:t>Alqaryouti</w:t>
      </w:r>
      <w:proofErr w:type="spellEnd"/>
      <w:r w:rsidRPr="00A0404B">
        <w:rPr>
          <w:rFonts w:ascii="Arial" w:hAnsi="Arial" w:cs="Arial"/>
          <w:color w:val="000000" w:themeColor="text1"/>
          <w:sz w:val="24"/>
          <w:lang w:val="en-IN"/>
        </w:rPr>
        <w:t xml:space="preserve">, M.H. (2022) ‘Conceptualizing the complexity of reflective practice in education’, </w:t>
      </w:r>
      <w:r w:rsidRPr="00A0404B">
        <w:rPr>
          <w:rFonts w:ascii="Arial" w:hAnsi="Arial" w:cs="Arial"/>
          <w:i/>
          <w:iCs/>
          <w:color w:val="000000" w:themeColor="text1"/>
          <w:sz w:val="24"/>
          <w:lang w:val="en-IN"/>
        </w:rPr>
        <w:t>Frontiers in Psychology</w:t>
      </w:r>
      <w:r w:rsidRPr="00A0404B">
        <w:rPr>
          <w:rFonts w:ascii="Arial" w:hAnsi="Arial" w:cs="Arial"/>
          <w:color w:val="000000" w:themeColor="text1"/>
          <w:sz w:val="24"/>
          <w:lang w:val="en-IN"/>
        </w:rPr>
        <w:t xml:space="preserve">, 13, article 1008234. Available at: </w:t>
      </w:r>
      <w:hyperlink r:id="rId36" w:tgtFrame="_new" w:history="1">
        <w:r w:rsidRPr="00A0404B">
          <w:rPr>
            <w:rStyle w:val="Hyperlink"/>
            <w:rFonts w:ascii="Arial" w:hAnsi="Arial" w:cs="Arial"/>
            <w:sz w:val="24"/>
            <w:lang w:val="en-IN"/>
          </w:rPr>
          <w:t>https://doi.org/10.3389/fpsyg.2022.1008234</w:t>
        </w:r>
      </w:hyperlink>
    </w:p>
    <w:p w14:paraId="5E988BBA"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National Environment Agency Singapore (2026) </w:t>
      </w:r>
      <w:r w:rsidRPr="00A0404B">
        <w:rPr>
          <w:rFonts w:ascii="Arial" w:hAnsi="Arial" w:cs="Arial"/>
          <w:i/>
          <w:iCs/>
          <w:color w:val="000000" w:themeColor="text1"/>
          <w:sz w:val="24"/>
          <w:lang w:val="en-IN"/>
        </w:rPr>
        <w:t>Carbon tax</w:t>
      </w:r>
      <w:r w:rsidRPr="00A0404B">
        <w:rPr>
          <w:rFonts w:ascii="Arial" w:hAnsi="Arial" w:cs="Arial"/>
          <w:color w:val="000000" w:themeColor="text1"/>
          <w:sz w:val="24"/>
          <w:lang w:val="en-IN"/>
        </w:rPr>
        <w:t xml:space="preserve">. Available at: </w:t>
      </w:r>
      <w:hyperlink r:id="rId37" w:tgtFrame="_new" w:history="1">
        <w:r w:rsidRPr="00A0404B">
          <w:rPr>
            <w:rStyle w:val="Hyperlink"/>
            <w:rFonts w:ascii="Arial" w:hAnsi="Arial" w:cs="Arial"/>
            <w:sz w:val="24"/>
            <w:lang w:val="en-IN"/>
          </w:rPr>
          <w:t>https://www.nea.gov.sg/our-services/climate-change-energy-efficiency/climate-change/carbon-tax</w:t>
        </w:r>
      </w:hyperlink>
      <w:r w:rsidRPr="00A0404B">
        <w:rPr>
          <w:rFonts w:ascii="Arial" w:hAnsi="Arial" w:cs="Arial"/>
          <w:color w:val="000000" w:themeColor="text1"/>
          <w:sz w:val="24"/>
          <w:lang w:val="en-IN"/>
        </w:rPr>
        <w:t xml:space="preserve"> (Accessed: 9 August 2026).</w:t>
      </w:r>
    </w:p>
    <w:p w14:paraId="1D353CC2"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Personal Data Protection Commission (2026) </w:t>
      </w:r>
      <w:r w:rsidRPr="00A0404B">
        <w:rPr>
          <w:rFonts w:ascii="Arial" w:hAnsi="Arial" w:cs="Arial"/>
          <w:i/>
          <w:iCs/>
          <w:color w:val="000000" w:themeColor="text1"/>
          <w:sz w:val="24"/>
          <w:lang w:val="en-IN"/>
        </w:rPr>
        <w:t>Advisory on common data protection lapses and recommended measures</w:t>
      </w:r>
      <w:r w:rsidRPr="00A0404B">
        <w:rPr>
          <w:rFonts w:ascii="Arial" w:hAnsi="Arial" w:cs="Arial"/>
          <w:color w:val="000000" w:themeColor="text1"/>
          <w:sz w:val="24"/>
          <w:lang w:val="en-IN"/>
        </w:rPr>
        <w:t xml:space="preserve">. Available at: </w:t>
      </w:r>
      <w:hyperlink r:id="rId38" w:tgtFrame="_new" w:history="1">
        <w:r w:rsidRPr="00A0404B">
          <w:rPr>
            <w:rStyle w:val="Hyperlink"/>
            <w:rFonts w:ascii="Arial" w:hAnsi="Arial" w:cs="Arial"/>
            <w:sz w:val="24"/>
            <w:lang w:val="en-IN"/>
          </w:rPr>
          <w:t>https://www.pdpc.gov.sg/help-and-resources/2026/01/advisory-on-common-data-protection-lapses-and-recommended-measures</w:t>
        </w:r>
      </w:hyperlink>
      <w:r w:rsidRPr="00A0404B">
        <w:rPr>
          <w:rFonts w:ascii="Arial" w:hAnsi="Arial" w:cs="Arial"/>
          <w:color w:val="000000" w:themeColor="text1"/>
          <w:sz w:val="24"/>
          <w:lang w:val="en-IN"/>
        </w:rPr>
        <w:t xml:space="preserve"> (Accessed: 9 August 2026).</w:t>
      </w:r>
    </w:p>
    <w:p w14:paraId="1E689E51"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Rempel, D., Cullen, C., Bryan, M.M. and Cezar, G.V. (2022) ‘Reliability of open public electric vehicle direct current fast chargers’, </w:t>
      </w:r>
      <w:r w:rsidRPr="00A0404B">
        <w:rPr>
          <w:rFonts w:ascii="Arial" w:hAnsi="Arial" w:cs="Arial"/>
          <w:i/>
          <w:iCs/>
          <w:color w:val="000000" w:themeColor="text1"/>
          <w:sz w:val="24"/>
          <w:lang w:val="en-IN"/>
        </w:rPr>
        <w:t>World Electric Vehicle Journal</w:t>
      </w:r>
      <w:r w:rsidRPr="00A0404B">
        <w:rPr>
          <w:rFonts w:ascii="Arial" w:hAnsi="Arial" w:cs="Arial"/>
          <w:color w:val="000000" w:themeColor="text1"/>
          <w:sz w:val="24"/>
          <w:lang w:val="en-IN"/>
        </w:rPr>
        <w:t xml:space="preserve">, 13(12), article 222. Available at: </w:t>
      </w:r>
      <w:hyperlink r:id="rId39" w:tgtFrame="_new" w:history="1">
        <w:r w:rsidRPr="00A0404B">
          <w:rPr>
            <w:rStyle w:val="Hyperlink"/>
            <w:rFonts w:ascii="Arial" w:hAnsi="Arial" w:cs="Arial"/>
            <w:sz w:val="24"/>
            <w:lang w:val="en-IN"/>
          </w:rPr>
          <w:t>https://arxiv.org/abs/2203.16372</w:t>
        </w:r>
      </w:hyperlink>
      <w:r w:rsidRPr="00A0404B">
        <w:rPr>
          <w:rFonts w:ascii="Arial" w:hAnsi="Arial" w:cs="Arial"/>
          <w:color w:val="000000" w:themeColor="text1"/>
          <w:sz w:val="24"/>
          <w:lang w:val="en-IN"/>
        </w:rPr>
        <w:t xml:space="preserve"> (Accessed: 9 August 2026).</w:t>
      </w:r>
    </w:p>
    <w:p w14:paraId="2E8E59FA"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Reuters (2025) ‘BYD tops Singapore vehicle sales so far this year, replacing Toyota’, </w:t>
      </w:r>
      <w:r w:rsidRPr="00A0404B">
        <w:rPr>
          <w:rFonts w:ascii="Arial" w:hAnsi="Arial" w:cs="Arial"/>
          <w:i/>
          <w:iCs/>
          <w:color w:val="000000" w:themeColor="text1"/>
          <w:sz w:val="24"/>
          <w:lang w:val="en-IN"/>
        </w:rPr>
        <w:t>Reuters</w:t>
      </w:r>
      <w:r w:rsidRPr="00A0404B">
        <w:rPr>
          <w:rFonts w:ascii="Arial" w:hAnsi="Arial" w:cs="Arial"/>
          <w:color w:val="000000" w:themeColor="text1"/>
          <w:sz w:val="24"/>
          <w:lang w:val="en-IN"/>
        </w:rPr>
        <w:t xml:space="preserve">, 14 May. Available at: </w:t>
      </w:r>
      <w:hyperlink r:id="rId40" w:tgtFrame="_new" w:history="1">
        <w:r w:rsidRPr="00A0404B">
          <w:rPr>
            <w:rStyle w:val="Hyperlink"/>
            <w:rFonts w:ascii="Arial" w:hAnsi="Arial" w:cs="Arial"/>
            <w:sz w:val="24"/>
            <w:lang w:val="en-IN"/>
          </w:rPr>
          <w:t>https://www.reuters.com/business/autos-transportation/byd-tops-singapore-vehicle-sales-so-far-this-year-replacing-toyota-2025-05-14/</w:t>
        </w:r>
      </w:hyperlink>
      <w:r w:rsidRPr="00A0404B">
        <w:rPr>
          <w:rFonts w:ascii="Arial" w:hAnsi="Arial" w:cs="Arial"/>
          <w:color w:val="000000" w:themeColor="text1"/>
          <w:sz w:val="24"/>
          <w:lang w:val="en-IN"/>
        </w:rPr>
        <w:t xml:space="preserve"> (Accessed: 9 August 2026).</w:t>
      </w:r>
    </w:p>
    <w:p w14:paraId="261E896A"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Reuters (2026a) ‘Japan’s greenhouse gas emissions fell to record low in FY2024’, </w:t>
      </w:r>
      <w:r w:rsidRPr="00A0404B">
        <w:rPr>
          <w:rFonts w:ascii="Arial" w:hAnsi="Arial" w:cs="Arial"/>
          <w:i/>
          <w:iCs/>
          <w:color w:val="000000" w:themeColor="text1"/>
          <w:sz w:val="24"/>
          <w:lang w:val="en-IN"/>
        </w:rPr>
        <w:t>Reuters</w:t>
      </w:r>
      <w:r w:rsidRPr="00A0404B">
        <w:rPr>
          <w:rFonts w:ascii="Arial" w:hAnsi="Arial" w:cs="Arial"/>
          <w:color w:val="000000" w:themeColor="text1"/>
          <w:sz w:val="24"/>
          <w:lang w:val="en-IN"/>
        </w:rPr>
        <w:t xml:space="preserve">, 14 April. Available at: </w:t>
      </w:r>
      <w:hyperlink r:id="rId41" w:tgtFrame="_new" w:history="1">
        <w:r w:rsidRPr="00A0404B">
          <w:rPr>
            <w:rStyle w:val="Hyperlink"/>
            <w:rFonts w:ascii="Arial" w:hAnsi="Arial" w:cs="Arial"/>
            <w:sz w:val="24"/>
            <w:lang w:val="en-IN"/>
          </w:rPr>
          <w:t>https://www.reuters.com/sustainability/climate-energy/japans-greenhouse-gas-emissions-fell-record-low-fy2024-2026-04-14/</w:t>
        </w:r>
      </w:hyperlink>
      <w:r w:rsidRPr="00A0404B">
        <w:rPr>
          <w:rFonts w:ascii="Arial" w:hAnsi="Arial" w:cs="Arial"/>
          <w:color w:val="000000" w:themeColor="text1"/>
          <w:sz w:val="24"/>
          <w:lang w:val="en-IN"/>
        </w:rPr>
        <w:t xml:space="preserve"> (Accessed: 9 August 2026).</w:t>
      </w:r>
    </w:p>
    <w:p w14:paraId="7C8A66D2"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Reuters (2026b) ‘Singapore GDP expands by “stunning” 4.8% in 2025 after robust Q4, helped by AI boom’, </w:t>
      </w:r>
      <w:r w:rsidRPr="00A0404B">
        <w:rPr>
          <w:rFonts w:ascii="Arial" w:hAnsi="Arial" w:cs="Arial"/>
          <w:i/>
          <w:iCs/>
          <w:color w:val="000000" w:themeColor="text1"/>
          <w:sz w:val="24"/>
          <w:lang w:val="en-IN"/>
        </w:rPr>
        <w:t>Reuters</w:t>
      </w:r>
      <w:r w:rsidRPr="00A0404B">
        <w:rPr>
          <w:rFonts w:ascii="Arial" w:hAnsi="Arial" w:cs="Arial"/>
          <w:color w:val="000000" w:themeColor="text1"/>
          <w:sz w:val="24"/>
          <w:lang w:val="en-IN"/>
        </w:rPr>
        <w:t xml:space="preserve">, 2 January. Available at: </w:t>
      </w:r>
      <w:hyperlink r:id="rId42" w:tgtFrame="_new" w:history="1">
        <w:r w:rsidRPr="00A0404B">
          <w:rPr>
            <w:rStyle w:val="Hyperlink"/>
            <w:rFonts w:ascii="Arial" w:hAnsi="Arial" w:cs="Arial"/>
            <w:sz w:val="24"/>
            <w:lang w:val="en-IN"/>
          </w:rPr>
          <w:t>https://www.reuters.com/world/asia-pacific/singapore-q4-gdp-up-57-yy-preliminary-data-shows-2026-01-02/</w:t>
        </w:r>
      </w:hyperlink>
      <w:r w:rsidRPr="00A0404B">
        <w:rPr>
          <w:rFonts w:ascii="Arial" w:hAnsi="Arial" w:cs="Arial"/>
          <w:color w:val="000000" w:themeColor="text1"/>
          <w:sz w:val="24"/>
          <w:lang w:val="en-IN"/>
        </w:rPr>
        <w:t xml:space="preserve"> (Accessed: 9 August 2026).</w:t>
      </w:r>
    </w:p>
    <w:p w14:paraId="649772C9"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lastRenderedPageBreak/>
        <w:t xml:space="preserve">Reuters (2026c) ‘Toyota retains top auto crown in 2025 with record sales’, </w:t>
      </w:r>
      <w:r w:rsidRPr="00A0404B">
        <w:rPr>
          <w:rFonts w:ascii="Arial" w:hAnsi="Arial" w:cs="Arial"/>
          <w:i/>
          <w:iCs/>
          <w:color w:val="000000" w:themeColor="text1"/>
          <w:sz w:val="24"/>
          <w:lang w:val="en-IN"/>
        </w:rPr>
        <w:t>Reuters</w:t>
      </w:r>
      <w:r w:rsidRPr="00A0404B">
        <w:rPr>
          <w:rFonts w:ascii="Arial" w:hAnsi="Arial" w:cs="Arial"/>
          <w:color w:val="000000" w:themeColor="text1"/>
          <w:sz w:val="24"/>
          <w:lang w:val="en-IN"/>
        </w:rPr>
        <w:t xml:space="preserve">, 29 January. Available at: </w:t>
      </w:r>
      <w:hyperlink r:id="rId43" w:tgtFrame="_new" w:history="1">
        <w:r w:rsidRPr="00A0404B">
          <w:rPr>
            <w:rStyle w:val="Hyperlink"/>
            <w:rFonts w:ascii="Arial" w:hAnsi="Arial" w:cs="Arial"/>
            <w:sz w:val="24"/>
            <w:lang w:val="en-IN"/>
          </w:rPr>
          <w:t>https://www.reuters.com/business/autos-transportation/toyota-retains-top-auto-crown-2025-with-record-sales-2026-01-29/</w:t>
        </w:r>
      </w:hyperlink>
      <w:r w:rsidRPr="00A0404B">
        <w:rPr>
          <w:rFonts w:ascii="Arial" w:hAnsi="Arial" w:cs="Arial"/>
          <w:color w:val="000000" w:themeColor="text1"/>
          <w:sz w:val="24"/>
          <w:lang w:val="en-IN"/>
        </w:rPr>
        <w:t xml:space="preserve"> (Accessed: 9 August 2026).</w:t>
      </w:r>
    </w:p>
    <w:p w14:paraId="211B6376"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Singapore Green Plan (2026) </w:t>
      </w:r>
      <w:r w:rsidRPr="00A0404B">
        <w:rPr>
          <w:rFonts w:ascii="Arial" w:hAnsi="Arial" w:cs="Arial"/>
          <w:i/>
          <w:iCs/>
          <w:color w:val="000000" w:themeColor="text1"/>
          <w:sz w:val="24"/>
          <w:lang w:val="en-IN"/>
        </w:rPr>
        <w:t>Energy reset</w:t>
      </w:r>
      <w:r w:rsidRPr="00A0404B">
        <w:rPr>
          <w:rFonts w:ascii="Arial" w:hAnsi="Arial" w:cs="Arial"/>
          <w:color w:val="000000" w:themeColor="text1"/>
          <w:sz w:val="24"/>
          <w:lang w:val="en-IN"/>
        </w:rPr>
        <w:t xml:space="preserve">. Available at: </w:t>
      </w:r>
      <w:hyperlink r:id="rId44" w:tgtFrame="_new" w:history="1">
        <w:r w:rsidRPr="00A0404B">
          <w:rPr>
            <w:rStyle w:val="Hyperlink"/>
            <w:rFonts w:ascii="Arial" w:hAnsi="Arial" w:cs="Arial"/>
            <w:sz w:val="24"/>
            <w:lang w:val="en-IN"/>
          </w:rPr>
          <w:t>https://www.greenplan.gov.sg/key-focus-areas/energy-reset/</w:t>
        </w:r>
      </w:hyperlink>
      <w:r w:rsidRPr="00A0404B">
        <w:rPr>
          <w:rFonts w:ascii="Arial" w:hAnsi="Arial" w:cs="Arial"/>
          <w:color w:val="000000" w:themeColor="text1"/>
          <w:sz w:val="24"/>
          <w:lang w:val="en-IN"/>
        </w:rPr>
        <w:t xml:space="preserve"> (Accessed: 9 August 2026).</w:t>
      </w:r>
    </w:p>
    <w:p w14:paraId="32C3628F"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Statistics Bureau of Japan (2025) </w:t>
      </w:r>
      <w:r w:rsidRPr="00A0404B">
        <w:rPr>
          <w:rFonts w:ascii="Arial" w:hAnsi="Arial" w:cs="Arial"/>
          <w:i/>
          <w:iCs/>
          <w:color w:val="000000" w:themeColor="text1"/>
          <w:sz w:val="24"/>
          <w:lang w:val="en-IN"/>
        </w:rPr>
        <w:t>Statistical handbook of Japan 2025</w:t>
      </w:r>
      <w:r w:rsidRPr="00A0404B">
        <w:rPr>
          <w:rFonts w:ascii="Arial" w:hAnsi="Arial" w:cs="Arial"/>
          <w:color w:val="000000" w:themeColor="text1"/>
          <w:sz w:val="24"/>
          <w:lang w:val="en-IN"/>
        </w:rPr>
        <w:t xml:space="preserve">. Available at: </w:t>
      </w:r>
      <w:hyperlink r:id="rId45" w:tgtFrame="_new" w:history="1">
        <w:r w:rsidRPr="00A0404B">
          <w:rPr>
            <w:rStyle w:val="Hyperlink"/>
            <w:rFonts w:ascii="Arial" w:hAnsi="Arial" w:cs="Arial"/>
            <w:sz w:val="24"/>
            <w:lang w:val="en-IN"/>
          </w:rPr>
          <w:t>https://www.stat.go.jp/english/data/handbook/pdf/2025all.pdf</w:t>
        </w:r>
      </w:hyperlink>
      <w:r w:rsidRPr="00A0404B">
        <w:rPr>
          <w:rFonts w:ascii="Arial" w:hAnsi="Arial" w:cs="Arial"/>
          <w:color w:val="000000" w:themeColor="text1"/>
          <w:sz w:val="24"/>
          <w:lang w:val="en-IN"/>
        </w:rPr>
        <w:t xml:space="preserve"> (Accessed: 9 August 2026).</w:t>
      </w:r>
    </w:p>
    <w:p w14:paraId="0CA8E6BD"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Sun, W., Yuan, M. and Zhang, Z. (2022) ‘Promoting consumer adoption of electric vehicles from a standard-information-</w:t>
      </w:r>
      <w:proofErr w:type="spellStart"/>
      <w:r w:rsidRPr="00A0404B">
        <w:rPr>
          <w:rFonts w:ascii="Arial" w:hAnsi="Arial" w:cs="Arial"/>
          <w:color w:val="000000" w:themeColor="text1"/>
          <w:sz w:val="24"/>
          <w:lang w:val="en-IN"/>
        </w:rPr>
        <w:t>behavior</w:t>
      </w:r>
      <w:proofErr w:type="spellEnd"/>
      <w:r w:rsidRPr="00A0404B">
        <w:rPr>
          <w:rFonts w:ascii="Arial" w:hAnsi="Arial" w:cs="Arial"/>
          <w:color w:val="000000" w:themeColor="text1"/>
          <w:sz w:val="24"/>
          <w:lang w:val="en-IN"/>
        </w:rPr>
        <w:t xml:space="preserve"> perspective’, </w:t>
      </w:r>
      <w:r w:rsidRPr="00A0404B">
        <w:rPr>
          <w:rFonts w:ascii="Arial" w:hAnsi="Arial" w:cs="Arial"/>
          <w:i/>
          <w:iCs/>
          <w:color w:val="000000" w:themeColor="text1"/>
          <w:sz w:val="24"/>
          <w:lang w:val="en-IN"/>
        </w:rPr>
        <w:t>Information</w:t>
      </w:r>
      <w:r w:rsidRPr="00A0404B">
        <w:rPr>
          <w:rFonts w:ascii="Arial" w:hAnsi="Arial" w:cs="Arial"/>
          <w:color w:val="000000" w:themeColor="text1"/>
          <w:sz w:val="24"/>
          <w:lang w:val="en-IN"/>
        </w:rPr>
        <w:t xml:space="preserve">, 13(6), article 291. Available at: </w:t>
      </w:r>
      <w:hyperlink r:id="rId46" w:tgtFrame="_new" w:history="1">
        <w:r w:rsidRPr="00A0404B">
          <w:rPr>
            <w:rStyle w:val="Hyperlink"/>
            <w:rFonts w:ascii="Arial" w:hAnsi="Arial" w:cs="Arial"/>
            <w:sz w:val="24"/>
            <w:lang w:val="en-IN"/>
          </w:rPr>
          <w:t>https://doi.org/10.3390/info13060291</w:t>
        </w:r>
      </w:hyperlink>
    </w:p>
    <w:p w14:paraId="46A88B85"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The Culture Factor (2026) </w:t>
      </w:r>
      <w:r w:rsidRPr="00A0404B">
        <w:rPr>
          <w:rFonts w:ascii="Arial" w:hAnsi="Arial" w:cs="Arial"/>
          <w:i/>
          <w:iCs/>
          <w:color w:val="000000" w:themeColor="text1"/>
          <w:sz w:val="24"/>
          <w:lang w:val="en-IN"/>
        </w:rPr>
        <w:t>Country comparison tool: Japan and Singapore</w:t>
      </w:r>
      <w:r w:rsidRPr="00A0404B">
        <w:rPr>
          <w:rFonts w:ascii="Arial" w:hAnsi="Arial" w:cs="Arial"/>
          <w:color w:val="000000" w:themeColor="text1"/>
          <w:sz w:val="24"/>
          <w:lang w:val="en-IN"/>
        </w:rPr>
        <w:t>. Available at: https://www.theculturefactor.com/country-comparison-tool?countries=japan%2Csingapore (Accessed: 9 August 2026).</w:t>
      </w:r>
    </w:p>
    <w:p w14:paraId="4AFD4342"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The Guardian (2024) ‘Sign of the times in Japan as nappy company switches production to adult nappies’, </w:t>
      </w:r>
      <w:r w:rsidRPr="00A0404B">
        <w:rPr>
          <w:rFonts w:ascii="Arial" w:hAnsi="Arial" w:cs="Arial"/>
          <w:i/>
          <w:iCs/>
          <w:color w:val="000000" w:themeColor="text1"/>
          <w:sz w:val="24"/>
          <w:lang w:val="en-IN"/>
        </w:rPr>
        <w:t>The Guardian</w:t>
      </w:r>
      <w:r w:rsidRPr="00A0404B">
        <w:rPr>
          <w:rFonts w:ascii="Arial" w:hAnsi="Arial" w:cs="Arial"/>
          <w:color w:val="000000" w:themeColor="text1"/>
          <w:sz w:val="24"/>
          <w:lang w:val="en-IN"/>
        </w:rPr>
        <w:t xml:space="preserve">, 27 March. Available at: </w:t>
      </w:r>
      <w:hyperlink r:id="rId47" w:tgtFrame="_new" w:history="1">
        <w:r w:rsidRPr="00A0404B">
          <w:rPr>
            <w:rStyle w:val="Hyperlink"/>
            <w:rFonts w:ascii="Arial" w:hAnsi="Arial" w:cs="Arial"/>
            <w:sz w:val="24"/>
            <w:lang w:val="en-IN"/>
          </w:rPr>
          <w:t>https://www.theguardian.com/world/2024/mar/27/oji-holdings-japan-switch-adult-nappies-ageing-society</w:t>
        </w:r>
      </w:hyperlink>
      <w:r w:rsidRPr="00A0404B">
        <w:rPr>
          <w:rFonts w:ascii="Arial" w:hAnsi="Arial" w:cs="Arial"/>
          <w:color w:val="000000" w:themeColor="text1"/>
          <w:sz w:val="24"/>
          <w:lang w:val="en-IN"/>
        </w:rPr>
        <w:t xml:space="preserve"> (Accessed: 9 August 2026).</w:t>
      </w:r>
    </w:p>
    <w:p w14:paraId="710A21ED"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(2023) </w:t>
      </w:r>
      <w:r w:rsidRPr="00A0404B">
        <w:rPr>
          <w:rFonts w:ascii="Arial" w:hAnsi="Arial" w:cs="Arial"/>
          <w:i/>
          <w:iCs/>
          <w:color w:val="000000" w:themeColor="text1"/>
          <w:sz w:val="24"/>
          <w:lang w:val="en-IN"/>
        </w:rPr>
        <w:t>Toyota to provide sustainable mobility at the Paris 2024 Olympic and Paralympic Games</w:t>
      </w:r>
      <w:r w:rsidRPr="00A0404B">
        <w:rPr>
          <w:rFonts w:ascii="Arial" w:hAnsi="Arial" w:cs="Arial"/>
          <w:color w:val="000000" w:themeColor="text1"/>
          <w:sz w:val="24"/>
          <w:lang w:val="en-IN"/>
        </w:rPr>
        <w:t xml:space="preserve">. Available at: </w:t>
      </w:r>
      <w:hyperlink r:id="rId48" w:tgtFrame="_new" w:history="1">
        <w:r w:rsidRPr="00A0404B">
          <w:rPr>
            <w:rStyle w:val="Hyperlink"/>
            <w:rFonts w:ascii="Arial" w:hAnsi="Arial" w:cs="Arial"/>
            <w:sz w:val="24"/>
            <w:lang w:val="en-IN"/>
          </w:rPr>
          <w:t>https://global.toyota/jp/newsroom/corporate/39865811.html</w:t>
        </w:r>
      </w:hyperlink>
      <w:r w:rsidRPr="00A0404B">
        <w:rPr>
          <w:rFonts w:ascii="Arial" w:hAnsi="Arial" w:cs="Arial"/>
          <w:color w:val="000000" w:themeColor="text1"/>
          <w:sz w:val="24"/>
          <w:lang w:val="en-IN"/>
        </w:rPr>
        <w:t xml:space="preserve"> (Accessed: 9 August 2026).</w:t>
      </w:r>
    </w:p>
    <w:p w14:paraId="2CC470F8"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(2024a) </w:t>
      </w:r>
      <w:r w:rsidRPr="00A0404B">
        <w:rPr>
          <w:rFonts w:ascii="Arial" w:hAnsi="Arial" w:cs="Arial"/>
          <w:i/>
          <w:iCs/>
          <w:color w:val="000000" w:themeColor="text1"/>
          <w:sz w:val="24"/>
          <w:lang w:val="en-IN"/>
        </w:rPr>
        <w:t>Annual report 2024 (Form 20-F)</w:t>
      </w:r>
      <w:r w:rsidRPr="00A0404B">
        <w:rPr>
          <w:rFonts w:ascii="Arial" w:hAnsi="Arial" w:cs="Arial"/>
          <w:color w:val="000000" w:themeColor="text1"/>
          <w:sz w:val="24"/>
          <w:lang w:val="en-IN"/>
        </w:rPr>
        <w:t xml:space="preserve">. Available at: </w:t>
      </w:r>
      <w:hyperlink r:id="rId49" w:tgtFrame="_new" w:history="1">
        <w:r w:rsidRPr="00A0404B">
          <w:rPr>
            <w:rStyle w:val="Hyperlink"/>
            <w:rFonts w:ascii="Arial" w:hAnsi="Arial" w:cs="Arial"/>
            <w:sz w:val="24"/>
            <w:lang w:val="en-IN"/>
          </w:rPr>
          <w:t>https://global.toyota/pages/global_toyota/ir/library/sec/20-F_202403_final.pdf</w:t>
        </w:r>
      </w:hyperlink>
      <w:r w:rsidRPr="00A0404B">
        <w:rPr>
          <w:rFonts w:ascii="Arial" w:hAnsi="Arial" w:cs="Arial"/>
          <w:color w:val="000000" w:themeColor="text1"/>
          <w:sz w:val="24"/>
          <w:lang w:val="en-IN"/>
        </w:rPr>
        <w:t xml:space="preserve"> (Accessed: 9 August 2026).</w:t>
      </w:r>
    </w:p>
    <w:p w14:paraId="072E94EB"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(2024b) </w:t>
      </w:r>
      <w:r w:rsidRPr="00A0404B">
        <w:rPr>
          <w:rFonts w:ascii="Arial" w:hAnsi="Arial" w:cs="Arial"/>
          <w:i/>
          <w:iCs/>
          <w:color w:val="000000" w:themeColor="text1"/>
          <w:sz w:val="24"/>
          <w:lang w:val="en-IN"/>
        </w:rPr>
        <w:t>FY2024 financial results presentation</w:t>
      </w:r>
      <w:r w:rsidRPr="00A0404B">
        <w:rPr>
          <w:rFonts w:ascii="Arial" w:hAnsi="Arial" w:cs="Arial"/>
          <w:color w:val="000000" w:themeColor="text1"/>
          <w:sz w:val="24"/>
          <w:lang w:val="en-IN"/>
        </w:rPr>
        <w:t xml:space="preserve">. Available at: </w:t>
      </w:r>
      <w:hyperlink r:id="rId50" w:tgtFrame="_new" w:history="1">
        <w:r w:rsidRPr="00A0404B">
          <w:rPr>
            <w:rStyle w:val="Hyperlink"/>
            <w:rFonts w:ascii="Arial" w:hAnsi="Arial" w:cs="Arial"/>
            <w:sz w:val="24"/>
            <w:lang w:val="en-IN"/>
          </w:rPr>
          <w:t>https://global.toyota/pages/global_toyota/ir/financial-results/2024_4q_presentation_2_en.pdf</w:t>
        </w:r>
      </w:hyperlink>
      <w:r w:rsidRPr="00A0404B">
        <w:rPr>
          <w:rFonts w:ascii="Arial" w:hAnsi="Arial" w:cs="Arial"/>
          <w:color w:val="000000" w:themeColor="text1"/>
          <w:sz w:val="24"/>
          <w:lang w:val="en-IN"/>
        </w:rPr>
        <w:t xml:space="preserve"> (Accessed: 9 August 2026).</w:t>
      </w:r>
    </w:p>
    <w:p w14:paraId="21139F0A"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lastRenderedPageBreak/>
        <w:t xml:space="preserve">Toyota Motor Corporation (2024c) </w:t>
      </w:r>
      <w:r w:rsidRPr="00A0404B">
        <w:rPr>
          <w:rFonts w:ascii="Arial" w:hAnsi="Arial" w:cs="Arial"/>
          <w:i/>
          <w:iCs/>
          <w:color w:val="000000" w:themeColor="text1"/>
          <w:sz w:val="24"/>
          <w:lang w:val="en-IN"/>
        </w:rPr>
        <w:t>FY2024 financial summary (April 1, 2023–March 31, 2024)</w:t>
      </w:r>
      <w:r w:rsidRPr="00A0404B">
        <w:rPr>
          <w:rFonts w:ascii="Arial" w:hAnsi="Arial" w:cs="Arial"/>
          <w:color w:val="000000" w:themeColor="text1"/>
          <w:sz w:val="24"/>
          <w:lang w:val="en-IN"/>
        </w:rPr>
        <w:t xml:space="preserve">. Available at: </w:t>
      </w:r>
      <w:hyperlink r:id="rId51" w:tgtFrame="_new" w:history="1">
        <w:r w:rsidRPr="00A0404B">
          <w:rPr>
            <w:rStyle w:val="Hyperlink"/>
            <w:rFonts w:ascii="Arial" w:hAnsi="Arial" w:cs="Arial"/>
            <w:sz w:val="24"/>
            <w:lang w:val="en-IN"/>
          </w:rPr>
          <w:t>https://global.toyota/pages/global_toyota/ir/financial-results/2024_4q_summary_en.pdf</w:t>
        </w:r>
      </w:hyperlink>
      <w:r w:rsidRPr="00A0404B">
        <w:rPr>
          <w:rFonts w:ascii="Arial" w:hAnsi="Arial" w:cs="Arial"/>
          <w:color w:val="000000" w:themeColor="text1"/>
          <w:sz w:val="24"/>
          <w:lang w:val="en-IN"/>
        </w:rPr>
        <w:t xml:space="preserve"> (Accessed: 9 August 2026).</w:t>
      </w:r>
    </w:p>
    <w:p w14:paraId="08C907CC"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(2025) </w:t>
      </w:r>
      <w:r w:rsidRPr="00A0404B">
        <w:rPr>
          <w:rFonts w:ascii="Arial" w:hAnsi="Arial" w:cs="Arial"/>
          <w:i/>
          <w:iCs/>
          <w:color w:val="000000" w:themeColor="text1"/>
          <w:sz w:val="24"/>
          <w:lang w:val="en-IN"/>
        </w:rPr>
        <w:t>Integrated report 2025</w:t>
      </w:r>
      <w:r w:rsidRPr="00A0404B">
        <w:rPr>
          <w:rFonts w:ascii="Arial" w:hAnsi="Arial" w:cs="Arial"/>
          <w:color w:val="000000" w:themeColor="text1"/>
          <w:sz w:val="24"/>
          <w:lang w:val="en-IN"/>
        </w:rPr>
        <w:t xml:space="preserve">. Available at: </w:t>
      </w:r>
      <w:hyperlink r:id="rId52" w:tgtFrame="_new" w:history="1">
        <w:r w:rsidRPr="00A0404B">
          <w:rPr>
            <w:rStyle w:val="Hyperlink"/>
            <w:rFonts w:ascii="Arial" w:hAnsi="Arial" w:cs="Arial"/>
            <w:sz w:val="24"/>
            <w:lang w:val="en-IN"/>
          </w:rPr>
          <w:t>https://global.toyota/en/ir/library/annual/</w:t>
        </w:r>
      </w:hyperlink>
      <w:r w:rsidRPr="00A0404B">
        <w:rPr>
          <w:rFonts w:ascii="Arial" w:hAnsi="Arial" w:cs="Arial"/>
          <w:color w:val="000000" w:themeColor="text1"/>
          <w:sz w:val="24"/>
          <w:lang w:val="en-IN"/>
        </w:rPr>
        <w:t xml:space="preserve"> (Accessed: 9 August 2026).</w:t>
      </w:r>
    </w:p>
    <w:p w14:paraId="233CC353"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(2026a) </w:t>
      </w:r>
      <w:r w:rsidRPr="00A0404B">
        <w:rPr>
          <w:rFonts w:ascii="Arial" w:hAnsi="Arial" w:cs="Arial"/>
          <w:i/>
          <w:iCs/>
          <w:color w:val="000000" w:themeColor="text1"/>
          <w:sz w:val="24"/>
          <w:lang w:val="en-IN"/>
        </w:rPr>
        <w:t>Sustainability data book</w:t>
      </w:r>
      <w:r w:rsidRPr="00A0404B">
        <w:rPr>
          <w:rFonts w:ascii="Arial" w:hAnsi="Arial" w:cs="Arial"/>
          <w:color w:val="000000" w:themeColor="text1"/>
          <w:sz w:val="24"/>
          <w:lang w:val="en-IN"/>
        </w:rPr>
        <w:t xml:space="preserve">. Available at: </w:t>
      </w:r>
      <w:hyperlink r:id="rId53" w:tgtFrame="_new" w:history="1">
        <w:r w:rsidRPr="00A0404B">
          <w:rPr>
            <w:rStyle w:val="Hyperlink"/>
            <w:rFonts w:ascii="Arial" w:hAnsi="Arial" w:cs="Arial"/>
            <w:sz w:val="24"/>
            <w:lang w:val="en-IN"/>
          </w:rPr>
          <w:t>https://global.toyota/pages/global_toyota/sustainability/report/sdb/sdb26_en.pdf</w:t>
        </w:r>
      </w:hyperlink>
      <w:r w:rsidRPr="00A0404B">
        <w:rPr>
          <w:rFonts w:ascii="Arial" w:hAnsi="Arial" w:cs="Arial"/>
          <w:color w:val="000000" w:themeColor="text1"/>
          <w:sz w:val="24"/>
          <w:lang w:val="en-IN"/>
        </w:rPr>
        <w:t xml:space="preserve"> (Accessed: 9 August 2026).</w:t>
      </w:r>
    </w:p>
    <w:p w14:paraId="6D1E130D"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(2026b) </w:t>
      </w:r>
      <w:r w:rsidRPr="00A0404B">
        <w:rPr>
          <w:rFonts w:ascii="Arial" w:hAnsi="Arial" w:cs="Arial"/>
          <w:i/>
          <w:iCs/>
          <w:color w:val="000000" w:themeColor="text1"/>
          <w:sz w:val="24"/>
          <w:lang w:val="en-IN"/>
        </w:rPr>
        <w:t>Toyota line-up</w:t>
      </w:r>
      <w:r w:rsidRPr="00A0404B">
        <w:rPr>
          <w:rFonts w:ascii="Arial" w:hAnsi="Arial" w:cs="Arial"/>
          <w:color w:val="000000" w:themeColor="text1"/>
          <w:sz w:val="24"/>
          <w:lang w:val="en-IN"/>
        </w:rPr>
        <w:t xml:space="preserve">. Available at: </w:t>
      </w:r>
      <w:hyperlink r:id="rId54" w:tgtFrame="_new" w:history="1">
        <w:r w:rsidRPr="00A0404B">
          <w:rPr>
            <w:rStyle w:val="Hyperlink"/>
            <w:rFonts w:ascii="Arial" w:hAnsi="Arial" w:cs="Arial"/>
            <w:sz w:val="24"/>
            <w:lang w:val="en-IN"/>
          </w:rPr>
          <w:t>https://toyota.jp/carlineup/</w:t>
        </w:r>
      </w:hyperlink>
      <w:r w:rsidRPr="00A0404B">
        <w:rPr>
          <w:rFonts w:ascii="Arial" w:hAnsi="Arial" w:cs="Arial"/>
          <w:color w:val="000000" w:themeColor="text1"/>
          <w:sz w:val="24"/>
          <w:lang w:val="en-IN"/>
        </w:rPr>
        <w:t xml:space="preserve"> (Accessed: 9 August 2026).</w:t>
      </w:r>
    </w:p>
    <w:p w14:paraId="35CDDA00"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(2026c) </w:t>
      </w:r>
      <w:r w:rsidRPr="00A0404B">
        <w:rPr>
          <w:rFonts w:ascii="Arial" w:hAnsi="Arial" w:cs="Arial"/>
          <w:i/>
          <w:iCs/>
          <w:color w:val="000000" w:themeColor="text1"/>
          <w:sz w:val="24"/>
          <w:lang w:val="en-IN"/>
        </w:rPr>
        <w:t>Toyota nationwide dealer information</w:t>
      </w:r>
      <w:r w:rsidRPr="00A0404B">
        <w:rPr>
          <w:rFonts w:ascii="Arial" w:hAnsi="Arial" w:cs="Arial"/>
          <w:color w:val="000000" w:themeColor="text1"/>
          <w:sz w:val="24"/>
          <w:lang w:val="en-IN"/>
        </w:rPr>
        <w:t xml:space="preserve">. Available at: </w:t>
      </w:r>
      <w:hyperlink r:id="rId55" w:tgtFrame="_new" w:history="1">
        <w:r w:rsidRPr="00A0404B">
          <w:rPr>
            <w:rStyle w:val="Hyperlink"/>
            <w:rFonts w:ascii="Arial" w:hAnsi="Arial" w:cs="Arial"/>
            <w:sz w:val="24"/>
            <w:lang w:val="en-IN"/>
          </w:rPr>
          <w:t>https://toyota.jp/service/dealer/spt/dealer_list/index.html</w:t>
        </w:r>
      </w:hyperlink>
      <w:r w:rsidRPr="00A0404B">
        <w:rPr>
          <w:rFonts w:ascii="Arial" w:hAnsi="Arial" w:cs="Arial"/>
          <w:color w:val="000000" w:themeColor="text1"/>
          <w:sz w:val="24"/>
          <w:lang w:val="en-IN"/>
        </w:rPr>
        <w:t xml:space="preserve"> (Accessed: 9 August 2026).</w:t>
      </w:r>
    </w:p>
    <w:p w14:paraId="35310AA4"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Motor Corporation (2026d) </w:t>
      </w:r>
      <w:r w:rsidRPr="00A0404B">
        <w:rPr>
          <w:rFonts w:ascii="Arial" w:hAnsi="Arial" w:cs="Arial"/>
          <w:i/>
          <w:iCs/>
          <w:color w:val="000000" w:themeColor="text1"/>
          <w:sz w:val="24"/>
          <w:lang w:val="en-IN"/>
        </w:rPr>
        <w:t>Yaris: model, specifications and price information</w:t>
      </w:r>
      <w:r w:rsidRPr="00A0404B">
        <w:rPr>
          <w:rFonts w:ascii="Arial" w:hAnsi="Arial" w:cs="Arial"/>
          <w:color w:val="000000" w:themeColor="text1"/>
          <w:sz w:val="24"/>
          <w:lang w:val="en-IN"/>
        </w:rPr>
        <w:t xml:space="preserve">. Available at: </w:t>
      </w:r>
      <w:hyperlink r:id="rId56" w:tgtFrame="_new" w:history="1">
        <w:r w:rsidRPr="00A0404B">
          <w:rPr>
            <w:rStyle w:val="Hyperlink"/>
            <w:rFonts w:ascii="Arial" w:hAnsi="Arial" w:cs="Arial"/>
            <w:sz w:val="24"/>
            <w:lang w:val="en-IN"/>
          </w:rPr>
          <w:t>https://toyota.jp/ucar/catalog/brand-TOYOTA/car-YARIS/</w:t>
        </w:r>
      </w:hyperlink>
      <w:r w:rsidRPr="00A0404B">
        <w:rPr>
          <w:rFonts w:ascii="Arial" w:hAnsi="Arial" w:cs="Arial"/>
          <w:color w:val="000000" w:themeColor="text1"/>
          <w:sz w:val="24"/>
          <w:lang w:val="en-IN"/>
        </w:rPr>
        <w:t xml:space="preserve"> (Accessed: 9 August 2026).</w:t>
      </w:r>
    </w:p>
    <w:p w14:paraId="35720AD9"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Singapore (2026a) </w:t>
      </w:r>
      <w:r w:rsidRPr="00A0404B">
        <w:rPr>
          <w:rFonts w:ascii="Arial" w:hAnsi="Arial" w:cs="Arial"/>
          <w:i/>
          <w:iCs/>
          <w:color w:val="000000" w:themeColor="text1"/>
          <w:sz w:val="24"/>
          <w:lang w:val="en-IN"/>
        </w:rPr>
        <w:t>Toyota bZ4X: 100% electric SUV</w:t>
      </w:r>
      <w:r w:rsidRPr="00A0404B">
        <w:rPr>
          <w:rFonts w:ascii="Arial" w:hAnsi="Arial" w:cs="Arial"/>
          <w:color w:val="000000" w:themeColor="text1"/>
          <w:sz w:val="24"/>
          <w:lang w:val="en-IN"/>
        </w:rPr>
        <w:t xml:space="preserve">. Available at: </w:t>
      </w:r>
      <w:hyperlink r:id="rId57" w:tgtFrame="_new" w:history="1">
        <w:r w:rsidRPr="00A0404B">
          <w:rPr>
            <w:rStyle w:val="Hyperlink"/>
            <w:rFonts w:ascii="Arial" w:hAnsi="Arial" w:cs="Arial"/>
            <w:sz w:val="24"/>
            <w:lang w:val="en-IN"/>
          </w:rPr>
          <w:t>https://www.toyota.com.sg/showroom/new-models/bz4x</w:t>
        </w:r>
      </w:hyperlink>
      <w:r w:rsidRPr="00A0404B">
        <w:rPr>
          <w:rFonts w:ascii="Arial" w:hAnsi="Arial" w:cs="Arial"/>
          <w:color w:val="000000" w:themeColor="text1"/>
          <w:sz w:val="24"/>
          <w:lang w:val="en-IN"/>
        </w:rPr>
        <w:t xml:space="preserve"> (Accessed: 9 August 2026).</w:t>
      </w:r>
    </w:p>
    <w:p w14:paraId="7316F56E"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Singapore (2026b) </w:t>
      </w:r>
      <w:r w:rsidRPr="00A0404B">
        <w:rPr>
          <w:rFonts w:ascii="Arial" w:hAnsi="Arial" w:cs="Arial"/>
          <w:i/>
          <w:iCs/>
          <w:color w:val="000000" w:themeColor="text1"/>
          <w:sz w:val="24"/>
          <w:lang w:val="en-IN"/>
        </w:rPr>
        <w:t>Toyota exclusive online purchase</w:t>
      </w:r>
      <w:r w:rsidRPr="00A0404B">
        <w:rPr>
          <w:rFonts w:ascii="Arial" w:hAnsi="Arial" w:cs="Arial"/>
          <w:color w:val="000000" w:themeColor="text1"/>
          <w:sz w:val="24"/>
          <w:lang w:val="en-IN"/>
        </w:rPr>
        <w:t xml:space="preserve">. Available at: </w:t>
      </w:r>
      <w:hyperlink r:id="rId58" w:tgtFrame="_new" w:history="1">
        <w:r w:rsidRPr="00A0404B">
          <w:rPr>
            <w:rStyle w:val="Hyperlink"/>
            <w:rFonts w:ascii="Arial" w:hAnsi="Arial" w:cs="Arial"/>
            <w:sz w:val="24"/>
            <w:lang w:val="en-IN"/>
          </w:rPr>
          <w:t>https://onlinepurchase.toyota.com.sg/</w:t>
        </w:r>
      </w:hyperlink>
      <w:r w:rsidRPr="00A0404B">
        <w:rPr>
          <w:rFonts w:ascii="Arial" w:hAnsi="Arial" w:cs="Arial"/>
          <w:color w:val="000000" w:themeColor="text1"/>
          <w:sz w:val="24"/>
          <w:lang w:val="en-IN"/>
        </w:rPr>
        <w:t xml:space="preserve"> (Accessed: 9 August 2026).</w:t>
      </w:r>
    </w:p>
    <w:p w14:paraId="52D26B8E"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Singapore (2026c) </w:t>
      </w:r>
      <w:r w:rsidRPr="00A0404B">
        <w:rPr>
          <w:rFonts w:ascii="Arial" w:hAnsi="Arial" w:cs="Arial"/>
          <w:i/>
          <w:iCs/>
          <w:color w:val="000000" w:themeColor="text1"/>
          <w:sz w:val="24"/>
          <w:lang w:val="en-IN"/>
        </w:rPr>
        <w:t>Toyota mid-year sale 2026</w:t>
      </w:r>
      <w:r w:rsidRPr="00A0404B">
        <w:rPr>
          <w:rFonts w:ascii="Arial" w:hAnsi="Arial" w:cs="Arial"/>
          <w:color w:val="000000" w:themeColor="text1"/>
          <w:sz w:val="24"/>
          <w:lang w:val="en-IN"/>
        </w:rPr>
        <w:t xml:space="preserve">. Available at: </w:t>
      </w:r>
      <w:hyperlink r:id="rId59" w:tgtFrame="_new" w:history="1">
        <w:r w:rsidRPr="00A0404B">
          <w:rPr>
            <w:rStyle w:val="Hyperlink"/>
            <w:rFonts w:ascii="Arial" w:hAnsi="Arial" w:cs="Arial"/>
            <w:sz w:val="24"/>
            <w:lang w:val="en-IN"/>
          </w:rPr>
          <w:t>https://www.toyota.com.sg/toyota-YC-MYS-2026-ryi-fb/enquiry-form</w:t>
        </w:r>
      </w:hyperlink>
      <w:r w:rsidRPr="00A0404B">
        <w:rPr>
          <w:rFonts w:ascii="Arial" w:hAnsi="Arial" w:cs="Arial"/>
          <w:color w:val="000000" w:themeColor="text1"/>
          <w:sz w:val="24"/>
          <w:lang w:val="en-IN"/>
        </w:rPr>
        <w:t xml:space="preserve"> (Accessed: 9 August 2026).</w:t>
      </w:r>
    </w:p>
    <w:p w14:paraId="6D750452"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Singapore (2026d) </w:t>
      </w:r>
      <w:r w:rsidRPr="00A0404B">
        <w:rPr>
          <w:rFonts w:ascii="Arial" w:hAnsi="Arial" w:cs="Arial"/>
          <w:i/>
          <w:iCs/>
          <w:color w:val="000000" w:themeColor="text1"/>
          <w:sz w:val="24"/>
          <w:lang w:val="en-IN"/>
        </w:rPr>
        <w:t>Toyota Singapore: models, ownership and services</w:t>
      </w:r>
      <w:r w:rsidRPr="00A0404B">
        <w:rPr>
          <w:rFonts w:ascii="Arial" w:hAnsi="Arial" w:cs="Arial"/>
          <w:color w:val="000000" w:themeColor="text1"/>
          <w:sz w:val="24"/>
          <w:lang w:val="en-IN"/>
        </w:rPr>
        <w:t xml:space="preserve">. Available at: </w:t>
      </w:r>
      <w:hyperlink r:id="rId60" w:tgtFrame="_new" w:history="1">
        <w:r w:rsidRPr="00A0404B">
          <w:rPr>
            <w:rStyle w:val="Hyperlink"/>
            <w:rFonts w:ascii="Arial" w:hAnsi="Arial" w:cs="Arial"/>
            <w:sz w:val="24"/>
            <w:lang w:val="en-IN"/>
          </w:rPr>
          <w:t>https://www.toyota.com.sg/</w:t>
        </w:r>
      </w:hyperlink>
      <w:r w:rsidRPr="00A0404B">
        <w:rPr>
          <w:rFonts w:ascii="Arial" w:hAnsi="Arial" w:cs="Arial"/>
          <w:color w:val="000000" w:themeColor="text1"/>
          <w:sz w:val="24"/>
          <w:lang w:val="en-IN"/>
        </w:rPr>
        <w:t xml:space="preserve"> (Accessed: 9 August 2026).</w:t>
      </w:r>
    </w:p>
    <w:p w14:paraId="3D33A08C" w14:textId="77777777" w:rsidR="00A0404B" w:rsidRPr="00A0404B" w:rsidRDefault="00A0404B" w:rsidP="00A0404B">
      <w:pPr>
        <w:spacing w:line="360" w:lineRule="auto"/>
        <w:jc w:val="both"/>
        <w:rPr>
          <w:rFonts w:ascii="Arial" w:hAnsi="Arial" w:cs="Arial"/>
          <w:color w:val="000000" w:themeColor="text1"/>
          <w:sz w:val="24"/>
          <w:lang w:val="en-IN"/>
        </w:rPr>
      </w:pPr>
      <w:r w:rsidRPr="00A0404B">
        <w:rPr>
          <w:rFonts w:ascii="Arial" w:hAnsi="Arial" w:cs="Arial"/>
          <w:color w:val="000000" w:themeColor="text1"/>
          <w:sz w:val="24"/>
          <w:lang w:val="en-IN"/>
        </w:rPr>
        <w:t xml:space="preserve">Toyota Singapore (2026e) </w:t>
      </w:r>
      <w:r w:rsidRPr="00A0404B">
        <w:rPr>
          <w:rFonts w:ascii="Arial" w:hAnsi="Arial" w:cs="Arial"/>
          <w:i/>
          <w:iCs/>
          <w:color w:val="000000" w:themeColor="text1"/>
          <w:sz w:val="24"/>
          <w:lang w:val="en-IN"/>
        </w:rPr>
        <w:t>Toyota Yaris Cross Singapore: self-charging hybrid SUV</w:t>
      </w:r>
      <w:r w:rsidRPr="00A0404B">
        <w:rPr>
          <w:rFonts w:ascii="Arial" w:hAnsi="Arial" w:cs="Arial"/>
          <w:color w:val="000000" w:themeColor="text1"/>
          <w:sz w:val="24"/>
          <w:lang w:val="en-IN"/>
        </w:rPr>
        <w:t xml:space="preserve">. Available at: </w:t>
      </w:r>
      <w:hyperlink r:id="rId61" w:tgtFrame="_new" w:history="1">
        <w:r w:rsidRPr="00A0404B">
          <w:rPr>
            <w:rStyle w:val="Hyperlink"/>
            <w:rFonts w:ascii="Arial" w:hAnsi="Arial" w:cs="Arial"/>
            <w:sz w:val="24"/>
            <w:lang w:val="en-IN"/>
          </w:rPr>
          <w:t>https://www.toyota.com.sg/showroom/new-models/yaris-cross</w:t>
        </w:r>
      </w:hyperlink>
      <w:r w:rsidRPr="00A0404B">
        <w:rPr>
          <w:rFonts w:ascii="Arial" w:hAnsi="Arial" w:cs="Arial"/>
          <w:color w:val="000000" w:themeColor="text1"/>
          <w:sz w:val="24"/>
          <w:lang w:val="en-IN"/>
        </w:rPr>
        <w:t xml:space="preserve"> (Accessed: 9 August 2026).</w:t>
      </w:r>
    </w:p>
    <w:p w14:paraId="00A2DDED"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lastRenderedPageBreak/>
        <w:t>Vigliocco</w:t>
      </w:r>
      <w:proofErr w:type="spellEnd"/>
      <w:r w:rsidRPr="00A0404B">
        <w:rPr>
          <w:rFonts w:ascii="Arial" w:hAnsi="Arial" w:cs="Arial"/>
          <w:color w:val="000000" w:themeColor="text1"/>
          <w:sz w:val="24"/>
          <w:lang w:val="en-IN"/>
        </w:rPr>
        <w:t xml:space="preserve">, G., </w:t>
      </w:r>
      <w:proofErr w:type="spellStart"/>
      <w:r w:rsidRPr="00A0404B">
        <w:rPr>
          <w:rFonts w:ascii="Arial" w:hAnsi="Arial" w:cs="Arial"/>
          <w:color w:val="000000" w:themeColor="text1"/>
          <w:sz w:val="24"/>
          <w:lang w:val="en-IN"/>
        </w:rPr>
        <w:t>Convertino</w:t>
      </w:r>
      <w:proofErr w:type="spellEnd"/>
      <w:r w:rsidRPr="00A0404B">
        <w:rPr>
          <w:rFonts w:ascii="Arial" w:hAnsi="Arial" w:cs="Arial"/>
          <w:color w:val="000000" w:themeColor="text1"/>
          <w:sz w:val="24"/>
          <w:lang w:val="en-IN"/>
        </w:rPr>
        <w:t xml:space="preserve">, L., De Felice, S., </w:t>
      </w:r>
      <w:proofErr w:type="spellStart"/>
      <w:r w:rsidRPr="00A0404B">
        <w:rPr>
          <w:rFonts w:ascii="Arial" w:hAnsi="Arial" w:cs="Arial"/>
          <w:color w:val="000000" w:themeColor="text1"/>
          <w:sz w:val="24"/>
          <w:lang w:val="en-IN"/>
        </w:rPr>
        <w:t>Gregorians</w:t>
      </w:r>
      <w:proofErr w:type="spellEnd"/>
      <w:r w:rsidRPr="00A0404B">
        <w:rPr>
          <w:rFonts w:ascii="Arial" w:hAnsi="Arial" w:cs="Arial"/>
          <w:color w:val="000000" w:themeColor="text1"/>
          <w:sz w:val="24"/>
          <w:lang w:val="en-IN"/>
        </w:rPr>
        <w:t xml:space="preserve">, L. and </w:t>
      </w:r>
      <w:proofErr w:type="spellStart"/>
      <w:r w:rsidRPr="00A0404B">
        <w:rPr>
          <w:rFonts w:ascii="Arial" w:hAnsi="Arial" w:cs="Arial"/>
          <w:color w:val="000000" w:themeColor="text1"/>
          <w:sz w:val="24"/>
          <w:lang w:val="en-IN"/>
        </w:rPr>
        <w:t>Kewenig</w:t>
      </w:r>
      <w:proofErr w:type="spellEnd"/>
      <w:r w:rsidRPr="00A0404B">
        <w:rPr>
          <w:rFonts w:ascii="Arial" w:hAnsi="Arial" w:cs="Arial"/>
          <w:color w:val="000000" w:themeColor="text1"/>
          <w:sz w:val="24"/>
          <w:lang w:val="en-IN"/>
        </w:rPr>
        <w:t xml:space="preserve">, V. (2024) ‘Ecological brain: reframing the study of human behaviour and cognition’, </w:t>
      </w:r>
      <w:r w:rsidRPr="00A0404B">
        <w:rPr>
          <w:rFonts w:ascii="Arial" w:hAnsi="Arial" w:cs="Arial"/>
          <w:i/>
          <w:iCs/>
          <w:color w:val="000000" w:themeColor="text1"/>
          <w:sz w:val="24"/>
          <w:lang w:val="en-IN"/>
        </w:rPr>
        <w:t>Royal Society Open Science</w:t>
      </w:r>
      <w:r w:rsidRPr="00A0404B">
        <w:rPr>
          <w:rFonts w:ascii="Arial" w:hAnsi="Arial" w:cs="Arial"/>
          <w:color w:val="000000" w:themeColor="text1"/>
          <w:sz w:val="24"/>
          <w:lang w:val="en-IN"/>
        </w:rPr>
        <w:t>. Available at: https://royalsocietypublishing.org/action/doSearch?AllField=Ecological+brain+reframing+the+study+of+human+behaviour+and+cognition (Accessed: 9 August 2026).</w:t>
      </w:r>
    </w:p>
    <w:p w14:paraId="03287005" w14:textId="77777777" w:rsidR="00A0404B" w:rsidRPr="00A0404B" w:rsidRDefault="00A0404B" w:rsidP="00A0404B">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Vilkaite-Vaitone</w:t>
      </w:r>
      <w:proofErr w:type="spellEnd"/>
      <w:r w:rsidRPr="00A0404B">
        <w:rPr>
          <w:rFonts w:ascii="Arial" w:hAnsi="Arial" w:cs="Arial"/>
          <w:color w:val="000000" w:themeColor="text1"/>
          <w:sz w:val="24"/>
          <w:lang w:val="en-IN"/>
        </w:rPr>
        <w:t xml:space="preserve">, N. (2024) ‘From likes to sustainability: how social media influencers are changing the way we consume’, </w:t>
      </w:r>
      <w:r w:rsidRPr="00A0404B">
        <w:rPr>
          <w:rFonts w:ascii="Arial" w:hAnsi="Arial" w:cs="Arial"/>
          <w:i/>
          <w:iCs/>
          <w:color w:val="000000" w:themeColor="text1"/>
          <w:sz w:val="24"/>
          <w:lang w:val="en-IN"/>
        </w:rPr>
        <w:t>Sustainability</w:t>
      </w:r>
      <w:r w:rsidRPr="00A0404B">
        <w:rPr>
          <w:rFonts w:ascii="Arial" w:hAnsi="Arial" w:cs="Arial"/>
          <w:color w:val="000000" w:themeColor="text1"/>
          <w:sz w:val="24"/>
          <w:lang w:val="en-IN"/>
        </w:rPr>
        <w:t>. Available at: https://www.mdpi.com/search?q=From+Likes+to+Sustainability (Accessed: 9 August 2026).</w:t>
      </w:r>
    </w:p>
    <w:p w14:paraId="361ED510" w14:textId="6CD4A6EC" w:rsidR="003F004F" w:rsidRPr="00864E82" w:rsidRDefault="00A0404B" w:rsidP="004D58F0">
      <w:pPr>
        <w:spacing w:line="360" w:lineRule="auto"/>
        <w:jc w:val="both"/>
        <w:rPr>
          <w:rFonts w:ascii="Arial" w:hAnsi="Arial" w:cs="Arial"/>
          <w:color w:val="000000" w:themeColor="text1"/>
          <w:sz w:val="24"/>
          <w:lang w:val="en-IN"/>
        </w:rPr>
      </w:pPr>
      <w:proofErr w:type="spellStart"/>
      <w:r w:rsidRPr="00A0404B">
        <w:rPr>
          <w:rFonts w:ascii="Arial" w:hAnsi="Arial" w:cs="Arial"/>
          <w:color w:val="000000" w:themeColor="text1"/>
          <w:sz w:val="24"/>
          <w:lang w:val="en-IN"/>
        </w:rPr>
        <w:t>Zafeer</w:t>
      </w:r>
      <w:proofErr w:type="spellEnd"/>
      <w:r w:rsidRPr="00A0404B">
        <w:rPr>
          <w:rFonts w:ascii="Arial" w:hAnsi="Arial" w:cs="Arial"/>
          <w:color w:val="000000" w:themeColor="text1"/>
          <w:sz w:val="24"/>
          <w:lang w:val="en-IN"/>
        </w:rPr>
        <w:t xml:space="preserve">, H.M.I., Li, Y. and Maqbool, S. (2023) ‘An approach to progress learning outcomes: international graduate students’ engagement in reflective practice and reflective journal writing during pandemic’, </w:t>
      </w:r>
      <w:r w:rsidRPr="00A0404B">
        <w:rPr>
          <w:rFonts w:ascii="Arial" w:hAnsi="Arial" w:cs="Arial"/>
          <w:i/>
          <w:iCs/>
          <w:color w:val="000000" w:themeColor="text1"/>
          <w:sz w:val="24"/>
          <w:lang w:val="en-IN"/>
        </w:rPr>
        <w:t>Sustainability</w:t>
      </w:r>
      <w:r w:rsidRPr="00A0404B">
        <w:rPr>
          <w:rFonts w:ascii="Arial" w:hAnsi="Arial" w:cs="Arial"/>
          <w:color w:val="000000" w:themeColor="text1"/>
          <w:sz w:val="24"/>
          <w:lang w:val="en-IN"/>
        </w:rPr>
        <w:t xml:space="preserve">, 15(3), article 1898. Available at: </w:t>
      </w:r>
      <w:hyperlink r:id="rId62" w:tgtFrame="_new" w:history="1">
        <w:r w:rsidRPr="00A0404B">
          <w:rPr>
            <w:rStyle w:val="Hyperlink"/>
            <w:rFonts w:ascii="Arial" w:hAnsi="Arial" w:cs="Arial"/>
            <w:sz w:val="24"/>
            <w:lang w:val="en-IN"/>
          </w:rPr>
          <w:t>https://doi.org/10.3390/su15031898</w:t>
        </w:r>
      </w:hyperlink>
    </w:p>
    <w:sectPr w:rsidR="003F004F" w:rsidRPr="00864E82" w:rsidSect="00DE65CA">
      <w:footerReference w:type="default" r:id="rId6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F560EA" w14:textId="77777777" w:rsidR="00BE5F28" w:rsidRDefault="00BE5F28">
      <w:pPr>
        <w:spacing w:after="0" w:line="240" w:lineRule="auto"/>
      </w:pPr>
      <w:r>
        <w:separator/>
      </w:r>
    </w:p>
  </w:endnote>
  <w:endnote w:type="continuationSeparator" w:id="0">
    <w:p w14:paraId="6225A5B6" w14:textId="77777777" w:rsidR="00BE5F28" w:rsidRDefault="00BE5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0"/>
        <w:szCs w:val="20"/>
      </w:rPr>
      <w:id w:val="9031025"/>
      <w:docPartObj>
        <w:docPartGallery w:val="Page Numbers (Bottom of Page)"/>
        <w:docPartUnique/>
      </w:docPartObj>
    </w:sdtPr>
    <w:sdtEndPr>
      <w:rPr>
        <w:noProof/>
      </w:rPr>
    </w:sdtEndPr>
    <w:sdtContent>
      <w:p w14:paraId="3EF9A587" w14:textId="77777777" w:rsidR="007C58EB" w:rsidRPr="00A04ADD" w:rsidRDefault="008448E0">
        <w:pPr>
          <w:pStyle w:val="Footer"/>
          <w:jc w:val="right"/>
          <w:rPr>
            <w:rFonts w:ascii="Times New Roman" w:hAnsi="Times New Roman" w:cs="Times New Roman"/>
            <w:sz w:val="20"/>
            <w:szCs w:val="20"/>
          </w:rPr>
        </w:pPr>
        <w:r w:rsidRPr="00A04ADD">
          <w:rPr>
            <w:rFonts w:ascii="Times New Roman" w:hAnsi="Times New Roman" w:cs="Times New Roman"/>
            <w:sz w:val="20"/>
            <w:szCs w:val="20"/>
          </w:rPr>
          <w:fldChar w:fldCharType="begin"/>
        </w:r>
        <w:r w:rsidRPr="00A04ADD">
          <w:rPr>
            <w:rFonts w:ascii="Times New Roman" w:hAnsi="Times New Roman" w:cs="Times New Roman"/>
            <w:sz w:val="20"/>
            <w:szCs w:val="20"/>
          </w:rPr>
          <w:instrText xml:space="preserve"> PAGE   \* MERGEFORMAT </w:instrText>
        </w:r>
        <w:r w:rsidRPr="00A04ADD">
          <w:rPr>
            <w:rFonts w:ascii="Times New Roman" w:hAnsi="Times New Roman" w:cs="Times New Roman"/>
            <w:sz w:val="20"/>
            <w:szCs w:val="20"/>
          </w:rPr>
          <w:fldChar w:fldCharType="separate"/>
        </w:r>
        <w:r w:rsidR="0055230C">
          <w:rPr>
            <w:rFonts w:ascii="Times New Roman" w:hAnsi="Times New Roman" w:cs="Times New Roman"/>
            <w:noProof/>
            <w:sz w:val="20"/>
            <w:szCs w:val="20"/>
          </w:rPr>
          <w:t>1</w:t>
        </w:r>
        <w:r w:rsidRPr="00A04ADD">
          <w:rPr>
            <w:rFonts w:ascii="Times New Roman" w:hAnsi="Times New Roman" w:cs="Times New Roman"/>
            <w:noProof/>
            <w:sz w:val="20"/>
            <w:szCs w:val="20"/>
          </w:rPr>
          <w:fldChar w:fldCharType="end"/>
        </w:r>
      </w:p>
    </w:sdtContent>
  </w:sdt>
  <w:p w14:paraId="0A4FF600" w14:textId="77777777" w:rsidR="007C58EB" w:rsidRPr="00A04ADD" w:rsidRDefault="007C58EB">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7E174F" w14:textId="77777777" w:rsidR="00BE5F28" w:rsidRDefault="00BE5F28">
      <w:pPr>
        <w:spacing w:after="0" w:line="240" w:lineRule="auto"/>
      </w:pPr>
      <w:r>
        <w:separator/>
      </w:r>
    </w:p>
  </w:footnote>
  <w:footnote w:type="continuationSeparator" w:id="0">
    <w:p w14:paraId="7DF541A5" w14:textId="77777777" w:rsidR="00BE5F28" w:rsidRDefault="00BE5F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5ABF"/>
    <w:rsid w:val="000250EF"/>
    <w:rsid w:val="0005760E"/>
    <w:rsid w:val="00070916"/>
    <w:rsid w:val="000D161F"/>
    <w:rsid w:val="000D253F"/>
    <w:rsid w:val="000D3BD9"/>
    <w:rsid w:val="001101F5"/>
    <w:rsid w:val="00146A4F"/>
    <w:rsid w:val="0015032A"/>
    <w:rsid w:val="001507B4"/>
    <w:rsid w:val="00163A69"/>
    <w:rsid w:val="00195207"/>
    <w:rsid w:val="0019662E"/>
    <w:rsid w:val="00197A06"/>
    <w:rsid w:val="001B39C1"/>
    <w:rsid w:val="001C08BA"/>
    <w:rsid w:val="001E2DFF"/>
    <w:rsid w:val="001F35C2"/>
    <w:rsid w:val="00206C2A"/>
    <w:rsid w:val="00215AC1"/>
    <w:rsid w:val="0022379F"/>
    <w:rsid w:val="0022440E"/>
    <w:rsid w:val="00232311"/>
    <w:rsid w:val="002400E4"/>
    <w:rsid w:val="002502F6"/>
    <w:rsid w:val="0025492A"/>
    <w:rsid w:val="00254A3B"/>
    <w:rsid w:val="002758F6"/>
    <w:rsid w:val="002B3B6E"/>
    <w:rsid w:val="002C36A3"/>
    <w:rsid w:val="002E7E49"/>
    <w:rsid w:val="00316FCC"/>
    <w:rsid w:val="00333E73"/>
    <w:rsid w:val="0035497B"/>
    <w:rsid w:val="00362604"/>
    <w:rsid w:val="00376B03"/>
    <w:rsid w:val="003E45FC"/>
    <w:rsid w:val="003F004F"/>
    <w:rsid w:val="003F0DA4"/>
    <w:rsid w:val="00412DB1"/>
    <w:rsid w:val="00433303"/>
    <w:rsid w:val="0049623B"/>
    <w:rsid w:val="004A6482"/>
    <w:rsid w:val="004C066F"/>
    <w:rsid w:val="004D0583"/>
    <w:rsid w:val="004D58F0"/>
    <w:rsid w:val="004D5D0D"/>
    <w:rsid w:val="004E0127"/>
    <w:rsid w:val="005020A9"/>
    <w:rsid w:val="00504257"/>
    <w:rsid w:val="005205BA"/>
    <w:rsid w:val="00523708"/>
    <w:rsid w:val="0055230C"/>
    <w:rsid w:val="00555641"/>
    <w:rsid w:val="00590710"/>
    <w:rsid w:val="00594F98"/>
    <w:rsid w:val="00595492"/>
    <w:rsid w:val="005C2236"/>
    <w:rsid w:val="005E7000"/>
    <w:rsid w:val="005E77DA"/>
    <w:rsid w:val="005F06EA"/>
    <w:rsid w:val="005F53F7"/>
    <w:rsid w:val="0061326B"/>
    <w:rsid w:val="0064242A"/>
    <w:rsid w:val="00682534"/>
    <w:rsid w:val="0069404B"/>
    <w:rsid w:val="00697000"/>
    <w:rsid w:val="006B1CA0"/>
    <w:rsid w:val="006F37D0"/>
    <w:rsid w:val="00707061"/>
    <w:rsid w:val="00742634"/>
    <w:rsid w:val="007600DB"/>
    <w:rsid w:val="0076692C"/>
    <w:rsid w:val="00774192"/>
    <w:rsid w:val="007833EA"/>
    <w:rsid w:val="00796C56"/>
    <w:rsid w:val="007C58EB"/>
    <w:rsid w:val="007D106F"/>
    <w:rsid w:val="007E6D52"/>
    <w:rsid w:val="007E7C66"/>
    <w:rsid w:val="00806E6D"/>
    <w:rsid w:val="0081331F"/>
    <w:rsid w:val="008448E0"/>
    <w:rsid w:val="00852F56"/>
    <w:rsid w:val="00864E82"/>
    <w:rsid w:val="00874B0C"/>
    <w:rsid w:val="00875BF5"/>
    <w:rsid w:val="00880302"/>
    <w:rsid w:val="008A0B7F"/>
    <w:rsid w:val="008A509A"/>
    <w:rsid w:val="008A5FC0"/>
    <w:rsid w:val="008A7D88"/>
    <w:rsid w:val="008B632A"/>
    <w:rsid w:val="008D352B"/>
    <w:rsid w:val="008F2B0A"/>
    <w:rsid w:val="008F5F49"/>
    <w:rsid w:val="008F677A"/>
    <w:rsid w:val="00932204"/>
    <w:rsid w:val="00972A3F"/>
    <w:rsid w:val="009A279D"/>
    <w:rsid w:val="009D59D1"/>
    <w:rsid w:val="009D7253"/>
    <w:rsid w:val="009E78AF"/>
    <w:rsid w:val="00A0404B"/>
    <w:rsid w:val="00A04ADD"/>
    <w:rsid w:val="00A17D62"/>
    <w:rsid w:val="00A27DCD"/>
    <w:rsid w:val="00A334A2"/>
    <w:rsid w:val="00A47830"/>
    <w:rsid w:val="00A878F4"/>
    <w:rsid w:val="00AB43F1"/>
    <w:rsid w:val="00AD685A"/>
    <w:rsid w:val="00AE1B1C"/>
    <w:rsid w:val="00B07C6B"/>
    <w:rsid w:val="00B23641"/>
    <w:rsid w:val="00B34A5B"/>
    <w:rsid w:val="00B50377"/>
    <w:rsid w:val="00B640B9"/>
    <w:rsid w:val="00B70F55"/>
    <w:rsid w:val="00B83340"/>
    <w:rsid w:val="00BB691F"/>
    <w:rsid w:val="00BC57C6"/>
    <w:rsid w:val="00BE28E7"/>
    <w:rsid w:val="00BE5F28"/>
    <w:rsid w:val="00BF2E8B"/>
    <w:rsid w:val="00C03288"/>
    <w:rsid w:val="00C23DF6"/>
    <w:rsid w:val="00C3180F"/>
    <w:rsid w:val="00C4599A"/>
    <w:rsid w:val="00C46CAF"/>
    <w:rsid w:val="00C55ABF"/>
    <w:rsid w:val="00C63E59"/>
    <w:rsid w:val="00C65A29"/>
    <w:rsid w:val="00C86FB4"/>
    <w:rsid w:val="00C94E78"/>
    <w:rsid w:val="00CC1D06"/>
    <w:rsid w:val="00CD5252"/>
    <w:rsid w:val="00CF2211"/>
    <w:rsid w:val="00D30F1C"/>
    <w:rsid w:val="00D40099"/>
    <w:rsid w:val="00D438F9"/>
    <w:rsid w:val="00D761EA"/>
    <w:rsid w:val="00D85BE2"/>
    <w:rsid w:val="00DC4CF7"/>
    <w:rsid w:val="00DE10F2"/>
    <w:rsid w:val="00DE65CA"/>
    <w:rsid w:val="00E04D17"/>
    <w:rsid w:val="00E24ADD"/>
    <w:rsid w:val="00E41269"/>
    <w:rsid w:val="00E703CC"/>
    <w:rsid w:val="00E717DD"/>
    <w:rsid w:val="00EA14CB"/>
    <w:rsid w:val="00EA29B6"/>
    <w:rsid w:val="00EA42DE"/>
    <w:rsid w:val="00F07604"/>
    <w:rsid w:val="00F07D9B"/>
    <w:rsid w:val="00F26B3A"/>
    <w:rsid w:val="00F27584"/>
    <w:rsid w:val="00F47FA5"/>
    <w:rsid w:val="00F639D4"/>
    <w:rsid w:val="00F759F7"/>
    <w:rsid w:val="00F75FB2"/>
    <w:rsid w:val="00F84A48"/>
    <w:rsid w:val="00F9559C"/>
    <w:rsid w:val="00FA0885"/>
    <w:rsid w:val="00FA4211"/>
    <w:rsid w:val="00FB7B08"/>
    <w:rsid w:val="00FC2557"/>
    <w:rsid w:val="00FC470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A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D5252"/>
    <w:pPr>
      <w:spacing w:after="0" w:line="360" w:lineRule="auto"/>
      <w:jc w:val="both"/>
      <w:outlineLvl w:val="0"/>
    </w:pPr>
    <w:rPr>
      <w:rFonts w:ascii="Times New Roman" w:hAnsi="Times New Roman" w:cs="Times New Roman"/>
      <w:b/>
      <w:bCs/>
      <w:color w:val="000000" w:themeColor="text1"/>
      <w:sz w:val="28"/>
      <w:szCs w:val="24"/>
      <w:lang w:val="en-IN"/>
    </w:rPr>
  </w:style>
  <w:style w:type="paragraph" w:styleId="Heading2">
    <w:name w:val="heading 2"/>
    <w:basedOn w:val="Normal"/>
    <w:next w:val="Normal"/>
    <w:link w:val="Heading2Char"/>
    <w:uiPriority w:val="9"/>
    <w:unhideWhenUsed/>
    <w:qFormat/>
    <w:rsid w:val="00EA42DE"/>
    <w:pPr>
      <w:spacing w:after="0" w:line="360" w:lineRule="auto"/>
      <w:jc w:val="both"/>
      <w:outlineLvl w:val="1"/>
    </w:pPr>
    <w:rPr>
      <w:rFonts w:ascii="Times New Roman" w:hAnsi="Times New Roman" w:cs="Times New Roman"/>
      <w:b/>
      <w:bCs/>
      <w:color w:val="000000" w:themeColor="text1"/>
      <w:sz w:val="24"/>
      <w:szCs w:val="24"/>
      <w:lang w:val="en-IN"/>
    </w:rPr>
  </w:style>
  <w:style w:type="paragraph" w:styleId="Heading3">
    <w:name w:val="heading 3"/>
    <w:basedOn w:val="Normal"/>
    <w:next w:val="Normal"/>
    <w:link w:val="Heading3Char"/>
    <w:uiPriority w:val="9"/>
    <w:unhideWhenUsed/>
    <w:qFormat/>
    <w:rsid w:val="00F84A48"/>
    <w:pPr>
      <w:spacing w:line="360" w:lineRule="auto"/>
      <w:jc w:val="both"/>
      <w:outlineLvl w:val="2"/>
    </w:pPr>
    <w:rPr>
      <w:rFonts w:ascii="Times New Roman" w:hAnsi="Times New Roman" w:cs="Times New Roman"/>
      <w:b/>
      <w:bCs/>
      <w:sz w:val="24"/>
      <w:lang w:val="en-IN"/>
    </w:rPr>
  </w:style>
  <w:style w:type="paragraph" w:styleId="Heading4">
    <w:name w:val="heading 4"/>
    <w:basedOn w:val="Normal"/>
    <w:next w:val="Normal"/>
    <w:link w:val="Heading4Char"/>
    <w:uiPriority w:val="9"/>
    <w:semiHidden/>
    <w:unhideWhenUsed/>
    <w:qFormat/>
    <w:rsid w:val="00BF2E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ABF"/>
    <w:rPr>
      <w:color w:val="0563C1" w:themeColor="hyperlink"/>
      <w:u w:val="single"/>
    </w:rPr>
  </w:style>
  <w:style w:type="character" w:customStyle="1" w:styleId="UnresolvedMention1">
    <w:name w:val="Unresolved Mention1"/>
    <w:basedOn w:val="DefaultParagraphFont"/>
    <w:uiPriority w:val="99"/>
    <w:semiHidden/>
    <w:unhideWhenUsed/>
    <w:rsid w:val="00C55ABF"/>
    <w:rPr>
      <w:color w:val="605E5C"/>
      <w:shd w:val="clear" w:color="auto" w:fill="E1DFDD"/>
    </w:rPr>
  </w:style>
  <w:style w:type="character" w:customStyle="1" w:styleId="Heading1Char">
    <w:name w:val="Heading 1 Char"/>
    <w:basedOn w:val="DefaultParagraphFont"/>
    <w:link w:val="Heading1"/>
    <w:uiPriority w:val="9"/>
    <w:rsid w:val="00CD5252"/>
    <w:rPr>
      <w:rFonts w:ascii="Times New Roman" w:hAnsi="Times New Roman" w:cs="Times New Roman"/>
      <w:b/>
      <w:bCs/>
      <w:color w:val="000000" w:themeColor="text1"/>
      <w:sz w:val="28"/>
      <w:szCs w:val="24"/>
    </w:rPr>
  </w:style>
  <w:style w:type="character" w:customStyle="1" w:styleId="Heading2Char">
    <w:name w:val="Heading 2 Char"/>
    <w:basedOn w:val="DefaultParagraphFont"/>
    <w:link w:val="Heading2"/>
    <w:uiPriority w:val="9"/>
    <w:rsid w:val="00EA42DE"/>
    <w:rPr>
      <w:rFonts w:ascii="Times New Roman" w:hAnsi="Times New Roman" w:cs="Times New Roman"/>
      <w:b/>
      <w:bCs/>
      <w:color w:val="000000" w:themeColor="text1"/>
      <w:sz w:val="24"/>
      <w:szCs w:val="24"/>
    </w:rPr>
  </w:style>
  <w:style w:type="character" w:customStyle="1" w:styleId="Heading3Char">
    <w:name w:val="Heading 3 Char"/>
    <w:basedOn w:val="DefaultParagraphFont"/>
    <w:link w:val="Heading3"/>
    <w:uiPriority w:val="9"/>
    <w:rsid w:val="00F84A48"/>
    <w:rPr>
      <w:rFonts w:ascii="Times New Roman" w:hAnsi="Times New Roman" w:cs="Times New Roman"/>
      <w:b/>
      <w:bCs/>
      <w:sz w:val="24"/>
    </w:rPr>
  </w:style>
  <w:style w:type="paragraph" w:styleId="TOCHeading">
    <w:name w:val="TOC Heading"/>
    <w:basedOn w:val="Heading1"/>
    <w:next w:val="Normal"/>
    <w:uiPriority w:val="39"/>
    <w:unhideWhenUsed/>
    <w:qFormat/>
    <w:rsid w:val="00F84A4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84A48"/>
    <w:pPr>
      <w:spacing w:after="100"/>
    </w:pPr>
  </w:style>
  <w:style w:type="paragraph" w:styleId="TOC2">
    <w:name w:val="toc 2"/>
    <w:basedOn w:val="Normal"/>
    <w:next w:val="Normal"/>
    <w:autoRedefine/>
    <w:uiPriority w:val="39"/>
    <w:unhideWhenUsed/>
    <w:rsid w:val="00F84A48"/>
    <w:pPr>
      <w:spacing w:after="100"/>
      <w:ind w:left="220"/>
    </w:pPr>
  </w:style>
  <w:style w:type="paragraph" w:styleId="TOC3">
    <w:name w:val="toc 3"/>
    <w:basedOn w:val="Normal"/>
    <w:next w:val="Normal"/>
    <w:autoRedefine/>
    <w:uiPriority w:val="39"/>
    <w:unhideWhenUsed/>
    <w:rsid w:val="00F84A48"/>
    <w:pPr>
      <w:spacing w:after="100"/>
      <w:ind w:left="440"/>
    </w:pPr>
  </w:style>
  <w:style w:type="paragraph" w:styleId="BalloonText">
    <w:name w:val="Balloon Text"/>
    <w:basedOn w:val="Normal"/>
    <w:link w:val="BalloonTextChar"/>
    <w:uiPriority w:val="99"/>
    <w:semiHidden/>
    <w:unhideWhenUsed/>
    <w:rsid w:val="00C31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80F"/>
    <w:rPr>
      <w:rFonts w:ascii="Tahoma" w:hAnsi="Tahoma" w:cs="Tahoma"/>
      <w:sz w:val="16"/>
      <w:szCs w:val="16"/>
      <w:lang w:val="en-GB"/>
    </w:rPr>
  </w:style>
  <w:style w:type="character" w:customStyle="1" w:styleId="Heading4Char">
    <w:name w:val="Heading 4 Char"/>
    <w:basedOn w:val="DefaultParagraphFont"/>
    <w:link w:val="Heading4"/>
    <w:uiPriority w:val="9"/>
    <w:semiHidden/>
    <w:rsid w:val="00BF2E8B"/>
    <w:rPr>
      <w:rFonts w:asciiTheme="majorHAnsi" w:eastAsiaTheme="majorEastAsia" w:hAnsiTheme="majorHAnsi" w:cstheme="majorBidi"/>
      <w:i/>
      <w:iCs/>
      <w:color w:val="2F5496" w:themeColor="accent1" w:themeShade="BF"/>
      <w:lang w:val="en-GB"/>
    </w:rPr>
  </w:style>
  <w:style w:type="character" w:customStyle="1" w:styleId="UnresolvedMention2">
    <w:name w:val="Unresolved Mention2"/>
    <w:basedOn w:val="DefaultParagraphFont"/>
    <w:uiPriority w:val="99"/>
    <w:semiHidden/>
    <w:unhideWhenUsed/>
    <w:rsid w:val="00206C2A"/>
    <w:rPr>
      <w:color w:val="605E5C"/>
      <w:shd w:val="clear" w:color="auto" w:fill="E1DFDD"/>
    </w:rPr>
  </w:style>
  <w:style w:type="paragraph" w:styleId="Header">
    <w:name w:val="header"/>
    <w:basedOn w:val="Normal"/>
    <w:link w:val="HeaderChar"/>
    <w:uiPriority w:val="99"/>
    <w:unhideWhenUsed/>
    <w:rsid w:val="00A0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ADD"/>
    <w:rPr>
      <w:lang w:val="en-GB"/>
    </w:rPr>
  </w:style>
  <w:style w:type="paragraph" w:styleId="Footer">
    <w:name w:val="footer"/>
    <w:basedOn w:val="Normal"/>
    <w:link w:val="FooterChar"/>
    <w:uiPriority w:val="99"/>
    <w:unhideWhenUsed/>
    <w:rsid w:val="00A0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ADD"/>
    <w:rPr>
      <w:lang w:val="en-GB"/>
    </w:rPr>
  </w:style>
  <w:style w:type="character" w:customStyle="1" w:styleId="UnresolvedMention3">
    <w:name w:val="Unresolved Mention3"/>
    <w:basedOn w:val="DefaultParagraphFont"/>
    <w:uiPriority w:val="99"/>
    <w:semiHidden/>
    <w:unhideWhenUsed/>
    <w:rsid w:val="007833EA"/>
    <w:rPr>
      <w:color w:val="605E5C"/>
      <w:shd w:val="clear" w:color="auto" w:fill="E1DFDD"/>
    </w:rPr>
  </w:style>
  <w:style w:type="table" w:styleId="TableGrid">
    <w:name w:val="Table Grid"/>
    <w:basedOn w:val="TableNormal"/>
    <w:uiPriority w:val="39"/>
    <w:rsid w:val="00874B0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4">
    <w:name w:val="Unresolved Mention4"/>
    <w:basedOn w:val="DefaultParagraphFont"/>
    <w:uiPriority w:val="99"/>
    <w:semiHidden/>
    <w:unhideWhenUsed/>
    <w:rsid w:val="0015032A"/>
    <w:rPr>
      <w:color w:val="605E5C"/>
      <w:shd w:val="clear" w:color="auto" w:fill="E1DFDD"/>
    </w:rPr>
  </w:style>
  <w:style w:type="character" w:customStyle="1" w:styleId="UnresolvedMention">
    <w:name w:val="Unresolved Mention"/>
    <w:basedOn w:val="DefaultParagraphFont"/>
    <w:uiPriority w:val="99"/>
    <w:semiHidden/>
    <w:unhideWhenUsed/>
    <w:rsid w:val="003F004F"/>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D5252"/>
    <w:pPr>
      <w:spacing w:after="0" w:line="360" w:lineRule="auto"/>
      <w:jc w:val="both"/>
      <w:outlineLvl w:val="0"/>
    </w:pPr>
    <w:rPr>
      <w:rFonts w:ascii="Times New Roman" w:hAnsi="Times New Roman" w:cs="Times New Roman"/>
      <w:b/>
      <w:bCs/>
      <w:color w:val="000000" w:themeColor="text1"/>
      <w:sz w:val="28"/>
      <w:szCs w:val="24"/>
      <w:lang w:val="en-IN"/>
    </w:rPr>
  </w:style>
  <w:style w:type="paragraph" w:styleId="Heading2">
    <w:name w:val="heading 2"/>
    <w:basedOn w:val="Normal"/>
    <w:next w:val="Normal"/>
    <w:link w:val="Heading2Char"/>
    <w:uiPriority w:val="9"/>
    <w:unhideWhenUsed/>
    <w:qFormat/>
    <w:rsid w:val="00EA42DE"/>
    <w:pPr>
      <w:spacing w:after="0" w:line="360" w:lineRule="auto"/>
      <w:jc w:val="both"/>
      <w:outlineLvl w:val="1"/>
    </w:pPr>
    <w:rPr>
      <w:rFonts w:ascii="Times New Roman" w:hAnsi="Times New Roman" w:cs="Times New Roman"/>
      <w:b/>
      <w:bCs/>
      <w:color w:val="000000" w:themeColor="text1"/>
      <w:sz w:val="24"/>
      <w:szCs w:val="24"/>
      <w:lang w:val="en-IN"/>
    </w:rPr>
  </w:style>
  <w:style w:type="paragraph" w:styleId="Heading3">
    <w:name w:val="heading 3"/>
    <w:basedOn w:val="Normal"/>
    <w:next w:val="Normal"/>
    <w:link w:val="Heading3Char"/>
    <w:uiPriority w:val="9"/>
    <w:unhideWhenUsed/>
    <w:qFormat/>
    <w:rsid w:val="00F84A48"/>
    <w:pPr>
      <w:spacing w:line="360" w:lineRule="auto"/>
      <w:jc w:val="both"/>
      <w:outlineLvl w:val="2"/>
    </w:pPr>
    <w:rPr>
      <w:rFonts w:ascii="Times New Roman" w:hAnsi="Times New Roman" w:cs="Times New Roman"/>
      <w:b/>
      <w:bCs/>
      <w:sz w:val="24"/>
      <w:lang w:val="en-IN"/>
    </w:rPr>
  </w:style>
  <w:style w:type="paragraph" w:styleId="Heading4">
    <w:name w:val="heading 4"/>
    <w:basedOn w:val="Normal"/>
    <w:next w:val="Normal"/>
    <w:link w:val="Heading4Char"/>
    <w:uiPriority w:val="9"/>
    <w:semiHidden/>
    <w:unhideWhenUsed/>
    <w:qFormat/>
    <w:rsid w:val="00BF2E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ABF"/>
    <w:rPr>
      <w:color w:val="0563C1" w:themeColor="hyperlink"/>
      <w:u w:val="single"/>
    </w:rPr>
  </w:style>
  <w:style w:type="character" w:customStyle="1" w:styleId="UnresolvedMention1">
    <w:name w:val="Unresolved Mention1"/>
    <w:basedOn w:val="DefaultParagraphFont"/>
    <w:uiPriority w:val="99"/>
    <w:semiHidden/>
    <w:unhideWhenUsed/>
    <w:rsid w:val="00C55ABF"/>
    <w:rPr>
      <w:color w:val="605E5C"/>
      <w:shd w:val="clear" w:color="auto" w:fill="E1DFDD"/>
    </w:rPr>
  </w:style>
  <w:style w:type="character" w:customStyle="1" w:styleId="Heading1Char">
    <w:name w:val="Heading 1 Char"/>
    <w:basedOn w:val="DefaultParagraphFont"/>
    <w:link w:val="Heading1"/>
    <w:uiPriority w:val="9"/>
    <w:rsid w:val="00CD5252"/>
    <w:rPr>
      <w:rFonts w:ascii="Times New Roman" w:hAnsi="Times New Roman" w:cs="Times New Roman"/>
      <w:b/>
      <w:bCs/>
      <w:color w:val="000000" w:themeColor="text1"/>
      <w:sz w:val="28"/>
      <w:szCs w:val="24"/>
    </w:rPr>
  </w:style>
  <w:style w:type="character" w:customStyle="1" w:styleId="Heading2Char">
    <w:name w:val="Heading 2 Char"/>
    <w:basedOn w:val="DefaultParagraphFont"/>
    <w:link w:val="Heading2"/>
    <w:uiPriority w:val="9"/>
    <w:rsid w:val="00EA42DE"/>
    <w:rPr>
      <w:rFonts w:ascii="Times New Roman" w:hAnsi="Times New Roman" w:cs="Times New Roman"/>
      <w:b/>
      <w:bCs/>
      <w:color w:val="000000" w:themeColor="text1"/>
      <w:sz w:val="24"/>
      <w:szCs w:val="24"/>
    </w:rPr>
  </w:style>
  <w:style w:type="character" w:customStyle="1" w:styleId="Heading3Char">
    <w:name w:val="Heading 3 Char"/>
    <w:basedOn w:val="DefaultParagraphFont"/>
    <w:link w:val="Heading3"/>
    <w:uiPriority w:val="9"/>
    <w:rsid w:val="00F84A48"/>
    <w:rPr>
      <w:rFonts w:ascii="Times New Roman" w:hAnsi="Times New Roman" w:cs="Times New Roman"/>
      <w:b/>
      <w:bCs/>
      <w:sz w:val="24"/>
    </w:rPr>
  </w:style>
  <w:style w:type="paragraph" w:styleId="TOCHeading">
    <w:name w:val="TOC Heading"/>
    <w:basedOn w:val="Heading1"/>
    <w:next w:val="Normal"/>
    <w:uiPriority w:val="39"/>
    <w:unhideWhenUsed/>
    <w:qFormat/>
    <w:rsid w:val="00F84A4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84A48"/>
    <w:pPr>
      <w:spacing w:after="100"/>
    </w:pPr>
  </w:style>
  <w:style w:type="paragraph" w:styleId="TOC2">
    <w:name w:val="toc 2"/>
    <w:basedOn w:val="Normal"/>
    <w:next w:val="Normal"/>
    <w:autoRedefine/>
    <w:uiPriority w:val="39"/>
    <w:unhideWhenUsed/>
    <w:rsid w:val="00F84A48"/>
    <w:pPr>
      <w:spacing w:after="100"/>
      <w:ind w:left="220"/>
    </w:pPr>
  </w:style>
  <w:style w:type="paragraph" w:styleId="TOC3">
    <w:name w:val="toc 3"/>
    <w:basedOn w:val="Normal"/>
    <w:next w:val="Normal"/>
    <w:autoRedefine/>
    <w:uiPriority w:val="39"/>
    <w:unhideWhenUsed/>
    <w:rsid w:val="00F84A48"/>
    <w:pPr>
      <w:spacing w:after="100"/>
      <w:ind w:left="440"/>
    </w:pPr>
  </w:style>
  <w:style w:type="paragraph" w:styleId="BalloonText">
    <w:name w:val="Balloon Text"/>
    <w:basedOn w:val="Normal"/>
    <w:link w:val="BalloonTextChar"/>
    <w:uiPriority w:val="99"/>
    <w:semiHidden/>
    <w:unhideWhenUsed/>
    <w:rsid w:val="00C318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80F"/>
    <w:rPr>
      <w:rFonts w:ascii="Tahoma" w:hAnsi="Tahoma" w:cs="Tahoma"/>
      <w:sz w:val="16"/>
      <w:szCs w:val="16"/>
      <w:lang w:val="en-GB"/>
    </w:rPr>
  </w:style>
  <w:style w:type="character" w:customStyle="1" w:styleId="Heading4Char">
    <w:name w:val="Heading 4 Char"/>
    <w:basedOn w:val="DefaultParagraphFont"/>
    <w:link w:val="Heading4"/>
    <w:uiPriority w:val="9"/>
    <w:semiHidden/>
    <w:rsid w:val="00BF2E8B"/>
    <w:rPr>
      <w:rFonts w:asciiTheme="majorHAnsi" w:eastAsiaTheme="majorEastAsia" w:hAnsiTheme="majorHAnsi" w:cstheme="majorBidi"/>
      <w:i/>
      <w:iCs/>
      <w:color w:val="2F5496" w:themeColor="accent1" w:themeShade="BF"/>
      <w:lang w:val="en-GB"/>
    </w:rPr>
  </w:style>
  <w:style w:type="character" w:customStyle="1" w:styleId="UnresolvedMention2">
    <w:name w:val="Unresolved Mention2"/>
    <w:basedOn w:val="DefaultParagraphFont"/>
    <w:uiPriority w:val="99"/>
    <w:semiHidden/>
    <w:unhideWhenUsed/>
    <w:rsid w:val="00206C2A"/>
    <w:rPr>
      <w:color w:val="605E5C"/>
      <w:shd w:val="clear" w:color="auto" w:fill="E1DFDD"/>
    </w:rPr>
  </w:style>
  <w:style w:type="paragraph" w:styleId="Header">
    <w:name w:val="header"/>
    <w:basedOn w:val="Normal"/>
    <w:link w:val="HeaderChar"/>
    <w:uiPriority w:val="99"/>
    <w:unhideWhenUsed/>
    <w:rsid w:val="00A0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ADD"/>
    <w:rPr>
      <w:lang w:val="en-GB"/>
    </w:rPr>
  </w:style>
  <w:style w:type="paragraph" w:styleId="Footer">
    <w:name w:val="footer"/>
    <w:basedOn w:val="Normal"/>
    <w:link w:val="FooterChar"/>
    <w:uiPriority w:val="99"/>
    <w:unhideWhenUsed/>
    <w:rsid w:val="00A0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ADD"/>
    <w:rPr>
      <w:lang w:val="en-GB"/>
    </w:rPr>
  </w:style>
  <w:style w:type="character" w:customStyle="1" w:styleId="UnresolvedMention3">
    <w:name w:val="Unresolved Mention3"/>
    <w:basedOn w:val="DefaultParagraphFont"/>
    <w:uiPriority w:val="99"/>
    <w:semiHidden/>
    <w:unhideWhenUsed/>
    <w:rsid w:val="007833EA"/>
    <w:rPr>
      <w:color w:val="605E5C"/>
      <w:shd w:val="clear" w:color="auto" w:fill="E1DFDD"/>
    </w:rPr>
  </w:style>
  <w:style w:type="table" w:styleId="TableGrid">
    <w:name w:val="Table Grid"/>
    <w:basedOn w:val="TableNormal"/>
    <w:uiPriority w:val="39"/>
    <w:rsid w:val="00874B0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4">
    <w:name w:val="Unresolved Mention4"/>
    <w:basedOn w:val="DefaultParagraphFont"/>
    <w:uiPriority w:val="99"/>
    <w:semiHidden/>
    <w:unhideWhenUsed/>
    <w:rsid w:val="0015032A"/>
    <w:rPr>
      <w:color w:val="605E5C"/>
      <w:shd w:val="clear" w:color="auto" w:fill="E1DFDD"/>
    </w:rPr>
  </w:style>
  <w:style w:type="character" w:customStyle="1" w:styleId="UnresolvedMention">
    <w:name w:val="Unresolved Mention"/>
    <w:basedOn w:val="DefaultParagraphFont"/>
    <w:uiPriority w:val="99"/>
    <w:semiHidden/>
    <w:unhideWhenUsed/>
    <w:rsid w:val="003F00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260820">
      <w:bodyDiv w:val="1"/>
      <w:marLeft w:val="0"/>
      <w:marRight w:val="0"/>
      <w:marTop w:val="0"/>
      <w:marBottom w:val="0"/>
      <w:divBdr>
        <w:top w:val="none" w:sz="0" w:space="0" w:color="auto"/>
        <w:left w:val="none" w:sz="0" w:space="0" w:color="auto"/>
        <w:bottom w:val="none" w:sz="0" w:space="0" w:color="auto"/>
        <w:right w:val="none" w:sz="0" w:space="0" w:color="auto"/>
      </w:divBdr>
    </w:div>
    <w:div w:id="580988665">
      <w:bodyDiv w:val="1"/>
      <w:marLeft w:val="0"/>
      <w:marRight w:val="0"/>
      <w:marTop w:val="0"/>
      <w:marBottom w:val="0"/>
      <w:divBdr>
        <w:top w:val="none" w:sz="0" w:space="0" w:color="auto"/>
        <w:left w:val="none" w:sz="0" w:space="0" w:color="auto"/>
        <w:bottom w:val="none" w:sz="0" w:space="0" w:color="auto"/>
        <w:right w:val="none" w:sz="0" w:space="0" w:color="auto"/>
      </w:divBdr>
    </w:div>
    <w:div w:id="1220750610">
      <w:bodyDiv w:val="1"/>
      <w:marLeft w:val="0"/>
      <w:marRight w:val="0"/>
      <w:marTop w:val="0"/>
      <w:marBottom w:val="0"/>
      <w:divBdr>
        <w:top w:val="none" w:sz="0" w:space="0" w:color="auto"/>
        <w:left w:val="none" w:sz="0" w:space="0" w:color="auto"/>
        <w:bottom w:val="none" w:sz="0" w:space="0" w:color="auto"/>
        <w:right w:val="none" w:sz="0" w:space="0" w:color="auto"/>
      </w:divBdr>
    </w:div>
    <w:div w:id="1234312251">
      <w:bodyDiv w:val="1"/>
      <w:marLeft w:val="0"/>
      <w:marRight w:val="0"/>
      <w:marTop w:val="0"/>
      <w:marBottom w:val="0"/>
      <w:divBdr>
        <w:top w:val="none" w:sz="0" w:space="0" w:color="auto"/>
        <w:left w:val="none" w:sz="0" w:space="0" w:color="auto"/>
        <w:bottom w:val="none" w:sz="0" w:space="0" w:color="auto"/>
        <w:right w:val="none" w:sz="0" w:space="0" w:color="auto"/>
      </w:divBdr>
    </w:div>
    <w:div w:id="1404791143">
      <w:bodyDiv w:val="1"/>
      <w:marLeft w:val="0"/>
      <w:marRight w:val="0"/>
      <w:marTop w:val="0"/>
      <w:marBottom w:val="0"/>
      <w:divBdr>
        <w:top w:val="none" w:sz="0" w:space="0" w:color="auto"/>
        <w:left w:val="none" w:sz="0" w:space="0" w:color="auto"/>
        <w:bottom w:val="none" w:sz="0" w:space="0" w:color="auto"/>
        <w:right w:val="none" w:sz="0" w:space="0" w:color="auto"/>
      </w:divBdr>
    </w:div>
    <w:div w:id="206386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ature.com/articles/s41599-022-01109-4" TargetMode="External"/><Relationship Id="rId26" Type="http://schemas.openxmlformats.org/officeDocument/2006/relationships/hyperlink" Target="https://doi.org/10.3390/healthcare11081164" TargetMode="External"/><Relationship Id="rId39" Type="http://schemas.openxmlformats.org/officeDocument/2006/relationships/hyperlink" Target="https://arxiv.org/abs/2203.16372" TargetMode="External"/><Relationship Id="rId21" Type="http://schemas.openxmlformats.org/officeDocument/2006/relationships/hyperlink" Target="https://doi.org/10.1057/s41267-022-00521-x" TargetMode="External"/><Relationship Id="rId34" Type="http://schemas.openxmlformats.org/officeDocument/2006/relationships/hyperlink" Target="https://doi.org/10.3389/fpsyg.2023.1247479" TargetMode="External"/><Relationship Id="rId42" Type="http://schemas.openxmlformats.org/officeDocument/2006/relationships/hyperlink" Target="https://www.reuters.com/world/asia-pacific/singapore-q4-gdp-up-57-yy-preliminary-data-shows-2026-01-02/" TargetMode="External"/><Relationship Id="rId47" Type="http://schemas.openxmlformats.org/officeDocument/2006/relationships/hyperlink" Target="https://www.theguardian.com/world/2024/mar/27/oji-holdings-japan-switch-adult-nappies-ageing-society" TargetMode="External"/><Relationship Id="rId50" Type="http://schemas.openxmlformats.org/officeDocument/2006/relationships/hyperlink" Target="https://global.toyota/pages/global_toyota/ir/financial-results/2024_4q_presentation_2_en.pdf" TargetMode="External"/><Relationship Id="rId55" Type="http://schemas.openxmlformats.org/officeDocument/2006/relationships/hyperlink" Target="https://toyota.jp/service/dealer/spt/dealer_list/index.html"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s://asas.org.sg/About/Code" TargetMode="External"/><Relationship Id="rId20" Type="http://schemas.openxmlformats.org/officeDocument/2006/relationships/hyperlink" Target="https://www.toyota.com.sg/faq" TargetMode="External"/><Relationship Id="rId29" Type="http://schemas.openxmlformats.org/officeDocument/2006/relationships/hyperlink" Target="https://iea.blob.core.windows.net/assets/7ea38b60-3033-42a6-9589-71134f4229f4/GlobalEVOutlook2025.pdf" TargetMode="External"/><Relationship Id="rId41" Type="http://schemas.openxmlformats.org/officeDocument/2006/relationships/hyperlink" Target="https://www.reuters.com/sustainability/climate-energy/japans-greenhouse-gas-emissions-fell-record-low-fy2024-2026-04-14/" TargetMode="External"/><Relationship Id="rId54" Type="http://schemas.openxmlformats.org/officeDocument/2006/relationships/hyperlink" Target="https://toyota.jp/carlineup/" TargetMode="External"/><Relationship Id="rId62" Type="http://schemas.openxmlformats.org/officeDocument/2006/relationships/hyperlink" Target="https://doi.org/10.3390/su150318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eloitte.com/global/en/Industries/automotive/perspectives/global-automotive-consumer-study.html" TargetMode="External"/><Relationship Id="rId32" Type="http://schemas.openxmlformats.org/officeDocument/2006/relationships/hyperlink" Target="https://www.lta.gov.sg/content/ltagov/en/newsroom/2025/9/news-releases/extension_of_ves_and_eeai_to_support_vehicle_electrification.html" TargetMode="External"/><Relationship Id="rId37" Type="http://schemas.openxmlformats.org/officeDocument/2006/relationships/hyperlink" Target="https://www.nea.gov.sg/our-services/climate-change-energy-efficiency/climate-change/carbon-tax" TargetMode="External"/><Relationship Id="rId40" Type="http://schemas.openxmlformats.org/officeDocument/2006/relationships/hyperlink" Target="https://www.reuters.com/business/autos-transportation/byd-tops-singapore-vehicle-sales-so-far-this-year-replacing-toyota-2025-05-14/" TargetMode="External"/><Relationship Id="rId45" Type="http://schemas.openxmlformats.org/officeDocument/2006/relationships/hyperlink" Target="https://www.stat.go.jp/english/data/handbook/pdf/2025all.pdf" TargetMode="External"/><Relationship Id="rId53" Type="http://schemas.openxmlformats.org/officeDocument/2006/relationships/hyperlink" Target="https://global.toyota/pages/global_toyota/sustainability/report/sdb/sdb26_en.pdf" TargetMode="External"/><Relationship Id="rId58" Type="http://schemas.openxmlformats.org/officeDocument/2006/relationships/hyperlink" Target="https://onlinepurchase.toyota.com.sg/"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ccs.gov.sg/media-and-events/newsroom/announcements-and-media-releases/sterra-apologises-and-undertakes-to-stop-false-and-misleading-marketing-practices" TargetMode="External"/><Relationship Id="rId28" Type="http://schemas.openxmlformats.org/officeDocument/2006/relationships/hyperlink" Target="https://www.iea.org/reports/global-ev-outlook-2025" TargetMode="External"/><Relationship Id="rId36" Type="http://schemas.openxmlformats.org/officeDocument/2006/relationships/hyperlink" Target="https://doi.org/10.3389/fpsyg.2022.1008234" TargetMode="External"/><Relationship Id="rId49" Type="http://schemas.openxmlformats.org/officeDocument/2006/relationships/hyperlink" Target="https://global.toyota/pages/global_toyota/ir/library/sec/20-F_202403_final.pdf" TargetMode="External"/><Relationship Id="rId57" Type="http://schemas.openxmlformats.org/officeDocument/2006/relationships/hyperlink" Target="https://www.toyota.com.sg/showroom/new-models/bz4x" TargetMode="External"/><Relationship Id="rId61" Type="http://schemas.openxmlformats.org/officeDocument/2006/relationships/hyperlink" Target="https://www.toyota.com.sg/showroom/new-models/yaris-cross" TargetMode="External"/><Relationship Id="rId10" Type="http://schemas.openxmlformats.org/officeDocument/2006/relationships/image" Target="media/image3.png"/><Relationship Id="rId19" Type="http://schemas.openxmlformats.org/officeDocument/2006/relationships/hyperlink" Target="https://www.toyota.com.sg/contact-us/locations" TargetMode="External"/><Relationship Id="rId31" Type="http://schemas.openxmlformats.org/officeDocument/2006/relationships/hyperlink" Target="https://onemotoring.lta.gov.sg/content/onemotoring/home/buying/upfront-vehicle-costs/tax-structure.html" TargetMode="External"/><Relationship Id="rId44" Type="http://schemas.openxmlformats.org/officeDocument/2006/relationships/hyperlink" Target="https://www.greenplan.gov.sg/key-focus-areas/energy-reset/" TargetMode="External"/><Relationship Id="rId52" Type="http://schemas.openxmlformats.org/officeDocument/2006/relationships/hyperlink" Target="https://global.toyota/en/ir/library/annual/" TargetMode="External"/><Relationship Id="rId60" Type="http://schemas.openxmlformats.org/officeDocument/2006/relationships/hyperlink" Target="https://www.toyota.com.sg/"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3390/en16010205" TargetMode="External"/><Relationship Id="rId27" Type="http://schemas.openxmlformats.org/officeDocument/2006/relationships/hyperlink" Target="https://doi.org/10.3390/su151813500" TargetMode="External"/><Relationship Id="rId30" Type="http://schemas.openxmlformats.org/officeDocument/2006/relationships/hyperlink" Target="https://doi.org/10.1016/j.jclepro.2023.137522" TargetMode="External"/><Relationship Id="rId35" Type="http://schemas.openxmlformats.org/officeDocument/2006/relationships/hyperlink" Target="https://www.mot.gov.sg/what-we-do/green-transport/electric-vehicles/" TargetMode="External"/><Relationship Id="rId43" Type="http://schemas.openxmlformats.org/officeDocument/2006/relationships/hyperlink" Target="https://www.reuters.com/business/autos-transportation/toyota-retains-top-auto-crown-2025-with-record-sales-2026-01-29/" TargetMode="External"/><Relationship Id="rId48" Type="http://schemas.openxmlformats.org/officeDocument/2006/relationships/hyperlink" Target="https://global.toyota/jp/newsroom/corporate/39865811.html" TargetMode="External"/><Relationship Id="rId56" Type="http://schemas.openxmlformats.org/officeDocument/2006/relationships/hyperlink" Target="https://toyota.jp/ucar/catalog/brand-TOYOTA/car-YARIS/"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global.toyota/pages/global_toyota/ir/financial-results/2024_4q_summary_en.pdf" TargetMode="External"/><Relationship Id="rId3" Type="http://schemas.microsoft.com/office/2007/relationships/stylesWithEffects" Target="stylesWithEffects.xml"/><Relationship Id="rId12" Type="http://schemas.openxmlformats.org/officeDocument/2006/relationships/image" Target="media/image5.png"/><Relationship Id="rId17" Type="http://schemas.openxmlformats.org/officeDocument/2006/relationships/hyperlink" Target="https://doi.org/10.1007/s13278-023-01028-5" TargetMode="External"/><Relationship Id="rId25" Type="http://schemas.openxmlformats.org/officeDocument/2006/relationships/hyperlink" Target="https://doi.org/10.1007/s11575-022-00470-5" TargetMode="External"/><Relationship Id="rId33" Type="http://schemas.openxmlformats.org/officeDocument/2006/relationships/hyperlink" Target="https://onemotoring.lta.gov.sg/content/onemotoring/home/buying/upfront-vehicle-costs/certificate-of-entitlement--coe-.html" TargetMode="External"/><Relationship Id="rId38" Type="http://schemas.openxmlformats.org/officeDocument/2006/relationships/hyperlink" Target="https://www.pdpc.gov.sg/help-and-resources/2026/01/advisory-on-common-data-protection-lapses-and-recommended-measures" TargetMode="External"/><Relationship Id="rId46" Type="http://schemas.openxmlformats.org/officeDocument/2006/relationships/hyperlink" Target="https://doi.org/10.3390/info13060291" TargetMode="External"/><Relationship Id="rId59" Type="http://schemas.openxmlformats.org/officeDocument/2006/relationships/hyperlink" Target="https://www.toyota.com.sg/toyota-YC-MYS-2026-ryi-fb/enquiry-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4F242B6-A4E6-4688-8627-9090399DB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8809</Words>
  <Characters>50217</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58909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2026-08-11T17:46:00Z</dcterms:created>
  <dcterms:modified xsi:type="dcterms:W3CDTF">2026-08-11T17:46:00Z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aba6c765-aed0-4269-ba3e-c758873582b0</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2026-07-27T04:43:33Z</vt:lpwstr>
  </property>
  <property fmtid="{D5CDD505-2E9C-101B-9397-08002B2CF9AE}" pid="8" name="MSIP_Label_defa4170-0d19-0005-0004-bc88714345d2_SiteId">
    <vt:lpwstr>4c6a69f3-ec67-44f4-90bd-030b5c8b34e2</vt:lpwstr>
  </property>
  <property fmtid="{D5CDD505-2E9C-101B-9397-08002B2CF9AE}" pid="9" name="MSIP_Label_defa4170-0d19-0005-0004-bc88714345d2_Tag">
    <vt:lpwstr>50, 3, 0, 1</vt:lpwstr>
  </property>
</Properties>
</file>