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453F29" w14:textId="04C06670" w:rsidR="008E0226" w:rsidRPr="004142F3" w:rsidRDefault="00635461" w:rsidP="008E0226">
      <w:pPr>
        <w:rPr>
          <w:rFonts w:ascii="Brill" w:hAnsi="Brill"/>
          <w:sz w:val="36"/>
          <w:szCs w:val="48"/>
        </w:rPr>
      </w:pPr>
      <w:bookmarkStart w:id="0" w:name="_Hlk30204602"/>
      <w:bookmarkStart w:id="1" w:name="_Hlk30208998"/>
      <w:r w:rsidRPr="002D5B51">
        <w:rPr>
          <w:rFonts w:ascii="Brill" w:hAnsi="Brill"/>
          <w:b/>
          <w:bCs/>
          <w:sz w:val="36"/>
          <w:szCs w:val="48"/>
        </w:rPr>
        <w:t xml:space="preserve">Essay Title: </w:t>
      </w:r>
      <w:r w:rsidR="008E0226" w:rsidRPr="004142F3">
        <w:rPr>
          <w:rFonts w:ascii="Brill" w:hAnsi="Brill"/>
          <w:sz w:val="36"/>
          <w:szCs w:val="48"/>
        </w:rPr>
        <w:t>Discuss the different approaches towards the academic study, in universities, of Islam and Muslims.  Draw upon critical perspectives to inform your answe</w:t>
      </w:r>
      <w:r w:rsidR="008E0226" w:rsidRPr="004142F3">
        <w:rPr>
          <w:rFonts w:ascii="Brill" w:hAnsi="Brill"/>
          <w:sz w:val="36"/>
          <w:szCs w:val="48"/>
        </w:rPr>
        <w:t>r.</w:t>
      </w:r>
    </w:p>
    <w:p w14:paraId="794E63C5" w14:textId="4F5664A4" w:rsidR="008E0226" w:rsidRDefault="008E0226" w:rsidP="008E0226">
      <w:pPr>
        <w:rPr>
          <w:rFonts w:ascii="Brill" w:hAnsi="Brill"/>
          <w:b/>
          <w:bCs/>
          <w:sz w:val="30"/>
          <w:szCs w:val="36"/>
        </w:rPr>
      </w:pPr>
    </w:p>
    <w:p w14:paraId="405FCCF5" w14:textId="77777777" w:rsidR="008E0226" w:rsidRPr="008E0226" w:rsidRDefault="008E0226" w:rsidP="008E0226">
      <w:pPr>
        <w:rPr>
          <w:rFonts w:ascii="Brill" w:hAnsi="Brill"/>
          <w:b/>
          <w:bCs/>
          <w:sz w:val="30"/>
          <w:szCs w:val="36"/>
        </w:rPr>
      </w:pPr>
      <w:bookmarkStart w:id="2" w:name="_GoBack"/>
      <w:bookmarkEnd w:id="2"/>
    </w:p>
    <w:p w14:paraId="076E9173" w14:textId="611CB47E" w:rsidR="00AD1375" w:rsidRDefault="00FB563F" w:rsidP="00156F97">
      <w:pPr>
        <w:ind w:left="2160"/>
        <w:rPr>
          <w:rFonts w:ascii="Brill" w:hAnsi="Brill"/>
          <w:sz w:val="24"/>
          <w:szCs w:val="24"/>
        </w:rPr>
      </w:pPr>
      <w:r>
        <w:rPr>
          <w:rFonts w:ascii="Brill" w:hAnsi="Brill"/>
          <w:sz w:val="24"/>
          <w:szCs w:val="24"/>
        </w:rPr>
        <w:t>“</w:t>
      </w:r>
      <w:r w:rsidR="006F1B9F">
        <w:rPr>
          <w:rFonts w:ascii="Brill" w:hAnsi="Brill"/>
          <w:sz w:val="24"/>
          <w:szCs w:val="24"/>
        </w:rPr>
        <w:t xml:space="preserve">It is imperative </w:t>
      </w:r>
      <w:r w:rsidR="00C526E0">
        <w:rPr>
          <w:rFonts w:ascii="Brill" w:hAnsi="Brill"/>
          <w:sz w:val="24"/>
          <w:szCs w:val="24"/>
        </w:rPr>
        <w:t>tha</w:t>
      </w:r>
      <w:r w:rsidR="00222FA4">
        <w:rPr>
          <w:rFonts w:ascii="Brill" w:hAnsi="Brill"/>
          <w:sz w:val="24"/>
          <w:szCs w:val="24"/>
        </w:rPr>
        <w:t>t</w:t>
      </w:r>
      <w:r w:rsidR="00C526E0">
        <w:rPr>
          <w:rFonts w:ascii="Brill" w:hAnsi="Brill"/>
          <w:sz w:val="24"/>
          <w:szCs w:val="24"/>
        </w:rPr>
        <w:t xml:space="preserve"> we strengthen and deepen our understanding of Islam</w:t>
      </w:r>
      <w:r w:rsidR="00757E02">
        <w:rPr>
          <w:rFonts w:ascii="Brill" w:hAnsi="Brill"/>
          <w:sz w:val="24"/>
          <w:szCs w:val="24"/>
        </w:rPr>
        <w:t xml:space="preserve"> and critically examine our </w:t>
      </w:r>
      <w:r w:rsidR="000D6BB6">
        <w:rPr>
          <w:rFonts w:ascii="Brill" w:hAnsi="Brill"/>
          <w:sz w:val="24"/>
          <w:szCs w:val="24"/>
        </w:rPr>
        <w:t>misunderstandings, stereotypes</w:t>
      </w:r>
      <w:r w:rsidR="00442EDF">
        <w:rPr>
          <w:rFonts w:ascii="Brill" w:hAnsi="Brill"/>
          <w:sz w:val="24"/>
          <w:szCs w:val="24"/>
        </w:rPr>
        <w:t xml:space="preserve">, and prejudices. Learning about </w:t>
      </w:r>
      <w:r w:rsidR="00264E57">
        <w:rPr>
          <w:rFonts w:ascii="Brill" w:hAnsi="Brill"/>
          <w:sz w:val="24"/>
          <w:szCs w:val="24"/>
        </w:rPr>
        <w:t xml:space="preserve">the religion of Islam is essential as we prepare </w:t>
      </w:r>
      <w:r w:rsidR="00030597">
        <w:rPr>
          <w:rFonts w:ascii="Brill" w:hAnsi="Brill"/>
          <w:sz w:val="24"/>
          <w:szCs w:val="24"/>
        </w:rPr>
        <w:t xml:space="preserve">our students to be citizens in a </w:t>
      </w:r>
      <w:r w:rsidR="00652A80">
        <w:rPr>
          <w:rFonts w:ascii="Brill" w:hAnsi="Brill"/>
          <w:sz w:val="24"/>
          <w:szCs w:val="24"/>
        </w:rPr>
        <w:t>tolerant, democratic</w:t>
      </w:r>
      <w:r w:rsidR="00427243">
        <w:rPr>
          <w:rFonts w:ascii="Brill" w:hAnsi="Brill"/>
          <w:sz w:val="24"/>
          <w:szCs w:val="24"/>
        </w:rPr>
        <w:t xml:space="preserve"> American society</w:t>
      </w:r>
      <w:r w:rsidR="00F5793D">
        <w:rPr>
          <w:rFonts w:ascii="Brill" w:hAnsi="Brill"/>
          <w:sz w:val="24"/>
          <w:szCs w:val="24"/>
        </w:rPr>
        <w:t xml:space="preserve">; to work and live in a rapidly changing and </w:t>
      </w:r>
      <w:r w:rsidR="00911D2F">
        <w:rPr>
          <w:rFonts w:ascii="Brill" w:hAnsi="Brill"/>
          <w:sz w:val="24"/>
          <w:szCs w:val="24"/>
        </w:rPr>
        <w:t>shrinking global society</w:t>
      </w:r>
      <w:r w:rsidR="00E3248F">
        <w:rPr>
          <w:rFonts w:ascii="Brill" w:hAnsi="Brill"/>
          <w:sz w:val="24"/>
          <w:szCs w:val="24"/>
        </w:rPr>
        <w:t xml:space="preserve">; and to </w:t>
      </w:r>
      <w:r w:rsidR="00617E41">
        <w:rPr>
          <w:rFonts w:ascii="Brill" w:hAnsi="Brill"/>
          <w:sz w:val="24"/>
          <w:szCs w:val="24"/>
        </w:rPr>
        <w:t>be better able to confront significant</w:t>
      </w:r>
      <w:r w:rsidR="0012324D">
        <w:rPr>
          <w:rFonts w:ascii="Brill" w:hAnsi="Brill"/>
          <w:sz w:val="24"/>
          <w:szCs w:val="24"/>
        </w:rPr>
        <w:t xml:space="preserve"> challenges in their lives</w:t>
      </w:r>
      <w:r w:rsidR="006D7ACD">
        <w:rPr>
          <w:rFonts w:ascii="Brill" w:hAnsi="Brill"/>
          <w:sz w:val="24"/>
          <w:szCs w:val="24"/>
        </w:rPr>
        <w:t xml:space="preserve"> by engaging in cri</w:t>
      </w:r>
      <w:r w:rsidR="003E61E8">
        <w:rPr>
          <w:rFonts w:ascii="Brill" w:hAnsi="Brill"/>
          <w:sz w:val="24"/>
          <w:szCs w:val="24"/>
        </w:rPr>
        <w:t>t</w:t>
      </w:r>
      <w:r w:rsidR="006D7ACD">
        <w:rPr>
          <w:rFonts w:ascii="Brill" w:hAnsi="Brill"/>
          <w:sz w:val="24"/>
          <w:szCs w:val="24"/>
        </w:rPr>
        <w:t>ical thinking</w:t>
      </w:r>
      <w:r w:rsidR="00222FA4">
        <w:rPr>
          <w:rFonts w:ascii="Brill" w:hAnsi="Brill"/>
          <w:sz w:val="24"/>
          <w:szCs w:val="24"/>
        </w:rPr>
        <w:t xml:space="preserve">.” </w:t>
      </w:r>
      <w:r w:rsidR="00B32DE6" w:rsidRPr="006B1D62">
        <w:rPr>
          <w:rFonts w:ascii="Brill" w:hAnsi="Brill"/>
          <w:sz w:val="24"/>
          <w:szCs w:val="24"/>
        </w:rPr>
        <w:t>Jack Meacham</w:t>
      </w:r>
      <w:r w:rsidR="00D65628" w:rsidRPr="006B1D62">
        <w:rPr>
          <w:rFonts w:ascii="Brill" w:hAnsi="Brill"/>
          <w:sz w:val="24"/>
          <w:szCs w:val="24"/>
        </w:rPr>
        <w:t xml:space="preserve"> </w:t>
      </w:r>
      <w:r w:rsidR="00F6171E" w:rsidRPr="006B1D62">
        <w:rPr>
          <w:rFonts w:ascii="Brill" w:hAnsi="Brill"/>
          <w:sz w:val="24"/>
          <w:szCs w:val="24"/>
        </w:rPr>
        <w:t>(</w:t>
      </w:r>
      <w:r w:rsidR="007B76C7" w:rsidRPr="006B1D62">
        <w:rPr>
          <w:rFonts w:ascii="Brill" w:hAnsi="Brill"/>
          <w:sz w:val="24"/>
          <w:szCs w:val="24"/>
        </w:rPr>
        <w:t>2015)</w:t>
      </w:r>
      <w:r w:rsidR="00C175BD" w:rsidRPr="006B1D62">
        <w:rPr>
          <w:rStyle w:val="FootnoteReference"/>
          <w:rFonts w:ascii="Brill" w:hAnsi="Brill"/>
          <w:sz w:val="24"/>
          <w:szCs w:val="24"/>
        </w:rPr>
        <w:footnoteReference w:id="2"/>
      </w:r>
    </w:p>
    <w:p w14:paraId="0ED0E359" w14:textId="7EAE7E08" w:rsidR="002D5D0D" w:rsidRDefault="002D5D0D" w:rsidP="00156F97">
      <w:pPr>
        <w:ind w:left="2160"/>
        <w:rPr>
          <w:rFonts w:ascii="Brill" w:hAnsi="Brill"/>
          <w:sz w:val="24"/>
          <w:szCs w:val="24"/>
        </w:rPr>
      </w:pPr>
    </w:p>
    <w:p w14:paraId="7DBCCD25" w14:textId="6975FBD8" w:rsidR="00FE7E9B" w:rsidRPr="002D5B51" w:rsidRDefault="00FE7E9B" w:rsidP="00FE7E9B">
      <w:pPr>
        <w:rPr>
          <w:rFonts w:ascii="Brill" w:hAnsi="Brill"/>
          <w:sz w:val="28"/>
        </w:rPr>
      </w:pPr>
      <w:r w:rsidRPr="002D5B51">
        <w:rPr>
          <w:rFonts w:ascii="Brill" w:hAnsi="Brill"/>
          <w:sz w:val="28"/>
        </w:rPr>
        <w:t>When talking about the approach of universities to teaching about Islam and Muslims, one must appreciate that the syllabi created by educational institutes</w:t>
      </w:r>
      <w:r w:rsidR="00E2071D" w:rsidRPr="002D5B51">
        <w:rPr>
          <w:rFonts w:ascii="Brill" w:hAnsi="Brill"/>
          <w:sz w:val="28"/>
        </w:rPr>
        <w:t>,</w:t>
      </w:r>
      <w:r w:rsidRPr="002D5B51">
        <w:rPr>
          <w:rFonts w:ascii="Brill" w:hAnsi="Brill"/>
          <w:sz w:val="28"/>
        </w:rPr>
        <w:t xml:space="preserve"> to impart </w:t>
      </w:r>
      <w:r w:rsidR="00E2071D" w:rsidRPr="002D5B51">
        <w:rPr>
          <w:rFonts w:ascii="Brill" w:hAnsi="Brill"/>
          <w:sz w:val="28"/>
        </w:rPr>
        <w:t xml:space="preserve">the </w:t>
      </w:r>
      <w:r w:rsidRPr="002D5B51">
        <w:rPr>
          <w:rFonts w:ascii="Brill" w:hAnsi="Brill"/>
          <w:sz w:val="28"/>
        </w:rPr>
        <w:t>knowledge</w:t>
      </w:r>
      <w:r w:rsidR="00E2071D" w:rsidRPr="002D5B51">
        <w:rPr>
          <w:rFonts w:ascii="Brill" w:hAnsi="Brill"/>
          <w:sz w:val="28"/>
        </w:rPr>
        <w:t xml:space="preserve"> of various disciplines,</w:t>
      </w:r>
      <w:r w:rsidRPr="002D5B51">
        <w:rPr>
          <w:rFonts w:ascii="Brill" w:hAnsi="Brill"/>
          <w:sz w:val="28"/>
        </w:rPr>
        <w:t xml:space="preserve"> are intrinsically affected by the geo-political events </w:t>
      </w:r>
      <w:r w:rsidR="00E2071D" w:rsidRPr="002D5B51">
        <w:rPr>
          <w:rFonts w:ascii="Brill" w:hAnsi="Brill"/>
          <w:sz w:val="28"/>
        </w:rPr>
        <w:t>that unfold</w:t>
      </w:r>
      <w:r w:rsidRPr="002D5B51">
        <w:rPr>
          <w:rFonts w:ascii="Brill" w:hAnsi="Brill"/>
          <w:sz w:val="28"/>
        </w:rPr>
        <w:t xml:space="preserve"> in</w:t>
      </w:r>
      <w:r w:rsidR="00E2071D" w:rsidRPr="002D5B51">
        <w:rPr>
          <w:rFonts w:ascii="Brill" w:hAnsi="Brill"/>
          <w:sz w:val="28"/>
        </w:rPr>
        <w:t xml:space="preserve"> the world</w:t>
      </w:r>
      <w:r w:rsidRPr="002D5B51">
        <w:rPr>
          <w:rFonts w:ascii="Brill" w:hAnsi="Brill"/>
          <w:sz w:val="28"/>
        </w:rPr>
        <w:t xml:space="preserve"> at </w:t>
      </w:r>
      <w:r w:rsidR="00E2071D" w:rsidRPr="002D5B51">
        <w:rPr>
          <w:rFonts w:ascii="Brill" w:hAnsi="Brill"/>
          <w:sz w:val="28"/>
        </w:rPr>
        <w:t>a given</w:t>
      </w:r>
      <w:r w:rsidRPr="002D5B51">
        <w:rPr>
          <w:rFonts w:ascii="Brill" w:hAnsi="Brill"/>
          <w:sz w:val="28"/>
        </w:rPr>
        <w:t xml:space="preserve"> point </w:t>
      </w:r>
      <w:r w:rsidR="00E2071D" w:rsidRPr="002D5B51">
        <w:rPr>
          <w:rFonts w:ascii="Brill" w:hAnsi="Brill"/>
          <w:sz w:val="28"/>
        </w:rPr>
        <w:t>in</w:t>
      </w:r>
      <w:r w:rsidRPr="002D5B51">
        <w:rPr>
          <w:rFonts w:ascii="Brill" w:hAnsi="Brill"/>
          <w:sz w:val="28"/>
        </w:rPr>
        <w:t xml:space="preserve"> time.</w:t>
      </w:r>
      <w:r w:rsidR="00E2071D" w:rsidRPr="002D5B51">
        <w:rPr>
          <w:rFonts w:ascii="Brill" w:hAnsi="Brill"/>
          <w:sz w:val="28"/>
        </w:rPr>
        <w:t xml:space="preserve"> This essay attempts to deliberate on the geo-political events that helped to shape the way Western Universities have approached the study of Islam from the 18</w:t>
      </w:r>
      <w:r w:rsidR="00E2071D" w:rsidRPr="002D5B51">
        <w:rPr>
          <w:rFonts w:ascii="Brill" w:hAnsi="Brill"/>
          <w:sz w:val="28"/>
          <w:vertAlign w:val="superscript"/>
        </w:rPr>
        <w:t>th</w:t>
      </w:r>
      <w:r w:rsidR="00E2071D" w:rsidRPr="002D5B51">
        <w:rPr>
          <w:rFonts w:ascii="Brill" w:hAnsi="Brill"/>
          <w:sz w:val="28"/>
        </w:rPr>
        <w:t xml:space="preserve"> century onwards.</w:t>
      </w:r>
    </w:p>
    <w:p w14:paraId="1A5087D9" w14:textId="3ACBF551" w:rsidR="006202FA" w:rsidRPr="002D5B51" w:rsidRDefault="00FE7E9B" w:rsidP="006202FA">
      <w:pPr>
        <w:rPr>
          <w:rFonts w:ascii="Brill" w:hAnsi="Brill"/>
          <w:sz w:val="28"/>
          <w:lang w:val="en-GB"/>
        </w:rPr>
      </w:pPr>
      <w:r w:rsidRPr="002D5B51">
        <w:rPr>
          <w:rFonts w:ascii="Brill" w:hAnsi="Brill"/>
          <w:sz w:val="28"/>
        </w:rPr>
        <w:t>If we foray far back in European history</w:t>
      </w:r>
      <w:r w:rsidR="006C7558" w:rsidRPr="002D5B51">
        <w:rPr>
          <w:rFonts w:ascii="Brill" w:hAnsi="Brill"/>
          <w:sz w:val="28"/>
        </w:rPr>
        <w:t xml:space="preserve">, </w:t>
      </w:r>
      <w:r w:rsidR="006202FA" w:rsidRPr="002D5B51">
        <w:rPr>
          <w:rFonts w:ascii="Brill" w:hAnsi="Brill"/>
          <w:sz w:val="28"/>
        </w:rPr>
        <w:t>to the age of European conquests, we find that Islam and Muslims were studied within the framework of Oriental studies, which took root in Germany. It is interesting to note that the advance in Oriental studies coincide</w:t>
      </w:r>
      <w:r w:rsidR="006202FA" w:rsidRPr="002D5B51">
        <w:rPr>
          <w:rFonts w:ascii="Brill" w:hAnsi="Brill"/>
          <w:sz w:val="28"/>
        </w:rPr>
        <w:t>s</w:t>
      </w:r>
      <w:r w:rsidR="006202FA" w:rsidRPr="002D5B51">
        <w:rPr>
          <w:rFonts w:ascii="Brill" w:hAnsi="Brill"/>
          <w:sz w:val="28"/>
        </w:rPr>
        <w:t xml:space="preserve"> with the period of advanced European expansion, most notably the British and the French, from the early 17</w:t>
      </w:r>
      <w:r w:rsidR="006202FA" w:rsidRPr="002D5B51">
        <w:rPr>
          <w:rFonts w:ascii="Brill" w:hAnsi="Brill"/>
          <w:sz w:val="28"/>
          <w:vertAlign w:val="superscript"/>
        </w:rPr>
        <w:t>th</w:t>
      </w:r>
      <w:r w:rsidR="006202FA" w:rsidRPr="002D5B51">
        <w:rPr>
          <w:rFonts w:ascii="Brill" w:hAnsi="Brill"/>
          <w:sz w:val="28"/>
        </w:rPr>
        <w:t xml:space="preserve"> century to the early 18</w:t>
      </w:r>
      <w:r w:rsidR="006202FA" w:rsidRPr="002D5B51">
        <w:rPr>
          <w:rFonts w:ascii="Brill" w:hAnsi="Brill"/>
          <w:sz w:val="28"/>
          <w:vertAlign w:val="superscript"/>
        </w:rPr>
        <w:t>th</w:t>
      </w:r>
      <w:r w:rsidR="006202FA" w:rsidRPr="002D5B51">
        <w:rPr>
          <w:rFonts w:ascii="Brill" w:hAnsi="Brill"/>
          <w:sz w:val="28"/>
        </w:rPr>
        <w:t xml:space="preserve"> century.</w:t>
      </w:r>
      <w:r w:rsidR="006202FA" w:rsidRPr="002D5B51">
        <w:rPr>
          <w:rFonts w:ascii="Brill" w:hAnsi="Brill"/>
          <w:sz w:val="28"/>
        </w:rPr>
        <w:t xml:space="preserve"> </w:t>
      </w:r>
      <w:r w:rsidR="006202FA" w:rsidRPr="002D5B51">
        <w:rPr>
          <w:rFonts w:ascii="Brill" w:hAnsi="Brill"/>
          <w:sz w:val="28"/>
        </w:rPr>
        <w:t>After Napoleon invaded Egypt in 1798 for example, the documents his scholars brought back to France became a treasure trove for scholars of Oriental studies</w:t>
      </w:r>
      <w:r w:rsidR="006202FA" w:rsidRPr="002D5B51">
        <w:rPr>
          <w:rFonts w:ascii="Brill" w:hAnsi="Brill"/>
          <w:sz w:val="28"/>
        </w:rPr>
        <w:t>.</w:t>
      </w:r>
      <w:r w:rsidR="006202FA" w:rsidRPr="002D5B51">
        <w:rPr>
          <w:rStyle w:val="FootnoteReference"/>
          <w:rFonts w:ascii="Brill" w:hAnsi="Brill"/>
          <w:sz w:val="28"/>
        </w:rPr>
        <w:footnoteReference w:id="3"/>
      </w:r>
      <w:r w:rsidR="006202FA" w:rsidRPr="002D5B51">
        <w:rPr>
          <w:rFonts w:ascii="Brill" w:hAnsi="Brill"/>
          <w:sz w:val="28"/>
        </w:rPr>
        <w:t xml:space="preserve"> </w:t>
      </w:r>
      <w:r w:rsidR="00635461" w:rsidRPr="002D5B51">
        <w:rPr>
          <w:rFonts w:ascii="Brill" w:hAnsi="Brill"/>
          <w:sz w:val="28"/>
        </w:rPr>
        <w:t xml:space="preserve">As European forces conquered the lands of the </w:t>
      </w:r>
      <w:r w:rsidR="00635461" w:rsidRPr="002D5B51">
        <w:rPr>
          <w:rFonts w:ascii="Brill" w:hAnsi="Brill"/>
          <w:sz w:val="28"/>
        </w:rPr>
        <w:lastRenderedPageBreak/>
        <w:t xml:space="preserve">Near East, namely West Asia, Turkey and Egypt, </w:t>
      </w:r>
      <w:r w:rsidR="006202FA" w:rsidRPr="002D5B51">
        <w:rPr>
          <w:rFonts w:ascii="Brill" w:hAnsi="Brill"/>
          <w:sz w:val="28"/>
        </w:rPr>
        <w:t xml:space="preserve">Orientalism </w:t>
      </w:r>
      <w:r w:rsidR="006202FA" w:rsidRPr="002D5B51">
        <w:rPr>
          <w:rFonts w:ascii="Brill" w:hAnsi="Brill"/>
          <w:sz w:val="28"/>
        </w:rPr>
        <w:t>approach</w:t>
      </w:r>
      <w:r w:rsidR="006202FA" w:rsidRPr="002D5B51">
        <w:rPr>
          <w:rFonts w:ascii="Brill" w:hAnsi="Brill"/>
          <w:sz w:val="28"/>
        </w:rPr>
        <w:t>ed</w:t>
      </w:r>
      <w:r w:rsidR="006202FA" w:rsidRPr="002D5B51">
        <w:rPr>
          <w:rFonts w:ascii="Brill" w:hAnsi="Brill"/>
          <w:sz w:val="28"/>
        </w:rPr>
        <w:t xml:space="preserve"> Islam and Muslims as the ‘other’, from the perspective of the enlightened, civilized west looking upon the uncivilized east. </w:t>
      </w:r>
      <w:r w:rsidR="00635461" w:rsidRPr="002D5B51">
        <w:rPr>
          <w:rFonts w:ascii="Brill" w:hAnsi="Brill"/>
          <w:sz w:val="28"/>
        </w:rPr>
        <w:t xml:space="preserve">For these great </w:t>
      </w:r>
      <w:proofErr w:type="spellStart"/>
      <w:r w:rsidR="00635461" w:rsidRPr="002D5B51">
        <w:rPr>
          <w:rFonts w:ascii="Brill" w:hAnsi="Brill"/>
          <w:sz w:val="28"/>
        </w:rPr>
        <w:t>conquerers</w:t>
      </w:r>
      <w:proofErr w:type="spellEnd"/>
      <w:r w:rsidR="00635461" w:rsidRPr="002D5B51">
        <w:rPr>
          <w:rFonts w:ascii="Brill" w:hAnsi="Brill"/>
          <w:sz w:val="28"/>
        </w:rPr>
        <w:t>,</w:t>
      </w:r>
      <w:r w:rsidR="006202FA" w:rsidRPr="002D5B51">
        <w:rPr>
          <w:rFonts w:ascii="Brill" w:hAnsi="Brill"/>
          <w:sz w:val="28"/>
        </w:rPr>
        <w:t xml:space="preserve"> knowledge of subject races, or Orientals, made them easy to manage</w:t>
      </w:r>
      <w:r w:rsidR="006202FA" w:rsidRPr="002D5B51">
        <w:rPr>
          <w:rFonts w:ascii="Brill" w:hAnsi="Brill"/>
          <w:sz w:val="28"/>
        </w:rPr>
        <w:t xml:space="preserve">, and </w:t>
      </w:r>
      <w:r w:rsidR="006202FA" w:rsidRPr="002D5B51">
        <w:rPr>
          <w:rFonts w:ascii="Brill" w:hAnsi="Brill"/>
          <w:sz w:val="28"/>
        </w:rPr>
        <w:t>the increase in this knowledge meant an increase in power</w:t>
      </w:r>
      <w:r w:rsidR="00AE6428" w:rsidRPr="002D5B51">
        <w:rPr>
          <w:rFonts w:ascii="Brill" w:hAnsi="Brill"/>
          <w:sz w:val="28"/>
        </w:rPr>
        <w:t>. The mindset seems to have been that if,</w:t>
      </w:r>
      <w:r w:rsidR="006202FA" w:rsidRPr="002D5B51">
        <w:rPr>
          <w:rFonts w:ascii="Brill" w:hAnsi="Brill"/>
          <w:sz w:val="28"/>
        </w:rPr>
        <w:t xml:space="preserve"> through knowing and </w:t>
      </w:r>
      <w:r w:rsidR="00AE6428" w:rsidRPr="002D5B51">
        <w:rPr>
          <w:rFonts w:ascii="Brill" w:hAnsi="Brill"/>
          <w:sz w:val="28"/>
        </w:rPr>
        <w:t xml:space="preserve">therefore </w:t>
      </w:r>
      <w:r w:rsidR="006202FA" w:rsidRPr="002D5B51">
        <w:rPr>
          <w:rFonts w:ascii="Brill" w:hAnsi="Brill"/>
          <w:sz w:val="28"/>
        </w:rPr>
        <w:t>subjugating,</w:t>
      </w:r>
      <w:r w:rsidR="006202FA" w:rsidRPr="002D5B51">
        <w:rPr>
          <w:rFonts w:ascii="Brill" w:hAnsi="Brill"/>
          <w:sz w:val="28"/>
        </w:rPr>
        <w:t xml:space="preserve"> the colonized territories were kept in check,</w:t>
      </w:r>
      <w:r w:rsidR="006202FA" w:rsidRPr="002D5B51">
        <w:rPr>
          <w:rFonts w:ascii="Brill" w:hAnsi="Brill"/>
          <w:sz w:val="28"/>
        </w:rPr>
        <w:t xml:space="preserve"> </w:t>
      </w:r>
      <w:r w:rsidR="006202FA" w:rsidRPr="002D5B51">
        <w:rPr>
          <w:rFonts w:ascii="Brill" w:hAnsi="Brill"/>
          <w:sz w:val="28"/>
        </w:rPr>
        <w:t>the sun would n</w:t>
      </w:r>
      <w:r w:rsidR="00635461" w:rsidRPr="002D5B51">
        <w:rPr>
          <w:rFonts w:ascii="Brill" w:hAnsi="Brill"/>
          <w:sz w:val="28"/>
        </w:rPr>
        <w:t>ever</w:t>
      </w:r>
      <w:r w:rsidR="006202FA" w:rsidRPr="002D5B51">
        <w:rPr>
          <w:rFonts w:ascii="Brill" w:hAnsi="Brill"/>
          <w:sz w:val="28"/>
        </w:rPr>
        <w:t xml:space="preserve"> set on the English Empire.</w:t>
      </w:r>
      <w:r w:rsidR="00AE6428" w:rsidRPr="002D5B51">
        <w:rPr>
          <w:rFonts w:ascii="Brill" w:hAnsi="Brill"/>
          <w:sz w:val="28"/>
        </w:rPr>
        <w:t xml:space="preserve"> </w:t>
      </w:r>
      <w:r w:rsidR="006202FA" w:rsidRPr="002D5B51">
        <w:rPr>
          <w:rFonts w:ascii="Brill" w:hAnsi="Brill"/>
          <w:sz w:val="28"/>
        </w:rPr>
        <w:t xml:space="preserve">In his seminal work, </w:t>
      </w:r>
      <w:r w:rsidR="00635461" w:rsidRPr="002D5B51">
        <w:rPr>
          <w:rFonts w:ascii="Brill" w:hAnsi="Brill"/>
          <w:sz w:val="28"/>
        </w:rPr>
        <w:t xml:space="preserve">Orientalism, </w:t>
      </w:r>
      <w:r w:rsidR="006202FA" w:rsidRPr="002D5B51">
        <w:rPr>
          <w:rFonts w:ascii="Brill" w:hAnsi="Brill"/>
          <w:sz w:val="28"/>
        </w:rPr>
        <w:t>Edward Said argues that the study of the Orient was confined to a framework built by the dominating West; the Oriental was depicted not only as something one studies, but also something that one disciplines</w:t>
      </w:r>
      <w:r w:rsidR="00635461" w:rsidRPr="002D5B51">
        <w:rPr>
          <w:rStyle w:val="FootnoteReference"/>
          <w:rFonts w:ascii="Brill" w:hAnsi="Brill"/>
          <w:sz w:val="28"/>
        </w:rPr>
        <w:footnoteReference w:id="4"/>
      </w:r>
      <w:r w:rsidR="006202FA" w:rsidRPr="002D5B51">
        <w:rPr>
          <w:rFonts w:ascii="Brill" w:hAnsi="Brill"/>
          <w:sz w:val="28"/>
        </w:rPr>
        <w:t xml:space="preserve">. This is portrayed succinctly in Said’s quoting of </w:t>
      </w:r>
      <w:r w:rsidR="006202FA" w:rsidRPr="002D5B51">
        <w:rPr>
          <w:rFonts w:ascii="Brill" w:hAnsi="Brill"/>
          <w:sz w:val="28"/>
          <w:lang w:val="en-GB"/>
        </w:rPr>
        <w:t>Arthur James Balfour, British Prime Minister from 1902 to 1905; famously known for the Balfour Declaration of 1917:</w:t>
      </w:r>
    </w:p>
    <w:p w14:paraId="1E785452" w14:textId="4870E23E" w:rsidR="006202FA" w:rsidRPr="002D5B51" w:rsidRDefault="006202FA" w:rsidP="006202FA">
      <w:pPr>
        <w:ind w:left="720"/>
        <w:rPr>
          <w:rFonts w:ascii="Brill" w:hAnsi="Brill"/>
          <w:i/>
          <w:iCs/>
          <w:sz w:val="28"/>
        </w:rPr>
      </w:pPr>
      <w:r w:rsidRPr="002D5B51">
        <w:rPr>
          <w:rFonts w:ascii="Brill" w:hAnsi="Brill"/>
          <w:i/>
          <w:iCs/>
          <w:sz w:val="28"/>
        </w:rPr>
        <w:t>But it is essential, that each special issue [in dealing with the “Egyptians, or Shilluks, or Zulus”] should be decided mainly with reference to what, by the light of Western knowledge and experience tempered by local consideration, we conscientiously think is best for the subject race[…]</w:t>
      </w:r>
      <w:r w:rsidRPr="002D5B51">
        <w:rPr>
          <w:rStyle w:val="FootnoteReference"/>
          <w:rFonts w:ascii="Brill" w:hAnsi="Brill"/>
          <w:sz w:val="28"/>
        </w:rPr>
        <w:footnoteReference w:id="5"/>
      </w:r>
    </w:p>
    <w:p w14:paraId="0F6C994F" w14:textId="3E937331" w:rsidR="00AE6428" w:rsidRPr="002D5B51" w:rsidRDefault="00AE6428" w:rsidP="00AE6428">
      <w:pPr>
        <w:rPr>
          <w:rFonts w:ascii="Brill" w:hAnsi="Brill"/>
          <w:sz w:val="28"/>
        </w:rPr>
      </w:pPr>
      <w:r w:rsidRPr="002D5B51">
        <w:rPr>
          <w:rFonts w:ascii="Brill" w:hAnsi="Brill"/>
          <w:sz w:val="28"/>
        </w:rPr>
        <w:t>As an ode to the lasting impact of the early Europeans’ approach toward Orientalism, even after the invasion of the Ottoman Empire and the subsequent receding of Occidental powers in the Middle East, the narrative of how the West approached the study of Islam and the Middle East remained relatively unchanged. According to Said, in the 19</w:t>
      </w:r>
      <w:r w:rsidRPr="002D5B51">
        <w:rPr>
          <w:rFonts w:ascii="Brill" w:hAnsi="Brill"/>
          <w:sz w:val="28"/>
          <w:vertAlign w:val="superscript"/>
        </w:rPr>
        <w:t>th</w:t>
      </w:r>
      <w:r w:rsidRPr="002D5B51">
        <w:rPr>
          <w:rFonts w:ascii="Brill" w:hAnsi="Brill"/>
          <w:sz w:val="28"/>
        </w:rPr>
        <w:t xml:space="preserve"> and 20</w:t>
      </w:r>
      <w:r w:rsidRPr="002D5B51">
        <w:rPr>
          <w:rFonts w:ascii="Brill" w:hAnsi="Brill"/>
          <w:sz w:val="28"/>
          <w:vertAlign w:val="superscript"/>
        </w:rPr>
        <w:t>th</w:t>
      </w:r>
      <w:r w:rsidRPr="002D5B51">
        <w:rPr>
          <w:rFonts w:ascii="Brill" w:hAnsi="Brill"/>
          <w:sz w:val="28"/>
        </w:rPr>
        <w:t xml:space="preserve"> centuries, assumptions were still in place that the Orient</w:t>
      </w:r>
      <w:r w:rsidRPr="002D5B51">
        <w:rPr>
          <w:rFonts w:ascii="Brill" w:hAnsi="Brill"/>
          <w:sz w:val="28"/>
        </w:rPr>
        <w:t xml:space="preserve"> -</w:t>
      </w:r>
      <w:r w:rsidRPr="002D5B51">
        <w:rPr>
          <w:rFonts w:ascii="Brill" w:hAnsi="Brill"/>
          <w:sz w:val="28"/>
        </w:rPr>
        <w:t>and everything in it</w:t>
      </w:r>
      <w:r w:rsidRPr="002D5B51">
        <w:rPr>
          <w:rFonts w:ascii="Brill" w:hAnsi="Brill"/>
          <w:sz w:val="28"/>
        </w:rPr>
        <w:t xml:space="preserve"> -</w:t>
      </w:r>
      <w:r w:rsidRPr="002D5B51">
        <w:rPr>
          <w:rFonts w:ascii="Brill" w:hAnsi="Brill"/>
          <w:sz w:val="28"/>
        </w:rPr>
        <w:t xml:space="preserve"> needed ‘corrective’ study. </w:t>
      </w:r>
    </w:p>
    <w:p w14:paraId="2CE63197" w14:textId="0ED8CE3F" w:rsidR="00123E9A" w:rsidRPr="002D5B51" w:rsidRDefault="00123E9A" w:rsidP="00123E9A">
      <w:pPr>
        <w:rPr>
          <w:rFonts w:ascii="Brill" w:hAnsi="Brill"/>
          <w:sz w:val="28"/>
        </w:rPr>
      </w:pPr>
      <w:r w:rsidRPr="002D5B51">
        <w:rPr>
          <w:rFonts w:ascii="Brill" w:hAnsi="Brill"/>
          <w:sz w:val="28"/>
        </w:rPr>
        <w:t xml:space="preserve">The conquest of the Near East </w:t>
      </w:r>
      <w:r w:rsidR="005C0DAA" w:rsidRPr="002D5B51">
        <w:rPr>
          <w:rFonts w:ascii="Brill" w:hAnsi="Brill"/>
          <w:sz w:val="28"/>
        </w:rPr>
        <w:t>(modern day Western Asia, Turkey and Egypt)</w:t>
      </w:r>
      <w:r w:rsidRPr="002D5B51">
        <w:rPr>
          <w:rFonts w:ascii="Brill" w:hAnsi="Brill"/>
          <w:sz w:val="28"/>
        </w:rPr>
        <w:t xml:space="preserve"> also brought with it an interest in the Arabic language. </w:t>
      </w:r>
      <w:r w:rsidRPr="00123E9A">
        <w:rPr>
          <w:rFonts w:ascii="Brill" w:hAnsi="Brill"/>
          <w:sz w:val="28"/>
        </w:rPr>
        <w:t xml:space="preserve">Although </w:t>
      </w:r>
      <w:proofErr w:type="gramStart"/>
      <w:r w:rsidRPr="00123E9A">
        <w:rPr>
          <w:rFonts w:ascii="Brill" w:hAnsi="Brill"/>
          <w:sz w:val="28"/>
        </w:rPr>
        <w:t>a number of</w:t>
      </w:r>
      <w:proofErr w:type="gramEnd"/>
      <w:r w:rsidRPr="00123E9A">
        <w:rPr>
          <w:rFonts w:ascii="Brill" w:hAnsi="Brill"/>
          <w:sz w:val="28"/>
        </w:rPr>
        <w:t xml:space="preserve"> Arabic works including religious writing w</w:t>
      </w:r>
      <w:r w:rsidRPr="002D5B51">
        <w:rPr>
          <w:rFonts w:ascii="Brill" w:hAnsi="Brill"/>
          <w:sz w:val="28"/>
        </w:rPr>
        <w:t>ere</w:t>
      </w:r>
      <w:r w:rsidRPr="00123E9A">
        <w:rPr>
          <w:rFonts w:ascii="Brill" w:hAnsi="Brill"/>
          <w:sz w:val="28"/>
        </w:rPr>
        <w:t xml:space="preserve"> translated into Latin in the 13</w:t>
      </w:r>
      <w:r w:rsidRPr="00123E9A">
        <w:rPr>
          <w:rFonts w:ascii="Brill" w:hAnsi="Brill"/>
          <w:sz w:val="28"/>
          <w:vertAlign w:val="superscript"/>
        </w:rPr>
        <w:t>th</w:t>
      </w:r>
      <w:r w:rsidRPr="00123E9A">
        <w:rPr>
          <w:rFonts w:ascii="Brill" w:hAnsi="Brill"/>
          <w:sz w:val="28"/>
        </w:rPr>
        <w:t xml:space="preserve"> century, this did not lead to the creation of institutions where Arabic was taught. </w:t>
      </w:r>
      <w:r w:rsidRPr="002D5B51">
        <w:rPr>
          <w:rFonts w:ascii="Brill" w:hAnsi="Brill"/>
          <w:sz w:val="28"/>
        </w:rPr>
        <w:t>More than 4 centuries later, i</w:t>
      </w:r>
      <w:r w:rsidRPr="00123E9A">
        <w:rPr>
          <w:rFonts w:ascii="Brill" w:hAnsi="Brill"/>
          <w:sz w:val="28"/>
        </w:rPr>
        <w:t>n the 17</w:t>
      </w:r>
      <w:r w:rsidRPr="00123E9A">
        <w:rPr>
          <w:rFonts w:ascii="Brill" w:hAnsi="Brill"/>
          <w:sz w:val="28"/>
          <w:vertAlign w:val="superscript"/>
        </w:rPr>
        <w:t xml:space="preserve">th </w:t>
      </w:r>
      <w:r w:rsidRPr="00123E9A">
        <w:rPr>
          <w:rFonts w:ascii="Brill" w:hAnsi="Brill"/>
          <w:sz w:val="28"/>
        </w:rPr>
        <w:t>and 18</w:t>
      </w:r>
      <w:r w:rsidRPr="00123E9A">
        <w:rPr>
          <w:rFonts w:ascii="Brill" w:hAnsi="Brill"/>
          <w:sz w:val="28"/>
          <w:vertAlign w:val="superscript"/>
        </w:rPr>
        <w:t>th</w:t>
      </w:r>
      <w:r w:rsidRPr="00123E9A">
        <w:rPr>
          <w:rFonts w:ascii="Brill" w:hAnsi="Brill"/>
          <w:sz w:val="28"/>
        </w:rPr>
        <w:t xml:space="preserve"> centuries, leading </w:t>
      </w:r>
      <w:proofErr w:type="spellStart"/>
      <w:r w:rsidRPr="00123E9A">
        <w:rPr>
          <w:rFonts w:ascii="Brill" w:hAnsi="Brill"/>
          <w:sz w:val="28"/>
        </w:rPr>
        <w:t>Arabists</w:t>
      </w:r>
      <w:proofErr w:type="spellEnd"/>
      <w:r w:rsidRPr="00123E9A">
        <w:rPr>
          <w:rFonts w:ascii="Brill" w:hAnsi="Brill"/>
          <w:sz w:val="28"/>
        </w:rPr>
        <w:t xml:space="preserve"> such as </w:t>
      </w:r>
      <w:proofErr w:type="spellStart"/>
      <w:r w:rsidRPr="00123E9A">
        <w:rPr>
          <w:rFonts w:ascii="Brill" w:hAnsi="Brill"/>
          <w:sz w:val="28"/>
        </w:rPr>
        <w:t>Golius</w:t>
      </w:r>
      <w:proofErr w:type="spellEnd"/>
      <w:r w:rsidRPr="00123E9A">
        <w:rPr>
          <w:rFonts w:ascii="Brill" w:hAnsi="Brill"/>
          <w:sz w:val="28"/>
        </w:rPr>
        <w:t xml:space="preserve"> and </w:t>
      </w:r>
      <w:proofErr w:type="spellStart"/>
      <w:r w:rsidRPr="00123E9A">
        <w:rPr>
          <w:rFonts w:ascii="Brill" w:hAnsi="Brill"/>
          <w:sz w:val="28"/>
        </w:rPr>
        <w:t>Rieske</w:t>
      </w:r>
      <w:proofErr w:type="spellEnd"/>
      <w:r w:rsidRPr="00123E9A">
        <w:rPr>
          <w:rFonts w:ascii="Brill" w:hAnsi="Brill"/>
          <w:sz w:val="28"/>
        </w:rPr>
        <w:t xml:space="preserve"> taught at Leiden University. </w:t>
      </w:r>
      <w:r w:rsidRPr="002D5B51">
        <w:rPr>
          <w:rFonts w:ascii="Brill" w:hAnsi="Brill"/>
          <w:sz w:val="28"/>
        </w:rPr>
        <w:t>The 19</w:t>
      </w:r>
      <w:r w:rsidRPr="002D5B51">
        <w:rPr>
          <w:rFonts w:ascii="Brill" w:hAnsi="Brill"/>
          <w:sz w:val="28"/>
          <w:vertAlign w:val="superscript"/>
        </w:rPr>
        <w:t>th</w:t>
      </w:r>
      <w:r w:rsidRPr="002D5B51">
        <w:rPr>
          <w:rFonts w:ascii="Brill" w:hAnsi="Brill"/>
          <w:sz w:val="28"/>
        </w:rPr>
        <w:t xml:space="preserve"> </w:t>
      </w:r>
      <w:r w:rsidRPr="002D5B51">
        <w:rPr>
          <w:rFonts w:ascii="Brill" w:hAnsi="Brill"/>
          <w:sz w:val="28"/>
        </w:rPr>
        <w:lastRenderedPageBreak/>
        <w:t xml:space="preserve">century saw the founding of the first specialized journal of Oriental literature, </w:t>
      </w:r>
      <w:proofErr w:type="spellStart"/>
      <w:r w:rsidRPr="002D5B51">
        <w:rPr>
          <w:rFonts w:ascii="Brill" w:hAnsi="Brill"/>
          <w:i/>
          <w:iCs/>
          <w:sz w:val="28"/>
        </w:rPr>
        <w:t>Fundgruben</w:t>
      </w:r>
      <w:proofErr w:type="spellEnd"/>
      <w:r w:rsidRPr="002D5B51">
        <w:rPr>
          <w:rFonts w:ascii="Brill" w:hAnsi="Brill"/>
          <w:i/>
          <w:iCs/>
          <w:sz w:val="28"/>
        </w:rPr>
        <w:t xml:space="preserve"> des Orients</w:t>
      </w:r>
      <w:r w:rsidRPr="002D5B51">
        <w:rPr>
          <w:rFonts w:ascii="Brill" w:hAnsi="Brill"/>
          <w:sz w:val="28"/>
        </w:rPr>
        <w:t>, by Joseph von Hammer-</w:t>
      </w:r>
      <w:proofErr w:type="spellStart"/>
      <w:r w:rsidRPr="002D5B51">
        <w:rPr>
          <w:rFonts w:ascii="Brill" w:hAnsi="Brill"/>
          <w:sz w:val="28"/>
        </w:rPr>
        <w:t>Purgstall</w:t>
      </w:r>
      <w:proofErr w:type="spellEnd"/>
      <w:r w:rsidRPr="002D5B51">
        <w:rPr>
          <w:rFonts w:ascii="Brill" w:hAnsi="Brill"/>
          <w:sz w:val="28"/>
        </w:rPr>
        <w:t>. Decades later, Hammer-</w:t>
      </w:r>
      <w:proofErr w:type="spellStart"/>
      <w:r w:rsidRPr="002D5B51">
        <w:rPr>
          <w:rFonts w:ascii="Brill" w:hAnsi="Brill"/>
          <w:sz w:val="28"/>
        </w:rPr>
        <w:t>Purgstall’s</w:t>
      </w:r>
      <w:proofErr w:type="spellEnd"/>
      <w:r w:rsidRPr="002D5B51">
        <w:rPr>
          <w:rFonts w:ascii="Brill" w:hAnsi="Brill"/>
          <w:sz w:val="28"/>
        </w:rPr>
        <w:t xml:space="preserve"> student, Friedrich </w:t>
      </w:r>
      <w:proofErr w:type="spellStart"/>
      <w:r w:rsidRPr="002D5B51">
        <w:rPr>
          <w:rFonts w:ascii="Brill" w:hAnsi="Brill"/>
          <w:sz w:val="28"/>
        </w:rPr>
        <w:t>Ruckert</w:t>
      </w:r>
      <w:proofErr w:type="spellEnd"/>
      <w:r w:rsidRPr="002D5B51">
        <w:rPr>
          <w:rFonts w:ascii="Brill" w:hAnsi="Brill"/>
          <w:sz w:val="28"/>
        </w:rPr>
        <w:t xml:space="preserve"> attempted to translate the Qur’an not only as to transmit its meanings, but also the rhetorical form of the text.</w:t>
      </w:r>
      <w:r w:rsidRPr="002D5B51">
        <w:rPr>
          <w:rFonts w:ascii="Brill" w:hAnsi="Brill"/>
          <w:sz w:val="28"/>
          <w:vertAlign w:val="superscript"/>
        </w:rPr>
        <w:footnoteReference w:id="6"/>
      </w:r>
    </w:p>
    <w:p w14:paraId="08633E04" w14:textId="44B32E99" w:rsidR="006C7558" w:rsidRPr="002D5B51" w:rsidRDefault="00AE6428" w:rsidP="00C05A47">
      <w:pPr>
        <w:rPr>
          <w:rFonts w:ascii="Brill" w:hAnsi="Brill"/>
          <w:sz w:val="28"/>
        </w:rPr>
      </w:pPr>
      <w:r w:rsidRPr="002D5B51">
        <w:rPr>
          <w:rFonts w:ascii="Brill" w:hAnsi="Brill"/>
          <w:sz w:val="28"/>
        </w:rPr>
        <w:t xml:space="preserve">Although today the relationship between Jews and Muslims is contentious, </w:t>
      </w:r>
      <w:r w:rsidR="006C7558" w:rsidRPr="002D5B51">
        <w:rPr>
          <w:rFonts w:ascii="Brill" w:hAnsi="Brill"/>
          <w:sz w:val="28"/>
        </w:rPr>
        <w:t>t</w:t>
      </w:r>
      <w:r w:rsidR="005D183A" w:rsidRPr="002D5B51">
        <w:rPr>
          <w:rFonts w:ascii="Brill" w:hAnsi="Brill"/>
          <w:sz w:val="28"/>
        </w:rPr>
        <w:t xml:space="preserve">he study of the </w:t>
      </w:r>
      <w:proofErr w:type="spellStart"/>
      <w:r w:rsidR="00C05A47" w:rsidRPr="002D5B51">
        <w:rPr>
          <w:rFonts w:ascii="Brill" w:hAnsi="Brill"/>
          <w:sz w:val="28"/>
        </w:rPr>
        <w:t>Qurʾān</w:t>
      </w:r>
      <w:proofErr w:type="spellEnd"/>
      <w:r w:rsidR="005D183A" w:rsidRPr="002D5B51">
        <w:rPr>
          <w:rFonts w:ascii="Brill" w:hAnsi="Brill"/>
          <w:sz w:val="28"/>
        </w:rPr>
        <w:t xml:space="preserve"> by European Jews</w:t>
      </w:r>
      <w:r w:rsidR="00881057" w:rsidRPr="002D5B51">
        <w:rPr>
          <w:rFonts w:ascii="Brill" w:hAnsi="Brill"/>
          <w:sz w:val="28"/>
        </w:rPr>
        <w:t xml:space="preserve"> from the 1830s to the 1930s</w:t>
      </w:r>
      <w:r w:rsidR="00FE7E9B" w:rsidRPr="002D5B51">
        <w:rPr>
          <w:rFonts w:ascii="Brill" w:hAnsi="Brill"/>
          <w:sz w:val="28"/>
        </w:rPr>
        <w:t>,</w:t>
      </w:r>
      <w:r w:rsidR="00A37CAB" w:rsidRPr="002D5B51">
        <w:rPr>
          <w:rFonts w:ascii="Brill" w:hAnsi="Brill"/>
          <w:sz w:val="28"/>
        </w:rPr>
        <w:t xml:space="preserve"> contributed to the field of Islamic studies</w:t>
      </w:r>
      <w:r w:rsidR="001E3FC3" w:rsidRPr="002D5B51">
        <w:rPr>
          <w:rFonts w:ascii="Brill" w:hAnsi="Brill"/>
          <w:sz w:val="28"/>
        </w:rPr>
        <w:t xml:space="preserve">. </w:t>
      </w:r>
      <w:r w:rsidR="00314EE4" w:rsidRPr="002D5B51">
        <w:rPr>
          <w:rFonts w:ascii="Brill" w:hAnsi="Brill"/>
          <w:sz w:val="28"/>
        </w:rPr>
        <w:t>Islam was applauded by Jewish historians for the tolerance afforded to Jews in Muslim Spain, and for allowing Jews and Judaism to flourish in its domain. Jewish scholarship explored themes such as Islamic theological princip</w:t>
      </w:r>
      <w:r w:rsidR="00D97032" w:rsidRPr="002D5B51">
        <w:rPr>
          <w:rFonts w:ascii="Brill" w:hAnsi="Brill"/>
          <w:sz w:val="28"/>
        </w:rPr>
        <w:t>les, medieval Muslims</w:t>
      </w:r>
      <w:r w:rsidR="00E2071D" w:rsidRPr="002D5B51">
        <w:rPr>
          <w:rFonts w:ascii="Brill" w:hAnsi="Brill"/>
          <w:sz w:val="28"/>
        </w:rPr>
        <w:t>’</w:t>
      </w:r>
      <w:r w:rsidR="00D97032" w:rsidRPr="002D5B51">
        <w:rPr>
          <w:rFonts w:ascii="Brill" w:hAnsi="Brill"/>
          <w:sz w:val="28"/>
        </w:rPr>
        <w:t xml:space="preserve"> advancement in science and philosophy, </w:t>
      </w:r>
      <w:r w:rsidR="000C3BF9" w:rsidRPr="002D5B51">
        <w:rPr>
          <w:rFonts w:ascii="Brill" w:hAnsi="Brill"/>
          <w:sz w:val="28"/>
        </w:rPr>
        <w:t xml:space="preserve">and </w:t>
      </w:r>
      <w:r w:rsidR="00D97032" w:rsidRPr="002D5B51">
        <w:rPr>
          <w:rFonts w:ascii="Brill" w:hAnsi="Brill"/>
          <w:sz w:val="28"/>
        </w:rPr>
        <w:t>a Jewish “golden age” under Muslim rule in medieval Spain. This was propped against the backdrop of atrocities towards Jews in medieval Christian Europe.</w:t>
      </w:r>
      <w:r w:rsidR="006C7558" w:rsidRPr="002D5B51">
        <w:rPr>
          <w:rFonts w:ascii="Brill" w:hAnsi="Brill"/>
          <w:sz w:val="28"/>
        </w:rPr>
        <w:t xml:space="preserve"> However, once the Nazis came to power </w:t>
      </w:r>
      <w:r w:rsidR="006202FA" w:rsidRPr="002D5B51">
        <w:rPr>
          <w:rFonts w:ascii="Brill" w:hAnsi="Brill"/>
          <w:sz w:val="28"/>
        </w:rPr>
        <w:t xml:space="preserve">in 1933 </w:t>
      </w:r>
      <w:r w:rsidR="006C7558" w:rsidRPr="002D5B51">
        <w:rPr>
          <w:rFonts w:ascii="Brill" w:hAnsi="Brill"/>
          <w:sz w:val="28"/>
        </w:rPr>
        <w:t>and Jews lost their academic positions, Islamic studies in Germany were all but decimated.</w:t>
      </w:r>
      <w:r w:rsidR="006C7558" w:rsidRPr="002D5B51">
        <w:rPr>
          <w:rStyle w:val="FootnoteReference"/>
          <w:rFonts w:ascii="Brill" w:hAnsi="Brill"/>
          <w:sz w:val="28"/>
        </w:rPr>
        <w:t xml:space="preserve"> </w:t>
      </w:r>
      <w:r w:rsidR="006C7558" w:rsidRPr="002D5B51">
        <w:rPr>
          <w:rStyle w:val="FootnoteReference"/>
          <w:rFonts w:ascii="Brill" w:hAnsi="Brill"/>
          <w:sz w:val="28"/>
        </w:rPr>
        <w:footnoteReference w:id="7"/>
      </w:r>
    </w:p>
    <w:p w14:paraId="16FFB046" w14:textId="350101D7" w:rsidR="002A4278" w:rsidRPr="002D5B51" w:rsidRDefault="002A4278" w:rsidP="00AD0D4B">
      <w:pPr>
        <w:rPr>
          <w:rFonts w:ascii="Brill" w:hAnsi="Brill"/>
          <w:sz w:val="28"/>
        </w:rPr>
      </w:pPr>
      <w:r w:rsidRPr="002D5B51">
        <w:rPr>
          <w:rFonts w:ascii="Brill" w:hAnsi="Brill"/>
          <w:sz w:val="28"/>
        </w:rPr>
        <w:t xml:space="preserve">In the context of modern times, if we look at the effects of geo-political events on teaching and researching Islam and Muslims, we will find that the creation of the Israeli state in 1948, the </w:t>
      </w:r>
      <w:r w:rsidR="003719EF" w:rsidRPr="002D5B51">
        <w:rPr>
          <w:rFonts w:ascii="Brill" w:hAnsi="Brill"/>
          <w:sz w:val="28"/>
        </w:rPr>
        <w:t xml:space="preserve">Iranian revolution and the </w:t>
      </w:r>
      <w:r w:rsidRPr="002D5B51">
        <w:rPr>
          <w:rFonts w:ascii="Brill" w:hAnsi="Brill"/>
          <w:sz w:val="28"/>
        </w:rPr>
        <w:t xml:space="preserve">Soviet invasion of Afghanistan in 1979, the attacks on </w:t>
      </w:r>
      <w:r w:rsidR="006B10F8" w:rsidRPr="002D5B51">
        <w:rPr>
          <w:rFonts w:ascii="Brill" w:hAnsi="Brill"/>
          <w:sz w:val="28"/>
        </w:rPr>
        <w:t xml:space="preserve">Twin Towers in New York on </w:t>
      </w:r>
      <w:r w:rsidRPr="002D5B51">
        <w:rPr>
          <w:rFonts w:ascii="Brill" w:hAnsi="Brill"/>
          <w:sz w:val="28"/>
        </w:rPr>
        <w:t>9/11, and the subsequent U.S Iraq war were</w:t>
      </w:r>
      <w:r w:rsidR="006B10F8" w:rsidRPr="002D5B51">
        <w:rPr>
          <w:rFonts w:ascii="Brill" w:hAnsi="Brill"/>
          <w:sz w:val="28"/>
        </w:rPr>
        <w:t xml:space="preserve"> some of the</w:t>
      </w:r>
      <w:r w:rsidRPr="002D5B51">
        <w:rPr>
          <w:rFonts w:ascii="Brill" w:hAnsi="Brill"/>
          <w:sz w:val="28"/>
        </w:rPr>
        <w:t xml:space="preserve"> major events that helped shape how universities t</w:t>
      </w:r>
      <w:r w:rsidR="006B10F8" w:rsidRPr="002D5B51">
        <w:rPr>
          <w:rFonts w:ascii="Brill" w:hAnsi="Brill"/>
          <w:sz w:val="28"/>
        </w:rPr>
        <w:t xml:space="preserve">each </w:t>
      </w:r>
      <w:r w:rsidRPr="002D5B51">
        <w:rPr>
          <w:rFonts w:ascii="Brill" w:hAnsi="Brill"/>
          <w:sz w:val="28"/>
        </w:rPr>
        <w:t>Islam</w:t>
      </w:r>
      <w:r w:rsidR="006B10F8" w:rsidRPr="002D5B51">
        <w:rPr>
          <w:rFonts w:ascii="Brill" w:hAnsi="Brill"/>
          <w:sz w:val="28"/>
        </w:rPr>
        <w:t>, or about Islam, today</w:t>
      </w:r>
      <w:r w:rsidRPr="002D5B51">
        <w:rPr>
          <w:rFonts w:ascii="Brill" w:hAnsi="Brill"/>
          <w:sz w:val="28"/>
        </w:rPr>
        <w:t xml:space="preserve">. </w:t>
      </w:r>
      <w:r w:rsidR="006B10F8" w:rsidRPr="002D5B51">
        <w:rPr>
          <w:rFonts w:ascii="Brill" w:hAnsi="Brill"/>
          <w:sz w:val="28"/>
        </w:rPr>
        <w:t xml:space="preserve">While I shall revisit these events a little later, I must also address the socio-economical factor that contributed to the study of Islam in this era. </w:t>
      </w:r>
      <w:r w:rsidRPr="002D5B51">
        <w:rPr>
          <w:rFonts w:ascii="Brill" w:hAnsi="Brill"/>
          <w:sz w:val="28"/>
        </w:rPr>
        <w:t xml:space="preserve">As trade between the Gulf and the West grew, and the West realized the treasure trove of oil that awaited exploitation, learning about Islam and Muslims took </w:t>
      </w:r>
      <w:r w:rsidR="006B10F8" w:rsidRPr="002D5B51">
        <w:rPr>
          <w:rFonts w:ascii="Brill" w:hAnsi="Brill"/>
          <w:sz w:val="28"/>
        </w:rPr>
        <w:t xml:space="preserve">a less scholarly turn. </w:t>
      </w:r>
      <w:r w:rsidRPr="002D5B51">
        <w:rPr>
          <w:rFonts w:ascii="Brill" w:hAnsi="Brill"/>
          <w:sz w:val="28"/>
        </w:rPr>
        <w:t xml:space="preserve">Now, the eye was on gaining knowledge of a region that promised great job opportunities, where a certificate in Islamic studies would greatly increase the </w:t>
      </w:r>
      <w:r w:rsidRPr="002D5B51">
        <w:rPr>
          <w:rFonts w:ascii="Brill" w:hAnsi="Brill"/>
          <w:sz w:val="28"/>
        </w:rPr>
        <w:lastRenderedPageBreak/>
        <w:t>likelihood of securing a job in the region, or at least give one an edge over other aspirants who were not thus informed.</w:t>
      </w:r>
      <w:r w:rsidR="003719EF" w:rsidRPr="002D5B51">
        <w:rPr>
          <w:rFonts w:ascii="Brill" w:hAnsi="Brill"/>
          <w:sz w:val="28"/>
        </w:rPr>
        <w:t xml:space="preserve"> </w:t>
      </w:r>
      <w:r w:rsidR="006B10F8" w:rsidRPr="002D5B51">
        <w:rPr>
          <w:rFonts w:ascii="Brill" w:hAnsi="Brill"/>
          <w:sz w:val="28"/>
        </w:rPr>
        <w:t>Coming back to my point on geo-politics, t</w:t>
      </w:r>
      <w:r w:rsidR="003719EF" w:rsidRPr="002D5B51">
        <w:rPr>
          <w:rFonts w:ascii="Brill" w:hAnsi="Brill"/>
          <w:sz w:val="28"/>
        </w:rPr>
        <w:t xml:space="preserve">he Iranian revolution introduced the West </w:t>
      </w:r>
      <w:r w:rsidRPr="002D5B51">
        <w:rPr>
          <w:rFonts w:ascii="Brill" w:hAnsi="Brill"/>
          <w:sz w:val="28"/>
        </w:rPr>
        <w:t>to the might of Muslim nations</w:t>
      </w:r>
      <w:r w:rsidR="003719EF" w:rsidRPr="002D5B51">
        <w:rPr>
          <w:rFonts w:ascii="Brill" w:hAnsi="Brill"/>
          <w:sz w:val="28"/>
        </w:rPr>
        <w:t>,</w:t>
      </w:r>
      <w:r w:rsidRPr="002D5B51">
        <w:rPr>
          <w:rFonts w:ascii="Brill" w:hAnsi="Brill"/>
          <w:sz w:val="28"/>
        </w:rPr>
        <w:t xml:space="preserve"> and</w:t>
      </w:r>
      <w:r w:rsidR="003719EF" w:rsidRPr="002D5B51">
        <w:rPr>
          <w:rFonts w:ascii="Brill" w:hAnsi="Brill"/>
          <w:sz w:val="28"/>
        </w:rPr>
        <w:t xml:space="preserve"> Europe and North America</w:t>
      </w:r>
      <w:r w:rsidRPr="002D5B51">
        <w:rPr>
          <w:rFonts w:ascii="Brill" w:hAnsi="Brill"/>
          <w:sz w:val="28"/>
        </w:rPr>
        <w:t xml:space="preserve"> would now see them as a small if insignificant threat to themselves. This gave birth to the socio-political</w:t>
      </w:r>
      <w:r w:rsidR="006B10F8" w:rsidRPr="002D5B51">
        <w:rPr>
          <w:rFonts w:ascii="Brill" w:hAnsi="Brill"/>
          <w:sz w:val="28"/>
        </w:rPr>
        <w:t xml:space="preserve"> </w:t>
      </w:r>
      <w:r w:rsidRPr="002D5B51">
        <w:rPr>
          <w:rFonts w:ascii="Brill" w:hAnsi="Brill"/>
          <w:sz w:val="28"/>
        </w:rPr>
        <w:t>nature of the study of Islam.</w:t>
      </w:r>
      <w:r w:rsidR="003F6B35" w:rsidRPr="002D5B51">
        <w:rPr>
          <w:rFonts w:ascii="Brill" w:hAnsi="Brill"/>
          <w:sz w:val="28"/>
        </w:rPr>
        <w:t xml:space="preserve"> </w:t>
      </w:r>
      <w:r w:rsidR="006B10F8" w:rsidRPr="002D5B51">
        <w:rPr>
          <w:rFonts w:ascii="Brill" w:hAnsi="Brill"/>
          <w:sz w:val="28"/>
        </w:rPr>
        <w:t>While t</w:t>
      </w:r>
      <w:r w:rsidR="003F6B35" w:rsidRPr="002D5B51">
        <w:rPr>
          <w:rFonts w:ascii="Brill" w:hAnsi="Brill"/>
          <w:sz w:val="28"/>
        </w:rPr>
        <w:t xml:space="preserve">he anthropology of Islam has an early history in the colonial era, the systematic anthropological study of Islam </w:t>
      </w:r>
      <w:proofErr w:type="gramStart"/>
      <w:r w:rsidR="003F6B35" w:rsidRPr="002D5B51">
        <w:rPr>
          <w:rFonts w:ascii="Brill" w:hAnsi="Brill"/>
          <w:sz w:val="28"/>
        </w:rPr>
        <w:t>dates back to</w:t>
      </w:r>
      <w:proofErr w:type="gramEnd"/>
      <w:r w:rsidR="003F6B35" w:rsidRPr="002D5B51">
        <w:rPr>
          <w:rFonts w:ascii="Brill" w:hAnsi="Brill"/>
          <w:sz w:val="28"/>
        </w:rPr>
        <w:t xml:space="preserve"> the mid-20</w:t>
      </w:r>
      <w:r w:rsidR="003F6B35" w:rsidRPr="002D5B51">
        <w:rPr>
          <w:rFonts w:ascii="Brill" w:hAnsi="Brill"/>
          <w:sz w:val="28"/>
          <w:vertAlign w:val="superscript"/>
        </w:rPr>
        <w:t>th</w:t>
      </w:r>
      <w:r w:rsidR="003F6B35" w:rsidRPr="002D5B51">
        <w:rPr>
          <w:rFonts w:ascii="Brill" w:hAnsi="Brill"/>
          <w:sz w:val="28"/>
        </w:rPr>
        <w:t xml:space="preserve"> century. Middle Eastern studies in the U.S. in the first decades of this century looked upon Islam as a pre-modern phenomenon which was to recede in importance as the region entered history.</w:t>
      </w:r>
      <w:r w:rsidR="003F6B35" w:rsidRPr="002D5B51">
        <w:rPr>
          <w:rStyle w:val="FootnoteReference"/>
          <w:rFonts w:ascii="Brill" w:hAnsi="Brill"/>
          <w:sz w:val="28"/>
        </w:rPr>
        <w:footnoteReference w:id="8"/>
      </w:r>
      <w:r w:rsidR="003F6B35" w:rsidRPr="002D5B51">
        <w:rPr>
          <w:rFonts w:ascii="Brill" w:hAnsi="Brill"/>
          <w:sz w:val="28"/>
        </w:rPr>
        <w:t xml:space="preserve"> Even through the 1940s and 50s, the focus, by French and British anthropologists, was more on the study of societies whose members were Muslim, rather than on Islam. The Iranian Revolution in the 70s</w:t>
      </w:r>
      <w:r w:rsidR="00AD0D4B" w:rsidRPr="002D5B51">
        <w:rPr>
          <w:rFonts w:ascii="Brill" w:hAnsi="Brill"/>
          <w:sz w:val="28"/>
        </w:rPr>
        <w:t>, which saw the overthrow of the last monarch of Islam and the replacement of his government by an Islamic republic</w:t>
      </w:r>
      <w:r w:rsidR="003F6B35" w:rsidRPr="002D5B51">
        <w:rPr>
          <w:rFonts w:ascii="Brill" w:hAnsi="Brill"/>
          <w:sz w:val="28"/>
        </w:rPr>
        <w:t xml:space="preserve"> made some scholars re-evaluate this </w:t>
      </w:r>
      <w:proofErr w:type="spellStart"/>
      <w:r w:rsidR="003F6B35" w:rsidRPr="002D5B51">
        <w:rPr>
          <w:rFonts w:ascii="Brill" w:hAnsi="Brill"/>
          <w:sz w:val="28"/>
        </w:rPr>
        <w:t>position</w:t>
      </w:r>
      <w:r w:rsidR="00AD0D4B" w:rsidRPr="002D5B51">
        <w:rPr>
          <w:rFonts w:ascii="Brill" w:hAnsi="Brill"/>
          <w:sz w:val="28"/>
        </w:rPr>
        <w:t>.B</w:t>
      </w:r>
      <w:r w:rsidR="003F6B35" w:rsidRPr="002D5B51">
        <w:rPr>
          <w:rFonts w:ascii="Brill" w:hAnsi="Brill"/>
          <w:sz w:val="28"/>
        </w:rPr>
        <w:t>y</w:t>
      </w:r>
      <w:proofErr w:type="spellEnd"/>
      <w:r w:rsidR="003F6B35" w:rsidRPr="002D5B51">
        <w:rPr>
          <w:rFonts w:ascii="Brill" w:hAnsi="Brill"/>
          <w:sz w:val="28"/>
        </w:rPr>
        <w:t xml:space="preserve"> the 1990s, American anthropologists became more concerned with the cultural patterning of Islam. Some anthropologists pursued a new avenue of research; their emphasis was on the textual interpretations of the main texts of Islam, namely the </w:t>
      </w:r>
      <w:proofErr w:type="spellStart"/>
      <w:r w:rsidR="00C05A47" w:rsidRPr="002D5B51">
        <w:rPr>
          <w:rFonts w:ascii="Brill" w:hAnsi="Brill"/>
          <w:sz w:val="28"/>
        </w:rPr>
        <w:t>Qurʾān</w:t>
      </w:r>
      <w:proofErr w:type="spellEnd"/>
      <w:r w:rsidR="003F6B35" w:rsidRPr="002D5B51">
        <w:rPr>
          <w:rFonts w:ascii="Brill" w:hAnsi="Brill"/>
          <w:sz w:val="28"/>
        </w:rPr>
        <w:t xml:space="preserve"> and the </w:t>
      </w:r>
      <w:proofErr w:type="spellStart"/>
      <w:r w:rsidR="00AD0D4B" w:rsidRPr="002D5B51">
        <w:rPr>
          <w:rFonts w:ascii="Brill" w:hAnsi="Brill"/>
          <w:sz w:val="28"/>
        </w:rPr>
        <w:t>Hadīth</w:t>
      </w:r>
      <w:proofErr w:type="spellEnd"/>
      <w:r w:rsidR="003F6B35" w:rsidRPr="002D5B51">
        <w:rPr>
          <w:rFonts w:ascii="Brill" w:hAnsi="Brill"/>
          <w:sz w:val="28"/>
        </w:rPr>
        <w:t xml:space="preserve">, and the way the Muslim </w:t>
      </w:r>
      <w:r w:rsidR="003F6B35" w:rsidRPr="002D5B51">
        <w:rPr>
          <w:rFonts w:ascii="Brill" w:hAnsi="Brill"/>
          <w:i/>
          <w:iCs/>
          <w:sz w:val="28"/>
        </w:rPr>
        <w:t>ummah</w:t>
      </w:r>
      <w:r w:rsidR="003F6B35" w:rsidRPr="002D5B51">
        <w:rPr>
          <w:rFonts w:ascii="Brill" w:hAnsi="Brill"/>
          <w:sz w:val="28"/>
        </w:rPr>
        <w:t xml:space="preserve"> adapted these into their daily lives.</w:t>
      </w:r>
      <w:r w:rsidR="003F6B35" w:rsidRPr="002D5B51">
        <w:rPr>
          <w:rStyle w:val="FootnoteReference"/>
          <w:rFonts w:ascii="Brill" w:hAnsi="Brill"/>
          <w:sz w:val="28"/>
        </w:rPr>
        <w:footnoteReference w:id="9"/>
      </w:r>
      <w:r w:rsidR="003F6B35" w:rsidRPr="002D5B51">
        <w:rPr>
          <w:rFonts w:ascii="Brill" w:hAnsi="Brill"/>
          <w:sz w:val="28"/>
        </w:rPr>
        <w:t xml:space="preserve"> By the dawn of the 21</w:t>
      </w:r>
      <w:r w:rsidR="003F6B35" w:rsidRPr="002D5B51">
        <w:rPr>
          <w:rFonts w:ascii="Brill" w:hAnsi="Brill"/>
          <w:sz w:val="28"/>
          <w:vertAlign w:val="superscript"/>
        </w:rPr>
        <w:t>st</w:t>
      </w:r>
      <w:r w:rsidR="003F6B35" w:rsidRPr="002D5B51">
        <w:rPr>
          <w:rFonts w:ascii="Brill" w:hAnsi="Brill"/>
          <w:sz w:val="28"/>
        </w:rPr>
        <w:t xml:space="preserve"> century, social scientists had a different concern; that the term Islamic Studies focused more on Muslims’ religious identities rather than the themes of Muslim societies and civilizations.</w:t>
      </w:r>
      <w:r w:rsidR="003F6B35" w:rsidRPr="002D5B51">
        <w:rPr>
          <w:rStyle w:val="FootnoteReference"/>
          <w:rFonts w:ascii="Brill" w:hAnsi="Brill"/>
          <w:sz w:val="28"/>
        </w:rPr>
        <w:footnoteReference w:id="10"/>
      </w:r>
    </w:p>
    <w:p w14:paraId="58C50C37" w14:textId="598069F2" w:rsidR="0013669E" w:rsidRPr="002D5B51" w:rsidRDefault="00FD5A44" w:rsidP="003719EF">
      <w:pPr>
        <w:rPr>
          <w:rFonts w:ascii="Brill" w:hAnsi="Brill"/>
          <w:sz w:val="28"/>
        </w:rPr>
      </w:pPr>
      <w:r w:rsidRPr="002D5B51">
        <w:rPr>
          <w:rFonts w:ascii="Brill" w:hAnsi="Brill"/>
          <w:sz w:val="28"/>
        </w:rPr>
        <w:t>However,</w:t>
      </w:r>
      <w:r w:rsidR="002A4278" w:rsidRPr="002D5B51">
        <w:rPr>
          <w:rFonts w:ascii="Brill" w:hAnsi="Brill"/>
          <w:sz w:val="28"/>
        </w:rPr>
        <w:t xml:space="preserve"> no geo-political event in and since the 20</w:t>
      </w:r>
      <w:r w:rsidR="002A4278" w:rsidRPr="002D5B51">
        <w:rPr>
          <w:rFonts w:ascii="Brill" w:hAnsi="Brill"/>
          <w:sz w:val="28"/>
          <w:vertAlign w:val="superscript"/>
        </w:rPr>
        <w:t>th</w:t>
      </w:r>
      <w:r w:rsidR="002A4278" w:rsidRPr="002D5B51">
        <w:rPr>
          <w:rFonts w:ascii="Brill" w:hAnsi="Brill"/>
          <w:sz w:val="28"/>
        </w:rPr>
        <w:t xml:space="preserve"> century has caused as colossal a change in the way Islam is taught in universities as the attacks on the Twin Towers on that dreaded day in September. </w:t>
      </w:r>
      <w:r w:rsidR="003719EF" w:rsidRPr="002D5B51">
        <w:rPr>
          <w:rFonts w:ascii="Brill" w:hAnsi="Brill"/>
          <w:sz w:val="28"/>
        </w:rPr>
        <w:t xml:space="preserve">Firstly, as an immediate reaction to the atrocities committed by a terror outfit in the name of Islam, mass media was inundated with hundreds of people who had something to say or teach about what they now saw Islam and Muslims as. As is the case with anything that is unfamiliar, lack of authentic information on one side and </w:t>
      </w:r>
      <w:r w:rsidR="003719EF" w:rsidRPr="002D5B51">
        <w:rPr>
          <w:rFonts w:ascii="Brill" w:hAnsi="Brill"/>
          <w:sz w:val="28"/>
        </w:rPr>
        <w:lastRenderedPageBreak/>
        <w:t xml:space="preserve">the sensationalism of what was being fed to the public on the other helped to greatly propagate the idea of Islam as a religion of violence. </w:t>
      </w:r>
    </w:p>
    <w:p w14:paraId="6A1A2F4A" w14:textId="777E486B" w:rsidR="002A4278" w:rsidRPr="002D5B51" w:rsidRDefault="003719EF" w:rsidP="003F6B35">
      <w:pPr>
        <w:rPr>
          <w:rFonts w:ascii="Brill" w:hAnsi="Brill"/>
          <w:sz w:val="28"/>
        </w:rPr>
      </w:pPr>
      <w:r w:rsidRPr="002D5B51">
        <w:rPr>
          <w:rFonts w:ascii="Brill" w:hAnsi="Brill"/>
          <w:sz w:val="28"/>
        </w:rPr>
        <w:t>On the other hand, the academic study of Islam became the most sought-after areas of expertise in North America.</w:t>
      </w:r>
      <w:r w:rsidRPr="002D5B51">
        <w:rPr>
          <w:rStyle w:val="FootnoteReference"/>
          <w:rFonts w:ascii="Brill" w:hAnsi="Brill"/>
          <w:sz w:val="28"/>
        </w:rPr>
        <w:footnoteReference w:id="11"/>
      </w:r>
      <w:r w:rsidR="003F6B35" w:rsidRPr="002D5B51">
        <w:rPr>
          <w:rFonts w:ascii="Brill" w:hAnsi="Brill"/>
          <w:sz w:val="28"/>
        </w:rPr>
        <w:t xml:space="preserve"> Multiple disciplines conducted varied discussion on Islam and Muslims in their discourse: Media and popular culture, which were often the only point of reference and source of knowledge for the West about Islam and Muslims, became a subject of analysis. Feminism and gender studies discussed the roles of the Muslim woman, and the rights accorded to her by Islam. Ethnography and anthropology focused on small scale Islamic societies and worked to debunk some </w:t>
      </w:r>
      <w:r w:rsidR="00C05A47" w:rsidRPr="002D5B51">
        <w:rPr>
          <w:rFonts w:ascii="Brill" w:hAnsi="Brill"/>
          <w:sz w:val="28"/>
        </w:rPr>
        <w:t>stereotypes and</w:t>
      </w:r>
      <w:r w:rsidR="003F6B35" w:rsidRPr="002D5B51">
        <w:rPr>
          <w:rFonts w:ascii="Brill" w:hAnsi="Brill"/>
          <w:sz w:val="28"/>
        </w:rPr>
        <w:t xml:space="preserve"> correct some </w:t>
      </w:r>
      <w:proofErr w:type="spellStart"/>
      <w:r w:rsidR="003F6B35" w:rsidRPr="002D5B51">
        <w:rPr>
          <w:rFonts w:ascii="Brill" w:hAnsi="Brill"/>
          <w:sz w:val="28"/>
        </w:rPr>
        <w:t>ideali</w:t>
      </w:r>
      <w:r w:rsidR="00123E9A" w:rsidRPr="002D5B51">
        <w:rPr>
          <w:rFonts w:ascii="Brill" w:hAnsi="Brill"/>
          <w:sz w:val="28"/>
        </w:rPr>
        <w:t>s</w:t>
      </w:r>
      <w:r w:rsidR="003F6B35" w:rsidRPr="002D5B51">
        <w:rPr>
          <w:rFonts w:ascii="Brill" w:hAnsi="Brill"/>
          <w:sz w:val="28"/>
        </w:rPr>
        <w:t>ed</w:t>
      </w:r>
      <w:proofErr w:type="spellEnd"/>
      <w:r w:rsidR="003F6B35" w:rsidRPr="002D5B51">
        <w:rPr>
          <w:rFonts w:ascii="Brill" w:hAnsi="Brill"/>
          <w:sz w:val="28"/>
        </w:rPr>
        <w:t xml:space="preserve"> pictures gleaned from classical texts. In the late 20</w:t>
      </w:r>
      <w:r w:rsidR="003F6B35" w:rsidRPr="002D5B51">
        <w:rPr>
          <w:rFonts w:ascii="Brill" w:hAnsi="Brill"/>
          <w:sz w:val="28"/>
          <w:vertAlign w:val="superscript"/>
        </w:rPr>
        <w:t>th</w:t>
      </w:r>
      <w:r w:rsidR="003F6B35" w:rsidRPr="002D5B51">
        <w:rPr>
          <w:rFonts w:ascii="Brill" w:hAnsi="Brill"/>
          <w:sz w:val="28"/>
        </w:rPr>
        <w:t xml:space="preserve"> century, the ideologies of Salafism, </w:t>
      </w:r>
      <w:r w:rsidR="00C05A47" w:rsidRPr="002D5B51">
        <w:rPr>
          <w:rFonts w:ascii="Brill" w:hAnsi="Brill"/>
          <w:sz w:val="28"/>
        </w:rPr>
        <w:t>Wahhabism</w:t>
      </w:r>
      <w:r w:rsidR="003F6B35" w:rsidRPr="002D5B51">
        <w:rPr>
          <w:rFonts w:ascii="Brill" w:hAnsi="Brill"/>
          <w:sz w:val="28"/>
        </w:rPr>
        <w:t>, and with them Jihadist movements became the subject of academic inquiry.</w:t>
      </w:r>
      <w:r w:rsidR="003F6B35" w:rsidRPr="002D5B51">
        <w:rPr>
          <w:rStyle w:val="FootnoteReference"/>
          <w:rFonts w:ascii="Brill" w:hAnsi="Brill"/>
          <w:sz w:val="28"/>
        </w:rPr>
        <w:footnoteReference w:id="12"/>
      </w:r>
      <w:r w:rsidR="003F6B35" w:rsidRPr="002D5B51">
        <w:rPr>
          <w:rFonts w:ascii="Brill" w:hAnsi="Brill"/>
          <w:sz w:val="28"/>
          <w:vertAlign w:val="superscript"/>
        </w:rPr>
        <w:t xml:space="preserve"> </w:t>
      </w:r>
      <w:r w:rsidR="002A4278" w:rsidRPr="002D5B51">
        <w:rPr>
          <w:rFonts w:ascii="Brill" w:hAnsi="Brill"/>
          <w:sz w:val="28"/>
        </w:rPr>
        <w:t xml:space="preserve">A visible indicator of mushrooming scholarly interest in Islamic studies </w:t>
      </w:r>
      <w:r w:rsidR="003F6B35" w:rsidRPr="002D5B51">
        <w:rPr>
          <w:rFonts w:ascii="Brill" w:hAnsi="Brill"/>
          <w:sz w:val="28"/>
        </w:rPr>
        <w:t>was</w:t>
      </w:r>
      <w:r w:rsidR="002A4278" w:rsidRPr="002D5B51">
        <w:rPr>
          <w:rFonts w:ascii="Brill" w:hAnsi="Brill"/>
          <w:sz w:val="28"/>
        </w:rPr>
        <w:t xml:space="preserve"> </w:t>
      </w:r>
      <w:r w:rsidR="003F6B35" w:rsidRPr="002D5B51">
        <w:rPr>
          <w:rFonts w:ascii="Brill" w:hAnsi="Brill"/>
          <w:sz w:val="28"/>
        </w:rPr>
        <w:t xml:space="preserve">also </w:t>
      </w:r>
      <w:r w:rsidR="002A4278" w:rsidRPr="002D5B51">
        <w:rPr>
          <w:rFonts w:ascii="Brill" w:hAnsi="Brill"/>
          <w:sz w:val="28"/>
        </w:rPr>
        <w:t>the increase in doctoral dissertations produced on Islam and Muslims and the increase in the percentage of articles on this subject in the flagship journals of various academic disciplines.</w:t>
      </w:r>
      <w:r w:rsidR="002A4278" w:rsidRPr="002D5B51">
        <w:rPr>
          <w:rStyle w:val="FootnoteReference"/>
          <w:rFonts w:ascii="Brill" w:hAnsi="Brill"/>
          <w:sz w:val="28"/>
        </w:rPr>
        <w:footnoteReference w:id="13"/>
      </w:r>
      <w:r w:rsidR="0013669E" w:rsidRPr="002D5B51">
        <w:rPr>
          <w:rFonts w:ascii="Brill" w:hAnsi="Brill"/>
          <w:sz w:val="28"/>
        </w:rPr>
        <w:t xml:space="preserve"> According to the survey conducted by </w:t>
      </w:r>
      <w:proofErr w:type="spellStart"/>
      <w:r w:rsidR="0013669E" w:rsidRPr="002D5B51">
        <w:rPr>
          <w:rFonts w:ascii="Brill" w:hAnsi="Brill"/>
          <w:sz w:val="28"/>
        </w:rPr>
        <w:t>Kruzman</w:t>
      </w:r>
      <w:proofErr w:type="spellEnd"/>
      <w:r w:rsidR="0013669E" w:rsidRPr="002D5B51">
        <w:rPr>
          <w:rFonts w:ascii="Brill" w:hAnsi="Brill"/>
          <w:sz w:val="28"/>
        </w:rPr>
        <w:t xml:space="preserve"> and Ernst (2012) these disciplines included Anthropology, History, Geography, Economics, Political Science, Sociology, Religio</w:t>
      </w:r>
      <w:r w:rsidR="003F6B35" w:rsidRPr="002D5B51">
        <w:rPr>
          <w:rFonts w:ascii="Brill" w:hAnsi="Brill"/>
          <w:sz w:val="28"/>
        </w:rPr>
        <w:t>n and even Psychology.</w:t>
      </w:r>
    </w:p>
    <w:p w14:paraId="1154B6C7" w14:textId="731A4E0E" w:rsidR="006B10F8" w:rsidRPr="002D5B51" w:rsidRDefault="00FD5A44" w:rsidP="00FD5A44">
      <w:pPr>
        <w:rPr>
          <w:rFonts w:ascii="Brill" w:hAnsi="Brill"/>
          <w:sz w:val="28"/>
        </w:rPr>
      </w:pPr>
      <w:r w:rsidRPr="002D5B51">
        <w:rPr>
          <w:rFonts w:ascii="Brill" w:hAnsi="Brill"/>
          <w:sz w:val="28"/>
        </w:rPr>
        <w:t>Advocates of critical discourse stress the need to study Islam critically</w:t>
      </w:r>
      <w:r w:rsidRPr="002D5B51">
        <w:rPr>
          <w:rStyle w:val="FootnoteReference"/>
          <w:rFonts w:ascii="Brill" w:hAnsi="Brill"/>
          <w:sz w:val="28"/>
        </w:rPr>
        <w:footnoteReference w:id="14"/>
      </w:r>
      <w:r w:rsidRPr="002D5B51">
        <w:rPr>
          <w:rFonts w:ascii="Brill" w:hAnsi="Brill"/>
          <w:sz w:val="28"/>
        </w:rPr>
        <w:t xml:space="preserve">; to view it </w:t>
      </w:r>
      <w:r w:rsidRPr="002D5B51">
        <w:rPr>
          <w:rFonts w:ascii="Brill" w:hAnsi="Brill"/>
          <w:color w:val="222222"/>
          <w:sz w:val="28"/>
          <w:shd w:val="clear" w:color="auto" w:fill="FFFFFF"/>
        </w:rPr>
        <w:t>from a global perspective, combining humanities and the social sciences. As with other religious studies, i</w:t>
      </w:r>
      <w:r w:rsidRPr="002D5B51">
        <w:rPr>
          <w:rFonts w:ascii="Brill" w:hAnsi="Brill"/>
          <w:sz w:val="28"/>
        </w:rPr>
        <w:t>t is a call to perceive Islam both appreciatively and critically by presenting methodological questions in subfields such as Islamic philosophy and hermeneutics. Additionally, it urges to examine thematic, often cross-cultural phenomena such as ritual and contemplation, and to present issues within a particular Islamic tradition.</w:t>
      </w:r>
      <w:r w:rsidRPr="002D5B51">
        <w:rPr>
          <w:rStyle w:val="FootnoteReference"/>
          <w:rFonts w:ascii="Brill" w:hAnsi="Brill"/>
          <w:color w:val="222222"/>
          <w:sz w:val="28"/>
          <w:shd w:val="clear" w:color="auto" w:fill="FFFFFF"/>
        </w:rPr>
        <w:t xml:space="preserve"> </w:t>
      </w:r>
      <w:r w:rsidRPr="002D5B51">
        <w:rPr>
          <w:rStyle w:val="FootnoteReference"/>
          <w:rFonts w:ascii="Brill" w:hAnsi="Brill"/>
          <w:color w:val="222222"/>
          <w:sz w:val="28"/>
          <w:shd w:val="clear" w:color="auto" w:fill="FFFFFF"/>
        </w:rPr>
        <w:footnoteReference w:id="15"/>
      </w:r>
      <w:r w:rsidRPr="002D5B51">
        <w:rPr>
          <w:rFonts w:ascii="Brill" w:hAnsi="Brill"/>
          <w:sz w:val="28"/>
        </w:rPr>
        <w:t xml:space="preserve"> </w:t>
      </w:r>
      <w:r w:rsidR="006B10F8" w:rsidRPr="002D5B51">
        <w:rPr>
          <w:rFonts w:ascii="Brill" w:hAnsi="Brill"/>
          <w:sz w:val="28"/>
        </w:rPr>
        <w:t xml:space="preserve">In </w:t>
      </w:r>
      <w:r w:rsidR="006B10F8" w:rsidRPr="002D5B51">
        <w:rPr>
          <w:rFonts w:ascii="Brill" w:hAnsi="Brill"/>
          <w:sz w:val="28"/>
        </w:rPr>
        <w:lastRenderedPageBreak/>
        <w:t>the United States, the first professor of Islamic studies may have been Duncan Macdonald, who was appointed director of the “Mohammedan department” at the Kennedy School of Missions in 1911. Institutional arrangements for Islamic studies programs in the U.S. are varied</w:t>
      </w:r>
      <w:r w:rsidR="00C05A47" w:rsidRPr="002D5B51">
        <w:rPr>
          <w:rFonts w:ascii="Brill" w:hAnsi="Brill"/>
          <w:sz w:val="28"/>
        </w:rPr>
        <w:t>: s</w:t>
      </w:r>
      <w:r w:rsidR="006B10F8" w:rsidRPr="002D5B51">
        <w:rPr>
          <w:rFonts w:ascii="Brill" w:hAnsi="Brill"/>
          <w:sz w:val="28"/>
        </w:rPr>
        <w:t>ome are placed within a Middle East studies department, or a Middle East center</w:t>
      </w:r>
      <w:r w:rsidR="00C05A47" w:rsidRPr="002D5B51">
        <w:rPr>
          <w:rFonts w:ascii="Brill" w:hAnsi="Brill"/>
          <w:sz w:val="28"/>
        </w:rPr>
        <w:t>,</w:t>
      </w:r>
      <w:r w:rsidR="006B10F8" w:rsidRPr="002D5B51">
        <w:rPr>
          <w:rFonts w:ascii="Brill" w:hAnsi="Brill"/>
          <w:sz w:val="28"/>
        </w:rPr>
        <w:t xml:space="preserve"> </w:t>
      </w:r>
      <w:r w:rsidR="00C05A47" w:rsidRPr="002D5B51">
        <w:rPr>
          <w:rFonts w:ascii="Brill" w:hAnsi="Brill"/>
          <w:sz w:val="28"/>
        </w:rPr>
        <w:t>s</w:t>
      </w:r>
      <w:r w:rsidR="006B10F8" w:rsidRPr="002D5B51">
        <w:rPr>
          <w:rFonts w:ascii="Brill" w:hAnsi="Brill"/>
          <w:sz w:val="28"/>
        </w:rPr>
        <w:t>ome are housed as components of a Religious studies program</w:t>
      </w:r>
      <w:r w:rsidR="00C05A47" w:rsidRPr="002D5B51">
        <w:rPr>
          <w:rFonts w:ascii="Brill" w:hAnsi="Brill"/>
          <w:sz w:val="28"/>
        </w:rPr>
        <w:t xml:space="preserve">, </w:t>
      </w:r>
      <w:r w:rsidR="006B10F8" w:rsidRPr="002D5B51">
        <w:rPr>
          <w:rFonts w:ascii="Brill" w:hAnsi="Brill"/>
          <w:sz w:val="28"/>
        </w:rPr>
        <w:t xml:space="preserve">while </w:t>
      </w:r>
      <w:r w:rsidR="00C05A47" w:rsidRPr="002D5B51">
        <w:rPr>
          <w:rFonts w:ascii="Brill" w:hAnsi="Brill"/>
          <w:sz w:val="28"/>
        </w:rPr>
        <w:t>others</w:t>
      </w:r>
      <w:r w:rsidR="006B10F8" w:rsidRPr="002D5B51">
        <w:rPr>
          <w:rFonts w:ascii="Brill" w:hAnsi="Brill"/>
          <w:sz w:val="28"/>
        </w:rPr>
        <w:t xml:space="preserve"> appear in the college of arts and sciences.</w:t>
      </w:r>
      <w:r w:rsidR="006B10F8" w:rsidRPr="002D5B51">
        <w:rPr>
          <w:rStyle w:val="FootnoteReference"/>
          <w:rFonts w:ascii="Brill" w:hAnsi="Brill"/>
          <w:sz w:val="28"/>
        </w:rPr>
        <w:t xml:space="preserve"> </w:t>
      </w:r>
      <w:r w:rsidR="006B10F8" w:rsidRPr="002D5B51">
        <w:rPr>
          <w:rStyle w:val="FootnoteReference"/>
          <w:rFonts w:ascii="Brill" w:hAnsi="Brill"/>
          <w:sz w:val="28"/>
        </w:rPr>
        <w:footnoteReference w:id="16"/>
      </w:r>
    </w:p>
    <w:p w14:paraId="533171AF" w14:textId="1BEF092D" w:rsidR="00397E90" w:rsidRPr="002D5B51" w:rsidRDefault="00397E90" w:rsidP="00397E90">
      <w:pPr>
        <w:rPr>
          <w:rFonts w:ascii="Brill" w:hAnsi="Brill"/>
          <w:sz w:val="28"/>
        </w:rPr>
      </w:pPr>
      <w:r w:rsidRPr="002D5B51">
        <w:rPr>
          <w:rFonts w:ascii="Brill" w:hAnsi="Brill"/>
          <w:sz w:val="28"/>
        </w:rPr>
        <w:t>I would like to include in my discussion an example of the current syllabus in teaching about Islam and Muslims in</w:t>
      </w:r>
      <w:r w:rsidR="004256A3" w:rsidRPr="002D5B51">
        <w:rPr>
          <w:rFonts w:ascii="Brill" w:hAnsi="Brill"/>
          <w:sz w:val="28"/>
        </w:rPr>
        <w:t xml:space="preserve"> post-graduate courses in</w:t>
      </w:r>
      <w:r w:rsidRPr="002D5B51">
        <w:rPr>
          <w:rFonts w:ascii="Brill" w:hAnsi="Brill"/>
          <w:sz w:val="28"/>
        </w:rPr>
        <w:t xml:space="preserve"> 3 premium institutions in Britain (Oxford University’s </w:t>
      </w:r>
      <w:r w:rsidR="004256A3" w:rsidRPr="002D5B51">
        <w:rPr>
          <w:rFonts w:ascii="Brill" w:hAnsi="Brill"/>
          <w:sz w:val="28"/>
        </w:rPr>
        <w:t>Department of Middle Eastern Studies</w:t>
      </w:r>
      <w:r w:rsidRPr="002D5B51">
        <w:rPr>
          <w:rFonts w:ascii="Brill" w:hAnsi="Brill"/>
          <w:sz w:val="28"/>
        </w:rPr>
        <w:t>), Holland (</w:t>
      </w:r>
      <w:r w:rsidRPr="002D5B51">
        <w:rPr>
          <w:rFonts w:ascii="Brill" w:hAnsi="Brill"/>
          <w:sz w:val="28"/>
        </w:rPr>
        <w:t>Leiden University</w:t>
      </w:r>
      <w:r w:rsidRPr="002D5B51">
        <w:rPr>
          <w:rFonts w:ascii="Brill" w:hAnsi="Brill"/>
          <w:sz w:val="28"/>
        </w:rPr>
        <w:t>’s</w:t>
      </w:r>
      <w:r w:rsidRPr="002D5B51">
        <w:rPr>
          <w:rFonts w:ascii="Brill" w:hAnsi="Brill"/>
          <w:sz w:val="28"/>
        </w:rPr>
        <w:t xml:space="preserve"> Centre for the Study of Islam and Society</w:t>
      </w:r>
      <w:r w:rsidRPr="002D5B51">
        <w:rPr>
          <w:rFonts w:ascii="Brill" w:hAnsi="Brill"/>
          <w:sz w:val="28"/>
        </w:rPr>
        <w:t>), and the United States (</w:t>
      </w:r>
      <w:r w:rsidR="004256A3" w:rsidRPr="002D5B51">
        <w:rPr>
          <w:rFonts w:ascii="Brill" w:hAnsi="Brill"/>
          <w:sz w:val="28"/>
        </w:rPr>
        <w:t>Yale University’s Department of Religious Studies) to show the variety of approaches taken to teach about Islam and Muslims:</w:t>
      </w:r>
    </w:p>
    <w:p w14:paraId="2B135148" w14:textId="54497653" w:rsidR="004256A3" w:rsidRPr="002D5B51" w:rsidRDefault="004256A3" w:rsidP="004256A3">
      <w:pPr>
        <w:pStyle w:val="ListParagraph"/>
        <w:numPr>
          <w:ilvl w:val="0"/>
          <w:numId w:val="3"/>
        </w:numPr>
        <w:rPr>
          <w:rFonts w:ascii="Brill" w:hAnsi="Brill"/>
          <w:sz w:val="28"/>
        </w:rPr>
      </w:pPr>
      <w:r w:rsidRPr="002D5B51">
        <w:rPr>
          <w:rFonts w:ascii="Brill" w:hAnsi="Brill"/>
          <w:sz w:val="28"/>
        </w:rPr>
        <w:t>An MPhil course in Middle Eastern studies in Oxford includes subjects of a wide variety, namely:</w:t>
      </w:r>
    </w:p>
    <w:p w14:paraId="4C8EEDB3"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History of the Middle East, 1860-1970 </w:t>
      </w:r>
    </w:p>
    <w:p w14:paraId="2241D1EF"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Politics of the Middle East</w:t>
      </w:r>
    </w:p>
    <w:p w14:paraId="521F727F"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Social Anthropology of the Middle East </w:t>
      </w:r>
    </w:p>
    <w:p w14:paraId="1B786694"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International Relations of the Middle East </w:t>
      </w:r>
    </w:p>
    <w:p w14:paraId="7503F994"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Iranian History from the Constitutional to the Islamic Revolution, 1905-1979</w:t>
      </w:r>
    </w:p>
    <w:p w14:paraId="348A9D59"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History and Politics of the Islamic Republic of Iran</w:t>
      </w:r>
    </w:p>
    <w:p w14:paraId="44C33F77"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Politics of the Maghreb </w:t>
      </w:r>
    </w:p>
    <w:p w14:paraId="116693CC"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The Maghreb since 1830 </w:t>
      </w:r>
    </w:p>
    <w:p w14:paraId="2740AB3D"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Main Themes in Israeli Politics and Society</w:t>
      </w:r>
    </w:p>
    <w:p w14:paraId="76F60A7D"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The Political Economy of the Middle East and North Africa</w:t>
      </w:r>
    </w:p>
    <w:p w14:paraId="57FD5A9D"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Political Islam, Islamism, and Modern Islamic Movements</w:t>
      </w:r>
    </w:p>
    <w:p w14:paraId="2D8A26F5"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Modern Turkish Literature: Texts and Contexts </w:t>
      </w:r>
    </w:p>
    <w:p w14:paraId="28054A64"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The Arab-Israeli Conflict</w:t>
      </w:r>
    </w:p>
    <w:p w14:paraId="6E039972"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History from below in the Middle East and North Africa </w:t>
      </w:r>
    </w:p>
    <w:p w14:paraId="1B229052"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Space and Gender in Middle Eastern Literatures: The Harem and the Body</w:t>
      </w:r>
    </w:p>
    <w:p w14:paraId="18074E77"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History and Politics of the Gulf </w:t>
      </w:r>
    </w:p>
    <w:p w14:paraId="6B59F94E" w14:textId="77777777"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History of Qajar Iran</w:t>
      </w:r>
    </w:p>
    <w:p w14:paraId="75BE0983" w14:textId="2A299206" w:rsidR="004256A3" w:rsidRPr="00492338" w:rsidRDefault="004256A3" w:rsidP="004256A3">
      <w:pPr>
        <w:numPr>
          <w:ilvl w:val="0"/>
          <w:numId w:val="1"/>
        </w:numPr>
        <w:shd w:val="clear" w:color="auto" w:fill="FFFFFF"/>
        <w:spacing w:after="0" w:line="240" w:lineRule="auto"/>
        <w:ind w:left="360" w:right="2351"/>
        <w:textAlignment w:val="baseline"/>
        <w:rPr>
          <w:rFonts w:ascii="Brill" w:eastAsia="Times New Roman" w:hAnsi="Brill" w:cs="Times New Roman"/>
          <w:color w:val="222222"/>
          <w:sz w:val="23"/>
        </w:rPr>
      </w:pPr>
      <w:r w:rsidRPr="00492338">
        <w:rPr>
          <w:rFonts w:ascii="Brill" w:eastAsia="Times New Roman" w:hAnsi="Brill" w:cs="Times New Roman"/>
          <w:color w:val="222222"/>
          <w:sz w:val="23"/>
        </w:rPr>
        <w:t>Hebrew Literature</w:t>
      </w:r>
      <w:r w:rsidRPr="00492338">
        <w:rPr>
          <w:rStyle w:val="FootnoteReference"/>
          <w:rFonts w:ascii="Brill" w:eastAsia="Times New Roman" w:hAnsi="Brill" w:cs="Times New Roman"/>
          <w:color w:val="222222"/>
          <w:sz w:val="23"/>
        </w:rPr>
        <w:footnoteReference w:id="17"/>
      </w:r>
    </w:p>
    <w:p w14:paraId="17D3B0C5" w14:textId="49FDD159" w:rsidR="004256A3" w:rsidRPr="00492338" w:rsidRDefault="004256A3" w:rsidP="004256A3">
      <w:pPr>
        <w:shd w:val="clear" w:color="auto" w:fill="FFFFFF"/>
        <w:spacing w:after="0" w:line="240" w:lineRule="auto"/>
        <w:ind w:right="2351"/>
        <w:textAlignment w:val="baseline"/>
        <w:rPr>
          <w:rFonts w:ascii="Brill" w:eastAsia="Times New Roman" w:hAnsi="Brill" w:cs="Times New Roman"/>
          <w:color w:val="222222"/>
          <w:sz w:val="23"/>
        </w:rPr>
      </w:pPr>
    </w:p>
    <w:p w14:paraId="29553154" w14:textId="77777777" w:rsidR="006571FF" w:rsidRPr="00492338" w:rsidRDefault="006571FF" w:rsidP="004256A3">
      <w:pPr>
        <w:shd w:val="clear" w:color="auto" w:fill="FFFFFF"/>
        <w:spacing w:after="0" w:line="240" w:lineRule="auto"/>
        <w:ind w:right="2351"/>
        <w:textAlignment w:val="baseline"/>
        <w:rPr>
          <w:rFonts w:ascii="Brill" w:eastAsia="Times New Roman" w:hAnsi="Brill" w:cs="Times New Roman"/>
          <w:color w:val="222222"/>
          <w:sz w:val="23"/>
        </w:rPr>
      </w:pPr>
    </w:p>
    <w:p w14:paraId="626768D9" w14:textId="77777777" w:rsidR="008E0226" w:rsidRPr="002D5B51" w:rsidRDefault="008E0226" w:rsidP="004256A3">
      <w:pPr>
        <w:pStyle w:val="ListParagraph"/>
        <w:numPr>
          <w:ilvl w:val="0"/>
          <w:numId w:val="3"/>
        </w:numPr>
        <w:shd w:val="clear" w:color="auto" w:fill="FFFFFF"/>
        <w:spacing w:after="240" w:line="240" w:lineRule="auto"/>
        <w:ind w:right="2351"/>
        <w:textAlignment w:val="baseline"/>
        <w:rPr>
          <w:rFonts w:ascii="Brill" w:eastAsia="Times New Roman" w:hAnsi="Brill" w:cs="Times New Roman"/>
          <w:color w:val="222222"/>
          <w:sz w:val="32"/>
          <w:szCs w:val="28"/>
        </w:rPr>
      </w:pPr>
      <w:r w:rsidRPr="002D5B51">
        <w:rPr>
          <w:rFonts w:ascii="Brill" w:eastAsia="Times New Roman" w:hAnsi="Brill" w:cs="Times New Roman"/>
          <w:color w:val="222222"/>
          <w:sz w:val="32"/>
          <w:szCs w:val="28"/>
        </w:rPr>
        <w:t xml:space="preserve">The </w:t>
      </w:r>
      <w:r w:rsidR="004256A3" w:rsidRPr="002D5B51">
        <w:rPr>
          <w:rFonts w:ascii="Brill" w:eastAsia="Times New Roman" w:hAnsi="Brill" w:cs="Times New Roman"/>
          <w:color w:val="222222"/>
          <w:sz w:val="32"/>
          <w:szCs w:val="28"/>
        </w:rPr>
        <w:t xml:space="preserve">Yale </w:t>
      </w:r>
      <w:r w:rsidRPr="002D5B51">
        <w:rPr>
          <w:rFonts w:ascii="Brill" w:eastAsia="Times New Roman" w:hAnsi="Brill" w:cs="Times New Roman"/>
          <w:color w:val="222222"/>
          <w:sz w:val="32"/>
          <w:szCs w:val="28"/>
        </w:rPr>
        <w:t xml:space="preserve">University PhD </w:t>
      </w:r>
      <w:proofErr w:type="spellStart"/>
      <w:r w:rsidRPr="002D5B51">
        <w:rPr>
          <w:rFonts w:ascii="Brill" w:eastAsia="Times New Roman" w:hAnsi="Brill" w:cs="Times New Roman"/>
          <w:color w:val="222222"/>
          <w:sz w:val="32"/>
          <w:szCs w:val="28"/>
        </w:rPr>
        <w:t>programme</w:t>
      </w:r>
      <w:proofErr w:type="spellEnd"/>
      <w:r w:rsidRPr="002D5B51">
        <w:rPr>
          <w:rFonts w:ascii="Brill" w:eastAsia="Times New Roman" w:hAnsi="Brill" w:cs="Times New Roman"/>
          <w:color w:val="222222"/>
          <w:sz w:val="32"/>
          <w:szCs w:val="28"/>
        </w:rPr>
        <w:t xml:space="preserve"> in </w:t>
      </w:r>
      <w:r w:rsidR="004256A3" w:rsidRPr="002D5B51">
        <w:rPr>
          <w:rFonts w:ascii="Brill" w:eastAsia="Times New Roman" w:hAnsi="Brill" w:cs="Times New Roman"/>
          <w:color w:val="222222"/>
          <w:sz w:val="32"/>
          <w:szCs w:val="28"/>
        </w:rPr>
        <w:t xml:space="preserve">Islamic </w:t>
      </w:r>
      <w:r w:rsidRPr="002D5B51">
        <w:rPr>
          <w:rFonts w:ascii="Brill" w:eastAsia="Times New Roman" w:hAnsi="Brill" w:cs="Times New Roman"/>
          <w:color w:val="222222"/>
          <w:sz w:val="32"/>
          <w:szCs w:val="28"/>
        </w:rPr>
        <w:t>S</w:t>
      </w:r>
      <w:r w:rsidR="004256A3" w:rsidRPr="002D5B51">
        <w:rPr>
          <w:rFonts w:ascii="Brill" w:eastAsia="Times New Roman" w:hAnsi="Brill" w:cs="Times New Roman"/>
          <w:color w:val="222222"/>
          <w:sz w:val="32"/>
          <w:szCs w:val="28"/>
        </w:rPr>
        <w:t xml:space="preserve">tudies: </w:t>
      </w:r>
    </w:p>
    <w:p w14:paraId="29554456" w14:textId="5B8A3B95" w:rsidR="004256A3" w:rsidRPr="002D5B51" w:rsidRDefault="008E0226" w:rsidP="008E0226">
      <w:pPr>
        <w:pStyle w:val="ListParagraph"/>
        <w:shd w:val="clear" w:color="auto" w:fill="FFFFFF"/>
        <w:spacing w:after="240" w:line="240" w:lineRule="auto"/>
        <w:ind w:right="2351"/>
        <w:textAlignment w:val="baseline"/>
        <w:rPr>
          <w:rFonts w:ascii="Brill" w:eastAsia="Times New Roman" w:hAnsi="Brill" w:cs="Times New Roman"/>
          <w:color w:val="222222"/>
          <w:sz w:val="28"/>
        </w:rPr>
      </w:pPr>
      <w:r w:rsidRPr="002D5B51">
        <w:rPr>
          <w:rFonts w:ascii="Brill" w:eastAsia="Times New Roman" w:hAnsi="Brill" w:cs="Times New Roman"/>
          <w:color w:val="222222"/>
          <w:sz w:val="28"/>
        </w:rPr>
        <w:t>“</w:t>
      </w:r>
      <w:r w:rsidR="004256A3" w:rsidRPr="002D5B51">
        <w:rPr>
          <w:rFonts w:ascii="Brill" w:hAnsi="Brill"/>
          <w:color w:val="222222"/>
          <w:sz w:val="28"/>
          <w:shd w:val="clear" w:color="auto" w:fill="FFFFFF"/>
        </w:rPr>
        <w:t>Students in Islamic</w:t>
      </w:r>
      <w:r w:rsidR="004256A3" w:rsidRPr="002D5B51">
        <w:rPr>
          <w:rFonts w:ascii="Brill" w:hAnsi="Brill"/>
          <w:color w:val="222222"/>
          <w:sz w:val="28"/>
          <w:shd w:val="clear" w:color="auto" w:fill="FFFFFF"/>
        </w:rPr>
        <w:t xml:space="preserve"> </w:t>
      </w:r>
      <w:r w:rsidR="004256A3" w:rsidRPr="002D5B51">
        <w:rPr>
          <w:rFonts w:ascii="Brill" w:hAnsi="Brill"/>
          <w:color w:val="222222"/>
          <w:sz w:val="28"/>
          <w:shd w:val="clear" w:color="auto" w:fill="FFFFFF"/>
        </w:rPr>
        <w:t>Studies are expected to demonstrate competence in Islamic religious history (focusing on the development of Islamic civilization, law, society and institutions in the period from the origins of Islam to 1500 CE); Islamic religious thought (focusing on Islamic philosophy, theology, Sufism and Shi’ism); Islamic scripture and tradition (focusing on the composition, redaction and interpretation of Qur’an and Hadith); and modern and contemporary Islam (focusing on 16th to 21st century developments in the Arab Middle East, the Turco-Iranian world, South Asia, Southeast Asia, Africa and, most recently, Europe and America)</w:t>
      </w:r>
      <w:r w:rsidRPr="002D5B51">
        <w:rPr>
          <w:rFonts w:ascii="Brill" w:hAnsi="Brill"/>
          <w:color w:val="222222"/>
          <w:sz w:val="28"/>
          <w:shd w:val="clear" w:color="auto" w:fill="FFFFFF"/>
        </w:rPr>
        <w:t>”</w:t>
      </w:r>
      <w:r w:rsidR="004256A3" w:rsidRPr="002D5B51">
        <w:rPr>
          <w:rFonts w:ascii="Brill" w:hAnsi="Brill"/>
          <w:color w:val="222222"/>
          <w:sz w:val="28"/>
          <w:shd w:val="clear" w:color="auto" w:fill="FFFFFF"/>
        </w:rPr>
        <w:t>.</w:t>
      </w:r>
      <w:r w:rsidR="004256A3" w:rsidRPr="002D5B51">
        <w:rPr>
          <w:rStyle w:val="FootnoteReference"/>
          <w:rFonts w:ascii="Brill" w:hAnsi="Brill"/>
          <w:color w:val="222222"/>
          <w:sz w:val="28"/>
          <w:shd w:val="clear" w:color="auto" w:fill="FFFFFF"/>
        </w:rPr>
        <w:footnoteReference w:id="18"/>
      </w:r>
    </w:p>
    <w:p w14:paraId="406BB5AA" w14:textId="77777777" w:rsidR="006571FF" w:rsidRPr="00492338" w:rsidRDefault="006571FF" w:rsidP="006571FF">
      <w:pPr>
        <w:shd w:val="clear" w:color="auto" w:fill="FFFFFF"/>
        <w:spacing w:after="240" w:line="240" w:lineRule="auto"/>
        <w:ind w:right="2351"/>
        <w:textAlignment w:val="baseline"/>
        <w:rPr>
          <w:rFonts w:ascii="Brill" w:eastAsia="Times New Roman" w:hAnsi="Brill" w:cs="Times New Roman"/>
          <w:color w:val="222222"/>
          <w:sz w:val="32"/>
          <w:szCs w:val="28"/>
        </w:rPr>
      </w:pPr>
    </w:p>
    <w:p w14:paraId="0F4D76A6" w14:textId="093CFE58" w:rsidR="004256A3" w:rsidRPr="00492338" w:rsidRDefault="00C10166" w:rsidP="00C10166">
      <w:pPr>
        <w:pStyle w:val="ListParagraph"/>
        <w:numPr>
          <w:ilvl w:val="0"/>
          <w:numId w:val="3"/>
        </w:numPr>
        <w:shd w:val="clear" w:color="auto" w:fill="FFFFFF"/>
        <w:spacing w:after="0" w:line="240" w:lineRule="auto"/>
        <w:ind w:right="2351"/>
        <w:textAlignment w:val="baseline"/>
        <w:rPr>
          <w:rFonts w:ascii="Brill" w:eastAsia="Times New Roman" w:hAnsi="Brill" w:cs="Times New Roman"/>
          <w:color w:val="222222"/>
          <w:sz w:val="32"/>
          <w:szCs w:val="28"/>
        </w:rPr>
      </w:pPr>
      <w:r w:rsidRPr="00492338">
        <w:rPr>
          <w:rFonts w:ascii="Brill" w:eastAsia="Times New Roman" w:hAnsi="Brill" w:cs="Times New Roman"/>
          <w:color w:val="222222"/>
          <w:sz w:val="32"/>
          <w:szCs w:val="28"/>
        </w:rPr>
        <w:t>Leiden University Centre for the Study of Islam and Society</w:t>
      </w:r>
      <w:r w:rsidRPr="00492338">
        <w:rPr>
          <w:rFonts w:ascii="Brill" w:eastAsia="Times New Roman" w:hAnsi="Brill" w:cs="Times New Roman"/>
          <w:color w:val="222222"/>
          <w:sz w:val="32"/>
          <w:szCs w:val="28"/>
        </w:rPr>
        <w:t xml:space="preserve"> Research </w:t>
      </w:r>
      <w:proofErr w:type="spellStart"/>
      <w:r w:rsidRPr="00492338">
        <w:rPr>
          <w:rFonts w:ascii="Brill" w:eastAsia="Times New Roman" w:hAnsi="Brill" w:cs="Times New Roman"/>
          <w:color w:val="222222"/>
          <w:sz w:val="32"/>
          <w:szCs w:val="28"/>
        </w:rPr>
        <w:t>programme</w:t>
      </w:r>
      <w:proofErr w:type="spellEnd"/>
      <w:r w:rsidRPr="00492338">
        <w:rPr>
          <w:rFonts w:ascii="Brill" w:eastAsia="Times New Roman" w:hAnsi="Brill" w:cs="Times New Roman"/>
          <w:color w:val="222222"/>
          <w:sz w:val="32"/>
          <w:szCs w:val="28"/>
        </w:rPr>
        <w:t xml:space="preserve"> 2019: </w:t>
      </w:r>
    </w:p>
    <w:p w14:paraId="1664434B" w14:textId="77777777" w:rsidR="00C10166" w:rsidRPr="00492338" w:rsidRDefault="00C10166" w:rsidP="00C10166">
      <w:pPr>
        <w:pStyle w:val="ListParagraph"/>
        <w:numPr>
          <w:ilvl w:val="0"/>
          <w:numId w:val="5"/>
        </w:numPr>
        <w:rPr>
          <w:rFonts w:ascii="Brill" w:hAnsi="Brill"/>
          <w:szCs w:val="16"/>
        </w:rPr>
      </w:pPr>
      <w:hyperlink r:id="rId8" w:history="1">
        <w:r w:rsidRPr="00492338">
          <w:rPr>
            <w:rStyle w:val="Hyperlink"/>
            <w:rFonts w:ascii="Brill" w:hAnsi="Brill"/>
            <w:color w:val="auto"/>
            <w:szCs w:val="16"/>
            <w:u w:val="none"/>
          </w:rPr>
          <w:t>MENA Cultures and Global Aesthetics</w:t>
        </w:r>
      </w:hyperlink>
    </w:p>
    <w:p w14:paraId="1F7661F3" w14:textId="77777777" w:rsidR="00C10166" w:rsidRPr="00492338" w:rsidRDefault="00C10166" w:rsidP="00C10166">
      <w:pPr>
        <w:pStyle w:val="ListParagraph"/>
        <w:numPr>
          <w:ilvl w:val="0"/>
          <w:numId w:val="5"/>
        </w:numPr>
        <w:rPr>
          <w:rFonts w:ascii="Brill" w:hAnsi="Brill"/>
          <w:szCs w:val="16"/>
        </w:rPr>
      </w:pPr>
      <w:hyperlink r:id="rId9" w:history="1">
        <w:r w:rsidRPr="00492338">
          <w:rPr>
            <w:rStyle w:val="Hyperlink"/>
            <w:rFonts w:ascii="Brill" w:hAnsi="Brill"/>
            <w:color w:val="auto"/>
            <w:szCs w:val="16"/>
            <w:u w:val="none"/>
          </w:rPr>
          <w:t>Islam in North Africa: A Critical Return to Youth</w:t>
        </w:r>
      </w:hyperlink>
    </w:p>
    <w:p w14:paraId="1B98689E" w14:textId="77777777" w:rsidR="00C10166" w:rsidRPr="00492338" w:rsidRDefault="00C10166" w:rsidP="00C10166">
      <w:pPr>
        <w:pStyle w:val="ListParagraph"/>
        <w:numPr>
          <w:ilvl w:val="0"/>
          <w:numId w:val="5"/>
        </w:numPr>
        <w:rPr>
          <w:rFonts w:ascii="Brill" w:hAnsi="Brill"/>
          <w:szCs w:val="16"/>
        </w:rPr>
      </w:pPr>
      <w:hyperlink r:id="rId10" w:history="1">
        <w:r w:rsidRPr="00492338">
          <w:rPr>
            <w:rStyle w:val="Hyperlink"/>
            <w:rFonts w:ascii="Brill" w:hAnsi="Brill"/>
            <w:color w:val="auto"/>
            <w:szCs w:val="16"/>
            <w:u w:val="none"/>
          </w:rPr>
          <w:t>Re-Presented Pasts: Uses and Re-Uses of the Past in Pre-Modern Islam</w:t>
        </w:r>
      </w:hyperlink>
    </w:p>
    <w:p w14:paraId="40F237DC" w14:textId="77777777" w:rsidR="00C10166" w:rsidRPr="00492338" w:rsidRDefault="00C10166" w:rsidP="00C10166">
      <w:pPr>
        <w:pStyle w:val="ListParagraph"/>
        <w:numPr>
          <w:ilvl w:val="0"/>
          <w:numId w:val="5"/>
        </w:numPr>
        <w:rPr>
          <w:rFonts w:ascii="Brill" w:hAnsi="Brill"/>
          <w:szCs w:val="16"/>
        </w:rPr>
      </w:pPr>
      <w:hyperlink r:id="rId11" w:history="1">
        <w:r w:rsidRPr="00492338">
          <w:rPr>
            <w:rStyle w:val="Hyperlink"/>
            <w:rFonts w:ascii="Brill" w:hAnsi="Brill"/>
            <w:color w:val="auto"/>
            <w:szCs w:val="16"/>
            <w:u w:val="none"/>
          </w:rPr>
          <w:t>Islam in Central Asia</w:t>
        </w:r>
      </w:hyperlink>
    </w:p>
    <w:p w14:paraId="2755D12F" w14:textId="79F90921" w:rsidR="00C10166" w:rsidRPr="00492338" w:rsidRDefault="00C10166" w:rsidP="00C10166">
      <w:pPr>
        <w:pStyle w:val="ListParagraph"/>
        <w:numPr>
          <w:ilvl w:val="0"/>
          <w:numId w:val="5"/>
        </w:numPr>
        <w:rPr>
          <w:rFonts w:ascii="Brill" w:hAnsi="Brill"/>
          <w:szCs w:val="16"/>
        </w:rPr>
      </w:pPr>
      <w:hyperlink r:id="rId12" w:history="1">
        <w:r w:rsidRPr="00492338">
          <w:rPr>
            <w:rStyle w:val="Hyperlink"/>
            <w:rFonts w:ascii="Brill" w:hAnsi="Brill"/>
            <w:color w:val="auto"/>
            <w:szCs w:val="16"/>
            <w:u w:val="none"/>
          </w:rPr>
          <w:t>Islam in the West</w:t>
        </w:r>
      </w:hyperlink>
      <w:r w:rsidRPr="00492338">
        <w:rPr>
          <w:rStyle w:val="FootnoteReference"/>
          <w:rFonts w:ascii="Brill" w:hAnsi="Brill"/>
          <w:szCs w:val="16"/>
        </w:rPr>
        <w:footnoteReference w:id="19"/>
      </w:r>
    </w:p>
    <w:p w14:paraId="0B3A0999" w14:textId="77777777" w:rsidR="004256A3" w:rsidRPr="00492338" w:rsidRDefault="004256A3" w:rsidP="00397E90">
      <w:pPr>
        <w:rPr>
          <w:rFonts w:ascii="Brill" w:hAnsi="Brill"/>
          <w:sz w:val="32"/>
          <w:szCs w:val="28"/>
        </w:rPr>
      </w:pPr>
    </w:p>
    <w:p w14:paraId="2FDAA0F8" w14:textId="027B0BFB" w:rsidR="00FD5A44" w:rsidRPr="00492338" w:rsidRDefault="00397E90" w:rsidP="00FD5A44">
      <w:pPr>
        <w:rPr>
          <w:rFonts w:ascii="Brill" w:hAnsi="Brill"/>
          <w:b/>
          <w:bCs/>
          <w:sz w:val="32"/>
          <w:szCs w:val="28"/>
        </w:rPr>
      </w:pPr>
      <w:bookmarkStart w:id="7" w:name="_Hlk30208346"/>
      <w:r w:rsidRPr="00492338">
        <w:rPr>
          <w:rFonts w:ascii="Brill" w:hAnsi="Brill"/>
          <w:b/>
          <w:bCs/>
          <w:sz w:val="32"/>
          <w:szCs w:val="28"/>
        </w:rPr>
        <w:t>Conclusion:</w:t>
      </w:r>
    </w:p>
    <w:bookmarkEnd w:id="0"/>
    <w:p w14:paraId="4F81DC55" w14:textId="4B526178" w:rsidR="00C10166" w:rsidRPr="00492338" w:rsidRDefault="006571FF" w:rsidP="008E0226">
      <w:pPr>
        <w:rPr>
          <w:rFonts w:ascii="Brill" w:hAnsi="Brill"/>
          <w:sz w:val="28"/>
          <w:szCs w:val="24"/>
        </w:rPr>
      </w:pPr>
      <w:r w:rsidRPr="00492338">
        <w:rPr>
          <w:rFonts w:ascii="Brill" w:hAnsi="Brill"/>
          <w:sz w:val="28"/>
          <w:szCs w:val="24"/>
        </w:rPr>
        <w:t>Western Universities have, across history, developed and refined their approaches towards the study of Islam and Muslims. And throughout history, geo-political events have contributed greatly to these developments. In recent times, t</w:t>
      </w:r>
      <w:r w:rsidR="00397E90" w:rsidRPr="00492338">
        <w:rPr>
          <w:rFonts w:ascii="Brill" w:hAnsi="Brill"/>
          <w:sz w:val="28"/>
          <w:szCs w:val="24"/>
        </w:rPr>
        <w:t xml:space="preserve">he rise of Islamic consciousness and social activism has persuaded </w:t>
      </w:r>
      <w:r w:rsidR="00397E90" w:rsidRPr="00492338">
        <w:rPr>
          <w:rFonts w:ascii="Brill" w:hAnsi="Brill"/>
          <w:sz w:val="28"/>
          <w:szCs w:val="24"/>
        </w:rPr>
        <w:lastRenderedPageBreak/>
        <w:t>many Western scholars to move their focus from the study of Islamic traditions, customs and truth-claims to a study of Islamic political, moral and social order. Study of the sociological, economic and political realities of Muslim countries is now being given more importance than a discussion concerned with linguistic, cultural and religious concepts.</w:t>
      </w:r>
      <w:r w:rsidR="00C10166" w:rsidRPr="00492338">
        <w:rPr>
          <w:rFonts w:ascii="Brill" w:hAnsi="Brill"/>
          <w:sz w:val="28"/>
          <w:szCs w:val="24"/>
        </w:rPr>
        <w:t xml:space="preserve"> A</w:t>
      </w:r>
      <w:r w:rsidR="00C10166" w:rsidRPr="00492338">
        <w:rPr>
          <w:rFonts w:ascii="Brill" w:hAnsi="Brill"/>
          <w:sz w:val="28"/>
          <w:szCs w:val="24"/>
        </w:rPr>
        <w:t xml:space="preserve">s Europeans and North Americans experience the presence of Muslim guest workers, immigrants, refugees and converts in their neighborhoods and workplaces, interest in Islam </w:t>
      </w:r>
      <w:r w:rsidR="00C10166" w:rsidRPr="00492338">
        <w:rPr>
          <w:rFonts w:ascii="Brill" w:hAnsi="Brill"/>
          <w:sz w:val="28"/>
          <w:szCs w:val="24"/>
        </w:rPr>
        <w:t>is not confined to the hallowed hallways of higher education</w:t>
      </w:r>
      <w:r w:rsidR="00C10166" w:rsidRPr="00492338">
        <w:rPr>
          <w:rFonts w:ascii="Brill" w:hAnsi="Brill"/>
          <w:sz w:val="28"/>
          <w:szCs w:val="24"/>
        </w:rPr>
        <w:t xml:space="preserve">. </w:t>
      </w:r>
      <w:r w:rsidR="00C10166" w:rsidRPr="00492338">
        <w:rPr>
          <w:rFonts w:ascii="Brill" w:hAnsi="Brill"/>
          <w:sz w:val="28"/>
          <w:szCs w:val="24"/>
        </w:rPr>
        <w:t>In view of the contentious relations between East and West even today, the onus, more than ever, is on scholars in the West to impart their knowledge and with it</w:t>
      </w:r>
      <w:r w:rsidRPr="00492338">
        <w:rPr>
          <w:rFonts w:ascii="Brill" w:hAnsi="Brill"/>
          <w:sz w:val="28"/>
          <w:szCs w:val="24"/>
        </w:rPr>
        <w:t xml:space="preserve"> </w:t>
      </w:r>
      <w:r w:rsidR="00C10166" w:rsidRPr="00492338">
        <w:rPr>
          <w:rFonts w:ascii="Brill" w:hAnsi="Brill"/>
          <w:sz w:val="28"/>
          <w:szCs w:val="24"/>
        </w:rPr>
        <w:t xml:space="preserve">the truth about Islam and Muslims, not only </w:t>
      </w:r>
      <w:r w:rsidRPr="00492338">
        <w:rPr>
          <w:rFonts w:ascii="Brill" w:hAnsi="Brill"/>
          <w:sz w:val="28"/>
          <w:szCs w:val="24"/>
        </w:rPr>
        <w:t>within academia</w:t>
      </w:r>
      <w:r w:rsidR="00C10166" w:rsidRPr="00492338">
        <w:rPr>
          <w:rFonts w:ascii="Brill" w:hAnsi="Brill"/>
          <w:sz w:val="28"/>
          <w:szCs w:val="24"/>
        </w:rPr>
        <w:t>, but also</w:t>
      </w:r>
      <w:r w:rsidRPr="00492338">
        <w:rPr>
          <w:rFonts w:ascii="Brill" w:hAnsi="Brill"/>
          <w:sz w:val="28"/>
          <w:szCs w:val="24"/>
        </w:rPr>
        <w:t xml:space="preserve"> to the common man. Authentic news channels and educational </w:t>
      </w:r>
      <w:proofErr w:type="spellStart"/>
      <w:r w:rsidRPr="00492338">
        <w:rPr>
          <w:rFonts w:ascii="Brill" w:hAnsi="Brill"/>
          <w:sz w:val="28"/>
          <w:szCs w:val="24"/>
        </w:rPr>
        <w:t>programmes</w:t>
      </w:r>
      <w:proofErr w:type="spellEnd"/>
      <w:r w:rsidRPr="00492338">
        <w:rPr>
          <w:rFonts w:ascii="Brill" w:hAnsi="Brill"/>
          <w:sz w:val="28"/>
          <w:szCs w:val="24"/>
        </w:rPr>
        <w:t xml:space="preserve"> that portray an undistorted image of Islam, Muslims, the Arabs and the Middle East will work toward breaking many stereotypes, and with it</w:t>
      </w:r>
      <w:r w:rsidR="008E0226" w:rsidRPr="00492338">
        <w:rPr>
          <w:rFonts w:ascii="Brill" w:hAnsi="Brill"/>
          <w:sz w:val="28"/>
          <w:szCs w:val="24"/>
        </w:rPr>
        <w:t>,</w:t>
      </w:r>
      <w:r w:rsidRPr="00492338">
        <w:rPr>
          <w:rFonts w:ascii="Brill" w:hAnsi="Brill"/>
          <w:sz w:val="28"/>
          <w:szCs w:val="24"/>
        </w:rPr>
        <w:t xml:space="preserve"> many a </w:t>
      </w:r>
      <w:r w:rsidR="008E0226" w:rsidRPr="00492338">
        <w:rPr>
          <w:rFonts w:ascii="Brill" w:hAnsi="Brill"/>
          <w:sz w:val="28"/>
          <w:szCs w:val="24"/>
        </w:rPr>
        <w:t>fence that was built by ignorance and its natural byproduct; hatred.</w:t>
      </w:r>
      <w:r w:rsidRPr="00492338">
        <w:rPr>
          <w:rFonts w:ascii="Brill" w:hAnsi="Brill"/>
          <w:sz w:val="28"/>
          <w:szCs w:val="24"/>
        </w:rPr>
        <w:t xml:space="preserve">  </w:t>
      </w:r>
    </w:p>
    <w:bookmarkEnd w:id="7"/>
    <w:p w14:paraId="41C24243" w14:textId="2A6C4948" w:rsidR="00397E90" w:rsidRDefault="00492A96" w:rsidP="00492A96">
      <w:pPr>
        <w:jc w:val="right"/>
        <w:rPr>
          <w:rFonts w:ascii="Brill" w:hAnsi="Brill"/>
          <w:sz w:val="32"/>
          <w:szCs w:val="32"/>
        </w:rPr>
      </w:pPr>
      <w:r>
        <w:rPr>
          <w:rFonts w:ascii="Brill" w:hAnsi="Brill"/>
          <w:sz w:val="32"/>
          <w:szCs w:val="32"/>
        </w:rPr>
        <w:t>(2255 words)</w:t>
      </w:r>
    </w:p>
    <w:p w14:paraId="61DDB424" w14:textId="77777777" w:rsidR="006B10F8" w:rsidRPr="003F6B35" w:rsidRDefault="006B10F8" w:rsidP="003F6B35">
      <w:pPr>
        <w:rPr>
          <w:rFonts w:ascii="Brill" w:hAnsi="Brill"/>
          <w:sz w:val="36"/>
          <w:szCs w:val="36"/>
          <w:vertAlign w:val="superscript"/>
        </w:rPr>
      </w:pPr>
    </w:p>
    <w:p w14:paraId="1726BBB7" w14:textId="09951D20" w:rsidR="002A4278" w:rsidRPr="003B1841" w:rsidRDefault="002A4278" w:rsidP="002A4278">
      <w:pPr>
        <w:rPr>
          <w:rFonts w:ascii="Brill" w:hAnsi="Brill"/>
          <w:sz w:val="36"/>
          <w:szCs w:val="36"/>
        </w:rPr>
      </w:pPr>
    </w:p>
    <w:p w14:paraId="31D36DC4" w14:textId="77777777" w:rsidR="002A4278" w:rsidRPr="002A4278" w:rsidRDefault="002A4278" w:rsidP="002A4278">
      <w:pPr>
        <w:rPr>
          <w:rFonts w:ascii="Brill" w:hAnsi="Brill"/>
          <w:sz w:val="36"/>
          <w:szCs w:val="36"/>
        </w:rPr>
      </w:pPr>
    </w:p>
    <w:p w14:paraId="5ACEED6F" w14:textId="3782C73F" w:rsidR="00FE7E9B" w:rsidRPr="003B1841" w:rsidRDefault="00FE7E9B" w:rsidP="00FE7E9B">
      <w:pPr>
        <w:rPr>
          <w:rFonts w:ascii="Brill" w:hAnsi="Brill"/>
          <w:sz w:val="36"/>
          <w:szCs w:val="36"/>
        </w:rPr>
      </w:pPr>
    </w:p>
    <w:p w14:paraId="0A758DD5" w14:textId="453D3AAC" w:rsidR="00FE7E9B" w:rsidRDefault="00FE7E9B" w:rsidP="006C7558">
      <w:pPr>
        <w:rPr>
          <w:rFonts w:ascii="Brill" w:hAnsi="Brill"/>
          <w:sz w:val="36"/>
          <w:szCs w:val="36"/>
        </w:rPr>
      </w:pPr>
    </w:p>
    <w:p w14:paraId="5900BD1D" w14:textId="0C63D934" w:rsidR="004C6B61" w:rsidRDefault="004C6B61" w:rsidP="006C7558">
      <w:pPr>
        <w:rPr>
          <w:rFonts w:ascii="Brill" w:hAnsi="Brill"/>
          <w:sz w:val="36"/>
          <w:szCs w:val="36"/>
        </w:rPr>
      </w:pPr>
    </w:p>
    <w:p w14:paraId="6D90674B" w14:textId="57D7AC6B" w:rsidR="004C6B61" w:rsidRDefault="004C6B61" w:rsidP="006C7558">
      <w:pPr>
        <w:rPr>
          <w:rFonts w:ascii="Brill" w:hAnsi="Brill"/>
          <w:sz w:val="36"/>
          <w:szCs w:val="36"/>
        </w:rPr>
      </w:pPr>
    </w:p>
    <w:p w14:paraId="07FE6E99" w14:textId="46E5A25F" w:rsidR="004C6B61" w:rsidRDefault="004C6B61" w:rsidP="006C7558">
      <w:pPr>
        <w:rPr>
          <w:rFonts w:ascii="Brill" w:hAnsi="Brill"/>
          <w:sz w:val="36"/>
          <w:szCs w:val="36"/>
        </w:rPr>
      </w:pPr>
    </w:p>
    <w:p w14:paraId="7292F897" w14:textId="0B57B025" w:rsidR="004C6B61" w:rsidRDefault="004C6B61" w:rsidP="006C7558">
      <w:pPr>
        <w:rPr>
          <w:rFonts w:ascii="Brill" w:hAnsi="Brill"/>
          <w:sz w:val="36"/>
          <w:szCs w:val="36"/>
        </w:rPr>
      </w:pPr>
    </w:p>
    <w:p w14:paraId="3E0D3583" w14:textId="1BCAB3AA" w:rsidR="004C6B61" w:rsidRDefault="004C6B61" w:rsidP="006C7558">
      <w:pPr>
        <w:rPr>
          <w:rFonts w:ascii="Brill" w:hAnsi="Brill"/>
          <w:sz w:val="36"/>
          <w:szCs w:val="36"/>
        </w:rPr>
      </w:pPr>
    </w:p>
    <w:p w14:paraId="4A5B48C3" w14:textId="2B035009" w:rsidR="004C6B61" w:rsidRDefault="004C6B61" w:rsidP="006C7558">
      <w:pPr>
        <w:rPr>
          <w:rFonts w:ascii="Brill" w:hAnsi="Brill"/>
          <w:sz w:val="36"/>
          <w:szCs w:val="36"/>
        </w:rPr>
      </w:pPr>
    </w:p>
    <w:p w14:paraId="39223207" w14:textId="696410D5" w:rsidR="004C6B61" w:rsidRDefault="000B3B71" w:rsidP="006C7558">
      <w:pPr>
        <w:rPr>
          <w:rFonts w:ascii="Brill" w:hAnsi="Brill"/>
          <w:sz w:val="36"/>
          <w:szCs w:val="36"/>
        </w:rPr>
      </w:pPr>
      <w:r>
        <w:rPr>
          <w:rFonts w:ascii="Brill" w:hAnsi="Brill"/>
          <w:sz w:val="36"/>
          <w:szCs w:val="36"/>
        </w:rPr>
        <w:lastRenderedPageBreak/>
        <w:t>References:</w:t>
      </w:r>
    </w:p>
    <w:p w14:paraId="0E2E6C2A"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bookmarkStart w:id="8" w:name="_Hlk30204138"/>
      <w:proofErr w:type="spellStart"/>
      <w:r w:rsidRPr="00AC7C73">
        <w:rPr>
          <w:rFonts w:ascii="Arial" w:hAnsi="Arial" w:cs="Arial"/>
          <w:color w:val="333333"/>
          <w:sz w:val="24"/>
          <w:szCs w:val="24"/>
          <w:shd w:val="clear" w:color="auto" w:fill="FFFFFF"/>
        </w:rPr>
        <w:t>AbuKhalil</w:t>
      </w:r>
      <w:proofErr w:type="spellEnd"/>
      <w:r w:rsidRPr="00AC7C73">
        <w:rPr>
          <w:rFonts w:ascii="Arial" w:hAnsi="Arial" w:cs="Arial"/>
          <w:color w:val="333333"/>
          <w:sz w:val="24"/>
          <w:szCs w:val="24"/>
          <w:shd w:val="clear" w:color="auto" w:fill="FFFFFF"/>
        </w:rPr>
        <w:t xml:space="preserve">, </w:t>
      </w:r>
      <w:proofErr w:type="spellStart"/>
      <w:r w:rsidRPr="00AC7C73">
        <w:rPr>
          <w:rFonts w:ascii="Arial" w:hAnsi="Arial" w:cs="Arial"/>
          <w:color w:val="333333"/>
          <w:sz w:val="24"/>
          <w:szCs w:val="24"/>
          <w:shd w:val="clear" w:color="auto" w:fill="FFFFFF"/>
        </w:rPr>
        <w:t>Asad</w:t>
      </w:r>
      <w:proofErr w:type="spellEnd"/>
      <w:r w:rsidRPr="00AC7C73">
        <w:rPr>
          <w:rFonts w:ascii="Arial" w:hAnsi="Arial" w:cs="Arial"/>
          <w:color w:val="333333"/>
          <w:sz w:val="24"/>
          <w:szCs w:val="24"/>
          <w:shd w:val="clear" w:color="auto" w:fill="FFFFFF"/>
        </w:rPr>
        <w:t>. "Islam and the Study of Central Asia: A Critique of the Western Scholarly Literature." </w:t>
      </w:r>
      <w:r w:rsidRPr="00AC7C73">
        <w:rPr>
          <w:rFonts w:ascii="Arial" w:hAnsi="Arial" w:cs="Arial"/>
          <w:i/>
          <w:iCs/>
          <w:color w:val="333333"/>
          <w:sz w:val="24"/>
          <w:szCs w:val="24"/>
          <w:shd w:val="clear" w:color="auto" w:fill="FFFFFF"/>
        </w:rPr>
        <w:t>The Arab Studies Journal</w:t>
      </w:r>
      <w:r w:rsidRPr="00AC7C73">
        <w:rPr>
          <w:rFonts w:ascii="Arial" w:hAnsi="Arial" w:cs="Arial"/>
          <w:color w:val="333333"/>
          <w:sz w:val="24"/>
          <w:szCs w:val="24"/>
          <w:shd w:val="clear" w:color="auto" w:fill="FFFFFF"/>
        </w:rPr>
        <w:t xml:space="preserve"> 4, no. 1 (1996): 115-29. Accessed January 16, 2020. </w:t>
      </w:r>
      <w:hyperlink r:id="rId13" w:history="1">
        <w:r w:rsidRPr="00AC7C73">
          <w:rPr>
            <w:rStyle w:val="Hyperlink"/>
            <w:rFonts w:ascii="Arial" w:hAnsi="Arial" w:cs="Arial"/>
            <w:sz w:val="24"/>
            <w:szCs w:val="24"/>
            <w:shd w:val="clear" w:color="auto" w:fill="FFFFFF"/>
          </w:rPr>
          <w:t>www.jstor.org/stable/27933681</w:t>
        </w:r>
      </w:hyperlink>
      <w:r w:rsidRPr="00AC7C73">
        <w:rPr>
          <w:rFonts w:ascii="Arial" w:hAnsi="Arial" w:cs="Arial"/>
          <w:color w:val="333333"/>
          <w:sz w:val="24"/>
          <w:szCs w:val="24"/>
          <w:shd w:val="clear" w:color="auto" w:fill="FFFFFF"/>
        </w:rPr>
        <w:t>.</w:t>
      </w:r>
    </w:p>
    <w:p w14:paraId="25F84AEC"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 xml:space="preserve">Ahmad, </w:t>
      </w:r>
      <w:proofErr w:type="spellStart"/>
      <w:r w:rsidRPr="00AC7C73">
        <w:rPr>
          <w:rFonts w:ascii="Arial" w:hAnsi="Arial" w:cs="Arial"/>
          <w:color w:val="333333"/>
          <w:sz w:val="24"/>
          <w:szCs w:val="24"/>
          <w:shd w:val="clear" w:color="auto" w:fill="FFFFFF"/>
        </w:rPr>
        <w:t>Fawzia</w:t>
      </w:r>
      <w:proofErr w:type="spellEnd"/>
      <w:r w:rsidRPr="00AC7C73">
        <w:rPr>
          <w:rFonts w:ascii="Arial" w:hAnsi="Arial" w:cs="Arial"/>
          <w:color w:val="333333"/>
          <w:sz w:val="24"/>
          <w:szCs w:val="24"/>
          <w:shd w:val="clear" w:color="auto" w:fill="FFFFFF"/>
        </w:rPr>
        <w:t>. "Engaging a New Discourse: Teaching "Women in Islam" in the American University Classroom." </w:t>
      </w:r>
      <w:r w:rsidRPr="00AC7C73">
        <w:rPr>
          <w:rFonts w:ascii="Arial" w:hAnsi="Arial" w:cs="Arial"/>
          <w:i/>
          <w:iCs/>
          <w:color w:val="333333"/>
          <w:sz w:val="24"/>
          <w:szCs w:val="24"/>
          <w:shd w:val="clear" w:color="auto" w:fill="FFFFFF"/>
        </w:rPr>
        <w:t>Journal of Feminist Studies in Religion</w:t>
      </w:r>
      <w:r w:rsidRPr="00AC7C73">
        <w:rPr>
          <w:rFonts w:ascii="Arial" w:hAnsi="Arial" w:cs="Arial"/>
          <w:color w:val="333333"/>
          <w:sz w:val="24"/>
          <w:szCs w:val="24"/>
          <w:shd w:val="clear" w:color="auto" w:fill="FFFFFF"/>
        </w:rPr>
        <w:t xml:space="preserve"> 18, no. 2 (2002): 131-40. Accessed January 14, 2020. </w:t>
      </w:r>
      <w:hyperlink r:id="rId14" w:history="1">
        <w:r w:rsidRPr="00AC7C73">
          <w:rPr>
            <w:rStyle w:val="Hyperlink"/>
            <w:rFonts w:ascii="Arial" w:hAnsi="Arial" w:cs="Arial"/>
            <w:sz w:val="24"/>
            <w:szCs w:val="24"/>
            <w:shd w:val="clear" w:color="auto" w:fill="FFFFFF"/>
          </w:rPr>
          <w:t>www.jstor.org/stable/25002451</w:t>
        </w:r>
      </w:hyperlink>
      <w:r w:rsidRPr="00AC7C73">
        <w:rPr>
          <w:rFonts w:ascii="Arial" w:hAnsi="Arial" w:cs="Arial"/>
          <w:color w:val="333333"/>
          <w:sz w:val="24"/>
          <w:szCs w:val="24"/>
          <w:shd w:val="clear" w:color="auto" w:fill="FFFFFF"/>
        </w:rPr>
        <w:t>.</w:t>
      </w:r>
    </w:p>
    <w:p w14:paraId="415EF409"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Berg, Herbert. "The Essence of Essentializing: A Critical Discourse on "Critical Discourse in the Study of Islam"." </w:t>
      </w:r>
      <w:r w:rsidRPr="00AC7C73">
        <w:rPr>
          <w:rFonts w:ascii="Arial" w:hAnsi="Arial" w:cs="Arial"/>
          <w:i/>
          <w:iCs/>
          <w:color w:val="333333"/>
          <w:sz w:val="24"/>
          <w:szCs w:val="24"/>
          <w:shd w:val="clear" w:color="auto" w:fill="FFFFFF"/>
        </w:rPr>
        <w:t>Method &amp; Theory in the Study of Religion</w:t>
      </w:r>
      <w:r w:rsidRPr="00AC7C73">
        <w:rPr>
          <w:rFonts w:ascii="Arial" w:hAnsi="Arial" w:cs="Arial"/>
          <w:color w:val="333333"/>
          <w:sz w:val="24"/>
          <w:szCs w:val="24"/>
          <w:shd w:val="clear" w:color="auto" w:fill="FFFFFF"/>
        </w:rPr>
        <w:t xml:space="preserve"> 24, no. 4/5 (2012): 337-56. Accessed January 14, 2020. </w:t>
      </w:r>
      <w:hyperlink r:id="rId15" w:history="1">
        <w:r w:rsidRPr="00AC7C73">
          <w:rPr>
            <w:rStyle w:val="Hyperlink"/>
            <w:rFonts w:ascii="Arial" w:hAnsi="Arial" w:cs="Arial"/>
            <w:sz w:val="24"/>
            <w:szCs w:val="24"/>
            <w:shd w:val="clear" w:color="auto" w:fill="FFFFFF"/>
          </w:rPr>
          <w:t>www.jstor.org/stable/23555835</w:t>
        </w:r>
      </w:hyperlink>
      <w:r w:rsidRPr="00AC7C73">
        <w:rPr>
          <w:rFonts w:ascii="Arial" w:hAnsi="Arial" w:cs="Arial"/>
          <w:color w:val="333333"/>
          <w:sz w:val="24"/>
          <w:szCs w:val="24"/>
          <w:shd w:val="clear" w:color="auto" w:fill="FFFFFF"/>
        </w:rPr>
        <w:t>.</w:t>
      </w:r>
    </w:p>
    <w:p w14:paraId="72C4CEDD"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Benard</w:t>
      </w:r>
      <w:proofErr w:type="spellEnd"/>
      <w:r w:rsidRPr="00AC7C73">
        <w:rPr>
          <w:rFonts w:ascii="Arial" w:hAnsi="Arial" w:cs="Arial"/>
          <w:color w:val="333333"/>
          <w:sz w:val="24"/>
          <w:szCs w:val="24"/>
          <w:shd w:val="clear" w:color="auto" w:fill="FFFFFF"/>
        </w:rPr>
        <w:t>, Cheryl. "FINDING PARTNERS FOR THE PROMOTION OF DEMOCRATIC ISLAM: OPTIONS." In </w:t>
      </w:r>
      <w:r w:rsidRPr="00AC7C73">
        <w:rPr>
          <w:rFonts w:ascii="Arial" w:hAnsi="Arial" w:cs="Arial"/>
          <w:i/>
          <w:iCs/>
          <w:color w:val="333333"/>
          <w:sz w:val="24"/>
          <w:szCs w:val="24"/>
          <w:shd w:val="clear" w:color="auto" w:fill="FFFFFF"/>
        </w:rPr>
        <w:t>Civil Democratic Islam: Partners, Resources, and Strategies</w:t>
      </w:r>
      <w:r w:rsidRPr="00AC7C73">
        <w:rPr>
          <w:rFonts w:ascii="Arial" w:hAnsi="Arial" w:cs="Arial"/>
          <w:color w:val="333333"/>
          <w:sz w:val="24"/>
          <w:szCs w:val="24"/>
          <w:shd w:val="clear" w:color="auto" w:fill="FFFFFF"/>
        </w:rPr>
        <w:t xml:space="preserve">, 25-46. Santa Monica, CA; Arlington, VA; Pittsburgh, PA: RAND Corporation, 2003. Accessed January 14, 2020. </w:t>
      </w:r>
      <w:hyperlink r:id="rId16" w:history="1">
        <w:r w:rsidRPr="00AC7C73">
          <w:rPr>
            <w:rStyle w:val="Hyperlink"/>
            <w:rFonts w:ascii="Arial" w:hAnsi="Arial" w:cs="Arial"/>
            <w:sz w:val="24"/>
            <w:szCs w:val="24"/>
            <w:shd w:val="clear" w:color="auto" w:fill="FFFFFF"/>
          </w:rPr>
          <w:t>www.jstor.org/stable/10.7249/mr1716cmepp.9</w:t>
        </w:r>
      </w:hyperlink>
      <w:r w:rsidRPr="00AC7C73">
        <w:rPr>
          <w:rFonts w:ascii="Arial" w:hAnsi="Arial" w:cs="Arial"/>
          <w:color w:val="333333"/>
          <w:sz w:val="24"/>
          <w:szCs w:val="24"/>
          <w:shd w:val="clear" w:color="auto" w:fill="FFFFFF"/>
        </w:rPr>
        <w:t>.</w:t>
      </w:r>
    </w:p>
    <w:p w14:paraId="0340ED13"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Bowen, John R., “Anthropology of Islam”, in: </w:t>
      </w:r>
      <w:proofErr w:type="spellStart"/>
      <w:r w:rsidRPr="00AC7C73">
        <w:rPr>
          <w:rFonts w:ascii="Arial" w:hAnsi="Arial" w:cs="Arial"/>
          <w:i/>
          <w:iCs/>
          <w:color w:val="333333"/>
          <w:sz w:val="24"/>
          <w:szCs w:val="24"/>
          <w:shd w:val="clear" w:color="auto" w:fill="FFFFFF"/>
        </w:rPr>
        <w:t>Encyclopaedia</w:t>
      </w:r>
      <w:proofErr w:type="spellEnd"/>
      <w:r w:rsidRPr="00AC7C73">
        <w:rPr>
          <w:rFonts w:ascii="Arial" w:hAnsi="Arial" w:cs="Arial"/>
          <w:i/>
          <w:iCs/>
          <w:color w:val="333333"/>
          <w:sz w:val="24"/>
          <w:szCs w:val="24"/>
          <w:shd w:val="clear" w:color="auto" w:fill="FFFFFF"/>
        </w:rPr>
        <w:t xml:space="preserve"> of Islam, THREE</w:t>
      </w:r>
      <w:r w:rsidRPr="00AC7C73">
        <w:rPr>
          <w:rFonts w:ascii="Arial" w:hAnsi="Arial" w:cs="Arial"/>
          <w:color w:val="333333"/>
          <w:sz w:val="24"/>
          <w:szCs w:val="24"/>
          <w:shd w:val="clear" w:color="auto" w:fill="FFFFFF"/>
        </w:rPr>
        <w:t xml:space="preserve">, Edited by: Kate Fleet, Gudrun </w:t>
      </w:r>
      <w:proofErr w:type="spellStart"/>
      <w:r w:rsidRPr="00AC7C73">
        <w:rPr>
          <w:rFonts w:ascii="Arial" w:hAnsi="Arial" w:cs="Arial"/>
          <w:color w:val="333333"/>
          <w:sz w:val="24"/>
          <w:szCs w:val="24"/>
          <w:shd w:val="clear" w:color="auto" w:fill="FFFFFF"/>
        </w:rPr>
        <w:t>Krämer</w:t>
      </w:r>
      <w:proofErr w:type="spellEnd"/>
      <w:r w:rsidRPr="00AC7C73">
        <w:rPr>
          <w:rFonts w:ascii="Arial" w:hAnsi="Arial" w:cs="Arial"/>
          <w:color w:val="333333"/>
          <w:sz w:val="24"/>
          <w:szCs w:val="24"/>
          <w:shd w:val="clear" w:color="auto" w:fill="FFFFFF"/>
        </w:rPr>
        <w:t xml:space="preserve">, Denis </w:t>
      </w:r>
      <w:proofErr w:type="spellStart"/>
      <w:r w:rsidRPr="00AC7C73">
        <w:rPr>
          <w:rFonts w:ascii="Arial" w:hAnsi="Arial" w:cs="Arial"/>
          <w:color w:val="333333"/>
          <w:sz w:val="24"/>
          <w:szCs w:val="24"/>
          <w:shd w:val="clear" w:color="auto" w:fill="FFFFFF"/>
        </w:rPr>
        <w:t>Matringe</w:t>
      </w:r>
      <w:proofErr w:type="spellEnd"/>
      <w:r w:rsidRPr="00AC7C73">
        <w:rPr>
          <w:rFonts w:ascii="Arial" w:hAnsi="Arial" w:cs="Arial"/>
          <w:color w:val="333333"/>
          <w:sz w:val="24"/>
          <w:szCs w:val="24"/>
          <w:shd w:val="clear" w:color="auto" w:fill="FFFFFF"/>
        </w:rPr>
        <w:t xml:space="preserve">, John </w:t>
      </w:r>
      <w:proofErr w:type="spellStart"/>
      <w:r w:rsidRPr="00AC7C73">
        <w:rPr>
          <w:rFonts w:ascii="Arial" w:hAnsi="Arial" w:cs="Arial"/>
          <w:color w:val="333333"/>
          <w:sz w:val="24"/>
          <w:szCs w:val="24"/>
          <w:shd w:val="clear" w:color="auto" w:fill="FFFFFF"/>
        </w:rPr>
        <w:t>Nawas</w:t>
      </w:r>
      <w:proofErr w:type="spellEnd"/>
      <w:r w:rsidRPr="00AC7C73">
        <w:rPr>
          <w:rFonts w:ascii="Arial" w:hAnsi="Arial" w:cs="Arial"/>
          <w:color w:val="333333"/>
          <w:sz w:val="24"/>
          <w:szCs w:val="24"/>
          <w:shd w:val="clear" w:color="auto" w:fill="FFFFFF"/>
        </w:rPr>
        <w:t xml:space="preserve">, Everett </w:t>
      </w:r>
      <w:proofErr w:type="spellStart"/>
      <w:r w:rsidRPr="00AC7C73">
        <w:rPr>
          <w:rFonts w:ascii="Arial" w:hAnsi="Arial" w:cs="Arial"/>
          <w:color w:val="333333"/>
          <w:sz w:val="24"/>
          <w:szCs w:val="24"/>
          <w:shd w:val="clear" w:color="auto" w:fill="FFFFFF"/>
        </w:rPr>
        <w:t>Rowson</w:t>
      </w:r>
      <w:proofErr w:type="spellEnd"/>
      <w:r w:rsidRPr="00AC7C73">
        <w:rPr>
          <w:rFonts w:ascii="Arial" w:hAnsi="Arial" w:cs="Arial"/>
          <w:color w:val="333333"/>
          <w:sz w:val="24"/>
          <w:szCs w:val="24"/>
          <w:shd w:val="clear" w:color="auto" w:fill="FFFFFF"/>
        </w:rPr>
        <w:t>. Consulted online on 14 January 2020 &lt;http://dx.doi.org/10.1163/1573-3912_ei3_COM_24929&gt;First published online: 2016</w:t>
      </w:r>
    </w:p>
    <w:p w14:paraId="6CD39DE2" w14:textId="77777777" w:rsidR="00857540" w:rsidRPr="00AC7C73" w:rsidRDefault="00857540" w:rsidP="00857540">
      <w:pPr>
        <w:pStyle w:val="ListParagraph"/>
        <w:spacing w:after="0" w:line="240" w:lineRule="auto"/>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First print edition: 9789004305762, 2016, 2016-3</w:t>
      </w:r>
    </w:p>
    <w:p w14:paraId="0D5CD8D9"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3DF7BD0C"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Buskens</w:t>
      </w:r>
      <w:proofErr w:type="spellEnd"/>
      <w:r w:rsidRPr="00AC7C73">
        <w:rPr>
          <w:rFonts w:ascii="Arial" w:hAnsi="Arial" w:cs="Arial"/>
          <w:color w:val="333333"/>
          <w:sz w:val="24"/>
          <w:szCs w:val="24"/>
          <w:shd w:val="clear" w:color="auto" w:fill="FFFFFF"/>
        </w:rPr>
        <w:t>, Léon. "Middle Eastern Studies and Islam: Oscillations and Tensions in an Old Relationship." In </w:t>
      </w:r>
      <w:r w:rsidRPr="00AC7C73">
        <w:rPr>
          <w:rFonts w:ascii="Arial" w:hAnsi="Arial" w:cs="Arial"/>
          <w:i/>
          <w:iCs/>
          <w:color w:val="333333"/>
          <w:sz w:val="24"/>
          <w:szCs w:val="24"/>
          <w:shd w:val="clear" w:color="auto" w:fill="FFFFFF"/>
        </w:rPr>
        <w:t>Islamic Studies in the Twenty-First Century: Transformations and Continuities</w:t>
      </w:r>
      <w:r w:rsidRPr="00AC7C73">
        <w:rPr>
          <w:rFonts w:ascii="Arial" w:hAnsi="Arial" w:cs="Arial"/>
          <w:color w:val="333333"/>
          <w:sz w:val="24"/>
          <w:szCs w:val="24"/>
          <w:shd w:val="clear" w:color="auto" w:fill="FFFFFF"/>
        </w:rPr>
        <w:t xml:space="preserve">, edited by </w:t>
      </w:r>
      <w:proofErr w:type="spellStart"/>
      <w:r w:rsidRPr="00AC7C73">
        <w:rPr>
          <w:rFonts w:ascii="Arial" w:hAnsi="Arial" w:cs="Arial"/>
          <w:color w:val="333333"/>
          <w:sz w:val="24"/>
          <w:szCs w:val="24"/>
          <w:shd w:val="clear" w:color="auto" w:fill="FFFFFF"/>
        </w:rPr>
        <w:t>Buskens</w:t>
      </w:r>
      <w:proofErr w:type="spellEnd"/>
      <w:r w:rsidRPr="00AC7C73">
        <w:rPr>
          <w:rFonts w:ascii="Arial" w:hAnsi="Arial" w:cs="Arial"/>
          <w:color w:val="333333"/>
          <w:sz w:val="24"/>
          <w:szCs w:val="24"/>
          <w:shd w:val="clear" w:color="auto" w:fill="FFFFFF"/>
        </w:rPr>
        <w:t xml:space="preserve"> Léon and Van </w:t>
      </w:r>
      <w:proofErr w:type="spellStart"/>
      <w:r w:rsidRPr="00AC7C73">
        <w:rPr>
          <w:rFonts w:ascii="Arial" w:hAnsi="Arial" w:cs="Arial"/>
          <w:color w:val="333333"/>
          <w:sz w:val="24"/>
          <w:szCs w:val="24"/>
          <w:shd w:val="clear" w:color="auto" w:fill="FFFFFF"/>
        </w:rPr>
        <w:t>Sandwijk</w:t>
      </w:r>
      <w:proofErr w:type="spellEnd"/>
      <w:r w:rsidRPr="00AC7C73">
        <w:rPr>
          <w:rFonts w:ascii="Arial" w:hAnsi="Arial" w:cs="Arial"/>
          <w:color w:val="333333"/>
          <w:sz w:val="24"/>
          <w:szCs w:val="24"/>
          <w:shd w:val="clear" w:color="auto" w:fill="FFFFFF"/>
        </w:rPr>
        <w:t xml:space="preserve"> Annemarie, 241-68. Amsterdam: Amsterdam University Press, 2016. Accessed January 14, 2020. doi:10.2307/</w:t>
      </w:r>
      <w:proofErr w:type="gramStart"/>
      <w:r w:rsidRPr="00AC7C73">
        <w:rPr>
          <w:rFonts w:ascii="Arial" w:hAnsi="Arial" w:cs="Arial"/>
          <w:color w:val="333333"/>
          <w:sz w:val="24"/>
          <w:szCs w:val="24"/>
          <w:shd w:val="clear" w:color="auto" w:fill="FFFFFF"/>
        </w:rPr>
        <w:t>j.ctt</w:t>
      </w:r>
      <w:proofErr w:type="gramEnd"/>
      <w:r w:rsidRPr="00AC7C73">
        <w:rPr>
          <w:rFonts w:ascii="Arial" w:hAnsi="Arial" w:cs="Arial"/>
          <w:color w:val="333333"/>
          <w:sz w:val="24"/>
          <w:szCs w:val="24"/>
          <w:shd w:val="clear" w:color="auto" w:fill="FFFFFF"/>
        </w:rPr>
        <w:t>1zxsk97.15</w:t>
      </w:r>
    </w:p>
    <w:p w14:paraId="641C4262"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Davary</w:t>
      </w:r>
      <w:proofErr w:type="spellEnd"/>
      <w:r w:rsidRPr="00AC7C73">
        <w:rPr>
          <w:rFonts w:ascii="Arial" w:hAnsi="Arial" w:cs="Arial"/>
          <w:color w:val="333333"/>
          <w:sz w:val="24"/>
          <w:szCs w:val="24"/>
          <w:shd w:val="clear" w:color="auto" w:fill="FFFFFF"/>
        </w:rPr>
        <w:t xml:space="preserve">, </w:t>
      </w:r>
      <w:proofErr w:type="spellStart"/>
      <w:r w:rsidRPr="00AC7C73">
        <w:rPr>
          <w:rFonts w:ascii="Arial" w:hAnsi="Arial" w:cs="Arial"/>
          <w:color w:val="333333"/>
          <w:sz w:val="24"/>
          <w:szCs w:val="24"/>
          <w:shd w:val="clear" w:color="auto" w:fill="FFFFFF"/>
        </w:rPr>
        <w:t>Bahar</w:t>
      </w:r>
      <w:proofErr w:type="spellEnd"/>
      <w:r w:rsidRPr="00AC7C73">
        <w:rPr>
          <w:rFonts w:ascii="Arial" w:hAnsi="Arial" w:cs="Arial"/>
          <w:color w:val="333333"/>
          <w:sz w:val="24"/>
          <w:szCs w:val="24"/>
          <w:shd w:val="clear" w:color="auto" w:fill="FFFFFF"/>
        </w:rPr>
        <w:t xml:space="preserve">, “Islamic Studies”, in: Encyclopedia of Women &amp; Islamic Cultures, General Editor </w:t>
      </w:r>
      <w:proofErr w:type="spellStart"/>
      <w:r w:rsidRPr="00AC7C73">
        <w:rPr>
          <w:rFonts w:ascii="Arial" w:hAnsi="Arial" w:cs="Arial"/>
          <w:color w:val="333333"/>
          <w:sz w:val="24"/>
          <w:szCs w:val="24"/>
          <w:shd w:val="clear" w:color="auto" w:fill="FFFFFF"/>
        </w:rPr>
        <w:t>Suad</w:t>
      </w:r>
      <w:proofErr w:type="spellEnd"/>
      <w:r w:rsidRPr="00AC7C73">
        <w:rPr>
          <w:rFonts w:ascii="Arial" w:hAnsi="Arial" w:cs="Arial"/>
          <w:color w:val="333333"/>
          <w:sz w:val="24"/>
          <w:szCs w:val="24"/>
          <w:shd w:val="clear" w:color="auto" w:fill="FFFFFF"/>
        </w:rPr>
        <w:t xml:space="preserve"> Joseph. Consulted online on 14 January 2020 &lt;http://dx.doi.org/10.1163/1872-5309_ewic_COM_00012&gt;</w:t>
      </w:r>
    </w:p>
    <w:p w14:paraId="2B2B9F51" w14:textId="77777777" w:rsidR="00857540" w:rsidRPr="00AC7C73" w:rsidRDefault="00857540" w:rsidP="00857540">
      <w:pPr>
        <w:pStyle w:val="ListParagraph"/>
        <w:spacing w:after="0" w:line="240" w:lineRule="auto"/>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First published online: 2014</w:t>
      </w:r>
    </w:p>
    <w:bookmarkEnd w:id="8"/>
    <w:p w14:paraId="438BA79D" w14:textId="77777777" w:rsidR="00857540" w:rsidRPr="00AC7C73" w:rsidRDefault="00857540" w:rsidP="00857540">
      <w:pPr>
        <w:rPr>
          <w:rFonts w:ascii="Arial" w:hAnsi="Arial" w:cs="Arial"/>
          <w:color w:val="333333"/>
          <w:sz w:val="24"/>
          <w:szCs w:val="24"/>
          <w:shd w:val="clear" w:color="auto" w:fill="FFFFFF"/>
        </w:rPr>
      </w:pPr>
    </w:p>
    <w:p w14:paraId="5FAA0CEC" w14:textId="77777777" w:rsidR="00857540" w:rsidRPr="00AC7C73" w:rsidRDefault="00857540" w:rsidP="00857540">
      <w:pPr>
        <w:pStyle w:val="ListParagraph"/>
        <w:numPr>
          <w:ilvl w:val="0"/>
          <w:numId w:val="7"/>
        </w:numPr>
        <w:rPr>
          <w:rStyle w:val="Hyperlink"/>
          <w:rFonts w:ascii="Arial" w:hAnsi="Arial" w:cs="Arial"/>
          <w:sz w:val="24"/>
          <w:szCs w:val="24"/>
          <w:shd w:val="clear" w:color="auto" w:fill="FFFFFF"/>
        </w:rPr>
      </w:pPr>
      <w:r w:rsidRPr="00AC7C73">
        <w:rPr>
          <w:rFonts w:ascii="Arial" w:hAnsi="Arial" w:cs="Arial"/>
          <w:color w:val="333333"/>
          <w:sz w:val="24"/>
          <w:szCs w:val="24"/>
          <w:shd w:val="clear" w:color="auto" w:fill="FFFFFF"/>
        </w:rPr>
        <w:t>Esposito, John l. "The Prince Alwaleed Center for Muslim-Christian Understanding." </w:t>
      </w:r>
      <w:r w:rsidRPr="00AC7C73">
        <w:rPr>
          <w:rFonts w:ascii="Arial" w:hAnsi="Arial" w:cs="Arial"/>
          <w:i/>
          <w:iCs/>
          <w:color w:val="333333"/>
          <w:sz w:val="24"/>
          <w:szCs w:val="24"/>
          <w:shd w:val="clear" w:color="auto" w:fill="FFFFFF"/>
        </w:rPr>
        <w:t>Islamic Studies</w:t>
      </w:r>
      <w:r w:rsidRPr="00AC7C73">
        <w:rPr>
          <w:rFonts w:ascii="Arial" w:hAnsi="Arial" w:cs="Arial"/>
          <w:color w:val="333333"/>
          <w:sz w:val="24"/>
          <w:szCs w:val="24"/>
          <w:shd w:val="clear" w:color="auto" w:fill="FFFFFF"/>
        </w:rPr>
        <w:t xml:space="preserve"> 45, no. 1 (2006): 121-28. Accessed January 14, 2020. </w:t>
      </w:r>
      <w:hyperlink r:id="rId17" w:history="1">
        <w:r w:rsidRPr="00AC7C73">
          <w:rPr>
            <w:rStyle w:val="Hyperlink"/>
            <w:rFonts w:ascii="Arial" w:hAnsi="Arial" w:cs="Arial"/>
            <w:sz w:val="24"/>
            <w:szCs w:val="24"/>
            <w:shd w:val="clear" w:color="auto" w:fill="FFFFFF"/>
          </w:rPr>
          <w:t>www.jstor.org/stable/20839004</w:t>
        </w:r>
      </w:hyperlink>
    </w:p>
    <w:p w14:paraId="19BEA03D"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Falk, Richard. "False Universalism and the Geopolitics of Exclusion: The Case of Islam." </w:t>
      </w:r>
      <w:r w:rsidRPr="00AC7C73">
        <w:rPr>
          <w:rFonts w:ascii="Arial" w:hAnsi="Arial" w:cs="Arial"/>
          <w:i/>
          <w:iCs/>
          <w:color w:val="333333"/>
          <w:sz w:val="24"/>
          <w:szCs w:val="24"/>
          <w:shd w:val="clear" w:color="auto" w:fill="FFFFFF"/>
        </w:rPr>
        <w:t>Third World Quarterly</w:t>
      </w:r>
      <w:r w:rsidRPr="00AC7C73">
        <w:rPr>
          <w:rFonts w:ascii="Arial" w:hAnsi="Arial" w:cs="Arial"/>
          <w:color w:val="333333"/>
          <w:sz w:val="24"/>
          <w:szCs w:val="24"/>
          <w:shd w:val="clear" w:color="auto" w:fill="FFFFFF"/>
        </w:rPr>
        <w:t xml:space="preserve"> 18, no. 1 (1997): 7-23. Accessed January 16, 2020. </w:t>
      </w:r>
      <w:hyperlink r:id="rId18" w:history="1">
        <w:r w:rsidRPr="00AC7C73">
          <w:rPr>
            <w:rStyle w:val="Hyperlink"/>
            <w:rFonts w:ascii="Arial" w:hAnsi="Arial" w:cs="Arial"/>
            <w:sz w:val="24"/>
            <w:szCs w:val="24"/>
            <w:shd w:val="clear" w:color="auto" w:fill="FFFFFF"/>
          </w:rPr>
          <w:t>www.jstor.org/stable/3992899</w:t>
        </w:r>
      </w:hyperlink>
      <w:r w:rsidRPr="00AC7C73">
        <w:rPr>
          <w:rFonts w:ascii="Arial" w:hAnsi="Arial" w:cs="Arial"/>
          <w:color w:val="333333"/>
          <w:sz w:val="24"/>
          <w:szCs w:val="24"/>
          <w:shd w:val="clear" w:color="auto" w:fill="FFFFFF"/>
        </w:rPr>
        <w:t>.</w:t>
      </w:r>
    </w:p>
    <w:p w14:paraId="41160A38" w14:textId="77777777" w:rsidR="00857540" w:rsidRPr="00AC7C73" w:rsidRDefault="00857540" w:rsidP="00857540">
      <w:pPr>
        <w:shd w:val="clear" w:color="auto" w:fill="F2F2F2"/>
        <w:spacing w:after="0" w:line="240" w:lineRule="auto"/>
        <w:rPr>
          <w:rStyle w:val="Hyperlink"/>
          <w:rFonts w:ascii="Arial" w:hAnsi="Arial" w:cs="Arial"/>
          <w:sz w:val="24"/>
          <w:szCs w:val="24"/>
          <w:shd w:val="clear" w:color="auto" w:fill="FFFFFF"/>
        </w:rPr>
      </w:pPr>
    </w:p>
    <w:p w14:paraId="0592D9D1" w14:textId="77777777" w:rsidR="00857540" w:rsidRPr="00AC7C73" w:rsidRDefault="00857540" w:rsidP="00857540">
      <w:pPr>
        <w:pStyle w:val="ListParagraph"/>
        <w:numPr>
          <w:ilvl w:val="0"/>
          <w:numId w:val="7"/>
        </w:numPr>
        <w:shd w:val="clear" w:color="auto" w:fill="F2F2F2"/>
        <w:spacing w:after="0" w:line="240" w:lineRule="auto"/>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 xml:space="preserve">Fischer, Klaus (Bonn) and Fischer, </w:t>
      </w:r>
      <w:proofErr w:type="spellStart"/>
      <w:r w:rsidRPr="00AC7C73">
        <w:rPr>
          <w:rFonts w:ascii="Arial" w:hAnsi="Arial" w:cs="Arial"/>
          <w:color w:val="333333"/>
          <w:sz w:val="24"/>
          <w:szCs w:val="24"/>
          <w:shd w:val="clear" w:color="auto" w:fill="FFFFFF"/>
        </w:rPr>
        <w:t>Wolfdietrich</w:t>
      </w:r>
      <w:proofErr w:type="spellEnd"/>
      <w:r w:rsidRPr="00AC7C73">
        <w:rPr>
          <w:rFonts w:ascii="Arial" w:hAnsi="Arial" w:cs="Arial"/>
          <w:color w:val="333333"/>
          <w:sz w:val="24"/>
          <w:szCs w:val="24"/>
          <w:shd w:val="clear" w:color="auto" w:fill="FFFFFF"/>
        </w:rPr>
        <w:t xml:space="preserve"> (Erlangen RWG), “Arabic Studies”, in: Brill’s New Pauly, Antiquity volumes edited by: Hubert </w:t>
      </w:r>
      <w:proofErr w:type="spellStart"/>
      <w:r w:rsidRPr="00AC7C73">
        <w:rPr>
          <w:rFonts w:ascii="Arial" w:hAnsi="Arial" w:cs="Arial"/>
          <w:color w:val="333333"/>
          <w:sz w:val="24"/>
          <w:szCs w:val="24"/>
          <w:shd w:val="clear" w:color="auto" w:fill="FFFFFF"/>
        </w:rPr>
        <w:t>Cancik</w:t>
      </w:r>
      <w:proofErr w:type="spellEnd"/>
      <w:r w:rsidRPr="00AC7C73">
        <w:rPr>
          <w:rFonts w:ascii="Arial" w:hAnsi="Arial" w:cs="Arial"/>
          <w:color w:val="333333"/>
          <w:sz w:val="24"/>
          <w:szCs w:val="24"/>
          <w:shd w:val="clear" w:color="auto" w:fill="FFFFFF"/>
        </w:rPr>
        <w:t xml:space="preserve"> and , Helmuth Schneider, English Edition by: Christine F. Salazar, Classical Tradition </w:t>
      </w:r>
      <w:r w:rsidRPr="00AC7C73">
        <w:rPr>
          <w:rFonts w:ascii="Arial" w:hAnsi="Arial" w:cs="Arial"/>
          <w:color w:val="333333"/>
          <w:sz w:val="24"/>
          <w:szCs w:val="24"/>
          <w:shd w:val="clear" w:color="auto" w:fill="FFFFFF"/>
        </w:rPr>
        <w:lastRenderedPageBreak/>
        <w:t xml:space="preserve">volumes edited by: Manfred </w:t>
      </w:r>
      <w:proofErr w:type="spellStart"/>
      <w:r w:rsidRPr="00AC7C73">
        <w:rPr>
          <w:rFonts w:ascii="Arial" w:hAnsi="Arial" w:cs="Arial"/>
          <w:color w:val="333333"/>
          <w:sz w:val="24"/>
          <w:szCs w:val="24"/>
          <w:shd w:val="clear" w:color="auto" w:fill="FFFFFF"/>
        </w:rPr>
        <w:t>Landfester</w:t>
      </w:r>
      <w:proofErr w:type="spellEnd"/>
      <w:r w:rsidRPr="00AC7C73">
        <w:rPr>
          <w:rFonts w:ascii="Arial" w:hAnsi="Arial" w:cs="Arial"/>
          <w:color w:val="333333"/>
          <w:sz w:val="24"/>
          <w:szCs w:val="24"/>
          <w:shd w:val="clear" w:color="auto" w:fill="FFFFFF"/>
        </w:rPr>
        <w:t>, English Edition by: Francis G. Gentry. Consulted online on 14 January 2020 &lt;http://dx.doi.org/10.1163/1574-9347_bnp_e130231First published online: 2006</w:t>
      </w:r>
      <w:r>
        <w:rPr>
          <w:rFonts w:ascii="Arial" w:hAnsi="Arial" w:cs="Arial"/>
          <w:color w:val="333333"/>
          <w:sz w:val="24"/>
          <w:szCs w:val="24"/>
          <w:shd w:val="clear" w:color="auto" w:fill="FFFFFF"/>
        </w:rPr>
        <w:t xml:space="preserve">. </w:t>
      </w:r>
      <w:r w:rsidRPr="00AC7C73">
        <w:rPr>
          <w:rFonts w:ascii="Arial" w:hAnsi="Arial" w:cs="Arial"/>
          <w:color w:val="333333"/>
          <w:sz w:val="24"/>
          <w:szCs w:val="24"/>
          <w:shd w:val="clear" w:color="auto" w:fill="FFFFFF"/>
        </w:rPr>
        <w:t>First print edition: 9789004122598, 20110510</w:t>
      </w:r>
    </w:p>
    <w:p w14:paraId="6DBAE7BC"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Heschel, Susannah. "German Jewish Scholarship on Islam as a Tool for De-Orientalizing Judaism." New German Critique, no. 117 (2012): 91-107. Accessed January 17, 2020. www.jstor.org/stable/23357066.</w:t>
      </w:r>
    </w:p>
    <w:p w14:paraId="36591C12"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Hughes, Aaron W. "The Study of Islam Before and After September 11: A Provocation." </w:t>
      </w:r>
      <w:r w:rsidRPr="00AC7C73">
        <w:rPr>
          <w:rFonts w:ascii="Arial" w:hAnsi="Arial" w:cs="Arial"/>
          <w:i/>
          <w:iCs/>
          <w:color w:val="333333"/>
          <w:sz w:val="24"/>
          <w:szCs w:val="24"/>
          <w:shd w:val="clear" w:color="auto" w:fill="FFFFFF"/>
        </w:rPr>
        <w:t>Method &amp; Theory in the Study of Religion</w:t>
      </w:r>
      <w:r w:rsidRPr="00AC7C73">
        <w:rPr>
          <w:rFonts w:ascii="Arial" w:hAnsi="Arial" w:cs="Arial"/>
          <w:color w:val="333333"/>
          <w:sz w:val="24"/>
          <w:szCs w:val="24"/>
          <w:shd w:val="clear" w:color="auto" w:fill="FFFFFF"/>
        </w:rPr>
        <w:t xml:space="preserve"> 24, no. 4/5 (2012): 314-36. Accessed January 17, 2020. </w:t>
      </w:r>
      <w:hyperlink r:id="rId19" w:history="1">
        <w:r w:rsidRPr="00AC7C73">
          <w:rPr>
            <w:rStyle w:val="Hyperlink"/>
            <w:rFonts w:ascii="Arial" w:hAnsi="Arial" w:cs="Arial"/>
            <w:sz w:val="24"/>
            <w:szCs w:val="24"/>
            <w:shd w:val="clear" w:color="auto" w:fill="FFFFFF"/>
          </w:rPr>
          <w:t>www.jstor.org/stable/23555834</w:t>
        </w:r>
      </w:hyperlink>
      <w:r w:rsidRPr="00AC7C73">
        <w:rPr>
          <w:rFonts w:ascii="Arial" w:hAnsi="Arial" w:cs="Arial"/>
          <w:color w:val="333333"/>
          <w:sz w:val="24"/>
          <w:szCs w:val="24"/>
          <w:shd w:val="clear" w:color="auto" w:fill="FFFFFF"/>
        </w:rPr>
        <w:t>.</w:t>
      </w:r>
    </w:p>
    <w:p w14:paraId="1396B349"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Hussain, Amir. "AN ACCIDENTAL THEOLOGIAN: Thoughts on Islam in Public and Private Religious Universities." </w:t>
      </w:r>
      <w:proofErr w:type="spellStart"/>
      <w:r w:rsidRPr="00AC7C73">
        <w:rPr>
          <w:rFonts w:ascii="Arial" w:hAnsi="Arial" w:cs="Arial"/>
          <w:i/>
          <w:iCs/>
          <w:color w:val="333333"/>
          <w:sz w:val="24"/>
          <w:szCs w:val="24"/>
          <w:shd w:val="clear" w:color="auto" w:fill="FFFFFF"/>
        </w:rPr>
        <w:t>CrossCurrents</w:t>
      </w:r>
      <w:proofErr w:type="spellEnd"/>
      <w:r w:rsidRPr="00AC7C73">
        <w:rPr>
          <w:rFonts w:ascii="Arial" w:hAnsi="Arial" w:cs="Arial"/>
          <w:color w:val="333333"/>
          <w:sz w:val="24"/>
          <w:szCs w:val="24"/>
          <w:shd w:val="clear" w:color="auto" w:fill="FFFFFF"/>
        </w:rPr>
        <w:t xml:space="preserve"> 56, no. 2 (2006): 160-68. Accessed January 14, 2020. </w:t>
      </w:r>
      <w:hyperlink r:id="rId20" w:history="1">
        <w:r w:rsidRPr="00AC7C73">
          <w:rPr>
            <w:rStyle w:val="Hyperlink"/>
            <w:rFonts w:ascii="Arial" w:hAnsi="Arial" w:cs="Arial"/>
            <w:sz w:val="24"/>
            <w:szCs w:val="24"/>
            <w:shd w:val="clear" w:color="auto" w:fill="FFFFFF"/>
          </w:rPr>
          <w:t>www.jstor.org/stable/24460687</w:t>
        </w:r>
      </w:hyperlink>
      <w:r w:rsidRPr="00AC7C73">
        <w:rPr>
          <w:rFonts w:ascii="Arial" w:hAnsi="Arial" w:cs="Arial"/>
          <w:color w:val="333333"/>
          <w:sz w:val="24"/>
          <w:szCs w:val="24"/>
          <w:shd w:val="clear" w:color="auto" w:fill="FFFFFF"/>
        </w:rPr>
        <w:t>.</w:t>
      </w:r>
    </w:p>
    <w:p w14:paraId="1768BBB5"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Hussain, Amir. "TEACHING INSIDE-OUT: ON TEACHING ISLAM." </w:t>
      </w:r>
      <w:r w:rsidRPr="00AC7C73">
        <w:rPr>
          <w:rFonts w:ascii="Arial" w:hAnsi="Arial" w:cs="Arial"/>
          <w:i/>
          <w:iCs/>
          <w:color w:val="333333"/>
          <w:sz w:val="24"/>
          <w:szCs w:val="24"/>
          <w:shd w:val="clear" w:color="auto" w:fill="FFFFFF"/>
        </w:rPr>
        <w:t>Method &amp; Theory in the Study of Religion</w:t>
      </w:r>
      <w:r w:rsidRPr="00AC7C73">
        <w:rPr>
          <w:rFonts w:ascii="Arial" w:hAnsi="Arial" w:cs="Arial"/>
          <w:color w:val="333333"/>
          <w:sz w:val="24"/>
          <w:szCs w:val="24"/>
          <w:shd w:val="clear" w:color="auto" w:fill="FFFFFF"/>
        </w:rPr>
        <w:t xml:space="preserve"> 17, no. 3 (2005): 248-63. Accessed January 14, 2020. </w:t>
      </w:r>
      <w:hyperlink r:id="rId21" w:history="1">
        <w:r w:rsidRPr="00AC7C73">
          <w:rPr>
            <w:rStyle w:val="Hyperlink"/>
            <w:rFonts w:ascii="Arial" w:hAnsi="Arial" w:cs="Arial"/>
            <w:sz w:val="24"/>
            <w:szCs w:val="24"/>
            <w:shd w:val="clear" w:color="auto" w:fill="FFFFFF"/>
          </w:rPr>
          <w:t>www.jstor.org/stable/23551737</w:t>
        </w:r>
      </w:hyperlink>
      <w:r w:rsidRPr="00AC7C73">
        <w:rPr>
          <w:rFonts w:ascii="Arial" w:hAnsi="Arial" w:cs="Arial"/>
          <w:color w:val="333333"/>
          <w:sz w:val="24"/>
          <w:szCs w:val="24"/>
          <w:shd w:val="clear" w:color="auto" w:fill="FFFFFF"/>
        </w:rPr>
        <w:t>.</w:t>
      </w:r>
    </w:p>
    <w:p w14:paraId="27F5CD78"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"Islam at Universities in England: Meeting the Needs and Investing in the Future." </w:t>
      </w:r>
      <w:r w:rsidRPr="00AC7C73">
        <w:rPr>
          <w:rFonts w:ascii="Arial" w:hAnsi="Arial" w:cs="Arial"/>
          <w:i/>
          <w:iCs/>
          <w:color w:val="333333"/>
          <w:sz w:val="24"/>
          <w:szCs w:val="24"/>
          <w:shd w:val="clear" w:color="auto" w:fill="FFFFFF"/>
        </w:rPr>
        <w:t>Islamic Studies</w:t>
      </w:r>
      <w:r w:rsidRPr="00AC7C73">
        <w:rPr>
          <w:rFonts w:ascii="Arial" w:hAnsi="Arial" w:cs="Arial"/>
          <w:color w:val="333333"/>
          <w:sz w:val="24"/>
          <w:szCs w:val="24"/>
          <w:shd w:val="clear" w:color="auto" w:fill="FFFFFF"/>
        </w:rPr>
        <w:t xml:space="preserve"> 46, no. 4 (2007): 559-70. Accessed January 14, 2020. </w:t>
      </w:r>
      <w:hyperlink r:id="rId22" w:history="1">
        <w:r w:rsidRPr="00AC7C73">
          <w:rPr>
            <w:rStyle w:val="Hyperlink"/>
            <w:rFonts w:ascii="Arial" w:hAnsi="Arial" w:cs="Arial"/>
            <w:sz w:val="24"/>
            <w:szCs w:val="24"/>
            <w:shd w:val="clear" w:color="auto" w:fill="FFFFFF"/>
          </w:rPr>
          <w:t>www.jstor.org/stable/20839094</w:t>
        </w:r>
      </w:hyperlink>
      <w:r w:rsidRPr="00AC7C73">
        <w:rPr>
          <w:rFonts w:ascii="Arial" w:hAnsi="Arial" w:cs="Arial"/>
          <w:color w:val="333333"/>
          <w:sz w:val="24"/>
          <w:szCs w:val="24"/>
          <w:shd w:val="clear" w:color="auto" w:fill="FFFFFF"/>
        </w:rPr>
        <w:t>.</w:t>
      </w:r>
    </w:p>
    <w:p w14:paraId="1BD84FB6"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bookmarkStart w:id="9" w:name="_Hlk30193855"/>
      <w:r w:rsidRPr="00AC7C73">
        <w:rPr>
          <w:rFonts w:ascii="Arial" w:hAnsi="Arial" w:cs="Arial"/>
          <w:color w:val="333333"/>
          <w:sz w:val="24"/>
          <w:szCs w:val="24"/>
          <w:shd w:val="clear" w:color="auto" w:fill="FFFFFF"/>
        </w:rPr>
        <w:t>Kurzman, Charles, and Carl W. Ernst. "Islamic Studies in U.S. Universities." </w:t>
      </w:r>
      <w:r w:rsidRPr="00AC7C73">
        <w:rPr>
          <w:rFonts w:ascii="Arial" w:hAnsi="Arial" w:cs="Arial"/>
          <w:i/>
          <w:iCs/>
          <w:color w:val="333333"/>
          <w:sz w:val="24"/>
          <w:szCs w:val="24"/>
          <w:shd w:val="clear" w:color="auto" w:fill="FFFFFF"/>
        </w:rPr>
        <w:t>Review of Middle East Studies</w:t>
      </w:r>
      <w:r w:rsidRPr="00AC7C73">
        <w:rPr>
          <w:rFonts w:ascii="Arial" w:hAnsi="Arial" w:cs="Arial"/>
          <w:color w:val="333333"/>
          <w:sz w:val="24"/>
          <w:szCs w:val="24"/>
          <w:shd w:val="clear" w:color="auto" w:fill="FFFFFF"/>
        </w:rPr>
        <w:t xml:space="preserve"> 46, no. 1 (2012): 24-46. Accessed January 14, 2020. </w:t>
      </w:r>
      <w:hyperlink r:id="rId23" w:history="1">
        <w:r w:rsidRPr="00AC7C73">
          <w:rPr>
            <w:rStyle w:val="Hyperlink"/>
            <w:rFonts w:ascii="Arial" w:hAnsi="Arial" w:cs="Arial"/>
            <w:sz w:val="24"/>
            <w:szCs w:val="24"/>
            <w:shd w:val="clear" w:color="auto" w:fill="FFFFFF"/>
          </w:rPr>
          <w:t>www.jstor.org/stable/41762480</w:t>
        </w:r>
      </w:hyperlink>
      <w:r w:rsidRPr="00AC7C73">
        <w:rPr>
          <w:rFonts w:ascii="Arial" w:hAnsi="Arial" w:cs="Arial"/>
          <w:color w:val="333333"/>
          <w:sz w:val="24"/>
          <w:szCs w:val="24"/>
          <w:shd w:val="clear" w:color="auto" w:fill="FFFFFF"/>
        </w:rPr>
        <w:t>.</w:t>
      </w:r>
    </w:p>
    <w:p w14:paraId="5476A7CC"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Ladis</w:t>
      </w:r>
      <w:proofErr w:type="spellEnd"/>
      <w:r w:rsidRPr="00AC7C73">
        <w:rPr>
          <w:rFonts w:ascii="Arial" w:hAnsi="Arial" w:cs="Arial"/>
          <w:color w:val="333333"/>
          <w:sz w:val="24"/>
          <w:szCs w:val="24"/>
          <w:shd w:val="clear" w:color="auto" w:fill="FFFFFF"/>
        </w:rPr>
        <w:t xml:space="preserve"> K. D. Kristof. "The Origins and Evolution of Geopolitics." </w:t>
      </w:r>
      <w:r w:rsidRPr="00AC7C73">
        <w:rPr>
          <w:rFonts w:ascii="Arial" w:hAnsi="Arial" w:cs="Arial"/>
          <w:i/>
          <w:iCs/>
          <w:color w:val="333333"/>
          <w:sz w:val="24"/>
          <w:szCs w:val="24"/>
          <w:shd w:val="clear" w:color="auto" w:fill="FFFFFF"/>
        </w:rPr>
        <w:t>The Journal of Conflict Resolution</w:t>
      </w:r>
      <w:r w:rsidRPr="00AC7C73">
        <w:rPr>
          <w:rFonts w:ascii="Arial" w:hAnsi="Arial" w:cs="Arial"/>
          <w:color w:val="333333"/>
          <w:sz w:val="24"/>
          <w:szCs w:val="24"/>
          <w:shd w:val="clear" w:color="auto" w:fill="FFFFFF"/>
        </w:rPr>
        <w:t xml:space="preserve"> 4, no. 1 (1960): 15-51. Accessed January 16, 2020. </w:t>
      </w:r>
      <w:hyperlink r:id="rId24" w:history="1">
        <w:r w:rsidRPr="00AC7C73">
          <w:rPr>
            <w:rStyle w:val="Hyperlink"/>
            <w:rFonts w:ascii="Arial" w:hAnsi="Arial" w:cs="Arial"/>
            <w:sz w:val="24"/>
            <w:szCs w:val="24"/>
            <w:shd w:val="clear" w:color="auto" w:fill="FFFFFF"/>
          </w:rPr>
          <w:t>www.jstor.org/stable/172582</w:t>
        </w:r>
      </w:hyperlink>
      <w:r w:rsidRPr="00AC7C73">
        <w:rPr>
          <w:rFonts w:ascii="Arial" w:hAnsi="Arial" w:cs="Arial"/>
          <w:color w:val="333333"/>
          <w:sz w:val="24"/>
          <w:szCs w:val="24"/>
          <w:shd w:val="clear" w:color="auto" w:fill="FFFFFF"/>
        </w:rPr>
        <w:t>.</w:t>
      </w:r>
    </w:p>
    <w:p w14:paraId="67101D2A"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Löffler</w:t>
      </w:r>
      <w:proofErr w:type="spellEnd"/>
      <w:r w:rsidRPr="00AC7C73">
        <w:rPr>
          <w:rFonts w:ascii="Arial" w:hAnsi="Arial" w:cs="Arial"/>
          <w:color w:val="333333"/>
          <w:sz w:val="24"/>
          <w:szCs w:val="24"/>
          <w:shd w:val="clear" w:color="auto" w:fill="FFFFFF"/>
        </w:rPr>
        <w:t>, Paul and Swanson, Mark N., “Islam and Christianity”, in: </w:t>
      </w:r>
      <w:r w:rsidRPr="00AC7C73">
        <w:rPr>
          <w:rFonts w:ascii="Arial" w:hAnsi="Arial" w:cs="Arial"/>
          <w:i/>
          <w:iCs/>
          <w:color w:val="333333"/>
          <w:sz w:val="24"/>
          <w:szCs w:val="24"/>
          <w:shd w:val="clear" w:color="auto" w:fill="FFFFFF"/>
        </w:rPr>
        <w:t>Encyclopedia of Christianity Online.</w:t>
      </w:r>
      <w:r w:rsidRPr="00AC7C73">
        <w:rPr>
          <w:rFonts w:ascii="Arial" w:hAnsi="Arial" w:cs="Arial"/>
          <w:color w:val="333333"/>
          <w:sz w:val="24"/>
          <w:szCs w:val="24"/>
          <w:shd w:val="clear" w:color="auto" w:fill="FFFFFF"/>
        </w:rPr>
        <w:t xml:space="preserve"> Consulted online on 14 January 2020 </w:t>
      </w:r>
      <w:hyperlink r:id="rId25" w:history="1">
        <w:r w:rsidRPr="00EA096F">
          <w:rPr>
            <w:rStyle w:val="Hyperlink"/>
            <w:rFonts w:ascii="Arial" w:hAnsi="Arial" w:cs="Arial"/>
            <w:sz w:val="24"/>
            <w:szCs w:val="24"/>
            <w:shd w:val="clear" w:color="auto" w:fill="FFFFFF"/>
          </w:rPr>
          <w:t>http://dx.doi.org/10.1163/2211-2685_eco_I363</w:t>
        </w:r>
      </w:hyperlink>
      <w:r>
        <w:rPr>
          <w:rFonts w:ascii="Arial" w:hAnsi="Arial" w:cs="Arial"/>
          <w:color w:val="333333"/>
          <w:sz w:val="24"/>
          <w:szCs w:val="24"/>
          <w:shd w:val="clear" w:color="auto" w:fill="FFFFFF"/>
        </w:rPr>
        <w:t xml:space="preserve"> </w:t>
      </w:r>
      <w:r w:rsidRPr="00AC7C73">
        <w:rPr>
          <w:rFonts w:ascii="Arial" w:hAnsi="Arial" w:cs="Arial"/>
          <w:color w:val="333333"/>
          <w:sz w:val="24"/>
          <w:szCs w:val="24"/>
          <w:shd w:val="clear" w:color="auto" w:fill="FFFFFF"/>
        </w:rPr>
        <w:t>First published online: 2011.First print edition: ISBN: 9789004169678, 20080512</w:t>
      </w:r>
    </w:p>
    <w:p w14:paraId="703BCF36"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Sturm, Tristan. "The Future of Religious Geopolitics: Towards a Research and Theory Agenda." </w:t>
      </w:r>
      <w:r w:rsidRPr="00AC7C73">
        <w:rPr>
          <w:rFonts w:ascii="Arial" w:hAnsi="Arial" w:cs="Arial"/>
          <w:i/>
          <w:iCs/>
          <w:color w:val="333333"/>
          <w:sz w:val="24"/>
          <w:szCs w:val="24"/>
          <w:shd w:val="clear" w:color="auto" w:fill="FFFFFF"/>
        </w:rPr>
        <w:t>Area</w:t>
      </w:r>
      <w:r w:rsidRPr="00AC7C73">
        <w:rPr>
          <w:rFonts w:ascii="Arial" w:hAnsi="Arial" w:cs="Arial"/>
          <w:color w:val="333333"/>
          <w:sz w:val="24"/>
          <w:szCs w:val="24"/>
          <w:shd w:val="clear" w:color="auto" w:fill="FFFFFF"/>
        </w:rPr>
        <w:t xml:space="preserve"> 45, no. 2 (2013): 134-40. Accessed January 16, 2020. </w:t>
      </w:r>
      <w:hyperlink r:id="rId26" w:history="1">
        <w:r w:rsidRPr="00AC7C73">
          <w:rPr>
            <w:rStyle w:val="Hyperlink"/>
            <w:rFonts w:ascii="Arial" w:hAnsi="Arial" w:cs="Arial"/>
            <w:sz w:val="24"/>
            <w:szCs w:val="24"/>
            <w:shd w:val="clear" w:color="auto" w:fill="FFFFFF"/>
          </w:rPr>
          <w:t>www.jstor.org/stable/24029863</w:t>
        </w:r>
      </w:hyperlink>
      <w:r w:rsidRPr="00AC7C73">
        <w:rPr>
          <w:rFonts w:ascii="Arial" w:hAnsi="Arial" w:cs="Arial"/>
          <w:color w:val="333333"/>
          <w:sz w:val="24"/>
          <w:szCs w:val="24"/>
          <w:shd w:val="clear" w:color="auto" w:fill="FFFFFF"/>
        </w:rPr>
        <w:t>.</w:t>
      </w:r>
      <w:bookmarkEnd w:id="9"/>
    </w:p>
    <w:p w14:paraId="41894D98"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Meacham, Jack. "Islam Is Essential for General Education." </w:t>
      </w:r>
      <w:r w:rsidRPr="00AC7C73">
        <w:rPr>
          <w:rFonts w:ascii="Arial" w:hAnsi="Arial" w:cs="Arial"/>
          <w:i/>
          <w:iCs/>
          <w:color w:val="333333"/>
          <w:sz w:val="24"/>
          <w:szCs w:val="24"/>
          <w:shd w:val="clear" w:color="auto" w:fill="FFFFFF"/>
        </w:rPr>
        <w:t>The Journal of General Education</w:t>
      </w:r>
      <w:r w:rsidRPr="00AC7C73">
        <w:rPr>
          <w:rFonts w:ascii="Arial" w:hAnsi="Arial" w:cs="Arial"/>
          <w:color w:val="333333"/>
          <w:sz w:val="24"/>
          <w:szCs w:val="24"/>
          <w:shd w:val="clear" w:color="auto" w:fill="FFFFFF"/>
        </w:rPr>
        <w:t> 64, no. 1 (2015): 56-64. Accessed January 14, 2020. doi:10.5325/jgeneeduc.64.1.0056</w:t>
      </w:r>
    </w:p>
    <w:p w14:paraId="4B72872D"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Meireis</w:t>
      </w:r>
      <w:proofErr w:type="spellEnd"/>
      <w:r w:rsidRPr="00AC7C73">
        <w:rPr>
          <w:rFonts w:ascii="Arial" w:hAnsi="Arial" w:cs="Arial"/>
          <w:color w:val="333333"/>
          <w:sz w:val="24"/>
          <w:szCs w:val="24"/>
          <w:shd w:val="clear" w:color="auto" w:fill="FFFFFF"/>
        </w:rPr>
        <w:t xml:space="preserve">, </w:t>
      </w:r>
      <w:proofErr w:type="spellStart"/>
      <w:r w:rsidRPr="00AC7C73">
        <w:rPr>
          <w:rFonts w:ascii="Arial" w:hAnsi="Arial" w:cs="Arial"/>
          <w:color w:val="333333"/>
          <w:sz w:val="24"/>
          <w:szCs w:val="24"/>
          <w:shd w:val="clear" w:color="auto" w:fill="FFFFFF"/>
        </w:rPr>
        <w:t>Torsten</w:t>
      </w:r>
      <w:proofErr w:type="spellEnd"/>
      <w:r w:rsidRPr="00AC7C73">
        <w:rPr>
          <w:rFonts w:ascii="Arial" w:hAnsi="Arial" w:cs="Arial"/>
          <w:color w:val="333333"/>
          <w:sz w:val="24"/>
          <w:szCs w:val="24"/>
          <w:shd w:val="clear" w:color="auto" w:fill="FFFFFF"/>
        </w:rPr>
        <w:t xml:space="preserve">, Hart, Darryl G., </w:t>
      </w:r>
      <w:proofErr w:type="spellStart"/>
      <w:r w:rsidRPr="00AC7C73">
        <w:rPr>
          <w:rFonts w:ascii="Arial" w:hAnsi="Arial" w:cs="Arial"/>
          <w:color w:val="333333"/>
          <w:sz w:val="24"/>
          <w:szCs w:val="24"/>
          <w:shd w:val="clear" w:color="auto" w:fill="FFFFFF"/>
        </w:rPr>
        <w:t>Huhn</w:t>
      </w:r>
      <w:proofErr w:type="spellEnd"/>
      <w:r w:rsidRPr="00AC7C73">
        <w:rPr>
          <w:rFonts w:ascii="Arial" w:hAnsi="Arial" w:cs="Arial"/>
          <w:color w:val="333333"/>
          <w:sz w:val="24"/>
          <w:szCs w:val="24"/>
          <w:shd w:val="clear" w:color="auto" w:fill="FFFFFF"/>
        </w:rPr>
        <w:t xml:space="preserve">, Michael., </w:t>
      </w:r>
      <w:proofErr w:type="spellStart"/>
      <w:r w:rsidRPr="00AC7C73">
        <w:rPr>
          <w:rFonts w:ascii="Arial" w:hAnsi="Arial" w:cs="Arial"/>
          <w:color w:val="333333"/>
          <w:sz w:val="24"/>
          <w:szCs w:val="24"/>
          <w:shd w:val="clear" w:color="auto" w:fill="FFFFFF"/>
        </w:rPr>
        <w:t>Roxborogh</w:t>
      </w:r>
      <w:proofErr w:type="spellEnd"/>
      <w:r w:rsidRPr="00AC7C73">
        <w:rPr>
          <w:rFonts w:ascii="Arial" w:hAnsi="Arial" w:cs="Arial"/>
          <w:color w:val="333333"/>
          <w:sz w:val="24"/>
          <w:szCs w:val="24"/>
          <w:shd w:val="clear" w:color="auto" w:fill="FFFFFF"/>
        </w:rPr>
        <w:t>, John, Kaufmann, Uri and Halm, Heinz, “Theological Education”, in: Religion Past and Present. Consulted online on 14 January 2020 &lt;http://dx.doi.org/10.1163/1877-5888_rpp_COM_025106&gt;First published online: 2011.First print edition: ISBN: 9789004146662, 2006-2013</w:t>
      </w:r>
    </w:p>
    <w:p w14:paraId="03B8A3B7" w14:textId="77777777" w:rsidR="00857540" w:rsidRPr="00AC7C73"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MONSHIPOURI, MAHMOOD. "The West's Modern Encounter with Islam: From Discourse to Reality." </w:t>
      </w:r>
      <w:r w:rsidRPr="00AC7C73">
        <w:rPr>
          <w:rFonts w:ascii="Arial" w:hAnsi="Arial" w:cs="Arial"/>
          <w:i/>
          <w:iCs/>
          <w:color w:val="333333"/>
          <w:sz w:val="24"/>
          <w:szCs w:val="24"/>
          <w:shd w:val="clear" w:color="auto" w:fill="FFFFFF"/>
        </w:rPr>
        <w:t>Journal of Church and State</w:t>
      </w:r>
      <w:r w:rsidRPr="00AC7C73">
        <w:rPr>
          <w:rFonts w:ascii="Arial" w:hAnsi="Arial" w:cs="Arial"/>
          <w:color w:val="333333"/>
          <w:sz w:val="24"/>
          <w:szCs w:val="24"/>
          <w:shd w:val="clear" w:color="auto" w:fill="FFFFFF"/>
        </w:rPr>
        <w:t xml:space="preserve"> 40, no. 1 (1998): 25-56. Accessed January 16, 2020. </w:t>
      </w:r>
      <w:hyperlink r:id="rId27" w:history="1">
        <w:r w:rsidRPr="00AC7C73">
          <w:rPr>
            <w:rStyle w:val="Hyperlink"/>
            <w:rFonts w:ascii="Arial" w:hAnsi="Arial" w:cs="Arial"/>
            <w:sz w:val="24"/>
            <w:szCs w:val="24"/>
            <w:shd w:val="clear" w:color="auto" w:fill="FFFFFF"/>
          </w:rPr>
          <w:t>www.jstor.org/stable/23920271</w:t>
        </w:r>
      </w:hyperlink>
      <w:r w:rsidRPr="00AC7C73">
        <w:rPr>
          <w:rFonts w:ascii="Arial" w:hAnsi="Arial" w:cs="Arial"/>
          <w:color w:val="333333"/>
          <w:sz w:val="24"/>
          <w:szCs w:val="24"/>
          <w:shd w:val="clear" w:color="auto" w:fill="FFFFFF"/>
        </w:rPr>
        <w:t>.</w:t>
      </w:r>
    </w:p>
    <w:p w14:paraId="5D6D5934"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470402CC"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lastRenderedPageBreak/>
        <w:t>Muedini</w:t>
      </w:r>
      <w:proofErr w:type="spellEnd"/>
      <w:r w:rsidRPr="00AC7C73">
        <w:rPr>
          <w:rFonts w:ascii="Arial" w:hAnsi="Arial" w:cs="Arial"/>
          <w:color w:val="333333"/>
          <w:sz w:val="24"/>
          <w:szCs w:val="24"/>
          <w:shd w:val="clear" w:color="auto" w:fill="FFFFFF"/>
        </w:rPr>
        <w:t>, Fait A. "Teaching "Islam and Human Rights" in the Classroom." </w:t>
      </w:r>
      <w:r w:rsidRPr="00AC7C73">
        <w:rPr>
          <w:rFonts w:ascii="Arial" w:hAnsi="Arial" w:cs="Arial"/>
          <w:i/>
          <w:iCs/>
          <w:color w:val="333333"/>
          <w:sz w:val="24"/>
          <w:szCs w:val="24"/>
          <w:shd w:val="clear" w:color="auto" w:fill="FFFFFF"/>
        </w:rPr>
        <w:t>PS: Political Science and Politics</w:t>
      </w:r>
      <w:r w:rsidRPr="00AC7C73">
        <w:rPr>
          <w:rFonts w:ascii="Arial" w:hAnsi="Arial" w:cs="Arial"/>
          <w:color w:val="333333"/>
          <w:sz w:val="24"/>
          <w:szCs w:val="24"/>
          <w:shd w:val="clear" w:color="auto" w:fill="FFFFFF"/>
        </w:rPr>
        <w:t xml:space="preserve"> 45, no. 1 (2012): 101-05. Accessed January 14, 2020. </w:t>
      </w:r>
      <w:hyperlink r:id="rId28" w:history="1">
        <w:r w:rsidRPr="00AC7C73">
          <w:rPr>
            <w:rStyle w:val="Hyperlink"/>
            <w:rFonts w:ascii="Arial" w:hAnsi="Arial" w:cs="Arial"/>
            <w:sz w:val="24"/>
            <w:szCs w:val="24"/>
            <w:shd w:val="clear" w:color="auto" w:fill="FFFFFF"/>
          </w:rPr>
          <w:t>www.jstor.org/stable/41412729</w:t>
        </w:r>
      </w:hyperlink>
      <w:r w:rsidRPr="00AC7C73">
        <w:rPr>
          <w:rFonts w:ascii="Arial" w:hAnsi="Arial" w:cs="Arial"/>
          <w:color w:val="333333"/>
          <w:sz w:val="24"/>
          <w:szCs w:val="24"/>
          <w:shd w:val="clear" w:color="auto" w:fill="FFFFFF"/>
        </w:rPr>
        <w:t>.</w:t>
      </w:r>
    </w:p>
    <w:p w14:paraId="7FEC1CF4"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Mutlu</w:t>
      </w:r>
      <w:proofErr w:type="spellEnd"/>
      <w:r w:rsidRPr="00AC7C73">
        <w:rPr>
          <w:rFonts w:ascii="Arial" w:hAnsi="Arial" w:cs="Arial"/>
          <w:color w:val="333333"/>
          <w:sz w:val="24"/>
          <w:szCs w:val="24"/>
          <w:shd w:val="clear" w:color="auto" w:fill="FFFFFF"/>
        </w:rPr>
        <w:t xml:space="preserve">, </w:t>
      </w:r>
      <w:proofErr w:type="spellStart"/>
      <w:r w:rsidRPr="00AC7C73">
        <w:rPr>
          <w:rFonts w:ascii="Arial" w:hAnsi="Arial" w:cs="Arial"/>
          <w:color w:val="333333"/>
          <w:sz w:val="24"/>
          <w:szCs w:val="24"/>
          <w:shd w:val="clear" w:color="auto" w:fill="FFFFFF"/>
        </w:rPr>
        <w:t>Kayhan</w:t>
      </w:r>
      <w:proofErr w:type="spellEnd"/>
      <w:r w:rsidRPr="00AC7C73">
        <w:rPr>
          <w:rFonts w:ascii="Arial" w:hAnsi="Arial" w:cs="Arial"/>
          <w:color w:val="333333"/>
          <w:sz w:val="24"/>
          <w:szCs w:val="24"/>
          <w:shd w:val="clear" w:color="auto" w:fill="FFFFFF"/>
        </w:rPr>
        <w:t>. "Examining Religious Beliefs among University Students in Ankara." </w:t>
      </w:r>
      <w:r w:rsidRPr="00AC7C73">
        <w:rPr>
          <w:rFonts w:ascii="Arial" w:hAnsi="Arial" w:cs="Arial"/>
          <w:i/>
          <w:iCs/>
          <w:color w:val="333333"/>
          <w:sz w:val="24"/>
          <w:szCs w:val="24"/>
          <w:shd w:val="clear" w:color="auto" w:fill="FFFFFF"/>
        </w:rPr>
        <w:t>The British Journal of Sociology</w:t>
      </w:r>
      <w:r w:rsidRPr="00AC7C73">
        <w:rPr>
          <w:rFonts w:ascii="Arial" w:hAnsi="Arial" w:cs="Arial"/>
          <w:color w:val="333333"/>
          <w:sz w:val="24"/>
          <w:szCs w:val="24"/>
          <w:shd w:val="clear" w:color="auto" w:fill="FFFFFF"/>
        </w:rPr>
        <w:t> 47, no. 2 (1996): 353-59. Accessed January 14, 2020. doi:10.2307/591731</w:t>
      </w:r>
    </w:p>
    <w:p w14:paraId="201FBC78" w14:textId="77777777" w:rsidR="00857540" w:rsidRPr="00AC7C73" w:rsidRDefault="00857540" w:rsidP="00857540">
      <w:pPr>
        <w:pStyle w:val="ListParagraph"/>
        <w:numPr>
          <w:ilvl w:val="0"/>
          <w:numId w:val="7"/>
        </w:numPr>
        <w:rPr>
          <w:rStyle w:val="Hyperlink"/>
          <w:rFonts w:ascii="Arial" w:hAnsi="Arial" w:cs="Arial"/>
          <w:color w:val="333333"/>
          <w:sz w:val="24"/>
          <w:szCs w:val="24"/>
          <w:u w:val="none"/>
          <w:shd w:val="clear" w:color="auto" w:fill="FFFFFF"/>
        </w:rPr>
      </w:pPr>
      <w:r w:rsidRPr="00AC7C73">
        <w:rPr>
          <w:rFonts w:ascii="Arial" w:hAnsi="Arial" w:cs="Arial"/>
          <w:color w:val="333333"/>
          <w:sz w:val="24"/>
          <w:szCs w:val="24"/>
          <w:shd w:val="clear" w:color="auto" w:fill="FFFFFF"/>
        </w:rPr>
        <w:t xml:space="preserve">Sakai, </w:t>
      </w:r>
      <w:proofErr w:type="spellStart"/>
      <w:r w:rsidRPr="00AC7C73">
        <w:rPr>
          <w:rFonts w:ascii="Arial" w:hAnsi="Arial" w:cs="Arial"/>
          <w:color w:val="333333"/>
          <w:sz w:val="24"/>
          <w:szCs w:val="24"/>
          <w:shd w:val="clear" w:color="auto" w:fill="FFFFFF"/>
        </w:rPr>
        <w:t>Minako</w:t>
      </w:r>
      <w:proofErr w:type="spellEnd"/>
      <w:r w:rsidRPr="00AC7C73">
        <w:rPr>
          <w:rFonts w:ascii="Arial" w:hAnsi="Arial" w:cs="Arial"/>
          <w:color w:val="333333"/>
          <w:sz w:val="24"/>
          <w:szCs w:val="24"/>
          <w:shd w:val="clear" w:color="auto" w:fill="FFFFFF"/>
        </w:rPr>
        <w:t xml:space="preserve">, and M. </w:t>
      </w:r>
      <w:proofErr w:type="spellStart"/>
      <w:r w:rsidRPr="00AC7C73">
        <w:rPr>
          <w:rFonts w:ascii="Arial" w:hAnsi="Arial" w:cs="Arial"/>
          <w:color w:val="333333"/>
          <w:sz w:val="24"/>
          <w:szCs w:val="24"/>
          <w:shd w:val="clear" w:color="auto" w:fill="FFFFFF"/>
        </w:rPr>
        <w:t>Falikul</w:t>
      </w:r>
      <w:proofErr w:type="spellEnd"/>
      <w:r w:rsidRPr="00AC7C73">
        <w:rPr>
          <w:rFonts w:ascii="Arial" w:hAnsi="Arial" w:cs="Arial"/>
          <w:color w:val="333333"/>
          <w:sz w:val="24"/>
          <w:szCs w:val="24"/>
          <w:shd w:val="clear" w:color="auto" w:fill="FFFFFF"/>
        </w:rPr>
        <w:t xml:space="preserve"> </w:t>
      </w:r>
      <w:proofErr w:type="spellStart"/>
      <w:r w:rsidRPr="00AC7C73">
        <w:rPr>
          <w:rFonts w:ascii="Arial" w:hAnsi="Arial" w:cs="Arial"/>
          <w:color w:val="333333"/>
          <w:sz w:val="24"/>
          <w:szCs w:val="24"/>
          <w:shd w:val="clear" w:color="auto" w:fill="FFFFFF"/>
        </w:rPr>
        <w:t>Isbah</w:t>
      </w:r>
      <w:proofErr w:type="spellEnd"/>
      <w:r w:rsidRPr="00AC7C73">
        <w:rPr>
          <w:rFonts w:ascii="Arial" w:hAnsi="Arial" w:cs="Arial"/>
          <w:color w:val="333333"/>
          <w:sz w:val="24"/>
          <w:szCs w:val="24"/>
          <w:shd w:val="clear" w:color="auto" w:fill="FFFFFF"/>
        </w:rPr>
        <w:t>. "Limits to Religious Diversity Practice in Indonesia: Case Studies from Religious Philanthropic Institutions and Traditional Islamic Schools." </w:t>
      </w:r>
      <w:r w:rsidRPr="00AC7C73">
        <w:rPr>
          <w:rFonts w:ascii="Arial" w:hAnsi="Arial" w:cs="Arial"/>
          <w:i/>
          <w:iCs/>
          <w:color w:val="333333"/>
          <w:sz w:val="24"/>
          <w:szCs w:val="24"/>
          <w:shd w:val="clear" w:color="auto" w:fill="FFFFFF"/>
        </w:rPr>
        <w:t>Asian Journal of Social Science</w:t>
      </w:r>
      <w:r w:rsidRPr="00AC7C73">
        <w:rPr>
          <w:rFonts w:ascii="Arial" w:hAnsi="Arial" w:cs="Arial"/>
          <w:color w:val="333333"/>
          <w:sz w:val="24"/>
          <w:szCs w:val="24"/>
          <w:shd w:val="clear" w:color="auto" w:fill="FFFFFF"/>
        </w:rPr>
        <w:t xml:space="preserve"> 42, no. 6 (2014): 722-46. Accessed January 14, 2020. </w:t>
      </w:r>
      <w:hyperlink r:id="rId29" w:history="1">
        <w:r w:rsidRPr="00AC7C73">
          <w:rPr>
            <w:rStyle w:val="Hyperlink"/>
            <w:rFonts w:ascii="Arial" w:hAnsi="Arial" w:cs="Arial"/>
            <w:sz w:val="24"/>
            <w:szCs w:val="24"/>
            <w:shd w:val="clear" w:color="auto" w:fill="FFFFFF"/>
          </w:rPr>
          <w:t>www.jstor.org/stable/43495835</w:t>
        </w:r>
      </w:hyperlink>
    </w:p>
    <w:p w14:paraId="7C8E1CEF" w14:textId="77777777" w:rsidR="00857540" w:rsidRPr="00AC7C73" w:rsidRDefault="00857540" w:rsidP="00857540">
      <w:pPr>
        <w:pStyle w:val="ListParagraph"/>
        <w:numPr>
          <w:ilvl w:val="0"/>
          <w:numId w:val="7"/>
        </w:numPr>
        <w:rPr>
          <w:rFonts w:ascii="Arial" w:hAnsi="Arial" w:cs="Arial"/>
          <w:color w:val="333333"/>
          <w:sz w:val="24"/>
          <w:szCs w:val="24"/>
          <w:shd w:val="clear" w:color="auto" w:fill="FFFFFF"/>
        </w:rPr>
      </w:pPr>
      <w:r w:rsidRPr="00AC7C73">
        <w:rPr>
          <w:rFonts w:ascii="Arial" w:hAnsi="Arial" w:cs="Arial"/>
          <w:color w:val="333333"/>
          <w:sz w:val="24"/>
          <w:szCs w:val="24"/>
          <w:shd w:val="clear" w:color="auto" w:fill="FFFFFF"/>
        </w:rPr>
        <w:t xml:space="preserve">Said, Edward W., (1995), </w:t>
      </w:r>
      <w:r w:rsidRPr="00AC7C73">
        <w:rPr>
          <w:rFonts w:ascii="Arial" w:hAnsi="Arial" w:cs="Arial"/>
          <w:i/>
          <w:iCs/>
          <w:color w:val="333333"/>
          <w:sz w:val="24"/>
          <w:szCs w:val="24"/>
          <w:shd w:val="clear" w:color="auto" w:fill="FFFFFF"/>
        </w:rPr>
        <w:t>Orientalism: Western Concepts of the Orient</w:t>
      </w:r>
      <w:r w:rsidRPr="00AC7C73">
        <w:rPr>
          <w:rFonts w:ascii="Arial" w:hAnsi="Arial" w:cs="Arial"/>
          <w:color w:val="333333"/>
          <w:sz w:val="24"/>
          <w:szCs w:val="24"/>
          <w:shd w:val="clear" w:color="auto" w:fill="FFFFFF"/>
        </w:rPr>
        <w:t>, New Delhi: Penguin Books India</w:t>
      </w:r>
    </w:p>
    <w:p w14:paraId="72F8F8C1" w14:textId="77777777" w:rsidR="00857540" w:rsidRDefault="00857540" w:rsidP="00857540">
      <w:pPr>
        <w:pStyle w:val="ListParagraph"/>
        <w:numPr>
          <w:ilvl w:val="0"/>
          <w:numId w:val="7"/>
        </w:numPr>
        <w:spacing w:after="0" w:line="240" w:lineRule="auto"/>
        <w:rPr>
          <w:rFonts w:ascii="Arial" w:hAnsi="Arial" w:cs="Arial"/>
          <w:color w:val="333333"/>
          <w:sz w:val="24"/>
          <w:szCs w:val="24"/>
          <w:shd w:val="clear" w:color="auto" w:fill="FFFFFF"/>
        </w:rPr>
      </w:pPr>
      <w:proofErr w:type="spellStart"/>
      <w:r w:rsidRPr="00AC7C73">
        <w:rPr>
          <w:rFonts w:ascii="Arial" w:hAnsi="Arial" w:cs="Arial"/>
          <w:color w:val="333333"/>
          <w:sz w:val="24"/>
          <w:szCs w:val="24"/>
          <w:shd w:val="clear" w:color="auto" w:fill="FFFFFF"/>
        </w:rPr>
        <w:t>Sautter</w:t>
      </w:r>
      <w:proofErr w:type="spellEnd"/>
      <w:r w:rsidRPr="00AC7C73">
        <w:rPr>
          <w:rFonts w:ascii="Arial" w:hAnsi="Arial" w:cs="Arial"/>
          <w:color w:val="333333"/>
          <w:sz w:val="24"/>
          <w:szCs w:val="24"/>
          <w:shd w:val="clear" w:color="auto" w:fill="FFFFFF"/>
        </w:rPr>
        <w:t xml:space="preserve">, Hermann, </w:t>
      </w:r>
      <w:proofErr w:type="spellStart"/>
      <w:r w:rsidRPr="00AC7C73">
        <w:rPr>
          <w:rFonts w:ascii="Arial" w:hAnsi="Arial" w:cs="Arial"/>
          <w:color w:val="333333"/>
          <w:sz w:val="24"/>
          <w:szCs w:val="24"/>
          <w:shd w:val="clear" w:color="auto" w:fill="FFFFFF"/>
        </w:rPr>
        <w:t>Seiwert</w:t>
      </w:r>
      <w:proofErr w:type="spellEnd"/>
      <w:r w:rsidRPr="00AC7C73">
        <w:rPr>
          <w:rFonts w:ascii="Arial" w:hAnsi="Arial" w:cs="Arial"/>
          <w:color w:val="333333"/>
          <w:sz w:val="24"/>
          <w:szCs w:val="24"/>
          <w:shd w:val="clear" w:color="auto" w:fill="FFFFFF"/>
        </w:rPr>
        <w:t xml:space="preserve">, Hubert, </w:t>
      </w:r>
      <w:proofErr w:type="spellStart"/>
      <w:r w:rsidRPr="00AC7C73">
        <w:rPr>
          <w:rFonts w:ascii="Arial" w:hAnsi="Arial" w:cs="Arial"/>
          <w:color w:val="333333"/>
          <w:sz w:val="24"/>
          <w:szCs w:val="24"/>
          <w:shd w:val="clear" w:color="auto" w:fill="FFFFFF"/>
        </w:rPr>
        <w:t>Mürmel</w:t>
      </w:r>
      <w:proofErr w:type="spellEnd"/>
      <w:r w:rsidRPr="00AC7C73">
        <w:rPr>
          <w:rFonts w:ascii="Arial" w:hAnsi="Arial" w:cs="Arial"/>
          <w:color w:val="333333"/>
          <w:sz w:val="24"/>
          <w:szCs w:val="24"/>
          <w:shd w:val="clear" w:color="auto" w:fill="FFFFFF"/>
        </w:rPr>
        <w:t xml:space="preserve">, Heinz and </w:t>
      </w:r>
      <w:proofErr w:type="spellStart"/>
      <w:r w:rsidRPr="00AC7C73">
        <w:rPr>
          <w:rFonts w:ascii="Arial" w:hAnsi="Arial" w:cs="Arial"/>
          <w:color w:val="333333"/>
          <w:sz w:val="24"/>
          <w:szCs w:val="24"/>
          <w:shd w:val="clear" w:color="auto" w:fill="FFFFFF"/>
        </w:rPr>
        <w:t>Koschorke</w:t>
      </w:r>
      <w:proofErr w:type="spellEnd"/>
      <w:r w:rsidRPr="00AC7C73">
        <w:rPr>
          <w:rFonts w:ascii="Arial" w:hAnsi="Arial" w:cs="Arial"/>
          <w:color w:val="333333"/>
          <w:sz w:val="24"/>
          <w:szCs w:val="24"/>
          <w:shd w:val="clear" w:color="auto" w:fill="FFFFFF"/>
        </w:rPr>
        <w:t>, Klaus, “Asia”, in: </w:t>
      </w:r>
      <w:r w:rsidRPr="00AC7C73">
        <w:rPr>
          <w:rFonts w:ascii="Arial" w:hAnsi="Arial" w:cs="Arial"/>
          <w:i/>
          <w:iCs/>
          <w:color w:val="333333"/>
          <w:sz w:val="24"/>
          <w:szCs w:val="24"/>
          <w:shd w:val="clear" w:color="auto" w:fill="FFFFFF"/>
        </w:rPr>
        <w:t>Religion Past and Present</w:t>
      </w:r>
      <w:r w:rsidRPr="00AC7C73">
        <w:rPr>
          <w:rFonts w:ascii="Arial" w:hAnsi="Arial" w:cs="Arial"/>
          <w:color w:val="333333"/>
          <w:sz w:val="24"/>
          <w:szCs w:val="24"/>
          <w:shd w:val="clear" w:color="auto" w:fill="FFFFFF"/>
        </w:rPr>
        <w:t xml:space="preserve">. Consulted online on 14 January 2020 </w:t>
      </w:r>
      <w:hyperlink r:id="rId30" w:history="1">
        <w:r w:rsidRPr="00EA096F">
          <w:rPr>
            <w:rStyle w:val="Hyperlink"/>
            <w:rFonts w:ascii="Arial" w:hAnsi="Arial" w:cs="Arial"/>
            <w:sz w:val="24"/>
            <w:szCs w:val="24"/>
            <w:shd w:val="clear" w:color="auto" w:fill="FFFFFF"/>
          </w:rPr>
          <w:t>http://dx.doi.org/10.1163/1877-5888_rpp_COM_01144</w:t>
        </w:r>
      </w:hyperlink>
      <w:r>
        <w:rPr>
          <w:rFonts w:ascii="Arial" w:hAnsi="Arial" w:cs="Arial"/>
          <w:color w:val="333333"/>
          <w:sz w:val="24"/>
          <w:szCs w:val="24"/>
          <w:shd w:val="clear" w:color="auto" w:fill="FFFFFF"/>
        </w:rPr>
        <w:t xml:space="preserve"> </w:t>
      </w:r>
      <w:r w:rsidRPr="00AC7C73">
        <w:rPr>
          <w:rFonts w:ascii="Arial" w:hAnsi="Arial" w:cs="Arial"/>
          <w:color w:val="333333"/>
          <w:sz w:val="24"/>
          <w:szCs w:val="24"/>
          <w:shd w:val="clear" w:color="auto" w:fill="FFFFFF"/>
        </w:rPr>
        <w:t>First published online: 2011. First print edition: ISBN: 9789004146662, 2006-2013</w:t>
      </w:r>
    </w:p>
    <w:p w14:paraId="546BEEBC" w14:textId="77777777" w:rsidR="00857540" w:rsidRDefault="00857540" w:rsidP="00857540">
      <w:pPr>
        <w:spacing w:after="0" w:line="240" w:lineRule="auto"/>
        <w:rPr>
          <w:rFonts w:ascii="Arial" w:hAnsi="Arial" w:cs="Arial"/>
          <w:color w:val="333333"/>
          <w:sz w:val="24"/>
          <w:szCs w:val="24"/>
          <w:shd w:val="clear" w:color="auto" w:fill="FFFFFF"/>
        </w:rPr>
      </w:pPr>
    </w:p>
    <w:p w14:paraId="4BB28E6B" w14:textId="77777777" w:rsidR="00857540" w:rsidRPr="00AC7C73" w:rsidRDefault="00857540" w:rsidP="00857540">
      <w:pPr>
        <w:spacing w:after="0" w:line="240" w:lineRule="auto"/>
        <w:rPr>
          <w:rFonts w:ascii="Brill" w:hAnsi="Brill" w:cs="Arial"/>
          <w:color w:val="333333"/>
          <w:sz w:val="28"/>
          <w:szCs w:val="32"/>
          <w:shd w:val="clear" w:color="auto" w:fill="FFFFFF"/>
        </w:rPr>
      </w:pPr>
      <w:r w:rsidRPr="00AC7C73">
        <w:rPr>
          <w:rFonts w:ascii="Brill" w:hAnsi="Brill" w:cs="Arial"/>
          <w:color w:val="333333"/>
          <w:sz w:val="28"/>
          <w:szCs w:val="32"/>
          <w:shd w:val="clear" w:color="auto" w:fill="FFFFFF"/>
        </w:rPr>
        <w:t>Websites:</w:t>
      </w:r>
    </w:p>
    <w:p w14:paraId="1C0E7CD5" w14:textId="77777777" w:rsidR="00857540" w:rsidRDefault="00857540" w:rsidP="00857540">
      <w:pPr>
        <w:spacing w:after="0" w:line="240" w:lineRule="auto"/>
        <w:rPr>
          <w:rFonts w:ascii="Arial" w:hAnsi="Arial" w:cs="Arial"/>
          <w:color w:val="333333"/>
          <w:sz w:val="24"/>
          <w:szCs w:val="24"/>
          <w:shd w:val="clear" w:color="auto" w:fill="FFFFFF"/>
        </w:rPr>
      </w:pPr>
    </w:p>
    <w:p w14:paraId="72D7C8AC" w14:textId="77777777" w:rsidR="00857540" w:rsidRPr="00AC7C73" w:rsidRDefault="00857540" w:rsidP="00857540">
      <w:pPr>
        <w:pStyle w:val="FootnoteText"/>
        <w:numPr>
          <w:ilvl w:val="0"/>
          <w:numId w:val="8"/>
        </w:numPr>
        <w:rPr>
          <w:rFonts w:ascii="Brill" w:hAnsi="Brill"/>
          <w:sz w:val="24"/>
          <w:szCs w:val="24"/>
        </w:rPr>
      </w:pPr>
      <w:hyperlink r:id="rId31" w:history="1">
        <w:r w:rsidRPr="00AC7C73">
          <w:rPr>
            <w:rStyle w:val="Hyperlink"/>
            <w:rFonts w:ascii="Brill" w:hAnsi="Brill"/>
            <w:sz w:val="24"/>
            <w:szCs w:val="24"/>
          </w:rPr>
          <w:t>https://religiousstudies.yale.edu/academics/fields-study/islamic-studies</w:t>
        </w:r>
      </w:hyperlink>
    </w:p>
    <w:p w14:paraId="5B3A71C2" w14:textId="77777777" w:rsidR="00857540" w:rsidRPr="00AC7C73" w:rsidRDefault="00857540" w:rsidP="00857540">
      <w:pPr>
        <w:pStyle w:val="FootnoteText"/>
        <w:rPr>
          <w:rFonts w:ascii="Brill" w:hAnsi="Brill"/>
          <w:sz w:val="24"/>
          <w:szCs w:val="24"/>
        </w:rPr>
      </w:pPr>
    </w:p>
    <w:p w14:paraId="6C2B024E" w14:textId="77777777" w:rsidR="00857540" w:rsidRDefault="00857540" w:rsidP="00857540">
      <w:pPr>
        <w:pStyle w:val="FootnoteText"/>
        <w:numPr>
          <w:ilvl w:val="0"/>
          <w:numId w:val="8"/>
        </w:numPr>
        <w:rPr>
          <w:rStyle w:val="Hyperlink"/>
          <w:rFonts w:ascii="Brill" w:hAnsi="Brill"/>
          <w:sz w:val="24"/>
          <w:szCs w:val="24"/>
        </w:rPr>
      </w:pPr>
      <w:hyperlink r:id="rId32" w:history="1">
        <w:r w:rsidRPr="00EA096F">
          <w:rPr>
            <w:rStyle w:val="Hyperlink"/>
            <w:rFonts w:ascii="Brill" w:hAnsi="Brill"/>
            <w:sz w:val="24"/>
            <w:szCs w:val="24"/>
          </w:rPr>
          <w:t>https://www.universiteitleiden.nl/en/humanities/centre-for-the-study-of-islam-and-society/research-programmes-2019</w:t>
        </w:r>
      </w:hyperlink>
    </w:p>
    <w:p w14:paraId="49045A94" w14:textId="77777777" w:rsidR="00857540" w:rsidRPr="00857540" w:rsidRDefault="00857540" w:rsidP="00857540">
      <w:pPr>
        <w:pStyle w:val="FootnoteText"/>
        <w:rPr>
          <w:rStyle w:val="Hyperlink"/>
          <w:rFonts w:ascii="Brill" w:hAnsi="Brill"/>
          <w:sz w:val="28"/>
          <w:szCs w:val="32"/>
        </w:rPr>
      </w:pPr>
    </w:p>
    <w:p w14:paraId="4713BD80" w14:textId="77777777" w:rsidR="00857540" w:rsidRPr="00857540" w:rsidRDefault="00857540" w:rsidP="00857540">
      <w:pPr>
        <w:pStyle w:val="FootnoteText"/>
        <w:numPr>
          <w:ilvl w:val="0"/>
          <w:numId w:val="8"/>
        </w:numPr>
        <w:rPr>
          <w:rStyle w:val="Hyperlink"/>
          <w:rFonts w:ascii="Brill" w:hAnsi="Brill"/>
          <w:sz w:val="28"/>
          <w:szCs w:val="32"/>
        </w:rPr>
      </w:pPr>
      <w:hyperlink r:id="rId33" w:history="1">
        <w:r w:rsidRPr="00857540">
          <w:rPr>
            <w:rStyle w:val="Hyperlink"/>
            <w:rFonts w:ascii="Brill" w:hAnsi="Brill"/>
            <w:sz w:val="24"/>
            <w:szCs w:val="24"/>
          </w:rPr>
          <w:t>https://www.ox.ac.uk/admissions/graduate/courses/mphil-modern-middle-eastern-studies?wssl=1</w:t>
        </w:r>
      </w:hyperlink>
    </w:p>
    <w:p w14:paraId="5B59BA41"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1C4B38E4"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0CD23E2D"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78A7F26D"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5E0C34A2"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154C2091" w14:textId="77777777" w:rsidR="00857540" w:rsidRPr="00AC7C73" w:rsidRDefault="00857540" w:rsidP="00857540">
      <w:pPr>
        <w:spacing w:after="0" w:line="240" w:lineRule="auto"/>
        <w:rPr>
          <w:rFonts w:ascii="Arial" w:hAnsi="Arial" w:cs="Arial"/>
          <w:color w:val="333333"/>
          <w:sz w:val="24"/>
          <w:szCs w:val="24"/>
          <w:shd w:val="clear" w:color="auto" w:fill="FFFFFF"/>
        </w:rPr>
      </w:pPr>
    </w:p>
    <w:p w14:paraId="248A1BDE" w14:textId="77777777" w:rsidR="00857540" w:rsidRPr="00AC7C73" w:rsidRDefault="00857540" w:rsidP="00857540">
      <w:pPr>
        <w:spacing w:after="0" w:line="240" w:lineRule="auto"/>
        <w:rPr>
          <w:rFonts w:ascii="Georgia" w:eastAsia="Times New Roman" w:hAnsi="Georgia" w:cs="Times New Roman"/>
          <w:color w:val="222222"/>
          <w:sz w:val="24"/>
          <w:szCs w:val="24"/>
        </w:rPr>
      </w:pPr>
    </w:p>
    <w:p w14:paraId="615BC82C" w14:textId="77777777" w:rsidR="00857540" w:rsidRPr="00AC7C73" w:rsidRDefault="00857540" w:rsidP="00857540">
      <w:pPr>
        <w:spacing w:after="0" w:line="240" w:lineRule="auto"/>
        <w:rPr>
          <w:rFonts w:ascii="Georgia" w:eastAsia="Times New Roman" w:hAnsi="Georgia" w:cs="Times New Roman"/>
          <w:color w:val="222222"/>
          <w:sz w:val="24"/>
          <w:szCs w:val="24"/>
        </w:rPr>
      </w:pPr>
    </w:p>
    <w:p w14:paraId="191B267D" w14:textId="77777777" w:rsidR="00857540" w:rsidRPr="00AC7C73" w:rsidRDefault="00857540" w:rsidP="00857540">
      <w:pPr>
        <w:rPr>
          <w:rFonts w:ascii="Arial" w:hAnsi="Arial" w:cs="Arial"/>
          <w:color w:val="333333"/>
          <w:sz w:val="24"/>
          <w:szCs w:val="24"/>
          <w:shd w:val="clear" w:color="auto" w:fill="FFFFFF"/>
        </w:rPr>
      </w:pPr>
    </w:p>
    <w:p w14:paraId="41A04F78" w14:textId="77777777" w:rsidR="00857540" w:rsidRPr="00AC7C73" w:rsidRDefault="00857540" w:rsidP="00857540">
      <w:pPr>
        <w:rPr>
          <w:rFonts w:ascii="Arial" w:hAnsi="Arial" w:cs="Arial"/>
          <w:color w:val="333333"/>
          <w:sz w:val="24"/>
          <w:szCs w:val="24"/>
          <w:shd w:val="clear" w:color="auto" w:fill="FFFFFF"/>
        </w:rPr>
      </w:pPr>
    </w:p>
    <w:p w14:paraId="3E158210" w14:textId="77777777" w:rsidR="00857540" w:rsidRPr="00AC7C73" w:rsidRDefault="00857540" w:rsidP="00857540">
      <w:pPr>
        <w:rPr>
          <w:rFonts w:ascii="Arial" w:hAnsi="Arial" w:cs="Arial"/>
          <w:color w:val="333333"/>
          <w:sz w:val="24"/>
          <w:szCs w:val="24"/>
          <w:shd w:val="clear" w:color="auto" w:fill="FFFFFF"/>
        </w:rPr>
      </w:pPr>
    </w:p>
    <w:p w14:paraId="5A2B86FD" w14:textId="77777777" w:rsidR="00857540" w:rsidRPr="00AC7C73" w:rsidRDefault="00857540" w:rsidP="00857540">
      <w:pPr>
        <w:rPr>
          <w:rFonts w:ascii="Arial" w:hAnsi="Arial" w:cs="Arial"/>
          <w:color w:val="333333"/>
          <w:sz w:val="24"/>
          <w:szCs w:val="24"/>
          <w:shd w:val="clear" w:color="auto" w:fill="FFFFFF"/>
        </w:rPr>
      </w:pPr>
    </w:p>
    <w:p w14:paraId="52E67652" w14:textId="77777777" w:rsidR="00857540" w:rsidRPr="00AC7C73" w:rsidRDefault="00857540" w:rsidP="00857540">
      <w:pPr>
        <w:rPr>
          <w:rFonts w:ascii="Arial" w:hAnsi="Arial" w:cs="Arial"/>
          <w:color w:val="333333"/>
          <w:sz w:val="24"/>
          <w:szCs w:val="24"/>
          <w:shd w:val="clear" w:color="auto" w:fill="FFFFFF"/>
        </w:rPr>
      </w:pPr>
    </w:p>
    <w:p w14:paraId="6E55FC88" w14:textId="77777777" w:rsidR="00857540" w:rsidRPr="00AC7C73" w:rsidRDefault="00857540" w:rsidP="00857540">
      <w:pPr>
        <w:rPr>
          <w:rFonts w:ascii="Arial" w:hAnsi="Arial" w:cs="Arial"/>
          <w:color w:val="333333"/>
          <w:sz w:val="24"/>
          <w:szCs w:val="24"/>
          <w:shd w:val="clear" w:color="auto" w:fill="FFFFFF"/>
        </w:rPr>
      </w:pPr>
    </w:p>
    <w:p w14:paraId="3EE6B06B" w14:textId="77777777" w:rsidR="00857540" w:rsidRPr="00857540" w:rsidRDefault="00857540" w:rsidP="006C7558">
      <w:pPr>
        <w:rPr>
          <w:rFonts w:ascii="Brill" w:hAnsi="Brill"/>
          <w:b/>
          <w:bCs/>
          <w:sz w:val="36"/>
          <w:szCs w:val="36"/>
        </w:rPr>
      </w:pPr>
    </w:p>
    <w:p w14:paraId="3FAAB218" w14:textId="77777777" w:rsidR="000B3B71" w:rsidRDefault="000B3B71" w:rsidP="006C7558">
      <w:pPr>
        <w:rPr>
          <w:rFonts w:ascii="Brill" w:hAnsi="Brill"/>
          <w:sz w:val="36"/>
          <w:szCs w:val="36"/>
        </w:rPr>
      </w:pPr>
    </w:p>
    <w:p w14:paraId="64749AC9" w14:textId="77777777" w:rsidR="004C6B61" w:rsidRPr="006C7558" w:rsidRDefault="004C6B61" w:rsidP="006C7558">
      <w:pPr>
        <w:rPr>
          <w:rFonts w:ascii="Brill" w:hAnsi="Brill"/>
          <w:sz w:val="36"/>
          <w:szCs w:val="36"/>
        </w:rPr>
      </w:pPr>
    </w:p>
    <w:p w14:paraId="2C929D36" w14:textId="624ECFEE" w:rsidR="00314EE4" w:rsidRDefault="00314EE4" w:rsidP="006504BB">
      <w:pPr>
        <w:rPr>
          <w:rFonts w:ascii="Brill" w:hAnsi="Brill"/>
          <w:sz w:val="36"/>
          <w:szCs w:val="36"/>
        </w:rPr>
      </w:pPr>
    </w:p>
    <w:bookmarkEnd w:id="1"/>
    <w:p w14:paraId="5DFE9A75" w14:textId="77777777" w:rsidR="0032698E" w:rsidRPr="006B1D62" w:rsidRDefault="0032698E" w:rsidP="00ED0A54">
      <w:pPr>
        <w:rPr>
          <w:rFonts w:ascii="Brill" w:hAnsi="Brill"/>
          <w:sz w:val="40"/>
          <w:szCs w:val="40"/>
        </w:rPr>
      </w:pPr>
    </w:p>
    <w:sectPr w:rsidR="0032698E" w:rsidRPr="006B1D6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38403" w14:textId="77777777" w:rsidR="00750CA8" w:rsidRDefault="00750CA8" w:rsidP="00642E79">
      <w:pPr>
        <w:spacing w:after="0" w:line="240" w:lineRule="auto"/>
      </w:pPr>
      <w:r>
        <w:separator/>
      </w:r>
    </w:p>
  </w:endnote>
  <w:endnote w:type="continuationSeparator" w:id="0">
    <w:p w14:paraId="4213B5FB" w14:textId="77777777" w:rsidR="00750CA8" w:rsidRDefault="00750CA8" w:rsidP="00642E79">
      <w:pPr>
        <w:spacing w:after="0" w:line="240" w:lineRule="auto"/>
      </w:pPr>
      <w:r>
        <w:continuationSeparator/>
      </w:r>
    </w:p>
  </w:endnote>
  <w:endnote w:type="continuationNotice" w:id="1">
    <w:p w14:paraId="74DEDC10" w14:textId="77777777" w:rsidR="00750CA8" w:rsidRDefault="00750C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ill">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DF8D94" w14:textId="77777777" w:rsidR="00750CA8" w:rsidRDefault="00750CA8" w:rsidP="00642E79">
      <w:pPr>
        <w:spacing w:after="0" w:line="240" w:lineRule="auto"/>
      </w:pPr>
      <w:r>
        <w:separator/>
      </w:r>
    </w:p>
  </w:footnote>
  <w:footnote w:type="continuationSeparator" w:id="0">
    <w:p w14:paraId="46AE5EA9" w14:textId="77777777" w:rsidR="00750CA8" w:rsidRDefault="00750CA8" w:rsidP="00642E79">
      <w:pPr>
        <w:spacing w:after="0" w:line="240" w:lineRule="auto"/>
      </w:pPr>
      <w:r>
        <w:continuationSeparator/>
      </w:r>
    </w:p>
  </w:footnote>
  <w:footnote w:type="continuationNotice" w:id="1">
    <w:p w14:paraId="7E7FDB82" w14:textId="77777777" w:rsidR="00750CA8" w:rsidRDefault="00750CA8">
      <w:pPr>
        <w:spacing w:after="0" w:line="240" w:lineRule="auto"/>
      </w:pPr>
    </w:p>
  </w:footnote>
  <w:footnote w:id="2">
    <w:p w14:paraId="25D07976" w14:textId="5D40419D" w:rsidR="00C175BD" w:rsidRPr="000F3214" w:rsidRDefault="00C175BD" w:rsidP="00202072">
      <w:pPr>
        <w:rPr>
          <w:rFonts w:ascii="Brill" w:hAnsi="Brill" w:cs="Arial"/>
          <w:color w:val="333333"/>
          <w:sz w:val="18"/>
          <w:szCs w:val="18"/>
          <w:shd w:val="clear" w:color="auto" w:fill="FFFFFF"/>
        </w:rPr>
      </w:pPr>
      <w:r w:rsidRPr="000F3214">
        <w:rPr>
          <w:rStyle w:val="FootnoteReference"/>
          <w:rFonts w:ascii="Brill" w:hAnsi="Brill"/>
          <w:sz w:val="18"/>
          <w:szCs w:val="18"/>
        </w:rPr>
        <w:footnoteRef/>
      </w:r>
      <w:r w:rsidRPr="000F3214">
        <w:rPr>
          <w:rFonts w:ascii="Brill" w:hAnsi="Brill"/>
          <w:sz w:val="18"/>
          <w:szCs w:val="18"/>
        </w:rPr>
        <w:t xml:space="preserve"> </w:t>
      </w:r>
      <w:r w:rsidR="006C6311" w:rsidRPr="000F3214">
        <w:rPr>
          <w:rFonts w:ascii="Brill" w:hAnsi="Brill" w:cs="Arial"/>
          <w:color w:val="333333"/>
          <w:sz w:val="18"/>
          <w:szCs w:val="18"/>
          <w:shd w:val="clear" w:color="auto" w:fill="FFFFFF"/>
        </w:rPr>
        <w:t>Meacham, Jack. "Islam Is Essential for General Education." </w:t>
      </w:r>
      <w:r w:rsidR="006C6311" w:rsidRPr="000F3214">
        <w:rPr>
          <w:rFonts w:ascii="Brill" w:hAnsi="Brill" w:cs="Arial"/>
          <w:i/>
          <w:iCs/>
          <w:color w:val="333333"/>
          <w:sz w:val="18"/>
          <w:szCs w:val="18"/>
          <w:shd w:val="clear" w:color="auto" w:fill="FFFFFF"/>
        </w:rPr>
        <w:t>The Journal of General Education</w:t>
      </w:r>
      <w:r w:rsidR="006C6311" w:rsidRPr="000F3214">
        <w:rPr>
          <w:rFonts w:ascii="Brill" w:hAnsi="Brill" w:cs="Arial"/>
          <w:color w:val="333333"/>
          <w:sz w:val="18"/>
          <w:szCs w:val="18"/>
          <w:shd w:val="clear" w:color="auto" w:fill="FFFFFF"/>
        </w:rPr>
        <w:t> 64, no. 1 (2015): 56-64. Accessed January 14, 2020. doi:10.5325/jgeneeduc.64.1.0056</w:t>
      </w:r>
    </w:p>
  </w:footnote>
  <w:footnote w:id="3">
    <w:p w14:paraId="29D06AB5" w14:textId="44EE1D48" w:rsidR="00AE6428" w:rsidRDefault="00AE6428" w:rsidP="00AE6428">
      <w:pPr>
        <w:pStyle w:val="FootnoteText"/>
        <w:rPr>
          <w:rFonts w:ascii="Brill" w:hAnsi="Brill" w:cs="Arial"/>
          <w:color w:val="333333"/>
          <w:sz w:val="18"/>
          <w:szCs w:val="18"/>
          <w:shd w:val="clear" w:color="auto" w:fill="FFFFFF"/>
        </w:rPr>
      </w:pPr>
      <w:r>
        <w:rPr>
          <w:rStyle w:val="FootnoteReference"/>
        </w:rPr>
        <w:footnoteRef/>
      </w:r>
      <w:r>
        <w:t xml:space="preserve"> </w:t>
      </w:r>
      <w:r w:rsidRPr="000C3BF9">
        <w:rPr>
          <w:rFonts w:ascii="Brill" w:hAnsi="Brill" w:cs="Arial"/>
          <w:color w:val="333333"/>
          <w:sz w:val="18"/>
          <w:szCs w:val="18"/>
          <w:shd w:val="clear" w:color="auto" w:fill="FFFFFF"/>
        </w:rPr>
        <w:t>Heschel, Susannah. "German Jewish Scholarship on Islam as a Tool for De-Orientalizing Judaism." </w:t>
      </w:r>
      <w:r w:rsidRPr="000C3BF9">
        <w:rPr>
          <w:rFonts w:ascii="Brill" w:hAnsi="Brill" w:cs="Arial"/>
          <w:i/>
          <w:iCs/>
          <w:color w:val="333333"/>
          <w:sz w:val="18"/>
          <w:szCs w:val="18"/>
          <w:shd w:val="clear" w:color="auto" w:fill="FFFFFF"/>
        </w:rPr>
        <w:t>New German Critique</w:t>
      </w:r>
      <w:r w:rsidRPr="000C3BF9">
        <w:rPr>
          <w:rFonts w:ascii="Brill" w:hAnsi="Brill" w:cs="Arial"/>
          <w:color w:val="333333"/>
          <w:sz w:val="18"/>
          <w:szCs w:val="18"/>
          <w:shd w:val="clear" w:color="auto" w:fill="FFFFFF"/>
        </w:rPr>
        <w:t xml:space="preserve">, no. 117 (2012): 91-107. Accessed January 17, 2020. </w:t>
      </w:r>
      <w:hyperlink r:id="rId1" w:history="1">
        <w:r w:rsidRPr="00F36D1D">
          <w:rPr>
            <w:rStyle w:val="Hyperlink"/>
            <w:rFonts w:ascii="Brill" w:hAnsi="Brill" w:cs="Arial"/>
            <w:sz w:val="18"/>
            <w:szCs w:val="18"/>
            <w:shd w:val="clear" w:color="auto" w:fill="FFFFFF"/>
          </w:rPr>
          <w:t>www.jstor.org/stable/23357066</w:t>
        </w:r>
      </w:hyperlink>
      <w:r w:rsidRPr="000C3BF9">
        <w:rPr>
          <w:rFonts w:ascii="Brill" w:hAnsi="Brill" w:cs="Arial"/>
          <w:color w:val="333333"/>
          <w:sz w:val="18"/>
          <w:szCs w:val="18"/>
          <w:shd w:val="clear" w:color="auto" w:fill="FFFFFF"/>
        </w:rPr>
        <w:t>.</w:t>
      </w:r>
    </w:p>
    <w:p w14:paraId="32E8A5CA" w14:textId="2BFDDC03" w:rsidR="006202FA" w:rsidRPr="00AE6428" w:rsidRDefault="006202FA" w:rsidP="006202FA">
      <w:pPr>
        <w:pStyle w:val="FootnoteText"/>
      </w:pPr>
    </w:p>
  </w:footnote>
  <w:footnote w:id="4">
    <w:p w14:paraId="3D8F048F" w14:textId="281BE787" w:rsidR="00635461" w:rsidRPr="00635461" w:rsidRDefault="00635461">
      <w:pPr>
        <w:pStyle w:val="FootnoteText"/>
        <w:rPr>
          <w:lang w:val="en-GB"/>
        </w:rPr>
      </w:pPr>
      <w:r>
        <w:rPr>
          <w:rStyle w:val="FootnoteReference"/>
        </w:rPr>
        <w:footnoteRef/>
      </w:r>
      <w:r>
        <w:t xml:space="preserve"> </w:t>
      </w:r>
      <w:bookmarkStart w:id="3" w:name="_Hlk30211255"/>
      <w:r w:rsidR="00AD0D4B" w:rsidRPr="00AD0D4B">
        <w:rPr>
          <w:rFonts w:ascii="Brill" w:hAnsi="Brill" w:cstheme="majorBidi"/>
          <w:color w:val="333333"/>
          <w:sz w:val="18"/>
          <w:szCs w:val="18"/>
          <w:shd w:val="clear" w:color="auto" w:fill="FFFFFF"/>
        </w:rPr>
        <w:t xml:space="preserve">Said, Edward W., (1995), </w:t>
      </w:r>
      <w:r w:rsidR="00AD0D4B" w:rsidRPr="00AD0D4B">
        <w:rPr>
          <w:rFonts w:ascii="Brill" w:hAnsi="Brill" w:cstheme="majorBidi"/>
          <w:i/>
          <w:iCs/>
          <w:color w:val="333333"/>
          <w:sz w:val="18"/>
          <w:szCs w:val="18"/>
          <w:shd w:val="clear" w:color="auto" w:fill="FFFFFF"/>
        </w:rPr>
        <w:t>Orientalism: Western Concepts of the Orient</w:t>
      </w:r>
      <w:r w:rsidR="00AD0D4B" w:rsidRPr="00AD0D4B">
        <w:rPr>
          <w:rFonts w:ascii="Brill" w:hAnsi="Brill" w:cstheme="majorBidi"/>
          <w:color w:val="333333"/>
          <w:sz w:val="18"/>
          <w:szCs w:val="18"/>
          <w:shd w:val="clear" w:color="auto" w:fill="FFFFFF"/>
        </w:rPr>
        <w:t>, New Delhi: Penguin Books India</w:t>
      </w:r>
    </w:p>
    <w:bookmarkEnd w:id="3"/>
  </w:footnote>
  <w:footnote w:id="5">
    <w:p w14:paraId="6C5C3E9C" w14:textId="3D47BB27" w:rsidR="00AD0D4B" w:rsidRPr="00AD0D4B" w:rsidRDefault="006202FA" w:rsidP="00AD0D4B">
      <w:pPr>
        <w:spacing w:line="360" w:lineRule="auto"/>
        <w:rPr>
          <w:rFonts w:ascii="Brill" w:hAnsi="Brill" w:cstheme="majorBidi"/>
          <w:color w:val="333333"/>
          <w:sz w:val="18"/>
          <w:szCs w:val="18"/>
          <w:shd w:val="clear" w:color="auto" w:fill="FFFFFF"/>
        </w:rPr>
      </w:pPr>
      <w:r w:rsidRPr="00AD0D4B">
        <w:rPr>
          <w:rStyle w:val="FootnoteReference"/>
        </w:rPr>
        <w:footnoteRef/>
      </w:r>
      <w:r w:rsidRPr="00AD0D4B">
        <w:t xml:space="preserve"> </w:t>
      </w:r>
      <w:r w:rsidR="00857540">
        <w:rPr>
          <w:rFonts w:ascii="Brill" w:hAnsi="Brill" w:cstheme="majorBidi"/>
          <w:color w:val="333333"/>
          <w:sz w:val="18"/>
          <w:szCs w:val="18"/>
          <w:shd w:val="clear" w:color="auto" w:fill="FFFFFF"/>
        </w:rPr>
        <w:t>Ibid.</w:t>
      </w:r>
    </w:p>
    <w:p w14:paraId="7DE4622B" w14:textId="29DAD93D" w:rsidR="006202FA" w:rsidRPr="005C0DAA" w:rsidRDefault="006202FA" w:rsidP="006202FA">
      <w:pPr>
        <w:pStyle w:val="FootnoteText"/>
        <w:rPr>
          <w:rFonts w:ascii="Brill" w:hAnsi="Brill" w:cs="Arial"/>
          <w:color w:val="333333"/>
          <w:sz w:val="18"/>
          <w:szCs w:val="18"/>
          <w:shd w:val="clear" w:color="auto" w:fill="FFFFFF"/>
        </w:rPr>
      </w:pPr>
    </w:p>
  </w:footnote>
  <w:footnote w:id="6">
    <w:p w14:paraId="4DADB51F" w14:textId="21031705" w:rsidR="00123E9A" w:rsidRPr="005C0DAA" w:rsidRDefault="00123E9A" w:rsidP="00AD0D4B">
      <w:pPr>
        <w:shd w:val="clear" w:color="auto" w:fill="F2F2F2"/>
        <w:rPr>
          <w:rFonts w:ascii="Brill" w:hAnsi="Brill" w:cs="Arial"/>
          <w:color w:val="333333"/>
          <w:sz w:val="18"/>
          <w:szCs w:val="18"/>
          <w:shd w:val="clear" w:color="auto" w:fill="FFFFFF"/>
        </w:rPr>
      </w:pPr>
      <w:r w:rsidRPr="005C0DAA">
        <w:rPr>
          <w:rFonts w:cs="Arial"/>
          <w:color w:val="333333"/>
          <w:sz w:val="18"/>
          <w:szCs w:val="18"/>
          <w:shd w:val="clear" w:color="auto" w:fill="FFFFFF"/>
        </w:rPr>
        <w:footnoteRef/>
      </w:r>
      <w:r w:rsidRPr="005C0DAA">
        <w:rPr>
          <w:rFonts w:ascii="Brill" w:hAnsi="Brill" w:cs="Arial"/>
          <w:color w:val="333333"/>
          <w:sz w:val="18"/>
          <w:szCs w:val="18"/>
          <w:shd w:val="clear" w:color="auto" w:fill="FFFFFF"/>
        </w:rPr>
        <w:t xml:space="preserve"> Fischer, Klaus (Bonn) and Fischer, </w:t>
      </w:r>
      <w:proofErr w:type="spellStart"/>
      <w:r w:rsidRPr="005C0DAA">
        <w:rPr>
          <w:rFonts w:ascii="Brill" w:hAnsi="Brill" w:cs="Arial"/>
          <w:color w:val="333333"/>
          <w:sz w:val="18"/>
          <w:szCs w:val="18"/>
          <w:shd w:val="clear" w:color="auto" w:fill="FFFFFF"/>
        </w:rPr>
        <w:t>Wolfdietrich</w:t>
      </w:r>
      <w:proofErr w:type="spellEnd"/>
      <w:r w:rsidRPr="005C0DAA">
        <w:rPr>
          <w:rFonts w:ascii="Brill" w:hAnsi="Brill" w:cs="Arial"/>
          <w:color w:val="333333"/>
          <w:sz w:val="18"/>
          <w:szCs w:val="18"/>
          <w:shd w:val="clear" w:color="auto" w:fill="FFFFFF"/>
        </w:rPr>
        <w:t xml:space="preserve"> (Erlangen RWG), “Arabic Studies”, in: </w:t>
      </w:r>
      <w:r w:rsidRPr="005C0DAA">
        <w:rPr>
          <w:rFonts w:ascii="Brill" w:hAnsi="Brill" w:cs="Arial"/>
          <w:i/>
          <w:iCs/>
          <w:color w:val="333333"/>
          <w:sz w:val="18"/>
          <w:szCs w:val="18"/>
          <w:shd w:val="clear" w:color="auto" w:fill="FFFFFF"/>
        </w:rPr>
        <w:t>Brill’s New Pauly</w:t>
      </w:r>
      <w:r w:rsidRPr="005C0DAA">
        <w:rPr>
          <w:rFonts w:ascii="Brill" w:hAnsi="Brill" w:cs="Arial"/>
          <w:color w:val="333333"/>
          <w:sz w:val="18"/>
          <w:szCs w:val="18"/>
          <w:shd w:val="clear" w:color="auto" w:fill="FFFFFF"/>
        </w:rPr>
        <w:t xml:space="preserve">, Antiquity volumes edited by: Hubert </w:t>
      </w:r>
      <w:proofErr w:type="spellStart"/>
      <w:r w:rsidRPr="005C0DAA">
        <w:rPr>
          <w:rFonts w:ascii="Brill" w:hAnsi="Brill" w:cs="Arial"/>
          <w:color w:val="333333"/>
          <w:sz w:val="18"/>
          <w:szCs w:val="18"/>
          <w:shd w:val="clear" w:color="auto" w:fill="FFFFFF"/>
        </w:rPr>
        <w:t>Cancik</w:t>
      </w:r>
      <w:proofErr w:type="spellEnd"/>
      <w:r w:rsidRPr="005C0DAA">
        <w:rPr>
          <w:rFonts w:ascii="Brill" w:hAnsi="Brill" w:cs="Arial"/>
          <w:color w:val="333333"/>
          <w:sz w:val="18"/>
          <w:szCs w:val="18"/>
          <w:shd w:val="clear" w:color="auto" w:fill="FFFFFF"/>
        </w:rPr>
        <w:t xml:space="preserve"> and , Helmuth Schneider, English Edition by: Christine F. Salazar, Classical Tradition volumes edited by: Manfred </w:t>
      </w:r>
      <w:proofErr w:type="spellStart"/>
      <w:r w:rsidRPr="005C0DAA">
        <w:rPr>
          <w:rFonts w:ascii="Brill" w:hAnsi="Brill" w:cs="Arial"/>
          <w:color w:val="333333"/>
          <w:sz w:val="18"/>
          <w:szCs w:val="18"/>
          <w:shd w:val="clear" w:color="auto" w:fill="FFFFFF"/>
        </w:rPr>
        <w:t>Landfester</w:t>
      </w:r>
      <w:proofErr w:type="spellEnd"/>
      <w:r w:rsidRPr="005C0DAA">
        <w:rPr>
          <w:rFonts w:ascii="Brill" w:hAnsi="Brill" w:cs="Arial"/>
          <w:color w:val="333333"/>
          <w:sz w:val="18"/>
          <w:szCs w:val="18"/>
          <w:shd w:val="clear" w:color="auto" w:fill="FFFFFF"/>
        </w:rPr>
        <w:t>, English Edition by: Francis G. Gentry. Consulted online on 14 January 2020 &lt;http://dx.doi.org/10.1163/1574-9347_bnp_e1302310&gt;First published online: 2006</w:t>
      </w:r>
      <w:r w:rsidR="005C0DAA">
        <w:rPr>
          <w:rFonts w:ascii="Brill" w:hAnsi="Brill" w:cs="Arial"/>
          <w:color w:val="333333"/>
          <w:sz w:val="18"/>
          <w:szCs w:val="18"/>
          <w:shd w:val="clear" w:color="auto" w:fill="FFFFFF"/>
        </w:rPr>
        <w:t xml:space="preserve">. </w:t>
      </w:r>
      <w:r w:rsidRPr="005C0DAA">
        <w:rPr>
          <w:rFonts w:ascii="Brill" w:hAnsi="Brill" w:cs="Arial"/>
          <w:color w:val="333333"/>
          <w:sz w:val="18"/>
          <w:szCs w:val="18"/>
          <w:shd w:val="clear" w:color="auto" w:fill="FFFFFF"/>
        </w:rPr>
        <w:t>First print edition:9789004122598, 20110510</w:t>
      </w:r>
    </w:p>
  </w:footnote>
  <w:footnote w:id="7">
    <w:p w14:paraId="11AF982C" w14:textId="77777777" w:rsidR="006C7558" w:rsidRDefault="006C7558" w:rsidP="006C7558">
      <w:pPr>
        <w:pStyle w:val="FootnoteText"/>
        <w:rPr>
          <w:rFonts w:ascii="Brill" w:hAnsi="Brill" w:cs="Arial"/>
          <w:color w:val="333333"/>
          <w:sz w:val="18"/>
          <w:szCs w:val="18"/>
          <w:shd w:val="clear" w:color="auto" w:fill="FFFFFF"/>
        </w:rPr>
      </w:pPr>
      <w:r>
        <w:rPr>
          <w:rStyle w:val="FootnoteReference"/>
        </w:rPr>
        <w:footnoteRef/>
      </w:r>
      <w:r>
        <w:t xml:space="preserve"> </w:t>
      </w:r>
      <w:r w:rsidRPr="000C3BF9">
        <w:rPr>
          <w:rFonts w:ascii="Brill" w:hAnsi="Brill" w:cs="Arial"/>
          <w:color w:val="333333"/>
          <w:sz w:val="18"/>
          <w:szCs w:val="18"/>
          <w:shd w:val="clear" w:color="auto" w:fill="FFFFFF"/>
        </w:rPr>
        <w:t>Heschel, Susannah. "German Jewish Scholarship on Islam as a Tool for De-Orientalizing Judaism." </w:t>
      </w:r>
      <w:r w:rsidRPr="000C3BF9">
        <w:rPr>
          <w:rFonts w:ascii="Brill" w:hAnsi="Brill" w:cs="Arial"/>
          <w:i/>
          <w:iCs/>
          <w:color w:val="333333"/>
          <w:sz w:val="18"/>
          <w:szCs w:val="18"/>
          <w:shd w:val="clear" w:color="auto" w:fill="FFFFFF"/>
        </w:rPr>
        <w:t>New German Critique</w:t>
      </w:r>
      <w:r w:rsidRPr="000C3BF9">
        <w:rPr>
          <w:rFonts w:ascii="Brill" w:hAnsi="Brill" w:cs="Arial"/>
          <w:color w:val="333333"/>
          <w:sz w:val="18"/>
          <w:szCs w:val="18"/>
          <w:shd w:val="clear" w:color="auto" w:fill="FFFFFF"/>
        </w:rPr>
        <w:t xml:space="preserve">, no. 117 (2012): 91-107. Accessed January 17, 2020. </w:t>
      </w:r>
      <w:hyperlink r:id="rId2" w:history="1">
        <w:r w:rsidRPr="00F36D1D">
          <w:rPr>
            <w:rStyle w:val="Hyperlink"/>
            <w:rFonts w:ascii="Brill" w:hAnsi="Brill" w:cs="Arial"/>
            <w:sz w:val="18"/>
            <w:szCs w:val="18"/>
            <w:shd w:val="clear" w:color="auto" w:fill="FFFFFF"/>
          </w:rPr>
          <w:t>www.jstor.org/stable/23357066</w:t>
        </w:r>
      </w:hyperlink>
      <w:r w:rsidRPr="000C3BF9">
        <w:rPr>
          <w:rFonts w:ascii="Brill" w:hAnsi="Brill" w:cs="Arial"/>
          <w:color w:val="333333"/>
          <w:sz w:val="18"/>
          <w:szCs w:val="18"/>
          <w:shd w:val="clear" w:color="auto" w:fill="FFFFFF"/>
        </w:rPr>
        <w:t>.</w:t>
      </w:r>
    </w:p>
    <w:p w14:paraId="186D9658" w14:textId="77777777" w:rsidR="006C7558" w:rsidRPr="000C3BF9" w:rsidRDefault="006C7558" w:rsidP="006C7558">
      <w:pPr>
        <w:pStyle w:val="FootnoteText"/>
        <w:rPr>
          <w:rFonts w:ascii="Brill" w:hAnsi="Brill"/>
          <w:sz w:val="18"/>
          <w:szCs w:val="18"/>
        </w:rPr>
      </w:pPr>
    </w:p>
  </w:footnote>
  <w:footnote w:id="8">
    <w:p w14:paraId="6405198E" w14:textId="77777777" w:rsidR="003F6B35" w:rsidRPr="000F3214" w:rsidRDefault="003F6B35" w:rsidP="003F6B35">
      <w:pPr>
        <w:rPr>
          <w:rFonts w:ascii="Brill" w:hAnsi="Brill" w:cs="Arial"/>
          <w:color w:val="333333"/>
          <w:sz w:val="18"/>
          <w:szCs w:val="18"/>
          <w:shd w:val="clear" w:color="auto" w:fill="FFFFFF"/>
        </w:rPr>
      </w:pPr>
      <w:r w:rsidRPr="000F3214">
        <w:rPr>
          <w:rStyle w:val="FootnoteReference"/>
          <w:rFonts w:ascii="Brill" w:hAnsi="Brill"/>
          <w:sz w:val="18"/>
          <w:szCs w:val="18"/>
        </w:rPr>
        <w:footnoteRef/>
      </w:r>
      <w:r w:rsidRPr="000F3214">
        <w:rPr>
          <w:rFonts w:ascii="Brill" w:hAnsi="Brill"/>
          <w:sz w:val="18"/>
          <w:szCs w:val="18"/>
        </w:rPr>
        <w:t xml:space="preserve"> </w:t>
      </w:r>
      <w:r w:rsidRPr="000F3214">
        <w:rPr>
          <w:rFonts w:ascii="Brill" w:hAnsi="Brill" w:cs="Arial"/>
          <w:color w:val="333333"/>
          <w:sz w:val="18"/>
          <w:szCs w:val="18"/>
          <w:shd w:val="clear" w:color="auto" w:fill="FFFFFF"/>
        </w:rPr>
        <w:t>Kurzman, Charles, and Carl W. Ernst. "Islamic Studies in U.S. Universities." </w:t>
      </w:r>
      <w:r w:rsidRPr="000F3214">
        <w:rPr>
          <w:rFonts w:ascii="Brill" w:hAnsi="Brill" w:cs="Arial"/>
          <w:i/>
          <w:iCs/>
          <w:color w:val="333333"/>
          <w:sz w:val="18"/>
          <w:szCs w:val="18"/>
          <w:shd w:val="clear" w:color="auto" w:fill="FFFFFF"/>
        </w:rPr>
        <w:t>Review of Middle East Studies</w:t>
      </w:r>
      <w:r w:rsidRPr="000F3214">
        <w:rPr>
          <w:rFonts w:ascii="Brill" w:hAnsi="Brill" w:cs="Arial"/>
          <w:color w:val="333333"/>
          <w:sz w:val="18"/>
          <w:szCs w:val="18"/>
          <w:shd w:val="clear" w:color="auto" w:fill="FFFFFF"/>
        </w:rPr>
        <w:t xml:space="preserve"> 46, no. 1 (2012): 24-46. Accessed January 14, 2020. </w:t>
      </w:r>
      <w:hyperlink r:id="rId3" w:history="1">
        <w:r w:rsidRPr="000F3214">
          <w:rPr>
            <w:rStyle w:val="Hyperlink"/>
            <w:rFonts w:ascii="Brill" w:hAnsi="Brill" w:cs="Arial"/>
            <w:sz w:val="18"/>
            <w:szCs w:val="18"/>
            <w:shd w:val="clear" w:color="auto" w:fill="FFFFFF"/>
          </w:rPr>
          <w:t>www.jstor.org/stable/41762480</w:t>
        </w:r>
      </w:hyperlink>
      <w:r w:rsidRPr="000F3214">
        <w:rPr>
          <w:rFonts w:ascii="Brill" w:hAnsi="Brill" w:cs="Arial"/>
          <w:color w:val="333333"/>
          <w:sz w:val="18"/>
          <w:szCs w:val="18"/>
          <w:shd w:val="clear" w:color="auto" w:fill="FFFFFF"/>
        </w:rPr>
        <w:t>.</w:t>
      </w:r>
    </w:p>
  </w:footnote>
  <w:footnote w:id="9">
    <w:p w14:paraId="78FE2C7C" w14:textId="6ECBC8CB" w:rsidR="003F6B35" w:rsidRPr="00C05A47" w:rsidRDefault="003F6B35" w:rsidP="00C05A47">
      <w:pPr>
        <w:rPr>
          <w:rFonts w:ascii="Brill" w:hAnsi="Brill" w:cs="Arial"/>
          <w:color w:val="333333"/>
          <w:sz w:val="18"/>
          <w:szCs w:val="18"/>
          <w:shd w:val="clear" w:color="auto" w:fill="FFFFFF"/>
        </w:rPr>
      </w:pPr>
      <w:r w:rsidRPr="000F3214">
        <w:rPr>
          <w:rStyle w:val="FootnoteReference"/>
          <w:rFonts w:ascii="Brill" w:hAnsi="Brill"/>
          <w:sz w:val="18"/>
          <w:szCs w:val="18"/>
        </w:rPr>
        <w:footnoteRef/>
      </w:r>
      <w:r w:rsidRPr="000F3214">
        <w:rPr>
          <w:rFonts w:ascii="Brill" w:hAnsi="Brill"/>
          <w:sz w:val="18"/>
          <w:szCs w:val="18"/>
        </w:rPr>
        <w:t xml:space="preserve"> </w:t>
      </w:r>
      <w:r w:rsidRPr="00C05A47">
        <w:rPr>
          <w:rFonts w:ascii="Brill" w:hAnsi="Brill" w:cs="Arial"/>
          <w:color w:val="333333"/>
          <w:sz w:val="18"/>
          <w:szCs w:val="18"/>
          <w:shd w:val="clear" w:color="auto" w:fill="FFFFFF"/>
        </w:rPr>
        <w:t>Bowen, John R., “Anthropology of Islam”, in:</w:t>
      </w:r>
      <w:r w:rsidRPr="000F3214">
        <w:rPr>
          <w:rFonts w:ascii="Brill" w:eastAsia="Times New Roman" w:hAnsi="Brill" w:cs="Times New Roman"/>
          <w:color w:val="222222"/>
          <w:sz w:val="18"/>
          <w:szCs w:val="18"/>
          <w:shd w:val="clear" w:color="auto" w:fill="F2F2F2"/>
        </w:rPr>
        <w:t> </w:t>
      </w:r>
      <w:proofErr w:type="spellStart"/>
      <w:r w:rsidRPr="000F3214">
        <w:rPr>
          <w:rFonts w:ascii="Brill" w:eastAsia="Times New Roman" w:hAnsi="Brill" w:cs="Times New Roman"/>
          <w:i/>
          <w:iCs/>
          <w:color w:val="222222"/>
          <w:sz w:val="18"/>
          <w:szCs w:val="18"/>
        </w:rPr>
        <w:t>Encyclopaedia</w:t>
      </w:r>
      <w:proofErr w:type="spellEnd"/>
      <w:r w:rsidRPr="000F3214">
        <w:rPr>
          <w:rFonts w:ascii="Brill" w:eastAsia="Times New Roman" w:hAnsi="Brill" w:cs="Times New Roman"/>
          <w:i/>
          <w:iCs/>
          <w:color w:val="222222"/>
          <w:sz w:val="18"/>
          <w:szCs w:val="18"/>
        </w:rPr>
        <w:t xml:space="preserve"> of Islam, THREE</w:t>
      </w:r>
      <w:r w:rsidRPr="00C05A47">
        <w:rPr>
          <w:rFonts w:ascii="Brill" w:hAnsi="Brill" w:cs="Arial"/>
          <w:color w:val="333333"/>
          <w:sz w:val="18"/>
          <w:szCs w:val="18"/>
          <w:shd w:val="clear" w:color="auto" w:fill="FFFFFF"/>
        </w:rPr>
        <w:t xml:space="preserve">, Edited by: Kate Fleet, Gudrun </w:t>
      </w:r>
      <w:proofErr w:type="spellStart"/>
      <w:r w:rsidRPr="00C05A47">
        <w:rPr>
          <w:rFonts w:ascii="Brill" w:hAnsi="Brill" w:cs="Arial"/>
          <w:color w:val="333333"/>
          <w:sz w:val="18"/>
          <w:szCs w:val="18"/>
          <w:shd w:val="clear" w:color="auto" w:fill="FFFFFF"/>
        </w:rPr>
        <w:t>Krämer</w:t>
      </w:r>
      <w:proofErr w:type="spellEnd"/>
      <w:r w:rsidRPr="00C05A47">
        <w:rPr>
          <w:rFonts w:ascii="Brill" w:hAnsi="Brill" w:cs="Arial"/>
          <w:color w:val="333333"/>
          <w:sz w:val="18"/>
          <w:szCs w:val="18"/>
          <w:shd w:val="clear" w:color="auto" w:fill="FFFFFF"/>
        </w:rPr>
        <w:t xml:space="preserve">, Denis </w:t>
      </w:r>
      <w:proofErr w:type="spellStart"/>
      <w:r w:rsidRPr="00C05A47">
        <w:rPr>
          <w:rFonts w:ascii="Brill" w:hAnsi="Brill" w:cs="Arial"/>
          <w:color w:val="333333"/>
          <w:sz w:val="18"/>
          <w:szCs w:val="18"/>
          <w:shd w:val="clear" w:color="auto" w:fill="FFFFFF"/>
        </w:rPr>
        <w:t>Matringe</w:t>
      </w:r>
      <w:proofErr w:type="spellEnd"/>
      <w:r w:rsidRPr="00C05A47">
        <w:rPr>
          <w:rFonts w:ascii="Brill" w:hAnsi="Brill" w:cs="Arial"/>
          <w:color w:val="333333"/>
          <w:sz w:val="18"/>
          <w:szCs w:val="18"/>
          <w:shd w:val="clear" w:color="auto" w:fill="FFFFFF"/>
        </w:rPr>
        <w:t xml:space="preserve">, John </w:t>
      </w:r>
      <w:proofErr w:type="spellStart"/>
      <w:r w:rsidRPr="00C05A47">
        <w:rPr>
          <w:rFonts w:ascii="Brill" w:hAnsi="Brill" w:cs="Arial"/>
          <w:color w:val="333333"/>
          <w:sz w:val="18"/>
          <w:szCs w:val="18"/>
          <w:shd w:val="clear" w:color="auto" w:fill="FFFFFF"/>
        </w:rPr>
        <w:t>Nawas</w:t>
      </w:r>
      <w:proofErr w:type="spellEnd"/>
      <w:r w:rsidRPr="00C05A47">
        <w:rPr>
          <w:rFonts w:ascii="Brill" w:hAnsi="Brill" w:cs="Arial"/>
          <w:color w:val="333333"/>
          <w:sz w:val="18"/>
          <w:szCs w:val="18"/>
          <w:shd w:val="clear" w:color="auto" w:fill="FFFFFF"/>
        </w:rPr>
        <w:t xml:space="preserve">, Everett </w:t>
      </w:r>
      <w:proofErr w:type="spellStart"/>
      <w:r w:rsidRPr="00C05A47">
        <w:rPr>
          <w:rFonts w:ascii="Brill" w:hAnsi="Brill" w:cs="Arial"/>
          <w:color w:val="333333"/>
          <w:sz w:val="18"/>
          <w:szCs w:val="18"/>
          <w:shd w:val="clear" w:color="auto" w:fill="FFFFFF"/>
        </w:rPr>
        <w:t>Rowson</w:t>
      </w:r>
      <w:proofErr w:type="spellEnd"/>
      <w:r w:rsidRPr="00C05A47">
        <w:rPr>
          <w:rFonts w:ascii="Brill" w:hAnsi="Brill" w:cs="Arial"/>
          <w:color w:val="333333"/>
          <w:sz w:val="18"/>
          <w:szCs w:val="18"/>
          <w:shd w:val="clear" w:color="auto" w:fill="FFFFFF"/>
        </w:rPr>
        <w:t>. Consulted online on 14 January 2020 &lt;http://dx.doi.org/10.1163/1573-3912_ei3_COM_24929&gt;</w:t>
      </w:r>
      <w:r w:rsidRPr="000F3214">
        <w:rPr>
          <w:rFonts w:ascii="Brill" w:eastAsia="Times New Roman" w:hAnsi="Brill" w:cs="Times New Roman"/>
          <w:color w:val="222222"/>
          <w:sz w:val="18"/>
          <w:szCs w:val="18"/>
        </w:rPr>
        <w:t>First published online: 2016</w:t>
      </w:r>
      <w:r w:rsidR="00C05A47">
        <w:rPr>
          <w:rFonts w:ascii="Brill" w:hAnsi="Brill" w:cs="Arial"/>
          <w:color w:val="333333"/>
          <w:sz w:val="18"/>
          <w:szCs w:val="18"/>
          <w:shd w:val="clear" w:color="auto" w:fill="FFFFFF"/>
        </w:rPr>
        <w:t xml:space="preserve">. </w:t>
      </w:r>
      <w:r w:rsidRPr="000F3214">
        <w:rPr>
          <w:rFonts w:ascii="Brill" w:eastAsia="Times New Roman" w:hAnsi="Brill" w:cs="Times New Roman"/>
          <w:color w:val="222222"/>
          <w:sz w:val="18"/>
          <w:szCs w:val="18"/>
        </w:rPr>
        <w:t>First print edition: 9789004305762, 2016, 2016-3</w:t>
      </w:r>
    </w:p>
  </w:footnote>
  <w:footnote w:id="10">
    <w:p w14:paraId="49FD88B6" w14:textId="4BE56510" w:rsidR="003F6B35" w:rsidRPr="000F3214" w:rsidRDefault="003F6B35" w:rsidP="003F6B35">
      <w:pPr>
        <w:rPr>
          <w:rFonts w:ascii="Brill" w:hAnsi="Brill" w:cs="Arial"/>
          <w:color w:val="333333"/>
          <w:sz w:val="18"/>
          <w:szCs w:val="18"/>
          <w:shd w:val="clear" w:color="auto" w:fill="FFFFFF"/>
        </w:rPr>
      </w:pPr>
      <w:r w:rsidRPr="000F3214">
        <w:rPr>
          <w:rStyle w:val="FootnoteReference"/>
          <w:rFonts w:ascii="Brill" w:hAnsi="Brill"/>
          <w:sz w:val="18"/>
          <w:szCs w:val="18"/>
        </w:rPr>
        <w:footnoteRef/>
      </w:r>
      <w:r w:rsidRPr="000F3214">
        <w:rPr>
          <w:rFonts w:ascii="Brill" w:hAnsi="Brill"/>
          <w:sz w:val="18"/>
          <w:szCs w:val="18"/>
        </w:rPr>
        <w:t xml:space="preserve"> </w:t>
      </w:r>
      <w:r w:rsidRPr="000F3214">
        <w:rPr>
          <w:rFonts w:ascii="Brill" w:hAnsi="Brill" w:cs="Arial"/>
          <w:color w:val="333333"/>
          <w:sz w:val="18"/>
          <w:szCs w:val="18"/>
          <w:shd w:val="clear" w:color="auto" w:fill="FFFFFF"/>
        </w:rPr>
        <w:t>Kurzman</w:t>
      </w:r>
      <w:r w:rsidR="001744C5">
        <w:rPr>
          <w:rFonts w:ascii="Brill" w:hAnsi="Brill" w:cs="Arial"/>
          <w:color w:val="333333"/>
          <w:sz w:val="18"/>
          <w:szCs w:val="18"/>
          <w:shd w:val="clear" w:color="auto" w:fill="FFFFFF"/>
        </w:rPr>
        <w:t xml:space="preserve"> and</w:t>
      </w:r>
      <w:r w:rsidRPr="000F3214">
        <w:rPr>
          <w:rFonts w:ascii="Brill" w:hAnsi="Brill" w:cs="Arial"/>
          <w:color w:val="333333"/>
          <w:sz w:val="18"/>
          <w:szCs w:val="18"/>
          <w:shd w:val="clear" w:color="auto" w:fill="FFFFFF"/>
        </w:rPr>
        <w:t xml:space="preserve"> Ernst</w:t>
      </w:r>
      <w:r w:rsidR="001744C5">
        <w:rPr>
          <w:rFonts w:ascii="Brill" w:hAnsi="Brill" w:cs="Arial"/>
          <w:color w:val="333333"/>
          <w:sz w:val="18"/>
          <w:szCs w:val="18"/>
          <w:shd w:val="clear" w:color="auto" w:fill="FFFFFF"/>
        </w:rPr>
        <w:t xml:space="preserve"> (2012)</w:t>
      </w:r>
    </w:p>
  </w:footnote>
  <w:footnote w:id="11">
    <w:p w14:paraId="702D5A09" w14:textId="1D012E1C" w:rsidR="003719EF" w:rsidRPr="00C05A47" w:rsidRDefault="003719EF">
      <w:pPr>
        <w:pStyle w:val="FootnoteText"/>
        <w:rPr>
          <w:rFonts w:ascii="Brill" w:hAnsi="Brill" w:cs="Arial"/>
          <w:color w:val="333333"/>
          <w:sz w:val="18"/>
          <w:szCs w:val="18"/>
          <w:shd w:val="clear" w:color="auto" w:fill="FFFFFF"/>
        </w:rPr>
      </w:pPr>
      <w:r>
        <w:rPr>
          <w:rStyle w:val="FootnoteReference"/>
        </w:rPr>
        <w:footnoteRef/>
      </w:r>
      <w:r>
        <w:t xml:space="preserve"> </w:t>
      </w:r>
      <w:r w:rsidRPr="00C05A47">
        <w:rPr>
          <w:rFonts w:ascii="Brill" w:hAnsi="Brill" w:cs="Arial"/>
          <w:color w:val="333333"/>
          <w:sz w:val="18"/>
          <w:szCs w:val="18"/>
          <w:shd w:val="clear" w:color="auto" w:fill="FFFFFF"/>
        </w:rPr>
        <w:t>Hughes, Aaron W. "The Study of Islam Before and After September 11: A Provocation." </w:t>
      </w:r>
      <w:r w:rsidRPr="00C05A47">
        <w:rPr>
          <w:rFonts w:ascii="Brill" w:hAnsi="Brill" w:cs="Arial"/>
          <w:i/>
          <w:iCs/>
          <w:color w:val="333333"/>
          <w:sz w:val="18"/>
          <w:szCs w:val="18"/>
          <w:shd w:val="clear" w:color="auto" w:fill="FFFFFF"/>
        </w:rPr>
        <w:t>Method &amp; Theory in the Study of Religion</w:t>
      </w:r>
      <w:r w:rsidRPr="00C05A47">
        <w:rPr>
          <w:rFonts w:ascii="Brill" w:hAnsi="Brill" w:cs="Arial"/>
          <w:color w:val="333333"/>
          <w:sz w:val="18"/>
          <w:szCs w:val="18"/>
          <w:shd w:val="clear" w:color="auto" w:fill="FFFFFF"/>
        </w:rPr>
        <w:t xml:space="preserve"> 24, no. 4/5 (2012): 314-36. Accessed January 17, 2020. </w:t>
      </w:r>
      <w:hyperlink r:id="rId4" w:history="1">
        <w:r w:rsidR="00E90A80" w:rsidRPr="00C05A47">
          <w:rPr>
            <w:color w:val="333333"/>
            <w:sz w:val="18"/>
            <w:szCs w:val="18"/>
          </w:rPr>
          <w:t>www.jstor.org/stable/23555834</w:t>
        </w:r>
      </w:hyperlink>
      <w:r w:rsidR="00E90A80" w:rsidRPr="00C05A47">
        <w:rPr>
          <w:rFonts w:ascii="Brill" w:hAnsi="Brill" w:cs="Arial"/>
          <w:color w:val="333333"/>
          <w:sz w:val="18"/>
          <w:szCs w:val="18"/>
          <w:shd w:val="clear" w:color="auto" w:fill="FFFFFF"/>
        </w:rPr>
        <w:t>. p.314.</w:t>
      </w:r>
    </w:p>
  </w:footnote>
  <w:footnote w:id="12">
    <w:p w14:paraId="5EEA29BD" w14:textId="64494284" w:rsidR="003F6B35" w:rsidRPr="00C05A47" w:rsidRDefault="003F6B35" w:rsidP="00C05A47">
      <w:pPr>
        <w:rPr>
          <w:rFonts w:ascii="Brill" w:hAnsi="Brill" w:cs="Arial"/>
          <w:color w:val="333333"/>
          <w:sz w:val="18"/>
          <w:szCs w:val="18"/>
          <w:shd w:val="clear" w:color="auto" w:fill="FFFFFF"/>
        </w:rPr>
      </w:pPr>
      <w:r w:rsidRPr="000F3214">
        <w:rPr>
          <w:rStyle w:val="FootnoteReference"/>
          <w:rFonts w:ascii="Brill" w:hAnsi="Brill"/>
          <w:sz w:val="18"/>
          <w:szCs w:val="18"/>
        </w:rPr>
        <w:footnoteRef/>
      </w:r>
      <w:r w:rsidRPr="000F3214">
        <w:rPr>
          <w:rFonts w:ascii="Brill" w:hAnsi="Brill"/>
          <w:sz w:val="18"/>
          <w:szCs w:val="18"/>
        </w:rPr>
        <w:t xml:space="preserve"> </w:t>
      </w:r>
      <w:r w:rsidR="001744C5" w:rsidRPr="000F3214">
        <w:rPr>
          <w:rFonts w:ascii="Brill" w:hAnsi="Brill" w:cs="Arial"/>
          <w:color w:val="333333"/>
          <w:sz w:val="18"/>
          <w:szCs w:val="18"/>
          <w:shd w:val="clear" w:color="auto" w:fill="FFFFFF"/>
        </w:rPr>
        <w:t>Kurzman</w:t>
      </w:r>
      <w:r w:rsidR="001744C5">
        <w:rPr>
          <w:rFonts w:ascii="Brill" w:hAnsi="Brill" w:cs="Arial"/>
          <w:color w:val="333333"/>
          <w:sz w:val="18"/>
          <w:szCs w:val="18"/>
          <w:shd w:val="clear" w:color="auto" w:fill="FFFFFF"/>
        </w:rPr>
        <w:t xml:space="preserve"> and</w:t>
      </w:r>
      <w:r w:rsidR="001744C5" w:rsidRPr="000F3214">
        <w:rPr>
          <w:rFonts w:ascii="Brill" w:hAnsi="Brill" w:cs="Arial"/>
          <w:color w:val="333333"/>
          <w:sz w:val="18"/>
          <w:szCs w:val="18"/>
          <w:shd w:val="clear" w:color="auto" w:fill="FFFFFF"/>
        </w:rPr>
        <w:t xml:space="preserve"> Ernst</w:t>
      </w:r>
      <w:r w:rsidR="001744C5">
        <w:rPr>
          <w:rFonts w:ascii="Brill" w:hAnsi="Brill" w:cs="Arial"/>
          <w:color w:val="333333"/>
          <w:sz w:val="18"/>
          <w:szCs w:val="18"/>
          <w:shd w:val="clear" w:color="auto" w:fill="FFFFFF"/>
        </w:rPr>
        <w:t xml:space="preserve"> (2012)</w:t>
      </w:r>
    </w:p>
  </w:footnote>
  <w:footnote w:id="13">
    <w:p w14:paraId="03ACA04F" w14:textId="547C0D6B" w:rsidR="00E90A80" w:rsidRDefault="002A4278" w:rsidP="00E90A80">
      <w:pPr>
        <w:rPr>
          <w:rFonts w:ascii="Arial" w:hAnsi="Arial" w:cs="Arial"/>
          <w:color w:val="333333"/>
          <w:sz w:val="21"/>
          <w:szCs w:val="21"/>
          <w:shd w:val="clear" w:color="auto" w:fill="FFFFFF"/>
        </w:rPr>
      </w:pPr>
      <w:r w:rsidRPr="0016378D">
        <w:rPr>
          <w:rStyle w:val="FootnoteReference"/>
          <w:rFonts w:ascii="Brill" w:hAnsi="Brill"/>
        </w:rPr>
        <w:footnoteRef/>
      </w:r>
      <w:r w:rsidRPr="0016378D">
        <w:rPr>
          <w:rFonts w:ascii="Brill" w:hAnsi="Brill"/>
        </w:rPr>
        <w:t xml:space="preserve"> </w:t>
      </w:r>
      <w:r w:rsidR="00C05A47" w:rsidRPr="00C05A47">
        <w:rPr>
          <w:rFonts w:ascii="Brill" w:hAnsi="Brill" w:cs="Arial"/>
          <w:color w:val="333333"/>
          <w:sz w:val="18"/>
          <w:szCs w:val="18"/>
          <w:shd w:val="clear" w:color="auto" w:fill="FFFFFF"/>
        </w:rPr>
        <w:t>Ibid</w:t>
      </w:r>
    </w:p>
    <w:p w14:paraId="388B160A" w14:textId="108E9A12" w:rsidR="002A4278" w:rsidRPr="0016378D" w:rsidRDefault="002A4278" w:rsidP="002A4278">
      <w:pPr>
        <w:pStyle w:val="FootnoteText"/>
        <w:rPr>
          <w:rFonts w:ascii="Brill" w:hAnsi="Brill"/>
        </w:rPr>
      </w:pPr>
    </w:p>
  </w:footnote>
  <w:footnote w:id="14">
    <w:p w14:paraId="7E0FDD7D" w14:textId="77777777" w:rsidR="00FD5A44" w:rsidRPr="00794E57" w:rsidRDefault="00FD5A44" w:rsidP="00FD5A44">
      <w:pPr>
        <w:rPr>
          <w:rFonts w:ascii="Brill" w:hAnsi="Brill" w:cs="Arial"/>
          <w:color w:val="333333"/>
          <w:sz w:val="18"/>
          <w:szCs w:val="18"/>
          <w:shd w:val="clear" w:color="auto" w:fill="FFFFFF"/>
        </w:rPr>
      </w:pPr>
      <w:r>
        <w:rPr>
          <w:rStyle w:val="FootnoteReference"/>
        </w:rPr>
        <w:footnoteRef/>
      </w:r>
      <w:r>
        <w:t xml:space="preserve"> </w:t>
      </w:r>
      <w:r w:rsidRPr="00794E57">
        <w:rPr>
          <w:rFonts w:ascii="Brill" w:hAnsi="Brill" w:cs="Arial"/>
          <w:color w:val="333333"/>
          <w:sz w:val="18"/>
          <w:szCs w:val="18"/>
          <w:shd w:val="clear" w:color="auto" w:fill="FFFFFF"/>
        </w:rPr>
        <w:t>Berg, Herbert. "The Essence of Essentializing: A Critical Discourse on "Critical Discourse in the Study of Islam". </w:t>
      </w:r>
      <w:r w:rsidRPr="00794E57">
        <w:rPr>
          <w:rFonts w:ascii="Brill" w:hAnsi="Brill" w:cs="Arial"/>
          <w:i/>
          <w:iCs/>
          <w:color w:val="333333"/>
          <w:sz w:val="18"/>
          <w:szCs w:val="18"/>
          <w:shd w:val="clear" w:color="auto" w:fill="FFFFFF"/>
        </w:rPr>
        <w:t>Method &amp; Theory in the Study of Religion </w:t>
      </w:r>
      <w:r w:rsidRPr="00794E57">
        <w:rPr>
          <w:rFonts w:ascii="Brill" w:hAnsi="Brill" w:cs="Arial"/>
          <w:color w:val="333333"/>
          <w:sz w:val="18"/>
          <w:szCs w:val="18"/>
          <w:shd w:val="clear" w:color="auto" w:fill="FFFFFF"/>
        </w:rPr>
        <w:t xml:space="preserve">24, no. 4/5 (2012): 337-56. Accessed January 14, 2020. </w:t>
      </w:r>
      <w:hyperlink r:id="rId5" w:history="1">
        <w:r w:rsidRPr="00794E57">
          <w:rPr>
            <w:rFonts w:ascii="Brill" w:hAnsi="Brill" w:cs="Arial"/>
            <w:color w:val="333333"/>
            <w:sz w:val="18"/>
            <w:szCs w:val="18"/>
            <w:shd w:val="clear" w:color="auto" w:fill="FFFFFF"/>
          </w:rPr>
          <w:t>www.jstor.org/stable/23555835</w:t>
        </w:r>
      </w:hyperlink>
      <w:r w:rsidRPr="00794E57">
        <w:rPr>
          <w:rFonts w:ascii="Brill" w:hAnsi="Brill" w:cs="Arial"/>
          <w:color w:val="333333"/>
          <w:sz w:val="18"/>
          <w:szCs w:val="18"/>
          <w:shd w:val="clear" w:color="auto" w:fill="FFFFFF"/>
        </w:rPr>
        <w:t>.</w:t>
      </w:r>
    </w:p>
  </w:footnote>
  <w:footnote w:id="15">
    <w:p w14:paraId="41B10CB4" w14:textId="77777777" w:rsidR="00FD5A44" w:rsidRPr="00794E57" w:rsidRDefault="00FD5A44" w:rsidP="00FD5A44">
      <w:pPr>
        <w:rPr>
          <w:rFonts w:ascii="Brill" w:hAnsi="Brill" w:cs="Arial"/>
          <w:color w:val="333333"/>
          <w:sz w:val="18"/>
          <w:szCs w:val="18"/>
          <w:shd w:val="clear" w:color="auto" w:fill="FFFFFF"/>
        </w:rPr>
      </w:pPr>
      <w:r>
        <w:rPr>
          <w:rStyle w:val="FootnoteReference"/>
        </w:rPr>
        <w:footnoteRef/>
      </w:r>
      <w:r>
        <w:t xml:space="preserve"> </w:t>
      </w:r>
      <w:r w:rsidRPr="00794E57">
        <w:rPr>
          <w:rFonts w:ascii="Brill" w:hAnsi="Brill" w:cs="Arial"/>
          <w:color w:val="333333"/>
          <w:sz w:val="18"/>
          <w:szCs w:val="18"/>
          <w:shd w:val="clear" w:color="auto" w:fill="FFFFFF"/>
        </w:rPr>
        <w:t>Kassam, Zayn, “Religious Studies”, in:</w:t>
      </w:r>
      <w:r w:rsidRPr="00794E57">
        <w:rPr>
          <w:rFonts w:ascii="Brill" w:eastAsia="Times New Roman" w:hAnsi="Brill" w:cs="Times New Roman"/>
          <w:color w:val="222222"/>
          <w:sz w:val="18"/>
          <w:szCs w:val="18"/>
          <w:shd w:val="clear" w:color="auto" w:fill="F2F2F2"/>
        </w:rPr>
        <w:t> </w:t>
      </w:r>
      <w:r w:rsidRPr="00794E57">
        <w:rPr>
          <w:rFonts w:ascii="Brill" w:eastAsia="Times New Roman" w:hAnsi="Brill" w:cs="Times New Roman"/>
          <w:i/>
          <w:iCs/>
          <w:color w:val="222222"/>
          <w:sz w:val="18"/>
          <w:szCs w:val="18"/>
        </w:rPr>
        <w:t>Encyclopedia of Women &amp; Islamic Cultures</w:t>
      </w:r>
      <w:r w:rsidRPr="00794E57">
        <w:rPr>
          <w:rFonts w:ascii="Brill" w:hAnsi="Brill" w:cs="Arial"/>
          <w:color w:val="333333"/>
          <w:sz w:val="18"/>
          <w:szCs w:val="18"/>
          <w:shd w:val="clear" w:color="auto" w:fill="FFFFFF"/>
        </w:rPr>
        <w:t xml:space="preserve">, General Editor </w:t>
      </w:r>
      <w:proofErr w:type="spellStart"/>
      <w:r w:rsidRPr="00794E57">
        <w:rPr>
          <w:rFonts w:ascii="Brill" w:hAnsi="Brill" w:cs="Arial"/>
          <w:color w:val="333333"/>
          <w:sz w:val="18"/>
          <w:szCs w:val="18"/>
          <w:shd w:val="clear" w:color="auto" w:fill="FFFFFF"/>
        </w:rPr>
        <w:t>Suad</w:t>
      </w:r>
      <w:proofErr w:type="spellEnd"/>
      <w:r w:rsidRPr="00794E57">
        <w:rPr>
          <w:rFonts w:ascii="Brill" w:hAnsi="Brill" w:cs="Arial"/>
          <w:color w:val="333333"/>
          <w:sz w:val="18"/>
          <w:szCs w:val="18"/>
          <w:shd w:val="clear" w:color="auto" w:fill="FFFFFF"/>
        </w:rPr>
        <w:t xml:space="preserve"> Joseph. Consulted online on 17 January 2020 &lt;http://dx.doi.org/10.1163/1872-5309_ewic_COM_00018&gt;First published online: 2014</w:t>
      </w:r>
    </w:p>
    <w:p w14:paraId="40413ED1" w14:textId="77777777" w:rsidR="00FD5A44" w:rsidRPr="00794E57" w:rsidRDefault="00FD5A44" w:rsidP="00FD5A44">
      <w:pPr>
        <w:pStyle w:val="FootnoteText"/>
      </w:pPr>
    </w:p>
  </w:footnote>
  <w:footnote w:id="16">
    <w:p w14:paraId="38C89369" w14:textId="64815EF6" w:rsidR="006B10F8" w:rsidRPr="00794E57" w:rsidRDefault="006B10F8" w:rsidP="00794E57">
      <w:pPr>
        <w:rPr>
          <w:rFonts w:ascii="Brill" w:hAnsi="Brill" w:cs="Arial"/>
          <w:color w:val="333333"/>
          <w:sz w:val="18"/>
          <w:szCs w:val="18"/>
          <w:shd w:val="clear" w:color="auto" w:fill="FFFFFF"/>
        </w:rPr>
      </w:pPr>
      <w:r w:rsidRPr="000F3214">
        <w:rPr>
          <w:rStyle w:val="FootnoteReference"/>
          <w:rFonts w:ascii="Brill" w:hAnsi="Brill"/>
          <w:sz w:val="18"/>
          <w:szCs w:val="18"/>
        </w:rPr>
        <w:footnoteRef/>
      </w:r>
      <w:r w:rsidR="001744C5" w:rsidRPr="000F3214">
        <w:rPr>
          <w:rFonts w:ascii="Brill" w:hAnsi="Brill" w:cs="Arial"/>
          <w:color w:val="333333"/>
          <w:sz w:val="18"/>
          <w:szCs w:val="18"/>
          <w:shd w:val="clear" w:color="auto" w:fill="FFFFFF"/>
        </w:rPr>
        <w:t>Kurzman</w:t>
      </w:r>
      <w:r w:rsidR="001744C5">
        <w:rPr>
          <w:rFonts w:ascii="Brill" w:hAnsi="Brill" w:cs="Arial"/>
          <w:color w:val="333333"/>
          <w:sz w:val="18"/>
          <w:szCs w:val="18"/>
          <w:shd w:val="clear" w:color="auto" w:fill="FFFFFF"/>
        </w:rPr>
        <w:t xml:space="preserve"> and</w:t>
      </w:r>
      <w:r w:rsidR="001744C5" w:rsidRPr="000F3214">
        <w:rPr>
          <w:rFonts w:ascii="Brill" w:hAnsi="Brill" w:cs="Arial"/>
          <w:color w:val="333333"/>
          <w:sz w:val="18"/>
          <w:szCs w:val="18"/>
          <w:shd w:val="clear" w:color="auto" w:fill="FFFFFF"/>
        </w:rPr>
        <w:t xml:space="preserve"> Ernst</w:t>
      </w:r>
      <w:r w:rsidR="001744C5">
        <w:rPr>
          <w:rFonts w:ascii="Brill" w:hAnsi="Brill" w:cs="Arial"/>
          <w:color w:val="333333"/>
          <w:sz w:val="18"/>
          <w:szCs w:val="18"/>
          <w:shd w:val="clear" w:color="auto" w:fill="FFFFFF"/>
        </w:rPr>
        <w:t xml:space="preserve"> (2012)</w:t>
      </w:r>
      <w:r w:rsidRPr="000F3214">
        <w:rPr>
          <w:rFonts w:ascii="Brill" w:hAnsi="Brill" w:cs="Arial"/>
          <w:color w:val="333333"/>
          <w:sz w:val="18"/>
          <w:szCs w:val="18"/>
          <w:shd w:val="clear" w:color="auto" w:fill="FFFFFF"/>
        </w:rPr>
        <w:t>.</w:t>
      </w:r>
    </w:p>
  </w:footnote>
  <w:footnote w:id="17">
    <w:p w14:paraId="167FE140" w14:textId="77777777" w:rsidR="004256A3" w:rsidRPr="0016378D" w:rsidRDefault="004256A3" w:rsidP="004256A3">
      <w:pPr>
        <w:pStyle w:val="FootnoteText"/>
        <w:rPr>
          <w:rFonts w:ascii="Brill" w:hAnsi="Brill"/>
        </w:rPr>
      </w:pPr>
      <w:r w:rsidRPr="0016378D">
        <w:rPr>
          <w:rStyle w:val="FootnoteReference"/>
          <w:rFonts w:ascii="Brill" w:hAnsi="Brill"/>
        </w:rPr>
        <w:footnoteRef/>
      </w:r>
      <w:r w:rsidRPr="0016378D">
        <w:rPr>
          <w:rFonts w:ascii="Brill" w:hAnsi="Brill"/>
        </w:rPr>
        <w:t xml:space="preserve"> </w:t>
      </w:r>
      <w:bookmarkStart w:id="4" w:name="_Hlk30211166"/>
      <w:r>
        <w:fldChar w:fldCharType="begin"/>
      </w:r>
      <w:r>
        <w:instrText xml:space="preserve"> HYPERLINK "https://www.ox.ac.uk/admissions/graduate/courses/mphil-modern-middle-eastern-studies?wssl=1" </w:instrText>
      </w:r>
      <w:r>
        <w:fldChar w:fldCharType="separate"/>
      </w:r>
      <w:r w:rsidRPr="0016378D">
        <w:rPr>
          <w:rStyle w:val="Hyperlink"/>
          <w:rFonts w:ascii="Brill" w:hAnsi="Brill"/>
        </w:rPr>
        <w:t>https://www.ox.ac.uk/admissions/graduate/courses/mphil-modern-middle-eastern-studies?wssl=1</w:t>
      </w:r>
      <w:r>
        <w:rPr>
          <w:rStyle w:val="Hyperlink"/>
          <w:rFonts w:ascii="Brill" w:hAnsi="Brill"/>
        </w:rPr>
        <w:fldChar w:fldCharType="end"/>
      </w:r>
      <w:bookmarkEnd w:id="4"/>
    </w:p>
  </w:footnote>
  <w:footnote w:id="18">
    <w:p w14:paraId="472B5FB3" w14:textId="77777777" w:rsidR="004256A3" w:rsidRPr="0016378D" w:rsidRDefault="004256A3" w:rsidP="004256A3">
      <w:pPr>
        <w:pStyle w:val="FootnoteText"/>
        <w:rPr>
          <w:rFonts w:ascii="Brill" w:hAnsi="Brill"/>
        </w:rPr>
      </w:pPr>
      <w:r w:rsidRPr="0016378D">
        <w:rPr>
          <w:rStyle w:val="FootnoteReference"/>
          <w:rFonts w:ascii="Brill" w:hAnsi="Brill"/>
        </w:rPr>
        <w:footnoteRef/>
      </w:r>
      <w:r w:rsidRPr="0016378D">
        <w:rPr>
          <w:rFonts w:ascii="Brill" w:hAnsi="Brill"/>
        </w:rPr>
        <w:t xml:space="preserve"> </w:t>
      </w:r>
      <w:bookmarkStart w:id="5" w:name="_Hlk30211118"/>
      <w:bookmarkStart w:id="6" w:name="_Hlk30211119"/>
      <w:r w:rsidRPr="001744C5">
        <w:rPr>
          <w:sz w:val="18"/>
          <w:szCs w:val="18"/>
        </w:rPr>
        <w:fldChar w:fldCharType="begin"/>
      </w:r>
      <w:r w:rsidRPr="001744C5">
        <w:rPr>
          <w:sz w:val="18"/>
          <w:szCs w:val="18"/>
        </w:rPr>
        <w:instrText xml:space="preserve"> HYPERLINK "https://religiousstudies.yale.edu/academics/fields-study/islamic-studies" </w:instrText>
      </w:r>
      <w:r w:rsidRPr="001744C5">
        <w:rPr>
          <w:sz w:val="18"/>
          <w:szCs w:val="18"/>
        </w:rPr>
        <w:fldChar w:fldCharType="separate"/>
      </w:r>
      <w:r w:rsidRPr="001744C5">
        <w:rPr>
          <w:rStyle w:val="Hyperlink"/>
          <w:rFonts w:ascii="Brill" w:hAnsi="Brill"/>
          <w:sz w:val="18"/>
          <w:szCs w:val="18"/>
        </w:rPr>
        <w:t>https://religiousstudies.yale.edu/academics/fields-study/islamic-studies</w:t>
      </w:r>
      <w:r w:rsidRPr="001744C5">
        <w:rPr>
          <w:rStyle w:val="Hyperlink"/>
          <w:rFonts w:ascii="Brill" w:hAnsi="Brill"/>
          <w:sz w:val="18"/>
          <w:szCs w:val="18"/>
        </w:rPr>
        <w:fldChar w:fldCharType="end"/>
      </w:r>
    </w:p>
    <w:p w14:paraId="6603224D" w14:textId="77777777" w:rsidR="004256A3" w:rsidRPr="0016378D" w:rsidRDefault="004256A3" w:rsidP="004256A3">
      <w:pPr>
        <w:pStyle w:val="FootnoteText"/>
        <w:rPr>
          <w:rFonts w:ascii="Brill" w:hAnsi="Brill"/>
        </w:rPr>
      </w:pPr>
    </w:p>
  </w:footnote>
  <w:footnote w:id="19">
    <w:p w14:paraId="61E03817" w14:textId="49DECA8D" w:rsidR="00C10166" w:rsidRPr="00C10166" w:rsidRDefault="00C10166">
      <w:pPr>
        <w:pStyle w:val="FootnoteText"/>
        <w:rPr>
          <w:rStyle w:val="Hyperlink"/>
          <w:rFonts w:ascii="Brill" w:hAnsi="Brill"/>
          <w:sz w:val="18"/>
          <w:szCs w:val="18"/>
        </w:rPr>
      </w:pPr>
      <w:r>
        <w:rPr>
          <w:rStyle w:val="FootnoteReference"/>
        </w:rPr>
        <w:footnoteRef/>
      </w:r>
      <w:r>
        <w:t xml:space="preserve"> </w:t>
      </w:r>
      <w:hyperlink r:id="rId6" w:history="1">
        <w:r w:rsidRPr="00C10166">
          <w:rPr>
            <w:rStyle w:val="Hyperlink"/>
            <w:rFonts w:ascii="Brill" w:hAnsi="Brill"/>
            <w:sz w:val="18"/>
            <w:szCs w:val="18"/>
          </w:rPr>
          <w:t>https://www.universiteitleiden.nl/en/humanities/centre-for-the-study-of-islam-and-society/research-programmes-2019</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B2B43"/>
    <w:multiLevelType w:val="hybridMultilevel"/>
    <w:tmpl w:val="C38439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DF2408B"/>
    <w:multiLevelType w:val="hybridMultilevel"/>
    <w:tmpl w:val="7FC4FC2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6B42555"/>
    <w:multiLevelType w:val="hybridMultilevel"/>
    <w:tmpl w:val="C3C85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4C29B2"/>
    <w:multiLevelType w:val="hybridMultilevel"/>
    <w:tmpl w:val="18CEE7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E210BB4"/>
    <w:multiLevelType w:val="hybridMultilevel"/>
    <w:tmpl w:val="5288B95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9A59CC"/>
    <w:multiLevelType w:val="multilevel"/>
    <w:tmpl w:val="50C03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580E47"/>
    <w:multiLevelType w:val="multilevel"/>
    <w:tmpl w:val="BF4C6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180778"/>
    <w:multiLevelType w:val="hybridMultilevel"/>
    <w:tmpl w:val="650E5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4"/>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58DC"/>
    <w:rsid w:val="0000700D"/>
    <w:rsid w:val="000118D8"/>
    <w:rsid w:val="00016C12"/>
    <w:rsid w:val="00016E4C"/>
    <w:rsid w:val="00030597"/>
    <w:rsid w:val="00054214"/>
    <w:rsid w:val="00073766"/>
    <w:rsid w:val="00081807"/>
    <w:rsid w:val="00090F9A"/>
    <w:rsid w:val="000A0FA4"/>
    <w:rsid w:val="000A40B7"/>
    <w:rsid w:val="000B3B71"/>
    <w:rsid w:val="000B61D2"/>
    <w:rsid w:val="000B6F28"/>
    <w:rsid w:val="000B7F6A"/>
    <w:rsid w:val="000C3BF9"/>
    <w:rsid w:val="000C7BC8"/>
    <w:rsid w:val="000D49F9"/>
    <w:rsid w:val="000D6BB6"/>
    <w:rsid w:val="000F3214"/>
    <w:rsid w:val="00117C23"/>
    <w:rsid w:val="0012324D"/>
    <w:rsid w:val="00123E9A"/>
    <w:rsid w:val="001260FC"/>
    <w:rsid w:val="0013669E"/>
    <w:rsid w:val="00136D39"/>
    <w:rsid w:val="0014493D"/>
    <w:rsid w:val="00144A25"/>
    <w:rsid w:val="00156F97"/>
    <w:rsid w:val="00160B1C"/>
    <w:rsid w:val="0016378D"/>
    <w:rsid w:val="001744C5"/>
    <w:rsid w:val="00182493"/>
    <w:rsid w:val="001970E2"/>
    <w:rsid w:val="001A6608"/>
    <w:rsid w:val="001A72A8"/>
    <w:rsid w:val="001A75BD"/>
    <w:rsid w:val="001B13C3"/>
    <w:rsid w:val="001C5DF5"/>
    <w:rsid w:val="001C7E43"/>
    <w:rsid w:val="001D3B20"/>
    <w:rsid w:val="001E3FC3"/>
    <w:rsid w:val="001F0DCE"/>
    <w:rsid w:val="001F0EA1"/>
    <w:rsid w:val="001F139C"/>
    <w:rsid w:val="00202072"/>
    <w:rsid w:val="002070F4"/>
    <w:rsid w:val="00222FA4"/>
    <w:rsid w:val="00231435"/>
    <w:rsid w:val="0025453B"/>
    <w:rsid w:val="00256D0A"/>
    <w:rsid w:val="00264E57"/>
    <w:rsid w:val="002674E5"/>
    <w:rsid w:val="00274CF0"/>
    <w:rsid w:val="00277275"/>
    <w:rsid w:val="00281549"/>
    <w:rsid w:val="00287893"/>
    <w:rsid w:val="00292979"/>
    <w:rsid w:val="002A1CC6"/>
    <w:rsid w:val="002A4278"/>
    <w:rsid w:val="002B4FF3"/>
    <w:rsid w:val="002B67E3"/>
    <w:rsid w:val="002C282D"/>
    <w:rsid w:val="002D5B51"/>
    <w:rsid w:val="002D5D0D"/>
    <w:rsid w:val="0030332B"/>
    <w:rsid w:val="003070E9"/>
    <w:rsid w:val="0031384D"/>
    <w:rsid w:val="00314EE4"/>
    <w:rsid w:val="003153B4"/>
    <w:rsid w:val="0031544C"/>
    <w:rsid w:val="00316530"/>
    <w:rsid w:val="00322516"/>
    <w:rsid w:val="003258DC"/>
    <w:rsid w:val="0032698E"/>
    <w:rsid w:val="00333C0F"/>
    <w:rsid w:val="00342571"/>
    <w:rsid w:val="00357DDF"/>
    <w:rsid w:val="003719EF"/>
    <w:rsid w:val="00373B46"/>
    <w:rsid w:val="00374B50"/>
    <w:rsid w:val="00386F90"/>
    <w:rsid w:val="00393223"/>
    <w:rsid w:val="00397831"/>
    <w:rsid w:val="00397E90"/>
    <w:rsid w:val="003B1841"/>
    <w:rsid w:val="003C3789"/>
    <w:rsid w:val="003C3D07"/>
    <w:rsid w:val="003C414B"/>
    <w:rsid w:val="003D08EE"/>
    <w:rsid w:val="003E61E8"/>
    <w:rsid w:val="003E7E4E"/>
    <w:rsid w:val="003F6B35"/>
    <w:rsid w:val="004142F3"/>
    <w:rsid w:val="004256A3"/>
    <w:rsid w:val="00426DAB"/>
    <w:rsid w:val="00427243"/>
    <w:rsid w:val="00441C36"/>
    <w:rsid w:val="00442EDF"/>
    <w:rsid w:val="00453407"/>
    <w:rsid w:val="0045728F"/>
    <w:rsid w:val="0046365D"/>
    <w:rsid w:val="0046545A"/>
    <w:rsid w:val="00465E01"/>
    <w:rsid w:val="004714F8"/>
    <w:rsid w:val="004716E3"/>
    <w:rsid w:val="00483AC5"/>
    <w:rsid w:val="00492338"/>
    <w:rsid w:val="00492A96"/>
    <w:rsid w:val="004A3152"/>
    <w:rsid w:val="004A5E9C"/>
    <w:rsid w:val="004B2243"/>
    <w:rsid w:val="004C5C6E"/>
    <w:rsid w:val="004C5E65"/>
    <w:rsid w:val="004C6B61"/>
    <w:rsid w:val="004F1935"/>
    <w:rsid w:val="00513332"/>
    <w:rsid w:val="00515127"/>
    <w:rsid w:val="00521ED4"/>
    <w:rsid w:val="00535206"/>
    <w:rsid w:val="0054280A"/>
    <w:rsid w:val="00565EFF"/>
    <w:rsid w:val="005661CD"/>
    <w:rsid w:val="00596B00"/>
    <w:rsid w:val="005A3819"/>
    <w:rsid w:val="005B4D1D"/>
    <w:rsid w:val="005B6B5B"/>
    <w:rsid w:val="005C0DAA"/>
    <w:rsid w:val="005D183A"/>
    <w:rsid w:val="005E4653"/>
    <w:rsid w:val="005F6F39"/>
    <w:rsid w:val="00603281"/>
    <w:rsid w:val="00606380"/>
    <w:rsid w:val="006156F4"/>
    <w:rsid w:val="00617E41"/>
    <w:rsid w:val="006202FA"/>
    <w:rsid w:val="0062371B"/>
    <w:rsid w:val="0062431B"/>
    <w:rsid w:val="006301BC"/>
    <w:rsid w:val="00635461"/>
    <w:rsid w:val="006421AE"/>
    <w:rsid w:val="00642E79"/>
    <w:rsid w:val="006504BB"/>
    <w:rsid w:val="00652A80"/>
    <w:rsid w:val="006571FF"/>
    <w:rsid w:val="00687D34"/>
    <w:rsid w:val="006B10F8"/>
    <w:rsid w:val="006B1D62"/>
    <w:rsid w:val="006C1492"/>
    <w:rsid w:val="006C3F57"/>
    <w:rsid w:val="006C6311"/>
    <w:rsid w:val="006C7558"/>
    <w:rsid w:val="006D0699"/>
    <w:rsid w:val="006D7ACD"/>
    <w:rsid w:val="006E4C8D"/>
    <w:rsid w:val="006E6111"/>
    <w:rsid w:val="006F1B9F"/>
    <w:rsid w:val="006F65BF"/>
    <w:rsid w:val="007035F8"/>
    <w:rsid w:val="00712CAD"/>
    <w:rsid w:val="0071445F"/>
    <w:rsid w:val="007209FA"/>
    <w:rsid w:val="00720A5D"/>
    <w:rsid w:val="00722076"/>
    <w:rsid w:val="00746A0A"/>
    <w:rsid w:val="00750CA8"/>
    <w:rsid w:val="00757E02"/>
    <w:rsid w:val="00761305"/>
    <w:rsid w:val="00781589"/>
    <w:rsid w:val="00790663"/>
    <w:rsid w:val="00794E57"/>
    <w:rsid w:val="007957A6"/>
    <w:rsid w:val="007972E0"/>
    <w:rsid w:val="007B4CE5"/>
    <w:rsid w:val="007B61BD"/>
    <w:rsid w:val="007B76C7"/>
    <w:rsid w:val="007D0969"/>
    <w:rsid w:val="007D2FAE"/>
    <w:rsid w:val="007F34CF"/>
    <w:rsid w:val="00804D05"/>
    <w:rsid w:val="00810334"/>
    <w:rsid w:val="0081179E"/>
    <w:rsid w:val="008123C7"/>
    <w:rsid w:val="00821893"/>
    <w:rsid w:val="00823E13"/>
    <w:rsid w:val="008527C4"/>
    <w:rsid w:val="00853872"/>
    <w:rsid w:val="00854F04"/>
    <w:rsid w:val="00855DB7"/>
    <w:rsid w:val="008565CB"/>
    <w:rsid w:val="00857540"/>
    <w:rsid w:val="00857E7F"/>
    <w:rsid w:val="008758D2"/>
    <w:rsid w:val="0087758C"/>
    <w:rsid w:val="00881057"/>
    <w:rsid w:val="008A0FF8"/>
    <w:rsid w:val="008B35F4"/>
    <w:rsid w:val="008E0226"/>
    <w:rsid w:val="00911D2F"/>
    <w:rsid w:val="00943B5A"/>
    <w:rsid w:val="009471CD"/>
    <w:rsid w:val="00950D78"/>
    <w:rsid w:val="0095320A"/>
    <w:rsid w:val="00967C64"/>
    <w:rsid w:val="009718A0"/>
    <w:rsid w:val="00975194"/>
    <w:rsid w:val="00994C96"/>
    <w:rsid w:val="009A50F4"/>
    <w:rsid w:val="009C7028"/>
    <w:rsid w:val="009D76B8"/>
    <w:rsid w:val="00A025F5"/>
    <w:rsid w:val="00A02AF9"/>
    <w:rsid w:val="00A117FC"/>
    <w:rsid w:val="00A24203"/>
    <w:rsid w:val="00A30E52"/>
    <w:rsid w:val="00A36C62"/>
    <w:rsid w:val="00A37CAB"/>
    <w:rsid w:val="00A41684"/>
    <w:rsid w:val="00A45808"/>
    <w:rsid w:val="00A45E51"/>
    <w:rsid w:val="00A5380A"/>
    <w:rsid w:val="00A55369"/>
    <w:rsid w:val="00A765A2"/>
    <w:rsid w:val="00AB044F"/>
    <w:rsid w:val="00AC2E78"/>
    <w:rsid w:val="00AD0D4B"/>
    <w:rsid w:val="00AD1375"/>
    <w:rsid w:val="00AE3165"/>
    <w:rsid w:val="00AE3B92"/>
    <w:rsid w:val="00AE6428"/>
    <w:rsid w:val="00AF4B9E"/>
    <w:rsid w:val="00AF602B"/>
    <w:rsid w:val="00B24E0C"/>
    <w:rsid w:val="00B32DE6"/>
    <w:rsid w:val="00B3339B"/>
    <w:rsid w:val="00B3457F"/>
    <w:rsid w:val="00B374F9"/>
    <w:rsid w:val="00B45438"/>
    <w:rsid w:val="00B837AE"/>
    <w:rsid w:val="00B84A2A"/>
    <w:rsid w:val="00B8540D"/>
    <w:rsid w:val="00B8547D"/>
    <w:rsid w:val="00B872AE"/>
    <w:rsid w:val="00B97A2B"/>
    <w:rsid w:val="00BB119F"/>
    <w:rsid w:val="00BC4DC2"/>
    <w:rsid w:val="00BC6A94"/>
    <w:rsid w:val="00BE20E7"/>
    <w:rsid w:val="00BE69B3"/>
    <w:rsid w:val="00C03AC4"/>
    <w:rsid w:val="00C05A47"/>
    <w:rsid w:val="00C10166"/>
    <w:rsid w:val="00C15C01"/>
    <w:rsid w:val="00C172C1"/>
    <w:rsid w:val="00C175BD"/>
    <w:rsid w:val="00C30684"/>
    <w:rsid w:val="00C419E7"/>
    <w:rsid w:val="00C51315"/>
    <w:rsid w:val="00C526E0"/>
    <w:rsid w:val="00C73319"/>
    <w:rsid w:val="00C77164"/>
    <w:rsid w:val="00CA6BE4"/>
    <w:rsid w:val="00CB5CDC"/>
    <w:rsid w:val="00CC0FDD"/>
    <w:rsid w:val="00CC256C"/>
    <w:rsid w:val="00D12D3E"/>
    <w:rsid w:val="00D14518"/>
    <w:rsid w:val="00D14D19"/>
    <w:rsid w:val="00D16581"/>
    <w:rsid w:val="00D21BFD"/>
    <w:rsid w:val="00D21E64"/>
    <w:rsid w:val="00D24F8D"/>
    <w:rsid w:val="00D276A2"/>
    <w:rsid w:val="00D27F08"/>
    <w:rsid w:val="00D3003E"/>
    <w:rsid w:val="00D316E8"/>
    <w:rsid w:val="00D33BE9"/>
    <w:rsid w:val="00D35683"/>
    <w:rsid w:val="00D44B5D"/>
    <w:rsid w:val="00D53610"/>
    <w:rsid w:val="00D56381"/>
    <w:rsid w:val="00D65628"/>
    <w:rsid w:val="00D661D0"/>
    <w:rsid w:val="00D67EE7"/>
    <w:rsid w:val="00D92526"/>
    <w:rsid w:val="00D92D37"/>
    <w:rsid w:val="00D97032"/>
    <w:rsid w:val="00D979EC"/>
    <w:rsid w:val="00DA5B2D"/>
    <w:rsid w:val="00DB2984"/>
    <w:rsid w:val="00DC300D"/>
    <w:rsid w:val="00DD1996"/>
    <w:rsid w:val="00DD1A74"/>
    <w:rsid w:val="00DE4481"/>
    <w:rsid w:val="00DF0177"/>
    <w:rsid w:val="00DF20DA"/>
    <w:rsid w:val="00E2071D"/>
    <w:rsid w:val="00E22B84"/>
    <w:rsid w:val="00E22E87"/>
    <w:rsid w:val="00E3248F"/>
    <w:rsid w:val="00E3722E"/>
    <w:rsid w:val="00E519E0"/>
    <w:rsid w:val="00E56186"/>
    <w:rsid w:val="00E60093"/>
    <w:rsid w:val="00E81E55"/>
    <w:rsid w:val="00E87651"/>
    <w:rsid w:val="00E90A80"/>
    <w:rsid w:val="00EB4259"/>
    <w:rsid w:val="00EC7934"/>
    <w:rsid w:val="00ED08B2"/>
    <w:rsid w:val="00ED0A54"/>
    <w:rsid w:val="00ED67F0"/>
    <w:rsid w:val="00ED7CBA"/>
    <w:rsid w:val="00EE10D0"/>
    <w:rsid w:val="00F043A1"/>
    <w:rsid w:val="00F15255"/>
    <w:rsid w:val="00F15D7E"/>
    <w:rsid w:val="00F22949"/>
    <w:rsid w:val="00F254E9"/>
    <w:rsid w:val="00F51EFD"/>
    <w:rsid w:val="00F5793D"/>
    <w:rsid w:val="00F6171E"/>
    <w:rsid w:val="00F63A85"/>
    <w:rsid w:val="00F95116"/>
    <w:rsid w:val="00FB1359"/>
    <w:rsid w:val="00FB563F"/>
    <w:rsid w:val="00FD5A44"/>
    <w:rsid w:val="00FE1D88"/>
    <w:rsid w:val="00FE51DA"/>
    <w:rsid w:val="00FE6B6B"/>
    <w:rsid w:val="00FE7E9B"/>
    <w:rsid w:val="39C6950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3061A"/>
  <w15:docId w15:val="{7B4E5A97-6310-B14A-87AA-6C8F47B50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0700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B1359"/>
    <w:rPr>
      <w:i/>
      <w:iCs/>
    </w:rPr>
  </w:style>
  <w:style w:type="paragraph" w:styleId="FootnoteText">
    <w:name w:val="footnote text"/>
    <w:basedOn w:val="Normal"/>
    <w:link w:val="FootnoteTextChar"/>
    <w:uiPriority w:val="99"/>
    <w:semiHidden/>
    <w:unhideWhenUsed/>
    <w:rsid w:val="00642E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2E79"/>
    <w:rPr>
      <w:sz w:val="20"/>
      <w:szCs w:val="20"/>
    </w:rPr>
  </w:style>
  <w:style w:type="character" w:styleId="FootnoteReference">
    <w:name w:val="footnote reference"/>
    <w:basedOn w:val="DefaultParagraphFont"/>
    <w:uiPriority w:val="99"/>
    <w:semiHidden/>
    <w:unhideWhenUsed/>
    <w:rsid w:val="00642E79"/>
    <w:rPr>
      <w:vertAlign w:val="superscript"/>
    </w:rPr>
  </w:style>
  <w:style w:type="paragraph" w:styleId="EndnoteText">
    <w:name w:val="endnote text"/>
    <w:basedOn w:val="Normal"/>
    <w:link w:val="EndnoteTextChar"/>
    <w:uiPriority w:val="99"/>
    <w:semiHidden/>
    <w:unhideWhenUsed/>
    <w:rsid w:val="00642E7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42E79"/>
    <w:rPr>
      <w:sz w:val="20"/>
      <w:szCs w:val="20"/>
    </w:rPr>
  </w:style>
  <w:style w:type="character" w:styleId="EndnoteReference">
    <w:name w:val="endnote reference"/>
    <w:basedOn w:val="DefaultParagraphFont"/>
    <w:uiPriority w:val="99"/>
    <w:semiHidden/>
    <w:unhideWhenUsed/>
    <w:rsid w:val="00642E79"/>
    <w:rPr>
      <w:vertAlign w:val="superscript"/>
    </w:rPr>
  </w:style>
  <w:style w:type="paragraph" w:styleId="Header">
    <w:name w:val="header"/>
    <w:basedOn w:val="Normal"/>
    <w:link w:val="HeaderChar"/>
    <w:uiPriority w:val="99"/>
    <w:semiHidden/>
    <w:unhideWhenUsed/>
    <w:rsid w:val="00823E1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23E13"/>
  </w:style>
  <w:style w:type="paragraph" w:styleId="Footer">
    <w:name w:val="footer"/>
    <w:basedOn w:val="Normal"/>
    <w:link w:val="FooterChar"/>
    <w:uiPriority w:val="99"/>
    <w:semiHidden/>
    <w:unhideWhenUsed/>
    <w:rsid w:val="00823E1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23E13"/>
  </w:style>
  <w:style w:type="paragraph" w:styleId="Revision">
    <w:name w:val="Revision"/>
    <w:hidden/>
    <w:uiPriority w:val="99"/>
    <w:semiHidden/>
    <w:rsid w:val="006156F4"/>
    <w:pPr>
      <w:spacing w:after="0" w:line="240" w:lineRule="auto"/>
    </w:pPr>
  </w:style>
  <w:style w:type="paragraph" w:styleId="BalloonText">
    <w:name w:val="Balloon Text"/>
    <w:basedOn w:val="Normal"/>
    <w:link w:val="BalloonTextChar"/>
    <w:uiPriority w:val="99"/>
    <w:semiHidden/>
    <w:unhideWhenUsed/>
    <w:rsid w:val="006156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56F4"/>
    <w:rPr>
      <w:rFonts w:ascii="Segoe UI" w:hAnsi="Segoe UI" w:cs="Segoe UI"/>
      <w:sz w:val="18"/>
      <w:szCs w:val="18"/>
    </w:rPr>
  </w:style>
  <w:style w:type="character" w:customStyle="1" w:styleId="citationitalic">
    <w:name w:val="citationitalic"/>
    <w:basedOn w:val="DefaultParagraphFont"/>
    <w:rsid w:val="00ED67F0"/>
  </w:style>
  <w:style w:type="character" w:customStyle="1" w:styleId="Heading2Char">
    <w:name w:val="Heading 2 Char"/>
    <w:basedOn w:val="DefaultParagraphFont"/>
    <w:link w:val="Heading2"/>
    <w:uiPriority w:val="9"/>
    <w:rsid w:val="0000700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00700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yline">
    <w:name w:val="byline"/>
    <w:basedOn w:val="Normal"/>
    <w:rsid w:val="0000700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0700D"/>
    <w:rPr>
      <w:color w:val="0000FF"/>
      <w:u w:val="single"/>
    </w:rPr>
  </w:style>
  <w:style w:type="character" w:customStyle="1" w:styleId="abbr">
    <w:name w:val="abbr"/>
    <w:basedOn w:val="DefaultParagraphFont"/>
    <w:rsid w:val="00606380"/>
  </w:style>
  <w:style w:type="character" w:styleId="UnresolvedMention">
    <w:name w:val="Unresolved Mention"/>
    <w:basedOn w:val="DefaultParagraphFont"/>
    <w:uiPriority w:val="99"/>
    <w:semiHidden/>
    <w:unhideWhenUsed/>
    <w:rsid w:val="000C3BF9"/>
    <w:rPr>
      <w:color w:val="605E5C"/>
      <w:shd w:val="clear" w:color="auto" w:fill="E1DFDD"/>
    </w:rPr>
  </w:style>
  <w:style w:type="paragraph" w:styleId="ListParagraph">
    <w:name w:val="List Paragraph"/>
    <w:basedOn w:val="Normal"/>
    <w:uiPriority w:val="34"/>
    <w:qFormat/>
    <w:rsid w:val="004256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55947">
      <w:bodyDiv w:val="1"/>
      <w:marLeft w:val="0"/>
      <w:marRight w:val="0"/>
      <w:marTop w:val="0"/>
      <w:marBottom w:val="0"/>
      <w:divBdr>
        <w:top w:val="none" w:sz="0" w:space="0" w:color="auto"/>
        <w:left w:val="none" w:sz="0" w:space="0" w:color="auto"/>
        <w:bottom w:val="none" w:sz="0" w:space="0" w:color="auto"/>
        <w:right w:val="none" w:sz="0" w:space="0" w:color="auto"/>
      </w:divBdr>
      <w:divsChild>
        <w:div w:id="1492676986">
          <w:marLeft w:val="0"/>
          <w:marRight w:val="0"/>
          <w:marTop w:val="0"/>
          <w:marBottom w:val="300"/>
          <w:divBdr>
            <w:top w:val="none" w:sz="0" w:space="0" w:color="auto"/>
            <w:left w:val="none" w:sz="0" w:space="0" w:color="auto"/>
            <w:bottom w:val="none" w:sz="0" w:space="0" w:color="auto"/>
            <w:right w:val="none" w:sz="0" w:space="0" w:color="auto"/>
          </w:divBdr>
          <w:divsChild>
            <w:div w:id="1135365921">
              <w:marLeft w:val="0"/>
              <w:marRight w:val="0"/>
              <w:marTop w:val="0"/>
              <w:marBottom w:val="0"/>
              <w:divBdr>
                <w:top w:val="none" w:sz="0" w:space="0" w:color="auto"/>
                <w:left w:val="none" w:sz="0" w:space="0" w:color="auto"/>
                <w:bottom w:val="none" w:sz="0" w:space="0" w:color="auto"/>
                <w:right w:val="none" w:sz="0" w:space="0" w:color="auto"/>
              </w:divBdr>
            </w:div>
            <w:div w:id="100096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28082">
      <w:bodyDiv w:val="1"/>
      <w:marLeft w:val="0"/>
      <w:marRight w:val="0"/>
      <w:marTop w:val="0"/>
      <w:marBottom w:val="0"/>
      <w:divBdr>
        <w:top w:val="none" w:sz="0" w:space="0" w:color="auto"/>
        <w:left w:val="none" w:sz="0" w:space="0" w:color="auto"/>
        <w:bottom w:val="none" w:sz="0" w:space="0" w:color="auto"/>
        <w:right w:val="none" w:sz="0" w:space="0" w:color="auto"/>
      </w:divBdr>
    </w:div>
    <w:div w:id="569581186">
      <w:bodyDiv w:val="1"/>
      <w:marLeft w:val="0"/>
      <w:marRight w:val="0"/>
      <w:marTop w:val="0"/>
      <w:marBottom w:val="0"/>
      <w:divBdr>
        <w:top w:val="none" w:sz="0" w:space="0" w:color="auto"/>
        <w:left w:val="none" w:sz="0" w:space="0" w:color="auto"/>
        <w:bottom w:val="none" w:sz="0" w:space="0" w:color="auto"/>
        <w:right w:val="none" w:sz="0" w:space="0" w:color="auto"/>
      </w:divBdr>
      <w:divsChild>
        <w:div w:id="1038241927">
          <w:marLeft w:val="0"/>
          <w:marRight w:val="0"/>
          <w:marTop w:val="0"/>
          <w:marBottom w:val="0"/>
          <w:divBdr>
            <w:top w:val="none" w:sz="0" w:space="0" w:color="auto"/>
            <w:left w:val="none" w:sz="0" w:space="0" w:color="auto"/>
            <w:bottom w:val="none" w:sz="0" w:space="0" w:color="auto"/>
            <w:right w:val="none" w:sz="0" w:space="0" w:color="auto"/>
          </w:divBdr>
        </w:div>
        <w:div w:id="1747143960">
          <w:marLeft w:val="0"/>
          <w:marRight w:val="0"/>
          <w:marTop w:val="0"/>
          <w:marBottom w:val="0"/>
          <w:divBdr>
            <w:top w:val="none" w:sz="0" w:space="0" w:color="auto"/>
            <w:left w:val="none" w:sz="0" w:space="0" w:color="auto"/>
            <w:bottom w:val="none" w:sz="0" w:space="0" w:color="auto"/>
            <w:right w:val="none" w:sz="0" w:space="0" w:color="auto"/>
          </w:divBdr>
        </w:div>
      </w:divsChild>
    </w:div>
    <w:div w:id="602348891">
      <w:bodyDiv w:val="1"/>
      <w:marLeft w:val="0"/>
      <w:marRight w:val="0"/>
      <w:marTop w:val="0"/>
      <w:marBottom w:val="0"/>
      <w:divBdr>
        <w:top w:val="none" w:sz="0" w:space="0" w:color="auto"/>
        <w:left w:val="none" w:sz="0" w:space="0" w:color="auto"/>
        <w:bottom w:val="none" w:sz="0" w:space="0" w:color="auto"/>
        <w:right w:val="none" w:sz="0" w:space="0" w:color="auto"/>
      </w:divBdr>
      <w:divsChild>
        <w:div w:id="1904021723">
          <w:marLeft w:val="0"/>
          <w:marRight w:val="0"/>
          <w:marTop w:val="0"/>
          <w:marBottom w:val="0"/>
          <w:divBdr>
            <w:top w:val="none" w:sz="0" w:space="0" w:color="auto"/>
            <w:left w:val="none" w:sz="0" w:space="0" w:color="auto"/>
            <w:bottom w:val="none" w:sz="0" w:space="0" w:color="auto"/>
            <w:right w:val="none" w:sz="0" w:space="0" w:color="auto"/>
          </w:divBdr>
        </w:div>
      </w:divsChild>
    </w:div>
    <w:div w:id="846671326">
      <w:bodyDiv w:val="1"/>
      <w:marLeft w:val="0"/>
      <w:marRight w:val="0"/>
      <w:marTop w:val="0"/>
      <w:marBottom w:val="0"/>
      <w:divBdr>
        <w:top w:val="none" w:sz="0" w:space="0" w:color="auto"/>
        <w:left w:val="none" w:sz="0" w:space="0" w:color="auto"/>
        <w:bottom w:val="none" w:sz="0" w:space="0" w:color="auto"/>
        <w:right w:val="none" w:sz="0" w:space="0" w:color="auto"/>
      </w:divBdr>
    </w:div>
    <w:div w:id="1109084824">
      <w:bodyDiv w:val="1"/>
      <w:marLeft w:val="0"/>
      <w:marRight w:val="0"/>
      <w:marTop w:val="0"/>
      <w:marBottom w:val="0"/>
      <w:divBdr>
        <w:top w:val="none" w:sz="0" w:space="0" w:color="auto"/>
        <w:left w:val="none" w:sz="0" w:space="0" w:color="auto"/>
        <w:bottom w:val="none" w:sz="0" w:space="0" w:color="auto"/>
        <w:right w:val="none" w:sz="0" w:space="0" w:color="auto"/>
      </w:divBdr>
      <w:divsChild>
        <w:div w:id="270085995">
          <w:marLeft w:val="0"/>
          <w:marRight w:val="0"/>
          <w:marTop w:val="0"/>
          <w:marBottom w:val="0"/>
          <w:divBdr>
            <w:top w:val="none" w:sz="0" w:space="0" w:color="auto"/>
            <w:left w:val="none" w:sz="0" w:space="0" w:color="auto"/>
            <w:bottom w:val="none" w:sz="0" w:space="0" w:color="auto"/>
            <w:right w:val="none" w:sz="0" w:space="0" w:color="auto"/>
          </w:divBdr>
        </w:div>
      </w:divsChild>
    </w:div>
    <w:div w:id="1214779630">
      <w:bodyDiv w:val="1"/>
      <w:marLeft w:val="0"/>
      <w:marRight w:val="0"/>
      <w:marTop w:val="0"/>
      <w:marBottom w:val="0"/>
      <w:divBdr>
        <w:top w:val="none" w:sz="0" w:space="0" w:color="auto"/>
        <w:left w:val="none" w:sz="0" w:space="0" w:color="auto"/>
        <w:bottom w:val="none" w:sz="0" w:space="0" w:color="auto"/>
        <w:right w:val="none" w:sz="0" w:space="0" w:color="auto"/>
      </w:divBdr>
      <w:divsChild>
        <w:div w:id="65108645">
          <w:marLeft w:val="0"/>
          <w:marRight w:val="0"/>
          <w:marTop w:val="0"/>
          <w:marBottom w:val="0"/>
          <w:divBdr>
            <w:top w:val="none" w:sz="0" w:space="0" w:color="auto"/>
            <w:left w:val="none" w:sz="0" w:space="0" w:color="auto"/>
            <w:bottom w:val="none" w:sz="0" w:space="0" w:color="auto"/>
            <w:right w:val="none" w:sz="0" w:space="0" w:color="auto"/>
          </w:divBdr>
        </w:div>
        <w:div w:id="665285772">
          <w:marLeft w:val="0"/>
          <w:marRight w:val="0"/>
          <w:marTop w:val="0"/>
          <w:marBottom w:val="0"/>
          <w:divBdr>
            <w:top w:val="none" w:sz="0" w:space="0" w:color="auto"/>
            <w:left w:val="none" w:sz="0" w:space="0" w:color="auto"/>
            <w:bottom w:val="none" w:sz="0" w:space="0" w:color="auto"/>
            <w:right w:val="none" w:sz="0" w:space="0" w:color="auto"/>
          </w:divBdr>
        </w:div>
      </w:divsChild>
    </w:div>
    <w:div w:id="1456633623">
      <w:bodyDiv w:val="1"/>
      <w:marLeft w:val="0"/>
      <w:marRight w:val="0"/>
      <w:marTop w:val="0"/>
      <w:marBottom w:val="0"/>
      <w:divBdr>
        <w:top w:val="none" w:sz="0" w:space="0" w:color="auto"/>
        <w:left w:val="none" w:sz="0" w:space="0" w:color="auto"/>
        <w:bottom w:val="none" w:sz="0" w:space="0" w:color="auto"/>
        <w:right w:val="none" w:sz="0" w:space="0" w:color="auto"/>
      </w:divBdr>
    </w:div>
    <w:div w:id="1491557088">
      <w:bodyDiv w:val="1"/>
      <w:marLeft w:val="0"/>
      <w:marRight w:val="0"/>
      <w:marTop w:val="0"/>
      <w:marBottom w:val="0"/>
      <w:divBdr>
        <w:top w:val="none" w:sz="0" w:space="0" w:color="auto"/>
        <w:left w:val="none" w:sz="0" w:space="0" w:color="auto"/>
        <w:bottom w:val="none" w:sz="0" w:space="0" w:color="auto"/>
        <w:right w:val="none" w:sz="0" w:space="0" w:color="auto"/>
      </w:divBdr>
    </w:div>
    <w:div w:id="1495296232">
      <w:bodyDiv w:val="1"/>
      <w:marLeft w:val="0"/>
      <w:marRight w:val="0"/>
      <w:marTop w:val="0"/>
      <w:marBottom w:val="0"/>
      <w:divBdr>
        <w:top w:val="none" w:sz="0" w:space="0" w:color="auto"/>
        <w:left w:val="none" w:sz="0" w:space="0" w:color="auto"/>
        <w:bottom w:val="none" w:sz="0" w:space="0" w:color="auto"/>
        <w:right w:val="none" w:sz="0" w:space="0" w:color="auto"/>
      </w:divBdr>
      <w:divsChild>
        <w:div w:id="491020659">
          <w:marLeft w:val="0"/>
          <w:marRight w:val="0"/>
          <w:marTop w:val="0"/>
          <w:marBottom w:val="0"/>
          <w:divBdr>
            <w:top w:val="none" w:sz="0" w:space="0" w:color="auto"/>
            <w:left w:val="none" w:sz="0" w:space="0" w:color="auto"/>
            <w:bottom w:val="none" w:sz="0" w:space="0" w:color="auto"/>
            <w:right w:val="none" w:sz="0" w:space="0" w:color="auto"/>
          </w:divBdr>
        </w:div>
        <w:div w:id="568002116">
          <w:marLeft w:val="0"/>
          <w:marRight w:val="0"/>
          <w:marTop w:val="0"/>
          <w:marBottom w:val="0"/>
          <w:divBdr>
            <w:top w:val="none" w:sz="0" w:space="0" w:color="auto"/>
            <w:left w:val="none" w:sz="0" w:space="0" w:color="auto"/>
            <w:bottom w:val="none" w:sz="0" w:space="0" w:color="auto"/>
            <w:right w:val="none" w:sz="0" w:space="0" w:color="auto"/>
          </w:divBdr>
        </w:div>
      </w:divsChild>
    </w:div>
    <w:div w:id="1558662359">
      <w:bodyDiv w:val="1"/>
      <w:marLeft w:val="0"/>
      <w:marRight w:val="0"/>
      <w:marTop w:val="0"/>
      <w:marBottom w:val="0"/>
      <w:divBdr>
        <w:top w:val="none" w:sz="0" w:space="0" w:color="auto"/>
        <w:left w:val="none" w:sz="0" w:space="0" w:color="auto"/>
        <w:bottom w:val="none" w:sz="0" w:space="0" w:color="auto"/>
        <w:right w:val="none" w:sz="0" w:space="0" w:color="auto"/>
      </w:divBdr>
      <w:divsChild>
        <w:div w:id="1527062182">
          <w:marLeft w:val="0"/>
          <w:marRight w:val="0"/>
          <w:marTop w:val="0"/>
          <w:marBottom w:val="0"/>
          <w:divBdr>
            <w:top w:val="none" w:sz="0" w:space="0" w:color="auto"/>
            <w:left w:val="none" w:sz="0" w:space="0" w:color="auto"/>
            <w:bottom w:val="none" w:sz="0" w:space="0" w:color="auto"/>
            <w:right w:val="none" w:sz="0" w:space="0" w:color="auto"/>
          </w:divBdr>
        </w:div>
      </w:divsChild>
    </w:div>
    <w:div w:id="1585794893">
      <w:bodyDiv w:val="1"/>
      <w:marLeft w:val="0"/>
      <w:marRight w:val="0"/>
      <w:marTop w:val="0"/>
      <w:marBottom w:val="0"/>
      <w:divBdr>
        <w:top w:val="none" w:sz="0" w:space="0" w:color="auto"/>
        <w:left w:val="none" w:sz="0" w:space="0" w:color="auto"/>
        <w:bottom w:val="none" w:sz="0" w:space="0" w:color="auto"/>
        <w:right w:val="none" w:sz="0" w:space="0" w:color="auto"/>
      </w:divBdr>
    </w:div>
    <w:div w:id="1824347331">
      <w:bodyDiv w:val="1"/>
      <w:marLeft w:val="0"/>
      <w:marRight w:val="0"/>
      <w:marTop w:val="0"/>
      <w:marBottom w:val="0"/>
      <w:divBdr>
        <w:top w:val="none" w:sz="0" w:space="0" w:color="auto"/>
        <w:left w:val="none" w:sz="0" w:space="0" w:color="auto"/>
        <w:bottom w:val="none" w:sz="0" w:space="0" w:color="auto"/>
        <w:right w:val="none" w:sz="0" w:space="0" w:color="auto"/>
      </w:divBdr>
      <w:divsChild>
        <w:div w:id="162623012">
          <w:marLeft w:val="0"/>
          <w:marRight w:val="0"/>
          <w:marTop w:val="0"/>
          <w:marBottom w:val="0"/>
          <w:divBdr>
            <w:top w:val="none" w:sz="0" w:space="0" w:color="auto"/>
            <w:left w:val="none" w:sz="0" w:space="0" w:color="auto"/>
            <w:bottom w:val="none" w:sz="0" w:space="0" w:color="auto"/>
            <w:right w:val="none" w:sz="0" w:space="0" w:color="auto"/>
          </w:divBdr>
        </w:div>
        <w:div w:id="1919554430">
          <w:marLeft w:val="0"/>
          <w:marRight w:val="0"/>
          <w:marTop w:val="0"/>
          <w:marBottom w:val="0"/>
          <w:divBdr>
            <w:top w:val="none" w:sz="0" w:space="0" w:color="auto"/>
            <w:left w:val="none" w:sz="0" w:space="0" w:color="auto"/>
            <w:bottom w:val="none" w:sz="0" w:space="0" w:color="auto"/>
            <w:right w:val="none" w:sz="0" w:space="0" w:color="auto"/>
          </w:divBdr>
        </w:div>
        <w:div w:id="1470978107">
          <w:marLeft w:val="0"/>
          <w:marRight w:val="0"/>
          <w:marTop w:val="0"/>
          <w:marBottom w:val="0"/>
          <w:divBdr>
            <w:top w:val="none" w:sz="0" w:space="0" w:color="auto"/>
            <w:left w:val="none" w:sz="0" w:space="0" w:color="auto"/>
            <w:bottom w:val="none" w:sz="0" w:space="0" w:color="auto"/>
            <w:right w:val="none" w:sz="0" w:space="0" w:color="auto"/>
          </w:divBdr>
        </w:div>
      </w:divsChild>
    </w:div>
    <w:div w:id="1978338305">
      <w:bodyDiv w:val="1"/>
      <w:marLeft w:val="0"/>
      <w:marRight w:val="0"/>
      <w:marTop w:val="0"/>
      <w:marBottom w:val="0"/>
      <w:divBdr>
        <w:top w:val="none" w:sz="0" w:space="0" w:color="auto"/>
        <w:left w:val="none" w:sz="0" w:space="0" w:color="auto"/>
        <w:bottom w:val="none" w:sz="0" w:space="0" w:color="auto"/>
        <w:right w:val="none" w:sz="0" w:space="0" w:color="auto"/>
      </w:divBdr>
      <w:divsChild>
        <w:div w:id="1160076685">
          <w:marLeft w:val="0"/>
          <w:marRight w:val="0"/>
          <w:marTop w:val="0"/>
          <w:marBottom w:val="0"/>
          <w:divBdr>
            <w:top w:val="none" w:sz="0" w:space="0" w:color="auto"/>
            <w:left w:val="none" w:sz="0" w:space="0" w:color="auto"/>
            <w:bottom w:val="none" w:sz="0" w:space="0" w:color="auto"/>
            <w:right w:val="none" w:sz="0" w:space="0" w:color="auto"/>
          </w:divBdr>
        </w:div>
        <w:div w:id="2088649412">
          <w:marLeft w:val="0"/>
          <w:marRight w:val="0"/>
          <w:marTop w:val="0"/>
          <w:marBottom w:val="0"/>
          <w:divBdr>
            <w:top w:val="none" w:sz="0" w:space="0" w:color="auto"/>
            <w:left w:val="none" w:sz="0" w:space="0" w:color="auto"/>
            <w:bottom w:val="none" w:sz="0" w:space="0" w:color="auto"/>
            <w:right w:val="none" w:sz="0" w:space="0" w:color="auto"/>
          </w:divBdr>
        </w:div>
      </w:divsChild>
    </w:div>
    <w:div w:id="206709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jstor.org/stable/27933681" TargetMode="External"/><Relationship Id="rId18" Type="http://schemas.openxmlformats.org/officeDocument/2006/relationships/hyperlink" Target="http://www.jstor.org/stable/3992899" TargetMode="External"/><Relationship Id="rId26" Type="http://schemas.openxmlformats.org/officeDocument/2006/relationships/hyperlink" Target="http://www.jstor.org/stable/24029863" TargetMode="External"/><Relationship Id="rId3" Type="http://schemas.openxmlformats.org/officeDocument/2006/relationships/styles" Target="styles.xml"/><Relationship Id="rId21" Type="http://schemas.openxmlformats.org/officeDocument/2006/relationships/hyperlink" Target="http://www.jstor.org/stable/2355173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niversiteitleiden.nl/en/humanities/centre-for-the-study-of-islam-and-society/research-programmes-2019/islam-in-the-west" TargetMode="External"/><Relationship Id="rId17" Type="http://schemas.openxmlformats.org/officeDocument/2006/relationships/hyperlink" Target="http://www.jstor.org/stable/20839004" TargetMode="External"/><Relationship Id="rId25" Type="http://schemas.openxmlformats.org/officeDocument/2006/relationships/hyperlink" Target="http://dx.doi.org/10.1163/2211-2685_eco_I363" TargetMode="External"/><Relationship Id="rId33" Type="http://schemas.openxmlformats.org/officeDocument/2006/relationships/hyperlink" Target="https://www.ox.ac.uk/admissions/graduate/courses/mphil-modern-middle-eastern-studies?wssl=1" TargetMode="External"/><Relationship Id="rId2" Type="http://schemas.openxmlformats.org/officeDocument/2006/relationships/numbering" Target="numbering.xml"/><Relationship Id="rId16" Type="http://schemas.openxmlformats.org/officeDocument/2006/relationships/hyperlink" Target="http://www.jstor.org/stable/10.7249/mr1716cmepp.9" TargetMode="External"/><Relationship Id="rId20" Type="http://schemas.openxmlformats.org/officeDocument/2006/relationships/hyperlink" Target="http://www.jstor.org/stable/24460687" TargetMode="External"/><Relationship Id="rId29" Type="http://schemas.openxmlformats.org/officeDocument/2006/relationships/hyperlink" Target="http://www.jstor.org/stable/434958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versiteitleiden.nl/en/humanities/centre-for-the-study-of-islam-and-society/research-programmes-2019/islam-in-central-asia" TargetMode="External"/><Relationship Id="rId24" Type="http://schemas.openxmlformats.org/officeDocument/2006/relationships/hyperlink" Target="http://www.jstor.org/stable/172582" TargetMode="External"/><Relationship Id="rId32" Type="http://schemas.openxmlformats.org/officeDocument/2006/relationships/hyperlink" Target="https://www.universiteitleiden.nl/en/humanities/centre-for-the-study-of-islam-and-society/research-programmes-2019" TargetMode="External"/><Relationship Id="rId5" Type="http://schemas.openxmlformats.org/officeDocument/2006/relationships/webSettings" Target="webSettings.xml"/><Relationship Id="rId15" Type="http://schemas.openxmlformats.org/officeDocument/2006/relationships/hyperlink" Target="http://www.jstor.org/stable/23555835" TargetMode="External"/><Relationship Id="rId23" Type="http://schemas.openxmlformats.org/officeDocument/2006/relationships/hyperlink" Target="http://www.jstor.org/stable/41762480" TargetMode="External"/><Relationship Id="rId28" Type="http://schemas.openxmlformats.org/officeDocument/2006/relationships/hyperlink" Target="http://www.jstor.org/stable/41412729" TargetMode="External"/><Relationship Id="rId10" Type="http://schemas.openxmlformats.org/officeDocument/2006/relationships/hyperlink" Target="https://www.universiteitleiden.nl/en/humanities/centre-for-the-study-of-islam-and-society/research-programmes-2019/re-presented-pasts-uses-and-re-uses-of-the-past-in-pre-modern-islam" TargetMode="External"/><Relationship Id="rId19" Type="http://schemas.openxmlformats.org/officeDocument/2006/relationships/hyperlink" Target="http://www.jstor.org/stable/23555834" TargetMode="External"/><Relationship Id="rId31" Type="http://schemas.openxmlformats.org/officeDocument/2006/relationships/hyperlink" Target="https://religiousstudies.yale.edu/academics/fields-study/islamic-studies" TargetMode="External"/><Relationship Id="rId4" Type="http://schemas.openxmlformats.org/officeDocument/2006/relationships/settings" Target="settings.xml"/><Relationship Id="rId9" Type="http://schemas.openxmlformats.org/officeDocument/2006/relationships/hyperlink" Target="https://www.universiteitleiden.nl/en/humanities/centre-for-the-study-of-islam-and-society/research-programmes-2019/islam-in-north-africa-a-critical-return-to-youth" TargetMode="External"/><Relationship Id="rId14" Type="http://schemas.openxmlformats.org/officeDocument/2006/relationships/hyperlink" Target="http://www.jstor.org/stable/25002451" TargetMode="External"/><Relationship Id="rId22" Type="http://schemas.openxmlformats.org/officeDocument/2006/relationships/hyperlink" Target="http://www.jstor.org/stable/20839094" TargetMode="External"/><Relationship Id="rId27" Type="http://schemas.openxmlformats.org/officeDocument/2006/relationships/hyperlink" Target="http://www.jstor.org/stable/23920271" TargetMode="External"/><Relationship Id="rId30" Type="http://schemas.openxmlformats.org/officeDocument/2006/relationships/hyperlink" Target="http://dx.doi.org/10.1163/1877-5888_rpp_COM_01144" TargetMode="External"/><Relationship Id="rId35" Type="http://schemas.openxmlformats.org/officeDocument/2006/relationships/theme" Target="theme/theme1.xml"/><Relationship Id="rId8" Type="http://schemas.openxmlformats.org/officeDocument/2006/relationships/hyperlink" Target="https://www.universiteitleiden.nl/en/humanities/centre-for-the-study-of-islam-and-society/research-programmes-2019/mena-cultures-and-global-aesthetic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1762480" TargetMode="External"/><Relationship Id="rId2" Type="http://schemas.openxmlformats.org/officeDocument/2006/relationships/hyperlink" Target="http://www.jstor.org/stable/23357066" TargetMode="External"/><Relationship Id="rId1" Type="http://schemas.openxmlformats.org/officeDocument/2006/relationships/hyperlink" Target="http://www.jstor.org/stable/23357066" TargetMode="External"/><Relationship Id="rId6" Type="http://schemas.openxmlformats.org/officeDocument/2006/relationships/hyperlink" Target="https://www.universiteitleiden.nl/en/humanities/centre-for-the-study-of-islam-and-society/research-programmes-2019" TargetMode="External"/><Relationship Id="rId5" Type="http://schemas.openxmlformats.org/officeDocument/2006/relationships/hyperlink" Target="http://www.jstor.org/stable/23555835" TargetMode="External"/><Relationship Id="rId4" Type="http://schemas.openxmlformats.org/officeDocument/2006/relationships/hyperlink" Target="http://www.jstor.org/stable/235558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A4A549-8EBF-4CDF-9E45-F23B2DFA1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12</Pages>
  <Words>3435</Words>
  <Characters>19585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Adnan Husain</dc:creator>
  <cp:lastModifiedBy>Adnan Husain</cp:lastModifiedBy>
  <cp:revision>12</cp:revision>
  <dcterms:created xsi:type="dcterms:W3CDTF">2020-01-17T08:45:00Z</dcterms:created>
  <dcterms:modified xsi:type="dcterms:W3CDTF">2020-01-17T22:13:00Z</dcterms:modified>
</cp:coreProperties>
</file>