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A8A90F" w14:textId="77777777" w:rsidR="00597972" w:rsidRPr="000C7CC6" w:rsidRDefault="00597972" w:rsidP="00597972">
      <w:pPr>
        <w:jc w:val="center"/>
        <w:rPr>
          <w:b/>
          <w:bCs/>
          <w:sz w:val="36"/>
          <w:szCs w:val="36"/>
        </w:rPr>
      </w:pPr>
    </w:p>
    <w:p w14:paraId="756A78BE" w14:textId="77777777" w:rsidR="00597972" w:rsidRPr="000C7CC6" w:rsidRDefault="00597972" w:rsidP="00597972">
      <w:pPr>
        <w:jc w:val="center"/>
        <w:rPr>
          <w:b/>
          <w:bCs/>
          <w:sz w:val="36"/>
          <w:szCs w:val="36"/>
        </w:rPr>
      </w:pPr>
    </w:p>
    <w:p w14:paraId="10A6F821" w14:textId="77777777" w:rsidR="00597972" w:rsidRPr="000C7CC6" w:rsidRDefault="00597972" w:rsidP="00597972">
      <w:pPr>
        <w:jc w:val="center"/>
        <w:rPr>
          <w:b/>
          <w:bCs/>
          <w:sz w:val="36"/>
          <w:szCs w:val="36"/>
        </w:rPr>
      </w:pPr>
    </w:p>
    <w:p w14:paraId="7089BB10" w14:textId="77777777" w:rsidR="00597972" w:rsidRPr="000C7CC6" w:rsidRDefault="00597972" w:rsidP="00597972">
      <w:pPr>
        <w:jc w:val="center"/>
        <w:rPr>
          <w:b/>
          <w:bCs/>
          <w:sz w:val="36"/>
          <w:szCs w:val="36"/>
        </w:rPr>
      </w:pPr>
    </w:p>
    <w:p w14:paraId="6EDA540A" w14:textId="77777777" w:rsidR="00597972" w:rsidRPr="000C7CC6" w:rsidRDefault="00597972" w:rsidP="00597972">
      <w:pPr>
        <w:jc w:val="center"/>
        <w:rPr>
          <w:b/>
          <w:bCs/>
          <w:sz w:val="36"/>
          <w:szCs w:val="36"/>
        </w:rPr>
      </w:pPr>
    </w:p>
    <w:p w14:paraId="48D6EDF5" w14:textId="77777777" w:rsidR="00597972" w:rsidRPr="000C7CC6" w:rsidRDefault="00597972" w:rsidP="00597972">
      <w:pPr>
        <w:jc w:val="center"/>
        <w:rPr>
          <w:b/>
          <w:bCs/>
          <w:sz w:val="36"/>
          <w:szCs w:val="36"/>
        </w:rPr>
      </w:pPr>
    </w:p>
    <w:p w14:paraId="7873A040" w14:textId="77777777" w:rsidR="00597972" w:rsidRPr="000C7CC6" w:rsidRDefault="00597972" w:rsidP="00597972">
      <w:pPr>
        <w:jc w:val="center"/>
        <w:rPr>
          <w:b/>
          <w:bCs/>
          <w:sz w:val="36"/>
          <w:szCs w:val="36"/>
        </w:rPr>
      </w:pPr>
    </w:p>
    <w:p w14:paraId="06D7A5B3" w14:textId="77777777" w:rsidR="000E581F" w:rsidRPr="000C7CC6" w:rsidRDefault="004F058F" w:rsidP="00597972">
      <w:pPr>
        <w:jc w:val="center"/>
        <w:rPr>
          <w:b/>
          <w:bCs/>
          <w:sz w:val="36"/>
          <w:szCs w:val="36"/>
        </w:rPr>
      </w:pPr>
      <w:r w:rsidRPr="000C7CC6">
        <w:rPr>
          <w:b/>
          <w:bCs/>
          <w:sz w:val="36"/>
          <w:szCs w:val="36"/>
        </w:rPr>
        <w:t>Task 2: Supporting Paper</w:t>
      </w:r>
    </w:p>
    <w:p w14:paraId="19FC6D9D" w14:textId="6A234D9C" w:rsidR="000E581F" w:rsidRPr="000C7CC6" w:rsidRDefault="004F058F" w:rsidP="00597972">
      <w:pPr>
        <w:jc w:val="center"/>
        <w:rPr>
          <w:b/>
          <w:bCs/>
          <w:sz w:val="36"/>
          <w:szCs w:val="36"/>
        </w:rPr>
      </w:pPr>
      <w:r w:rsidRPr="000C7CC6">
        <w:rPr>
          <w:b/>
          <w:bCs/>
          <w:sz w:val="36"/>
          <w:szCs w:val="36"/>
        </w:rPr>
        <w:t>Student Name:</w:t>
      </w:r>
      <w:r w:rsidR="00115C01">
        <w:rPr>
          <w:b/>
          <w:bCs/>
          <w:sz w:val="36"/>
          <w:szCs w:val="36"/>
        </w:rPr>
        <w:t xml:space="preserve"> Abdul Salam</w:t>
      </w:r>
    </w:p>
    <w:p w14:paraId="6CC07E23" w14:textId="77777777" w:rsidR="00115C01" w:rsidRDefault="004F058F" w:rsidP="00115C01">
      <w:pPr>
        <w:jc w:val="center"/>
        <w:rPr>
          <w:b/>
          <w:bCs/>
          <w:sz w:val="36"/>
          <w:szCs w:val="36"/>
        </w:rPr>
      </w:pPr>
      <w:r w:rsidRPr="000C7CC6">
        <w:rPr>
          <w:b/>
          <w:bCs/>
          <w:sz w:val="36"/>
          <w:szCs w:val="36"/>
        </w:rPr>
        <w:t>Student ID:</w:t>
      </w:r>
      <w:r w:rsidR="00115C01">
        <w:rPr>
          <w:b/>
          <w:bCs/>
          <w:sz w:val="36"/>
          <w:szCs w:val="36"/>
        </w:rPr>
        <w:t xml:space="preserve"> 2133509</w:t>
      </w:r>
    </w:p>
    <w:p w14:paraId="52658FBE" w14:textId="77777777" w:rsidR="00C85AA6" w:rsidRDefault="00115C01" w:rsidP="00115C01">
      <w:pPr>
        <w:rPr>
          <w:b/>
          <w:bCs/>
          <w:sz w:val="36"/>
          <w:szCs w:val="36"/>
        </w:rPr>
      </w:pPr>
      <w:r>
        <w:rPr>
          <w:b/>
          <w:bCs/>
          <w:sz w:val="36"/>
          <w:szCs w:val="36"/>
        </w:rPr>
        <w:t xml:space="preserve">                          Module</w:t>
      </w:r>
      <w:r w:rsidR="004D59BC">
        <w:rPr>
          <w:b/>
          <w:bCs/>
          <w:sz w:val="36"/>
          <w:szCs w:val="36"/>
        </w:rPr>
        <w:t>: LCHS4004</w:t>
      </w:r>
    </w:p>
    <w:p w14:paraId="0405F29C" w14:textId="2E62FD89" w:rsidR="000E581F" w:rsidRPr="00115C01" w:rsidRDefault="00C85AA6" w:rsidP="00115C01">
      <w:pPr>
        <w:rPr>
          <w:b/>
          <w:bCs/>
          <w:sz w:val="36"/>
          <w:szCs w:val="36"/>
        </w:rPr>
      </w:pPr>
      <w:r>
        <w:rPr>
          <w:b/>
          <w:bCs/>
          <w:sz w:val="36"/>
          <w:szCs w:val="36"/>
        </w:rPr>
        <w:t xml:space="preserve">                        Lecturer:</w:t>
      </w:r>
      <w:r w:rsidR="00663CBA">
        <w:rPr>
          <w:b/>
          <w:bCs/>
          <w:sz w:val="36"/>
          <w:szCs w:val="36"/>
        </w:rPr>
        <w:t xml:space="preserve"> </w:t>
      </w:r>
      <w:r w:rsidR="00F542D0">
        <w:rPr>
          <w:b/>
          <w:bCs/>
          <w:sz w:val="36"/>
          <w:szCs w:val="36"/>
        </w:rPr>
        <w:t xml:space="preserve">Kennedy </w:t>
      </w:r>
      <w:proofErr w:type="spellStart"/>
      <w:r w:rsidR="00F542D0">
        <w:rPr>
          <w:b/>
          <w:bCs/>
          <w:sz w:val="36"/>
          <w:szCs w:val="36"/>
        </w:rPr>
        <w:t>Obohwemu</w:t>
      </w:r>
      <w:proofErr w:type="spellEnd"/>
      <w:r w:rsidR="004F058F" w:rsidRPr="000C7CC6">
        <w:br w:type="page"/>
      </w:r>
    </w:p>
    <w:p w14:paraId="73390497" w14:textId="77777777" w:rsidR="000E581F" w:rsidRPr="000C7CC6" w:rsidRDefault="000E581F"/>
    <w:sdt>
      <w:sdtPr>
        <w:rPr>
          <w:rFonts w:ascii="Times New Roman" w:eastAsia="Times New Roman" w:hAnsi="Times New Roman" w:cs="Times New Roman"/>
          <w:color w:val="auto"/>
          <w:sz w:val="24"/>
          <w:szCs w:val="24"/>
          <w:lang w:val="en-GB" w:eastAsia="en-IN"/>
        </w:rPr>
        <w:id w:val="-104739668"/>
        <w:docPartObj>
          <w:docPartGallery w:val="Table of Contents"/>
          <w:docPartUnique/>
        </w:docPartObj>
      </w:sdtPr>
      <w:sdtEndPr>
        <w:rPr>
          <w:b/>
          <w:bCs/>
          <w:noProof/>
        </w:rPr>
      </w:sdtEndPr>
      <w:sdtContent>
        <w:p w14:paraId="6D71FE5A" w14:textId="77777777" w:rsidR="00597972" w:rsidRPr="000C7CC6" w:rsidRDefault="00597972" w:rsidP="00597972">
          <w:pPr>
            <w:pStyle w:val="TOCHeading"/>
            <w:spacing w:line="360" w:lineRule="auto"/>
            <w:jc w:val="center"/>
            <w:rPr>
              <w:rFonts w:ascii="Times New Roman" w:hAnsi="Times New Roman" w:cs="Times New Roman"/>
              <w:b/>
              <w:bCs/>
              <w:color w:val="000000" w:themeColor="text1"/>
              <w:sz w:val="28"/>
              <w:szCs w:val="28"/>
              <w:lang w:val="en-GB"/>
            </w:rPr>
          </w:pPr>
          <w:r w:rsidRPr="000C7CC6">
            <w:rPr>
              <w:rFonts w:ascii="Times New Roman" w:hAnsi="Times New Roman" w:cs="Times New Roman"/>
              <w:b/>
              <w:bCs/>
              <w:color w:val="000000" w:themeColor="text1"/>
              <w:sz w:val="28"/>
              <w:szCs w:val="28"/>
              <w:lang w:val="en-GB"/>
            </w:rPr>
            <w:t>Table of Contents</w:t>
          </w:r>
        </w:p>
        <w:p w14:paraId="4937B94E" w14:textId="77777777" w:rsidR="00597972" w:rsidRPr="000C7CC6" w:rsidRDefault="0093694E">
          <w:pPr>
            <w:pStyle w:val="TOC1"/>
            <w:tabs>
              <w:tab w:val="right" w:leader="dot" w:pos="9019"/>
            </w:tabs>
            <w:rPr>
              <w:noProof/>
            </w:rPr>
          </w:pPr>
          <w:r w:rsidRPr="000C7CC6">
            <w:fldChar w:fldCharType="begin"/>
          </w:r>
          <w:r w:rsidR="00597972" w:rsidRPr="000C7CC6">
            <w:instrText xml:space="preserve"> TOC \o "1-3" \h \z \u </w:instrText>
          </w:r>
          <w:r w:rsidRPr="000C7CC6">
            <w:fldChar w:fldCharType="separate"/>
          </w:r>
          <w:hyperlink w:anchor="_Toc127785688" w:history="1">
            <w:r w:rsidR="00597972" w:rsidRPr="000C7CC6">
              <w:rPr>
                <w:rStyle w:val="Hyperlink"/>
                <w:noProof/>
              </w:rPr>
              <w:t>Introduction</w:t>
            </w:r>
            <w:r w:rsidR="00597972" w:rsidRPr="000C7CC6">
              <w:rPr>
                <w:noProof/>
                <w:webHidden/>
              </w:rPr>
              <w:tab/>
            </w:r>
            <w:r w:rsidRPr="000C7CC6">
              <w:rPr>
                <w:noProof/>
                <w:webHidden/>
              </w:rPr>
              <w:fldChar w:fldCharType="begin"/>
            </w:r>
            <w:r w:rsidR="00597972" w:rsidRPr="000C7CC6">
              <w:rPr>
                <w:noProof/>
                <w:webHidden/>
              </w:rPr>
              <w:instrText xml:space="preserve"> PAGEREF _Toc127785688 \h </w:instrText>
            </w:r>
            <w:r w:rsidRPr="000C7CC6">
              <w:rPr>
                <w:noProof/>
                <w:webHidden/>
              </w:rPr>
            </w:r>
            <w:r w:rsidRPr="000C7CC6">
              <w:rPr>
                <w:noProof/>
                <w:webHidden/>
              </w:rPr>
              <w:fldChar w:fldCharType="separate"/>
            </w:r>
            <w:r w:rsidR="00170659">
              <w:rPr>
                <w:noProof/>
                <w:webHidden/>
              </w:rPr>
              <w:t>3</w:t>
            </w:r>
            <w:r w:rsidRPr="000C7CC6">
              <w:rPr>
                <w:noProof/>
                <w:webHidden/>
              </w:rPr>
              <w:fldChar w:fldCharType="end"/>
            </w:r>
          </w:hyperlink>
        </w:p>
        <w:p w14:paraId="79CCD3DA" w14:textId="77777777" w:rsidR="00597972" w:rsidRPr="000C7CC6" w:rsidRDefault="00000000">
          <w:pPr>
            <w:pStyle w:val="TOC1"/>
            <w:tabs>
              <w:tab w:val="right" w:leader="dot" w:pos="9019"/>
            </w:tabs>
            <w:rPr>
              <w:noProof/>
            </w:rPr>
          </w:pPr>
          <w:hyperlink w:anchor="_Toc127785689" w:history="1">
            <w:r w:rsidR="00597972" w:rsidRPr="000C7CC6">
              <w:rPr>
                <w:rStyle w:val="Hyperlink"/>
                <w:noProof/>
              </w:rPr>
              <w:t>Strategies used in the UK to measure the incidence of poliomyelitis</w:t>
            </w:r>
            <w:r w:rsidR="00597972" w:rsidRPr="000C7CC6">
              <w:rPr>
                <w:noProof/>
                <w:webHidden/>
              </w:rPr>
              <w:tab/>
            </w:r>
            <w:r w:rsidR="0093694E" w:rsidRPr="000C7CC6">
              <w:rPr>
                <w:noProof/>
                <w:webHidden/>
              </w:rPr>
              <w:fldChar w:fldCharType="begin"/>
            </w:r>
            <w:r w:rsidR="00597972" w:rsidRPr="000C7CC6">
              <w:rPr>
                <w:noProof/>
                <w:webHidden/>
              </w:rPr>
              <w:instrText xml:space="preserve"> PAGEREF _Toc127785689 \h </w:instrText>
            </w:r>
            <w:r w:rsidR="0093694E" w:rsidRPr="000C7CC6">
              <w:rPr>
                <w:noProof/>
                <w:webHidden/>
              </w:rPr>
            </w:r>
            <w:r w:rsidR="0093694E" w:rsidRPr="000C7CC6">
              <w:rPr>
                <w:noProof/>
                <w:webHidden/>
              </w:rPr>
              <w:fldChar w:fldCharType="separate"/>
            </w:r>
            <w:r w:rsidR="00170659">
              <w:rPr>
                <w:noProof/>
                <w:webHidden/>
              </w:rPr>
              <w:t>3</w:t>
            </w:r>
            <w:r w:rsidR="0093694E" w:rsidRPr="000C7CC6">
              <w:rPr>
                <w:noProof/>
                <w:webHidden/>
              </w:rPr>
              <w:fldChar w:fldCharType="end"/>
            </w:r>
          </w:hyperlink>
        </w:p>
        <w:p w14:paraId="41E84F53" w14:textId="77777777" w:rsidR="00597972" w:rsidRPr="000C7CC6" w:rsidRDefault="00000000">
          <w:pPr>
            <w:pStyle w:val="TOC1"/>
            <w:tabs>
              <w:tab w:val="right" w:leader="dot" w:pos="9019"/>
            </w:tabs>
            <w:rPr>
              <w:noProof/>
            </w:rPr>
          </w:pPr>
          <w:hyperlink w:anchor="_Toc127785690" w:history="1">
            <w:r w:rsidR="00597972" w:rsidRPr="000C7CC6">
              <w:rPr>
                <w:rStyle w:val="Hyperlink"/>
                <w:noProof/>
              </w:rPr>
              <w:t>Strategies used in the UK to monitor the incidence of poliomyelitis</w:t>
            </w:r>
            <w:r w:rsidR="00597972" w:rsidRPr="000C7CC6">
              <w:rPr>
                <w:noProof/>
                <w:webHidden/>
              </w:rPr>
              <w:tab/>
            </w:r>
            <w:r w:rsidR="0093694E" w:rsidRPr="000C7CC6">
              <w:rPr>
                <w:noProof/>
                <w:webHidden/>
              </w:rPr>
              <w:fldChar w:fldCharType="begin"/>
            </w:r>
            <w:r w:rsidR="00597972" w:rsidRPr="000C7CC6">
              <w:rPr>
                <w:noProof/>
                <w:webHidden/>
              </w:rPr>
              <w:instrText xml:space="preserve"> PAGEREF _Toc127785690 \h </w:instrText>
            </w:r>
            <w:r w:rsidR="0093694E" w:rsidRPr="000C7CC6">
              <w:rPr>
                <w:noProof/>
                <w:webHidden/>
              </w:rPr>
            </w:r>
            <w:r w:rsidR="0093694E" w:rsidRPr="000C7CC6">
              <w:rPr>
                <w:noProof/>
                <w:webHidden/>
              </w:rPr>
              <w:fldChar w:fldCharType="separate"/>
            </w:r>
            <w:r w:rsidR="00170659">
              <w:rPr>
                <w:noProof/>
                <w:webHidden/>
              </w:rPr>
              <w:t>3</w:t>
            </w:r>
            <w:r w:rsidR="0093694E" w:rsidRPr="000C7CC6">
              <w:rPr>
                <w:noProof/>
                <w:webHidden/>
              </w:rPr>
              <w:fldChar w:fldCharType="end"/>
            </w:r>
          </w:hyperlink>
        </w:p>
        <w:p w14:paraId="08380A2F" w14:textId="77777777" w:rsidR="00597972" w:rsidRPr="000C7CC6" w:rsidRDefault="00000000">
          <w:pPr>
            <w:pStyle w:val="TOC1"/>
            <w:tabs>
              <w:tab w:val="right" w:leader="dot" w:pos="9019"/>
            </w:tabs>
            <w:rPr>
              <w:noProof/>
            </w:rPr>
          </w:pPr>
          <w:hyperlink w:anchor="_Toc127785691" w:history="1">
            <w:r w:rsidR="00597972" w:rsidRPr="000C7CC6">
              <w:rPr>
                <w:rStyle w:val="Hyperlink"/>
                <w:noProof/>
              </w:rPr>
              <w:t>Strategies used in the UK to control the incidence of the disease poliomyelitis</w:t>
            </w:r>
            <w:r w:rsidR="00597972" w:rsidRPr="000C7CC6">
              <w:rPr>
                <w:noProof/>
                <w:webHidden/>
              </w:rPr>
              <w:tab/>
            </w:r>
            <w:r w:rsidR="0093694E" w:rsidRPr="000C7CC6">
              <w:rPr>
                <w:noProof/>
                <w:webHidden/>
              </w:rPr>
              <w:fldChar w:fldCharType="begin"/>
            </w:r>
            <w:r w:rsidR="00597972" w:rsidRPr="000C7CC6">
              <w:rPr>
                <w:noProof/>
                <w:webHidden/>
              </w:rPr>
              <w:instrText xml:space="preserve"> PAGEREF _Toc127785691 \h </w:instrText>
            </w:r>
            <w:r w:rsidR="0093694E" w:rsidRPr="000C7CC6">
              <w:rPr>
                <w:noProof/>
                <w:webHidden/>
              </w:rPr>
            </w:r>
            <w:r w:rsidR="0093694E" w:rsidRPr="000C7CC6">
              <w:rPr>
                <w:noProof/>
                <w:webHidden/>
              </w:rPr>
              <w:fldChar w:fldCharType="separate"/>
            </w:r>
            <w:r w:rsidR="00170659">
              <w:rPr>
                <w:noProof/>
                <w:webHidden/>
              </w:rPr>
              <w:t>4</w:t>
            </w:r>
            <w:r w:rsidR="0093694E" w:rsidRPr="000C7CC6">
              <w:rPr>
                <w:noProof/>
                <w:webHidden/>
              </w:rPr>
              <w:fldChar w:fldCharType="end"/>
            </w:r>
          </w:hyperlink>
        </w:p>
        <w:p w14:paraId="68EB572F" w14:textId="77777777" w:rsidR="00597972" w:rsidRPr="000C7CC6" w:rsidRDefault="00000000">
          <w:pPr>
            <w:pStyle w:val="TOC1"/>
            <w:tabs>
              <w:tab w:val="right" w:leader="dot" w:pos="9019"/>
            </w:tabs>
            <w:rPr>
              <w:noProof/>
            </w:rPr>
          </w:pPr>
          <w:hyperlink w:anchor="_Toc127785692" w:history="1">
            <w:r w:rsidR="00597972" w:rsidRPr="000C7CC6">
              <w:rPr>
                <w:rStyle w:val="Hyperlink"/>
                <w:noProof/>
              </w:rPr>
              <w:t>Conclusion</w:t>
            </w:r>
            <w:r w:rsidR="00597972" w:rsidRPr="000C7CC6">
              <w:rPr>
                <w:noProof/>
                <w:webHidden/>
              </w:rPr>
              <w:tab/>
            </w:r>
            <w:r w:rsidR="0093694E" w:rsidRPr="000C7CC6">
              <w:rPr>
                <w:noProof/>
                <w:webHidden/>
              </w:rPr>
              <w:fldChar w:fldCharType="begin"/>
            </w:r>
            <w:r w:rsidR="00597972" w:rsidRPr="000C7CC6">
              <w:rPr>
                <w:noProof/>
                <w:webHidden/>
              </w:rPr>
              <w:instrText xml:space="preserve"> PAGEREF _Toc127785692 \h </w:instrText>
            </w:r>
            <w:r w:rsidR="0093694E" w:rsidRPr="000C7CC6">
              <w:rPr>
                <w:noProof/>
                <w:webHidden/>
              </w:rPr>
            </w:r>
            <w:r w:rsidR="0093694E" w:rsidRPr="000C7CC6">
              <w:rPr>
                <w:noProof/>
                <w:webHidden/>
              </w:rPr>
              <w:fldChar w:fldCharType="separate"/>
            </w:r>
            <w:r w:rsidR="00170659">
              <w:rPr>
                <w:noProof/>
                <w:webHidden/>
              </w:rPr>
              <w:t>5</w:t>
            </w:r>
            <w:r w:rsidR="0093694E" w:rsidRPr="000C7CC6">
              <w:rPr>
                <w:noProof/>
                <w:webHidden/>
              </w:rPr>
              <w:fldChar w:fldCharType="end"/>
            </w:r>
          </w:hyperlink>
        </w:p>
        <w:p w14:paraId="277C8310" w14:textId="77777777" w:rsidR="00597972" w:rsidRPr="000C7CC6" w:rsidRDefault="00000000">
          <w:pPr>
            <w:pStyle w:val="TOC1"/>
            <w:tabs>
              <w:tab w:val="right" w:leader="dot" w:pos="9019"/>
            </w:tabs>
            <w:rPr>
              <w:noProof/>
            </w:rPr>
          </w:pPr>
          <w:hyperlink w:anchor="_Toc127785693" w:history="1">
            <w:r w:rsidR="00597972" w:rsidRPr="000C7CC6">
              <w:rPr>
                <w:rStyle w:val="Hyperlink"/>
                <w:noProof/>
              </w:rPr>
              <w:t>Reference list</w:t>
            </w:r>
            <w:r w:rsidR="00597972" w:rsidRPr="000C7CC6">
              <w:rPr>
                <w:noProof/>
                <w:webHidden/>
              </w:rPr>
              <w:tab/>
            </w:r>
            <w:r w:rsidR="0093694E" w:rsidRPr="000C7CC6">
              <w:rPr>
                <w:noProof/>
                <w:webHidden/>
              </w:rPr>
              <w:fldChar w:fldCharType="begin"/>
            </w:r>
            <w:r w:rsidR="00597972" w:rsidRPr="000C7CC6">
              <w:rPr>
                <w:noProof/>
                <w:webHidden/>
              </w:rPr>
              <w:instrText xml:space="preserve"> PAGEREF _Toc127785693 \h </w:instrText>
            </w:r>
            <w:r w:rsidR="0093694E" w:rsidRPr="000C7CC6">
              <w:rPr>
                <w:noProof/>
                <w:webHidden/>
              </w:rPr>
            </w:r>
            <w:r w:rsidR="0093694E" w:rsidRPr="000C7CC6">
              <w:rPr>
                <w:noProof/>
                <w:webHidden/>
              </w:rPr>
              <w:fldChar w:fldCharType="separate"/>
            </w:r>
            <w:r w:rsidR="00170659">
              <w:rPr>
                <w:noProof/>
                <w:webHidden/>
              </w:rPr>
              <w:t>6</w:t>
            </w:r>
            <w:r w:rsidR="0093694E" w:rsidRPr="000C7CC6">
              <w:rPr>
                <w:noProof/>
                <w:webHidden/>
              </w:rPr>
              <w:fldChar w:fldCharType="end"/>
            </w:r>
          </w:hyperlink>
        </w:p>
        <w:p w14:paraId="6EBCC03F" w14:textId="77777777" w:rsidR="00597972" w:rsidRPr="000C7CC6" w:rsidRDefault="0093694E">
          <w:r w:rsidRPr="000C7CC6">
            <w:rPr>
              <w:b/>
              <w:bCs/>
              <w:noProof/>
            </w:rPr>
            <w:fldChar w:fldCharType="end"/>
          </w:r>
        </w:p>
      </w:sdtContent>
    </w:sdt>
    <w:p w14:paraId="5A281D02" w14:textId="77777777" w:rsidR="000E581F" w:rsidRPr="000C7CC6" w:rsidRDefault="004F058F">
      <w:r w:rsidRPr="000C7CC6">
        <w:br w:type="page"/>
      </w:r>
    </w:p>
    <w:p w14:paraId="4FEDB3C3" w14:textId="77777777" w:rsidR="000E581F" w:rsidRPr="000C7CC6" w:rsidRDefault="004F058F">
      <w:pPr>
        <w:pStyle w:val="Heading1"/>
      </w:pPr>
      <w:bookmarkStart w:id="0" w:name="_onx4a1tsf840" w:colFirst="0" w:colLast="0"/>
      <w:bookmarkStart w:id="1" w:name="_Toc127785688"/>
      <w:bookmarkEnd w:id="0"/>
      <w:r w:rsidRPr="000C7CC6">
        <w:lastRenderedPageBreak/>
        <w:t>Introduction</w:t>
      </w:r>
      <w:bookmarkEnd w:id="1"/>
    </w:p>
    <w:p w14:paraId="6D16181A" w14:textId="77777777" w:rsidR="000E581F" w:rsidRPr="000C7CC6" w:rsidRDefault="004F058F">
      <w:r w:rsidRPr="000C7CC6">
        <w:t xml:space="preserve">Polio or poliomyelitis is a widely known virulent disease which was known as one of the major epidemics across the globe and that affects the overall neurological system of the body and leads to major paralytic disorders (Connor </w:t>
      </w:r>
      <w:r w:rsidRPr="000C7CC6">
        <w:rPr>
          <w:i/>
        </w:rPr>
        <w:t xml:space="preserve">et al., </w:t>
      </w:r>
      <w:r w:rsidRPr="000C7CC6">
        <w:t xml:space="preserve">2022). The aim of the report is to present a brief discussion on the context of the strategies initiated by the UK government to measure, monitor and control the incidence of poliomyelitis and make a critical evaluation of these approaches. </w:t>
      </w:r>
    </w:p>
    <w:p w14:paraId="03A79C9A" w14:textId="77777777" w:rsidR="000E581F" w:rsidRPr="000C7CC6" w:rsidRDefault="004F058F">
      <w:pPr>
        <w:pStyle w:val="Heading1"/>
      </w:pPr>
      <w:bookmarkStart w:id="2" w:name="_wf5q12mauyaf" w:colFirst="0" w:colLast="0"/>
      <w:bookmarkStart w:id="3" w:name="_Toc127785689"/>
      <w:bookmarkEnd w:id="2"/>
      <w:r w:rsidRPr="000C7CC6">
        <w:t>Strategies used in the UK to measure the incidence of poliomyelitis</w:t>
      </w:r>
      <w:bookmarkEnd w:id="3"/>
    </w:p>
    <w:p w14:paraId="502F7CDD" w14:textId="77777777" w:rsidR="000E581F" w:rsidRPr="000C7CC6" w:rsidRDefault="004F058F">
      <w:r w:rsidRPr="000C7CC6">
        <w:t xml:space="preserve">The measurement of the incidence of poliomyelitis refers to the process of counting the number of new cases that have spread among a particular population over a specific time period. The incidence rate of poliomyelitis is quite different from the concept of prevalence as it focuses on the risk of getting affected by the virus through contact with an animal or other individual. The incidence rate of poliomyelitis in the context of the UK is measured in the form of the neurological, physical, financial and psychological risks associated with the cases (Bubba </w:t>
      </w:r>
      <w:r w:rsidRPr="000C7CC6">
        <w:rPr>
          <w:i/>
        </w:rPr>
        <w:t xml:space="preserve">et al., </w:t>
      </w:r>
      <w:r w:rsidRPr="000C7CC6">
        <w:t xml:space="preserve">2020). Cumulative incidence rate refers to the number of an individual that has been in contact with the virus for a certain time span divided by the healthy individual who is at risk of getting affected by the virus. The overall length of the time in which an individual is exposed to the risk of getting affected is an important part of the cumulative incidence rate. In April 2022, the spread of poliovirus was witnessed in the form of a mutant virus after a long time period of approximately 40 years which created an uproar regarding the spread of the virus. On the other hand, the concept of incidence density refers to the process of estimating the number of new cases of polio divided by the total population at risk (PAR). On the other hand, the relationship between cumulative incidence (CI) and incidence density (ID) is identified with the formula of </w:t>
      </w:r>
      <w:r w:rsidR="00597972" w:rsidRPr="000C7CC6">
        <w:t>“</w:t>
      </w:r>
      <w:r w:rsidRPr="000C7CC6">
        <w:t>CI(t)=1-e</w:t>
      </w:r>
      <w:r w:rsidR="00170659">
        <w:t xml:space="preserve"> </w:t>
      </w:r>
      <w:r w:rsidRPr="000C7CC6">
        <w:t>(-ID×t)</w:t>
      </w:r>
      <w:r w:rsidR="00597972" w:rsidRPr="000C7CC6">
        <w:t>”</w:t>
      </w:r>
      <w:r w:rsidRPr="000C7CC6">
        <w:t xml:space="preserve"> where </w:t>
      </w:r>
      <w:r w:rsidR="00597972" w:rsidRPr="000C7CC6">
        <w:t>“</w:t>
      </w:r>
      <w:r w:rsidRPr="000C7CC6">
        <w:t>e</w:t>
      </w:r>
      <w:r w:rsidR="00597972" w:rsidRPr="000C7CC6">
        <w:t>”</w:t>
      </w:r>
      <w:r w:rsidRPr="000C7CC6">
        <w:t xml:space="preserve"> is the base to the natural logarithmic measure estimated at 2.718 approximately (</w:t>
      </w:r>
      <w:proofErr w:type="spellStart"/>
      <w:r w:rsidRPr="000C7CC6">
        <w:t>Hemedan</w:t>
      </w:r>
      <w:proofErr w:type="spellEnd"/>
      <w:r w:rsidRPr="000C7CC6">
        <w:t xml:space="preserve"> </w:t>
      </w:r>
      <w:r w:rsidRPr="000C7CC6">
        <w:rPr>
          <w:i/>
        </w:rPr>
        <w:t xml:space="preserve">et al., </w:t>
      </w:r>
      <w:r w:rsidRPr="000C7CC6">
        <w:t xml:space="preserve">2020). </w:t>
      </w:r>
    </w:p>
    <w:p w14:paraId="48D5F79C" w14:textId="77777777" w:rsidR="000E581F" w:rsidRPr="000C7CC6" w:rsidRDefault="004F058F">
      <w:pPr>
        <w:pStyle w:val="Heading1"/>
      </w:pPr>
      <w:bookmarkStart w:id="4" w:name="_7o1x20c8a4ux" w:colFirst="0" w:colLast="0"/>
      <w:bookmarkStart w:id="5" w:name="_Toc127785690"/>
      <w:bookmarkEnd w:id="4"/>
      <w:r w:rsidRPr="000C7CC6">
        <w:t>Strategies used in the UK to monitor the incidence of poliomyelitis</w:t>
      </w:r>
      <w:bookmarkEnd w:id="5"/>
    </w:p>
    <w:p w14:paraId="538906E5" w14:textId="77777777" w:rsidR="000E581F" w:rsidRPr="000C7CC6" w:rsidRDefault="004F058F">
      <w:r w:rsidRPr="000C7CC6">
        <w:t xml:space="preserve">Polio was considered one of the significant health issues among children which had taken the form of an epidemic in the 1950s before the era of vaccination. Since 1988 </w:t>
      </w:r>
      <w:r w:rsidRPr="000C7CC6">
        <w:lastRenderedPageBreak/>
        <w:t>the incidence rate of poliomyelitis has been constantly decreasing in the UK and in 2003, the government announced the nation be a polio-free country. Although the incidence rate of poliomyelitis disease has been almost nil in the context of the UK, Public Health England (PHE) has established some monitoring criteria through effective surveillance of the neurological and environmental symptoms of the polio virus and the rate of containment in the laboratories and other public health spheres (</w:t>
      </w:r>
      <w:proofErr w:type="spellStart"/>
      <w:r w:rsidRPr="000C7CC6">
        <w:t>Helfferich</w:t>
      </w:r>
      <w:proofErr w:type="spellEnd"/>
      <w:r w:rsidRPr="000C7CC6">
        <w:t xml:space="preserve"> </w:t>
      </w:r>
      <w:r w:rsidRPr="000C7CC6">
        <w:rPr>
          <w:i/>
        </w:rPr>
        <w:t xml:space="preserve">et al., </w:t>
      </w:r>
      <w:r w:rsidRPr="000C7CC6">
        <w:t xml:space="preserve">2022). The leadership for neurological disorders and acute flashed paralysis, on finding and reporting children with AFP, collecting samples, isolating the samples in the laboratory and mapping the virus to understand their origin and criteria for mutation. Systematic environmental sampling involves collecting sewage and other environmental samples for testing the presence of wild poliovirus infections. Besides, there are surveillance indicators that are to be used to understand the incidence of poliomyelitis. Complete reports for AFP surveillance on a weekly or monthly basis, the sensitivity for non-polio AFP, 80% completion of the clinical and virological investigation, complete follow of different PCR-positive environmental samples, and the maintenance of the performance of various laboratories according to the measurement criteria of Global Polio Laboratory Network (GPLN) which is accredited by World Health Organisation (O’Reilly </w:t>
      </w:r>
      <w:r w:rsidRPr="000C7CC6">
        <w:rPr>
          <w:i/>
        </w:rPr>
        <w:t xml:space="preserve">et al., </w:t>
      </w:r>
      <w:r w:rsidRPr="000C7CC6">
        <w:t>2020).</w:t>
      </w:r>
    </w:p>
    <w:p w14:paraId="4ADA5642" w14:textId="77777777" w:rsidR="000E581F" w:rsidRPr="000C7CC6" w:rsidRDefault="004F058F">
      <w:pPr>
        <w:pStyle w:val="Heading1"/>
      </w:pPr>
      <w:bookmarkStart w:id="6" w:name="_psugfqmi9lpj" w:colFirst="0" w:colLast="0"/>
      <w:bookmarkStart w:id="7" w:name="_Toc127785691"/>
      <w:bookmarkEnd w:id="6"/>
      <w:r w:rsidRPr="000C7CC6">
        <w:t>Strategies used in the UK to control the incidence of the disease poliomyelitis</w:t>
      </w:r>
      <w:bookmarkEnd w:id="7"/>
    </w:p>
    <w:p w14:paraId="352BFE5D" w14:textId="77777777" w:rsidR="000E581F" w:rsidRPr="000C7CC6" w:rsidRDefault="004F058F">
      <w:r w:rsidRPr="000C7CC6">
        <w:t xml:space="preserve">To control the disease of poliomyelitis, the UK government has initiated several control measures which can be categorised into three aspects which are reinforcement of immunisation, precautions for various cases and maintenance of the adverse reaction through hospitalisation. Primary immunisation in the UK is given in the form of vaccination through IPV (Inactivated Polio Vaccine) and OPV (Oral Polio Vaccine) for infants and children. Each of the 0.5ml vaccines contains a minimum of five consecutive doses. On the other hand, for adult vaccination, </w:t>
      </w:r>
      <w:proofErr w:type="spellStart"/>
      <w:r w:rsidRPr="000C7CC6">
        <w:t>Revaxis</w:t>
      </w:r>
      <w:proofErr w:type="spellEnd"/>
      <w:r w:rsidRPr="000C7CC6">
        <w:t xml:space="preserve"> is effectively used in the UK which is a combined vaccine for polio, diphtheria and tetanus (GOVUK, 2022). For the precautions against polioviruses, there are several safety regulations such as practising several hand hygiene, washing hands with uncontaminated soap and water, maintaining food and water hygiene both inside and outside the home, protection from the viruses within the laboratories of microbiology and other infections units in the healthcare system and so on will decrease the risk of being affected by </w:t>
      </w:r>
      <w:r w:rsidRPr="000C7CC6">
        <w:lastRenderedPageBreak/>
        <w:t xml:space="preserve">polioviruses. Identifying the minimal symptoms such as repetitive fever, </w:t>
      </w:r>
      <w:proofErr w:type="spellStart"/>
      <w:r w:rsidRPr="000C7CC6">
        <w:t>hypotonic-hyporesponsive</w:t>
      </w:r>
      <w:proofErr w:type="spellEnd"/>
      <w:r w:rsidRPr="000C7CC6">
        <w:t xml:space="preserve"> episodes, and severe allergen reactions is one of the most important aspects that are of high importance for some cases like pregnant and breastfeeding women and premature infants where deferral leaves are to be granted. Besides, it is important to look for adverse reactions to the vaccines such as redness, swelling on the skin, extreme pain or allergic reaction, anaphylaxis and episodes of pallor, cyanosis and limpness (HHE), immediate hospitalisation is recommended for the children. As polio is a rare phenomenon in the UK in the current context, UK Standards for Microbiology Investigations (SMI) are to be maintained effectively in England, Scotland and Wales (</w:t>
      </w:r>
      <w:proofErr w:type="spellStart"/>
      <w:r w:rsidRPr="000C7CC6">
        <w:t>Klapsa</w:t>
      </w:r>
      <w:proofErr w:type="spellEnd"/>
      <w:r w:rsidRPr="000C7CC6">
        <w:t xml:space="preserve"> </w:t>
      </w:r>
      <w:r w:rsidRPr="000C7CC6">
        <w:rPr>
          <w:i/>
        </w:rPr>
        <w:t xml:space="preserve">et al., </w:t>
      </w:r>
      <w:r w:rsidRPr="000C7CC6">
        <w:t xml:space="preserve">2022). </w:t>
      </w:r>
    </w:p>
    <w:p w14:paraId="73CA0E33" w14:textId="77777777" w:rsidR="000E581F" w:rsidRPr="000C7CC6" w:rsidRDefault="004F058F">
      <w:pPr>
        <w:pStyle w:val="Heading1"/>
      </w:pPr>
      <w:bookmarkStart w:id="8" w:name="_oe5utg6qkw0n" w:colFirst="0" w:colLast="0"/>
      <w:bookmarkStart w:id="9" w:name="_Toc127785692"/>
      <w:bookmarkEnd w:id="8"/>
      <w:r w:rsidRPr="000C7CC6">
        <w:t>Conclusion</w:t>
      </w:r>
      <w:bookmarkEnd w:id="9"/>
    </w:p>
    <w:p w14:paraId="298FA141" w14:textId="77777777" w:rsidR="000E581F" w:rsidRPr="000C7CC6" w:rsidRDefault="004F058F">
      <w:r w:rsidRPr="000C7CC6">
        <w:t xml:space="preserve">The report has presented a discussion on the controls, measures and monitoring process of the polio disease in the context of the UK. Although polio has not been one of the most important concerns, due to the polio-free statuses, the outbreak of the mutant polio virus in West London has initiated some significant changes in the context of the national government regarding their polio-prevention strategies. </w:t>
      </w:r>
    </w:p>
    <w:p w14:paraId="062A15A8" w14:textId="77777777" w:rsidR="000E581F" w:rsidRPr="000C7CC6" w:rsidRDefault="004F058F">
      <w:pPr>
        <w:pStyle w:val="Heading1"/>
      </w:pPr>
      <w:bookmarkStart w:id="10" w:name="_uqfupbskxtwq" w:colFirst="0" w:colLast="0"/>
      <w:bookmarkEnd w:id="10"/>
      <w:r w:rsidRPr="000C7CC6">
        <w:br w:type="page"/>
      </w:r>
    </w:p>
    <w:p w14:paraId="178D75BF" w14:textId="77777777" w:rsidR="000E581F" w:rsidRPr="000C7CC6" w:rsidRDefault="004F058F">
      <w:pPr>
        <w:pStyle w:val="Heading1"/>
      </w:pPr>
      <w:bookmarkStart w:id="11" w:name="_7drvz8h55gm0" w:colFirst="0" w:colLast="0"/>
      <w:bookmarkStart w:id="12" w:name="_Toc127785693"/>
      <w:bookmarkEnd w:id="11"/>
      <w:r w:rsidRPr="000C7CC6">
        <w:lastRenderedPageBreak/>
        <w:t>Reference list</w:t>
      </w:r>
      <w:bookmarkEnd w:id="12"/>
    </w:p>
    <w:p w14:paraId="28EADE34" w14:textId="77777777" w:rsidR="00ED7692" w:rsidRPr="000C7CC6" w:rsidRDefault="00ED7692" w:rsidP="00ED7692">
      <w:pPr>
        <w:rPr>
          <w:color w:val="222222"/>
          <w:highlight w:val="white"/>
        </w:rPr>
      </w:pPr>
      <w:r w:rsidRPr="000C7CC6">
        <w:rPr>
          <w:color w:val="222222"/>
          <w:highlight w:val="white"/>
        </w:rPr>
        <w:t xml:space="preserve">Bubba, L., </w:t>
      </w:r>
      <w:proofErr w:type="spellStart"/>
      <w:r w:rsidRPr="000C7CC6">
        <w:rPr>
          <w:color w:val="222222"/>
          <w:highlight w:val="white"/>
        </w:rPr>
        <w:t>Broberg</w:t>
      </w:r>
      <w:proofErr w:type="spellEnd"/>
      <w:r w:rsidRPr="000C7CC6">
        <w:rPr>
          <w:color w:val="222222"/>
          <w:highlight w:val="white"/>
        </w:rPr>
        <w:t xml:space="preserve">, E.K., </w:t>
      </w:r>
      <w:proofErr w:type="spellStart"/>
      <w:r w:rsidRPr="000C7CC6">
        <w:rPr>
          <w:color w:val="222222"/>
          <w:highlight w:val="white"/>
        </w:rPr>
        <w:t>Jasir</w:t>
      </w:r>
      <w:proofErr w:type="spellEnd"/>
      <w:r w:rsidRPr="000C7CC6">
        <w:rPr>
          <w:color w:val="222222"/>
          <w:highlight w:val="white"/>
        </w:rPr>
        <w:t xml:space="preserve">, A., Simmonds, P., </w:t>
      </w:r>
      <w:proofErr w:type="spellStart"/>
      <w:r w:rsidRPr="000C7CC6">
        <w:rPr>
          <w:color w:val="222222"/>
          <w:highlight w:val="white"/>
        </w:rPr>
        <w:t>Harvala</w:t>
      </w:r>
      <w:proofErr w:type="spellEnd"/>
      <w:r w:rsidRPr="000C7CC6">
        <w:rPr>
          <w:color w:val="222222"/>
          <w:highlight w:val="white"/>
        </w:rPr>
        <w:t xml:space="preserve">, H., </w:t>
      </w:r>
      <w:proofErr w:type="spellStart"/>
      <w:r w:rsidRPr="000C7CC6">
        <w:rPr>
          <w:color w:val="222222"/>
          <w:highlight w:val="white"/>
        </w:rPr>
        <w:t>Redlberger-Fritz</w:t>
      </w:r>
      <w:proofErr w:type="spellEnd"/>
      <w:r w:rsidRPr="000C7CC6">
        <w:rPr>
          <w:color w:val="222222"/>
          <w:highlight w:val="white"/>
        </w:rPr>
        <w:t xml:space="preserve">, M., </w:t>
      </w:r>
      <w:proofErr w:type="spellStart"/>
      <w:r w:rsidRPr="000C7CC6">
        <w:rPr>
          <w:color w:val="222222"/>
          <w:highlight w:val="white"/>
        </w:rPr>
        <w:t>Nikolaeva-Glomb</w:t>
      </w:r>
      <w:proofErr w:type="spellEnd"/>
      <w:r w:rsidRPr="000C7CC6">
        <w:rPr>
          <w:color w:val="222222"/>
          <w:highlight w:val="white"/>
        </w:rPr>
        <w:t xml:space="preserve">, L., </w:t>
      </w:r>
      <w:proofErr w:type="spellStart"/>
      <w:r w:rsidRPr="000C7CC6">
        <w:rPr>
          <w:color w:val="222222"/>
          <w:highlight w:val="white"/>
        </w:rPr>
        <w:t>Havlíčková</w:t>
      </w:r>
      <w:proofErr w:type="spellEnd"/>
      <w:r w:rsidRPr="000C7CC6">
        <w:rPr>
          <w:color w:val="222222"/>
          <w:highlight w:val="white"/>
        </w:rPr>
        <w:t xml:space="preserve">, M., </w:t>
      </w:r>
      <w:proofErr w:type="spellStart"/>
      <w:r w:rsidRPr="000C7CC6">
        <w:rPr>
          <w:color w:val="222222"/>
          <w:highlight w:val="white"/>
        </w:rPr>
        <w:t>Rainetova</w:t>
      </w:r>
      <w:proofErr w:type="spellEnd"/>
      <w:r w:rsidRPr="000C7CC6">
        <w:rPr>
          <w:color w:val="222222"/>
          <w:highlight w:val="white"/>
        </w:rPr>
        <w:t xml:space="preserve">, P., Fischer, T.K. and Midgley, S.E., 2020. Circulation of non-polio enteroviruses in 24 EU and EEA countries between 2015 and 2017: a retrospective surveillance study. </w:t>
      </w:r>
      <w:r w:rsidRPr="000C7CC6">
        <w:rPr>
          <w:i/>
          <w:color w:val="222222"/>
          <w:highlight w:val="white"/>
        </w:rPr>
        <w:t>The Lancet Infectious Diseases</w:t>
      </w:r>
      <w:r w:rsidRPr="000C7CC6">
        <w:rPr>
          <w:color w:val="222222"/>
          <w:highlight w:val="white"/>
        </w:rPr>
        <w:t xml:space="preserve">, </w:t>
      </w:r>
      <w:r w:rsidRPr="000C7CC6">
        <w:rPr>
          <w:i/>
          <w:color w:val="222222"/>
          <w:highlight w:val="white"/>
        </w:rPr>
        <w:t>20</w:t>
      </w:r>
      <w:r w:rsidRPr="000C7CC6">
        <w:rPr>
          <w:color w:val="222222"/>
          <w:highlight w:val="white"/>
        </w:rPr>
        <w:t>(3), pp.350-361.</w:t>
      </w:r>
    </w:p>
    <w:p w14:paraId="555B451C" w14:textId="77777777" w:rsidR="00ED7692" w:rsidRPr="000C7CC6" w:rsidRDefault="00ED7692" w:rsidP="00ED7692">
      <w:pPr>
        <w:rPr>
          <w:color w:val="222222"/>
          <w:highlight w:val="white"/>
        </w:rPr>
      </w:pPr>
      <w:r w:rsidRPr="000C7CC6">
        <w:rPr>
          <w:color w:val="222222"/>
          <w:highlight w:val="white"/>
        </w:rPr>
        <w:t xml:space="preserve">Connor, R.I., </w:t>
      </w:r>
      <w:proofErr w:type="spellStart"/>
      <w:r w:rsidRPr="000C7CC6">
        <w:rPr>
          <w:color w:val="222222"/>
          <w:highlight w:val="white"/>
        </w:rPr>
        <w:t>Brickley</w:t>
      </w:r>
      <w:proofErr w:type="spellEnd"/>
      <w:r w:rsidRPr="000C7CC6">
        <w:rPr>
          <w:color w:val="222222"/>
          <w:highlight w:val="white"/>
        </w:rPr>
        <w:t xml:space="preserve">, E.B., </w:t>
      </w:r>
      <w:proofErr w:type="spellStart"/>
      <w:r w:rsidRPr="000C7CC6">
        <w:rPr>
          <w:color w:val="222222"/>
          <w:highlight w:val="white"/>
        </w:rPr>
        <w:t>Wieland-Alter</w:t>
      </w:r>
      <w:proofErr w:type="spellEnd"/>
      <w:r w:rsidRPr="000C7CC6">
        <w:rPr>
          <w:color w:val="222222"/>
          <w:highlight w:val="white"/>
        </w:rPr>
        <w:t xml:space="preserve">, W.F., Ackerman, M.E., Weiner, J.A., </w:t>
      </w:r>
      <w:proofErr w:type="spellStart"/>
      <w:r w:rsidRPr="000C7CC6">
        <w:rPr>
          <w:color w:val="222222"/>
          <w:highlight w:val="white"/>
        </w:rPr>
        <w:t>Modlin</w:t>
      </w:r>
      <w:proofErr w:type="spellEnd"/>
      <w:r w:rsidRPr="000C7CC6">
        <w:rPr>
          <w:color w:val="222222"/>
          <w:highlight w:val="white"/>
        </w:rPr>
        <w:t xml:space="preserve">, J.F., Bandyopadhyay, A.S. and Wright, P.F., 2022. Mucosal immunity to poliovirus. </w:t>
      </w:r>
      <w:r w:rsidRPr="000C7CC6">
        <w:rPr>
          <w:i/>
          <w:color w:val="222222"/>
          <w:highlight w:val="white"/>
        </w:rPr>
        <w:t>Mucosal immunology</w:t>
      </w:r>
      <w:r w:rsidRPr="000C7CC6">
        <w:rPr>
          <w:color w:val="222222"/>
          <w:highlight w:val="white"/>
        </w:rPr>
        <w:t xml:space="preserve">, </w:t>
      </w:r>
      <w:r w:rsidRPr="000C7CC6">
        <w:rPr>
          <w:i/>
          <w:color w:val="222222"/>
          <w:highlight w:val="white"/>
        </w:rPr>
        <w:t>15</w:t>
      </w:r>
      <w:r w:rsidRPr="000C7CC6">
        <w:rPr>
          <w:color w:val="222222"/>
          <w:highlight w:val="white"/>
        </w:rPr>
        <w:t>(1), pp.1-9.</w:t>
      </w:r>
    </w:p>
    <w:p w14:paraId="2977234E" w14:textId="77777777" w:rsidR="00ED7692" w:rsidRPr="000C7CC6" w:rsidRDefault="00ED7692" w:rsidP="00ED7692">
      <w:r w:rsidRPr="000C7CC6">
        <w:t>GOV. UK., 2022.</w:t>
      </w:r>
      <w:r w:rsidRPr="000C7CC6">
        <w:rPr>
          <w:i/>
        </w:rPr>
        <w:t xml:space="preserve"> Inactivated polio vaccine (IPV) booster campaign: information for healthcare practitioners </w:t>
      </w:r>
      <w:r w:rsidRPr="000C7CC6">
        <w:t>[online]. Available at: https://www.gov.uk/government/publications/inactivated-polio-vaccine-ipv-booster-information-for-healthcare-practitioners/inactivated-polio-vaccine-ipv-booster-campaign-information-for-healthcare-practitioners [Accessed 20 February 2023].</w:t>
      </w:r>
    </w:p>
    <w:p w14:paraId="5A9242E6" w14:textId="77777777" w:rsidR="00ED7692" w:rsidRPr="000C7CC6" w:rsidRDefault="00ED7692" w:rsidP="00ED7692">
      <w:pPr>
        <w:rPr>
          <w:color w:val="222222"/>
          <w:highlight w:val="white"/>
        </w:rPr>
      </w:pPr>
      <w:proofErr w:type="spellStart"/>
      <w:r w:rsidRPr="000C7CC6">
        <w:rPr>
          <w:color w:val="222222"/>
          <w:highlight w:val="white"/>
        </w:rPr>
        <w:t>Helfferich</w:t>
      </w:r>
      <w:proofErr w:type="spellEnd"/>
      <w:r w:rsidRPr="000C7CC6">
        <w:rPr>
          <w:color w:val="222222"/>
          <w:highlight w:val="white"/>
        </w:rPr>
        <w:t xml:space="preserve">, J., de Lange, M.M., </w:t>
      </w:r>
      <w:proofErr w:type="spellStart"/>
      <w:r w:rsidRPr="000C7CC6">
        <w:rPr>
          <w:color w:val="222222"/>
          <w:highlight w:val="white"/>
        </w:rPr>
        <w:t>Benschop</w:t>
      </w:r>
      <w:proofErr w:type="spellEnd"/>
      <w:r w:rsidRPr="000C7CC6">
        <w:rPr>
          <w:color w:val="222222"/>
          <w:highlight w:val="white"/>
        </w:rPr>
        <w:t xml:space="preserve">, K.S., Jacobs, B.C., Van </w:t>
      </w:r>
      <w:proofErr w:type="spellStart"/>
      <w:r w:rsidRPr="000C7CC6">
        <w:rPr>
          <w:color w:val="222222"/>
          <w:highlight w:val="white"/>
        </w:rPr>
        <w:t>Leer-Buter</w:t>
      </w:r>
      <w:proofErr w:type="spellEnd"/>
      <w:r w:rsidRPr="000C7CC6">
        <w:rPr>
          <w:color w:val="222222"/>
          <w:highlight w:val="white"/>
        </w:rPr>
        <w:t xml:space="preserve">, C.C., Meijer, A., Bakker, D.P., de </w:t>
      </w:r>
      <w:proofErr w:type="spellStart"/>
      <w:r w:rsidRPr="000C7CC6">
        <w:rPr>
          <w:color w:val="222222"/>
          <w:highlight w:val="white"/>
        </w:rPr>
        <w:t>Bie</w:t>
      </w:r>
      <w:proofErr w:type="spellEnd"/>
      <w:r w:rsidRPr="000C7CC6">
        <w:rPr>
          <w:color w:val="222222"/>
          <w:highlight w:val="white"/>
        </w:rPr>
        <w:t xml:space="preserve">, E., </w:t>
      </w:r>
      <w:proofErr w:type="spellStart"/>
      <w:r w:rsidRPr="000C7CC6">
        <w:rPr>
          <w:color w:val="222222"/>
          <w:highlight w:val="white"/>
        </w:rPr>
        <w:t>Braakman</w:t>
      </w:r>
      <w:proofErr w:type="spellEnd"/>
      <w:r w:rsidRPr="000C7CC6">
        <w:rPr>
          <w:color w:val="222222"/>
          <w:highlight w:val="white"/>
        </w:rPr>
        <w:t xml:space="preserve">, H.M., </w:t>
      </w:r>
      <w:proofErr w:type="spellStart"/>
      <w:r w:rsidRPr="000C7CC6">
        <w:rPr>
          <w:color w:val="222222"/>
          <w:highlight w:val="white"/>
        </w:rPr>
        <w:t>Brandsma</w:t>
      </w:r>
      <w:proofErr w:type="spellEnd"/>
      <w:r w:rsidRPr="000C7CC6">
        <w:rPr>
          <w:color w:val="222222"/>
          <w:highlight w:val="white"/>
        </w:rPr>
        <w:t xml:space="preserve">, R. and </w:t>
      </w:r>
      <w:proofErr w:type="spellStart"/>
      <w:r w:rsidRPr="000C7CC6">
        <w:rPr>
          <w:color w:val="222222"/>
          <w:highlight w:val="white"/>
        </w:rPr>
        <w:t>Neuteboom</w:t>
      </w:r>
      <w:proofErr w:type="spellEnd"/>
      <w:r w:rsidRPr="000C7CC6">
        <w:rPr>
          <w:color w:val="222222"/>
          <w:highlight w:val="white"/>
        </w:rPr>
        <w:t xml:space="preserve">, R.F., 2022. Epidemiology of acute flaccid myelitis in children in the Netherlands, 2014 to 2019. </w:t>
      </w:r>
      <w:proofErr w:type="spellStart"/>
      <w:r w:rsidRPr="000C7CC6">
        <w:rPr>
          <w:i/>
          <w:color w:val="222222"/>
          <w:highlight w:val="white"/>
        </w:rPr>
        <w:t>Eurosurveillance</w:t>
      </w:r>
      <w:proofErr w:type="spellEnd"/>
      <w:r w:rsidRPr="000C7CC6">
        <w:rPr>
          <w:color w:val="222222"/>
          <w:highlight w:val="white"/>
        </w:rPr>
        <w:t xml:space="preserve">, </w:t>
      </w:r>
      <w:r w:rsidRPr="000C7CC6">
        <w:rPr>
          <w:i/>
          <w:color w:val="222222"/>
          <w:highlight w:val="white"/>
        </w:rPr>
        <w:t>27</w:t>
      </w:r>
      <w:r w:rsidRPr="000C7CC6">
        <w:rPr>
          <w:color w:val="222222"/>
          <w:highlight w:val="white"/>
        </w:rPr>
        <w:t>(42), p.2200157.</w:t>
      </w:r>
    </w:p>
    <w:p w14:paraId="381D4A0C" w14:textId="77777777" w:rsidR="00ED7692" w:rsidRPr="000C7CC6" w:rsidRDefault="00ED7692" w:rsidP="00ED7692">
      <w:pPr>
        <w:rPr>
          <w:color w:val="222222"/>
          <w:highlight w:val="white"/>
        </w:rPr>
      </w:pPr>
      <w:proofErr w:type="spellStart"/>
      <w:r w:rsidRPr="000C7CC6">
        <w:rPr>
          <w:color w:val="222222"/>
          <w:highlight w:val="white"/>
        </w:rPr>
        <w:t>Hemedan</w:t>
      </w:r>
      <w:proofErr w:type="spellEnd"/>
      <w:r w:rsidRPr="000C7CC6">
        <w:rPr>
          <w:color w:val="222222"/>
          <w:highlight w:val="white"/>
        </w:rPr>
        <w:t xml:space="preserve">, A.A., </w:t>
      </w:r>
      <w:proofErr w:type="spellStart"/>
      <w:r w:rsidRPr="000C7CC6">
        <w:rPr>
          <w:color w:val="222222"/>
          <w:highlight w:val="white"/>
        </w:rPr>
        <w:t>Abd</w:t>
      </w:r>
      <w:proofErr w:type="spellEnd"/>
      <w:r w:rsidRPr="000C7CC6">
        <w:rPr>
          <w:color w:val="222222"/>
          <w:highlight w:val="white"/>
        </w:rPr>
        <w:t xml:space="preserve"> </w:t>
      </w:r>
      <w:proofErr w:type="spellStart"/>
      <w:r w:rsidRPr="000C7CC6">
        <w:rPr>
          <w:color w:val="222222"/>
          <w:highlight w:val="white"/>
        </w:rPr>
        <w:t>Elaziz</w:t>
      </w:r>
      <w:proofErr w:type="spellEnd"/>
      <w:r w:rsidRPr="000C7CC6">
        <w:rPr>
          <w:color w:val="222222"/>
          <w:highlight w:val="white"/>
        </w:rPr>
        <w:t xml:space="preserve">, M., Jiao, P., Alavi, A.H., </w:t>
      </w:r>
      <w:proofErr w:type="spellStart"/>
      <w:r w:rsidRPr="000C7CC6">
        <w:rPr>
          <w:color w:val="222222"/>
          <w:highlight w:val="white"/>
        </w:rPr>
        <w:t>Bahgat</w:t>
      </w:r>
      <w:proofErr w:type="spellEnd"/>
      <w:r w:rsidRPr="000C7CC6">
        <w:rPr>
          <w:color w:val="222222"/>
          <w:highlight w:val="white"/>
        </w:rPr>
        <w:t xml:space="preserve">, M., </w:t>
      </w:r>
      <w:proofErr w:type="spellStart"/>
      <w:r w:rsidRPr="000C7CC6">
        <w:rPr>
          <w:color w:val="222222"/>
          <w:highlight w:val="white"/>
        </w:rPr>
        <w:t>Ostaszewski</w:t>
      </w:r>
      <w:proofErr w:type="spellEnd"/>
      <w:r w:rsidRPr="000C7CC6">
        <w:rPr>
          <w:color w:val="222222"/>
          <w:highlight w:val="white"/>
        </w:rPr>
        <w:t xml:space="preserve">, M., Schneider, R., </w:t>
      </w:r>
      <w:proofErr w:type="spellStart"/>
      <w:r w:rsidRPr="000C7CC6">
        <w:rPr>
          <w:color w:val="222222"/>
          <w:highlight w:val="white"/>
        </w:rPr>
        <w:t>Ghazy</w:t>
      </w:r>
      <w:proofErr w:type="spellEnd"/>
      <w:r w:rsidRPr="000C7CC6">
        <w:rPr>
          <w:color w:val="222222"/>
          <w:highlight w:val="white"/>
        </w:rPr>
        <w:t xml:space="preserve">, H.A., </w:t>
      </w:r>
      <w:proofErr w:type="spellStart"/>
      <w:r w:rsidRPr="000C7CC6">
        <w:rPr>
          <w:color w:val="222222"/>
          <w:highlight w:val="white"/>
        </w:rPr>
        <w:t>Ewees</w:t>
      </w:r>
      <w:proofErr w:type="spellEnd"/>
      <w:r w:rsidRPr="000C7CC6">
        <w:rPr>
          <w:color w:val="222222"/>
          <w:highlight w:val="white"/>
        </w:rPr>
        <w:t xml:space="preserve">, A.A. and Lu, S., 2020. prediction of the vaccine-derived poliovirus outbreak incidence: A hybrid machine learning approach. </w:t>
      </w:r>
      <w:r w:rsidRPr="000C7CC6">
        <w:rPr>
          <w:i/>
          <w:color w:val="222222"/>
          <w:highlight w:val="white"/>
        </w:rPr>
        <w:t>Scientific reports</w:t>
      </w:r>
      <w:r w:rsidRPr="000C7CC6">
        <w:rPr>
          <w:color w:val="222222"/>
          <w:highlight w:val="white"/>
        </w:rPr>
        <w:t xml:space="preserve">, </w:t>
      </w:r>
      <w:r w:rsidRPr="000C7CC6">
        <w:rPr>
          <w:i/>
          <w:color w:val="222222"/>
          <w:highlight w:val="white"/>
        </w:rPr>
        <w:t>10</w:t>
      </w:r>
      <w:r w:rsidRPr="000C7CC6">
        <w:rPr>
          <w:color w:val="222222"/>
          <w:highlight w:val="white"/>
        </w:rPr>
        <w:t>(1), p.5058.</w:t>
      </w:r>
    </w:p>
    <w:p w14:paraId="56AE75B1" w14:textId="77777777" w:rsidR="00ED7692" w:rsidRPr="000C7CC6" w:rsidRDefault="00ED7692" w:rsidP="00ED7692">
      <w:proofErr w:type="spellStart"/>
      <w:r w:rsidRPr="000C7CC6">
        <w:rPr>
          <w:color w:val="222222"/>
          <w:highlight w:val="white"/>
        </w:rPr>
        <w:t>Klapsa</w:t>
      </w:r>
      <w:proofErr w:type="spellEnd"/>
      <w:r w:rsidRPr="000C7CC6">
        <w:rPr>
          <w:color w:val="222222"/>
          <w:highlight w:val="white"/>
        </w:rPr>
        <w:t xml:space="preserve">, D., Wilton, T., Zealand, A., </w:t>
      </w:r>
      <w:proofErr w:type="spellStart"/>
      <w:r w:rsidRPr="000C7CC6">
        <w:rPr>
          <w:color w:val="222222"/>
          <w:highlight w:val="white"/>
        </w:rPr>
        <w:t>Bujaki</w:t>
      </w:r>
      <w:proofErr w:type="spellEnd"/>
      <w:r w:rsidRPr="000C7CC6">
        <w:rPr>
          <w:color w:val="222222"/>
          <w:highlight w:val="white"/>
        </w:rPr>
        <w:t xml:space="preserve">, E., </w:t>
      </w:r>
      <w:proofErr w:type="spellStart"/>
      <w:r w:rsidRPr="000C7CC6">
        <w:rPr>
          <w:color w:val="222222"/>
          <w:highlight w:val="white"/>
        </w:rPr>
        <w:t>Saxentoff</w:t>
      </w:r>
      <w:proofErr w:type="spellEnd"/>
      <w:r w:rsidRPr="000C7CC6">
        <w:rPr>
          <w:color w:val="222222"/>
          <w:highlight w:val="white"/>
        </w:rPr>
        <w:t xml:space="preserve">, E., </w:t>
      </w:r>
      <w:proofErr w:type="spellStart"/>
      <w:r w:rsidRPr="000C7CC6">
        <w:rPr>
          <w:color w:val="222222"/>
          <w:highlight w:val="white"/>
        </w:rPr>
        <w:t>Troman</w:t>
      </w:r>
      <w:proofErr w:type="spellEnd"/>
      <w:r w:rsidRPr="000C7CC6">
        <w:rPr>
          <w:color w:val="222222"/>
          <w:highlight w:val="white"/>
        </w:rPr>
        <w:t xml:space="preserve">, C., Shaw, A.G., </w:t>
      </w:r>
      <w:proofErr w:type="spellStart"/>
      <w:r w:rsidRPr="000C7CC6">
        <w:rPr>
          <w:color w:val="222222"/>
          <w:highlight w:val="white"/>
        </w:rPr>
        <w:t>Tedcastle</w:t>
      </w:r>
      <w:proofErr w:type="spellEnd"/>
      <w:r w:rsidRPr="000C7CC6">
        <w:rPr>
          <w:color w:val="222222"/>
          <w:highlight w:val="white"/>
        </w:rPr>
        <w:t xml:space="preserve">, A., </w:t>
      </w:r>
      <w:proofErr w:type="spellStart"/>
      <w:r w:rsidRPr="000C7CC6">
        <w:rPr>
          <w:color w:val="222222"/>
          <w:highlight w:val="white"/>
        </w:rPr>
        <w:t>Majumdar</w:t>
      </w:r>
      <w:proofErr w:type="spellEnd"/>
      <w:r w:rsidRPr="000C7CC6">
        <w:rPr>
          <w:color w:val="222222"/>
          <w:highlight w:val="white"/>
        </w:rPr>
        <w:t xml:space="preserve">, M., Mate, R. and </w:t>
      </w:r>
      <w:proofErr w:type="spellStart"/>
      <w:r w:rsidRPr="000C7CC6">
        <w:rPr>
          <w:color w:val="222222"/>
          <w:highlight w:val="white"/>
        </w:rPr>
        <w:t>Akello</w:t>
      </w:r>
      <w:proofErr w:type="spellEnd"/>
      <w:r w:rsidRPr="000C7CC6">
        <w:rPr>
          <w:color w:val="222222"/>
          <w:highlight w:val="white"/>
        </w:rPr>
        <w:t xml:space="preserve">, J.O., 2022. Sustained detection of type 2 poliovirus in London sewage between February and July, 2022, by enhanced environmental surveillance. </w:t>
      </w:r>
      <w:r w:rsidRPr="000C7CC6">
        <w:rPr>
          <w:i/>
          <w:color w:val="222222"/>
          <w:highlight w:val="white"/>
        </w:rPr>
        <w:t>The Lancet</w:t>
      </w:r>
      <w:r w:rsidRPr="000C7CC6">
        <w:rPr>
          <w:color w:val="222222"/>
          <w:highlight w:val="white"/>
        </w:rPr>
        <w:t xml:space="preserve">, </w:t>
      </w:r>
      <w:r w:rsidRPr="000C7CC6">
        <w:rPr>
          <w:i/>
          <w:color w:val="222222"/>
          <w:highlight w:val="white"/>
        </w:rPr>
        <w:t>400</w:t>
      </w:r>
      <w:r w:rsidRPr="000C7CC6">
        <w:rPr>
          <w:color w:val="222222"/>
          <w:highlight w:val="white"/>
        </w:rPr>
        <w:t>(10362), pp.1531-1538.</w:t>
      </w:r>
    </w:p>
    <w:p w14:paraId="7DE5DE24" w14:textId="77777777" w:rsidR="00ED7692" w:rsidRPr="000C7CC6" w:rsidRDefault="00ED7692" w:rsidP="00ED7692">
      <w:pPr>
        <w:rPr>
          <w:color w:val="222222"/>
          <w:highlight w:val="white"/>
        </w:rPr>
      </w:pPr>
      <w:r w:rsidRPr="000C7CC6">
        <w:rPr>
          <w:color w:val="222222"/>
          <w:highlight w:val="white"/>
        </w:rPr>
        <w:t xml:space="preserve">O'Reilly, K.M., </w:t>
      </w:r>
      <w:proofErr w:type="spellStart"/>
      <w:r w:rsidRPr="000C7CC6">
        <w:rPr>
          <w:color w:val="222222"/>
          <w:highlight w:val="white"/>
        </w:rPr>
        <w:t>Grassly</w:t>
      </w:r>
      <w:proofErr w:type="spellEnd"/>
      <w:r w:rsidRPr="000C7CC6">
        <w:rPr>
          <w:color w:val="222222"/>
          <w:highlight w:val="white"/>
        </w:rPr>
        <w:t xml:space="preserve">, N.C., Allen, D.J., </w:t>
      </w:r>
      <w:proofErr w:type="spellStart"/>
      <w:r w:rsidRPr="000C7CC6">
        <w:rPr>
          <w:color w:val="222222"/>
          <w:highlight w:val="white"/>
        </w:rPr>
        <w:t>Bannister-Tyrrell</w:t>
      </w:r>
      <w:proofErr w:type="spellEnd"/>
      <w:r w:rsidRPr="000C7CC6">
        <w:rPr>
          <w:color w:val="222222"/>
          <w:highlight w:val="white"/>
        </w:rPr>
        <w:t xml:space="preserve">, M., Cameron, A., Martin, A.C., Ramsay, M., </w:t>
      </w:r>
      <w:proofErr w:type="spellStart"/>
      <w:r w:rsidRPr="000C7CC6">
        <w:rPr>
          <w:color w:val="222222"/>
          <w:highlight w:val="white"/>
        </w:rPr>
        <w:t>Pebody</w:t>
      </w:r>
      <w:proofErr w:type="spellEnd"/>
      <w:r w:rsidRPr="000C7CC6">
        <w:rPr>
          <w:color w:val="222222"/>
          <w:highlight w:val="white"/>
        </w:rPr>
        <w:t xml:space="preserve">, R. and </w:t>
      </w:r>
      <w:proofErr w:type="spellStart"/>
      <w:r w:rsidRPr="000C7CC6">
        <w:rPr>
          <w:color w:val="222222"/>
          <w:highlight w:val="white"/>
        </w:rPr>
        <w:t>Zambon</w:t>
      </w:r>
      <w:proofErr w:type="spellEnd"/>
      <w:r w:rsidRPr="000C7CC6">
        <w:rPr>
          <w:color w:val="222222"/>
          <w:highlight w:val="white"/>
        </w:rPr>
        <w:t xml:space="preserve">, M., 2020. Surveillance optimisation to detect poliovirus in the pre-eradication era: a modelling study of England and Wales. </w:t>
      </w:r>
      <w:r w:rsidRPr="000C7CC6">
        <w:rPr>
          <w:i/>
          <w:color w:val="222222"/>
          <w:highlight w:val="white"/>
        </w:rPr>
        <w:t>Epidemiology &amp; Infection</w:t>
      </w:r>
      <w:r w:rsidRPr="000C7CC6">
        <w:rPr>
          <w:color w:val="222222"/>
          <w:highlight w:val="white"/>
        </w:rPr>
        <w:t xml:space="preserve">, </w:t>
      </w:r>
      <w:r w:rsidRPr="000C7CC6">
        <w:rPr>
          <w:i/>
          <w:color w:val="222222"/>
          <w:highlight w:val="white"/>
        </w:rPr>
        <w:t>148</w:t>
      </w:r>
      <w:r w:rsidRPr="000C7CC6">
        <w:rPr>
          <w:color w:val="222222"/>
          <w:highlight w:val="white"/>
        </w:rPr>
        <w:t>.</w:t>
      </w:r>
    </w:p>
    <w:p w14:paraId="7687F8EC" w14:textId="77777777" w:rsidR="000E581F" w:rsidRPr="000C7CC6" w:rsidRDefault="000E581F"/>
    <w:sectPr w:rsidR="000E581F" w:rsidRPr="000C7CC6" w:rsidSect="0093694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6CE801" w14:textId="77777777" w:rsidR="006C2C76" w:rsidRDefault="006C2C76" w:rsidP="00597972">
      <w:pPr>
        <w:spacing w:line="240" w:lineRule="auto"/>
      </w:pPr>
      <w:r>
        <w:separator/>
      </w:r>
    </w:p>
  </w:endnote>
  <w:endnote w:type="continuationSeparator" w:id="0">
    <w:p w14:paraId="274D07ED" w14:textId="77777777" w:rsidR="006C2C76" w:rsidRDefault="006C2C76" w:rsidP="0059797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3502081"/>
      <w:docPartObj>
        <w:docPartGallery w:val="Page Numbers (Bottom of Page)"/>
        <w:docPartUnique/>
      </w:docPartObj>
    </w:sdtPr>
    <w:sdtEndPr>
      <w:rPr>
        <w:noProof/>
      </w:rPr>
    </w:sdtEndPr>
    <w:sdtContent>
      <w:p w14:paraId="23D5939D" w14:textId="77777777" w:rsidR="00597972" w:rsidRDefault="0093694E">
        <w:pPr>
          <w:pStyle w:val="Footer"/>
          <w:jc w:val="right"/>
        </w:pPr>
        <w:r>
          <w:fldChar w:fldCharType="begin"/>
        </w:r>
        <w:r w:rsidR="00597972">
          <w:instrText xml:space="preserve"> PAGE   \* MERGEFORMAT </w:instrText>
        </w:r>
        <w:r>
          <w:fldChar w:fldCharType="separate"/>
        </w:r>
        <w:r w:rsidR="00170659">
          <w:rPr>
            <w:noProof/>
          </w:rPr>
          <w:t>1</w:t>
        </w:r>
        <w:r>
          <w:rPr>
            <w:noProof/>
          </w:rPr>
          <w:fldChar w:fldCharType="end"/>
        </w:r>
      </w:p>
    </w:sdtContent>
  </w:sdt>
  <w:p w14:paraId="538CB897" w14:textId="77777777" w:rsidR="00597972" w:rsidRDefault="005979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E002D" w14:textId="77777777" w:rsidR="006C2C76" w:rsidRDefault="006C2C76" w:rsidP="00597972">
      <w:pPr>
        <w:spacing w:line="240" w:lineRule="auto"/>
      </w:pPr>
      <w:r>
        <w:separator/>
      </w:r>
    </w:p>
  </w:footnote>
  <w:footnote w:type="continuationSeparator" w:id="0">
    <w:p w14:paraId="5E89C72D" w14:textId="77777777" w:rsidR="006C2C76" w:rsidRDefault="006C2C76" w:rsidP="0059797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581F"/>
    <w:rsid w:val="000C7CC6"/>
    <w:rsid w:val="000E581F"/>
    <w:rsid w:val="00115C01"/>
    <w:rsid w:val="00170659"/>
    <w:rsid w:val="001B48D3"/>
    <w:rsid w:val="0029269B"/>
    <w:rsid w:val="004D59BC"/>
    <w:rsid w:val="004F058F"/>
    <w:rsid w:val="00597972"/>
    <w:rsid w:val="00663CBA"/>
    <w:rsid w:val="006C2C76"/>
    <w:rsid w:val="0093694E"/>
    <w:rsid w:val="00BF266F"/>
    <w:rsid w:val="00C07D0F"/>
    <w:rsid w:val="00C85AA6"/>
    <w:rsid w:val="00CE3F3D"/>
    <w:rsid w:val="00ED7692"/>
    <w:rsid w:val="00F542D0"/>
    <w:rsid w:val="00F6378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2FD4D"/>
  <w15:docId w15:val="{1EFA0B88-42CF-5146-83A2-6C15D0172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694E"/>
  </w:style>
  <w:style w:type="paragraph" w:styleId="Heading1">
    <w:name w:val="heading 1"/>
    <w:basedOn w:val="Normal"/>
    <w:next w:val="Normal"/>
    <w:uiPriority w:val="9"/>
    <w:qFormat/>
    <w:rsid w:val="0093694E"/>
    <w:pPr>
      <w:keepNext/>
      <w:keepLines/>
      <w:outlineLvl w:val="0"/>
    </w:pPr>
    <w:rPr>
      <w:b/>
      <w:sz w:val="32"/>
      <w:szCs w:val="32"/>
    </w:rPr>
  </w:style>
  <w:style w:type="paragraph" w:styleId="Heading2">
    <w:name w:val="heading 2"/>
    <w:basedOn w:val="Normal"/>
    <w:next w:val="Normal"/>
    <w:uiPriority w:val="9"/>
    <w:semiHidden/>
    <w:unhideWhenUsed/>
    <w:qFormat/>
    <w:rsid w:val="0093694E"/>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93694E"/>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93694E"/>
    <w:pPr>
      <w:keepNext/>
      <w:keepLines/>
      <w:spacing w:before="280" w:after="80"/>
      <w:outlineLvl w:val="3"/>
    </w:pPr>
    <w:rPr>
      <w:color w:val="666666"/>
    </w:rPr>
  </w:style>
  <w:style w:type="paragraph" w:styleId="Heading5">
    <w:name w:val="heading 5"/>
    <w:basedOn w:val="Normal"/>
    <w:next w:val="Normal"/>
    <w:uiPriority w:val="9"/>
    <w:semiHidden/>
    <w:unhideWhenUsed/>
    <w:qFormat/>
    <w:rsid w:val="0093694E"/>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93694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3694E"/>
    <w:pPr>
      <w:keepNext/>
      <w:keepLines/>
      <w:spacing w:after="60"/>
    </w:pPr>
    <w:rPr>
      <w:sz w:val="52"/>
      <w:szCs w:val="52"/>
    </w:rPr>
  </w:style>
  <w:style w:type="paragraph" w:styleId="Subtitle">
    <w:name w:val="Subtitle"/>
    <w:basedOn w:val="Normal"/>
    <w:next w:val="Normal"/>
    <w:uiPriority w:val="11"/>
    <w:qFormat/>
    <w:rsid w:val="0093694E"/>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97972"/>
    <w:pPr>
      <w:tabs>
        <w:tab w:val="center" w:pos="4513"/>
        <w:tab w:val="right" w:pos="9026"/>
      </w:tabs>
      <w:spacing w:line="240" w:lineRule="auto"/>
    </w:pPr>
  </w:style>
  <w:style w:type="character" w:customStyle="1" w:styleId="HeaderChar">
    <w:name w:val="Header Char"/>
    <w:basedOn w:val="DefaultParagraphFont"/>
    <w:link w:val="Header"/>
    <w:uiPriority w:val="99"/>
    <w:rsid w:val="00597972"/>
  </w:style>
  <w:style w:type="paragraph" w:styleId="Footer">
    <w:name w:val="footer"/>
    <w:basedOn w:val="Normal"/>
    <w:link w:val="FooterChar"/>
    <w:uiPriority w:val="99"/>
    <w:unhideWhenUsed/>
    <w:rsid w:val="00597972"/>
    <w:pPr>
      <w:tabs>
        <w:tab w:val="center" w:pos="4513"/>
        <w:tab w:val="right" w:pos="9026"/>
      </w:tabs>
      <w:spacing w:line="240" w:lineRule="auto"/>
    </w:pPr>
  </w:style>
  <w:style w:type="character" w:customStyle="1" w:styleId="FooterChar">
    <w:name w:val="Footer Char"/>
    <w:basedOn w:val="DefaultParagraphFont"/>
    <w:link w:val="Footer"/>
    <w:uiPriority w:val="99"/>
    <w:rsid w:val="00597972"/>
  </w:style>
  <w:style w:type="paragraph" w:styleId="TOCHeading">
    <w:name w:val="TOC Heading"/>
    <w:basedOn w:val="Heading1"/>
    <w:next w:val="Normal"/>
    <w:uiPriority w:val="39"/>
    <w:unhideWhenUsed/>
    <w:qFormat/>
    <w:rsid w:val="00597972"/>
    <w:pPr>
      <w:spacing w:before="24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597972"/>
    <w:pPr>
      <w:spacing w:after="100"/>
    </w:pPr>
  </w:style>
  <w:style w:type="character" w:styleId="Hyperlink">
    <w:name w:val="Hyperlink"/>
    <w:basedOn w:val="DefaultParagraphFont"/>
    <w:uiPriority w:val="99"/>
    <w:unhideWhenUsed/>
    <w:rsid w:val="00597972"/>
    <w:rPr>
      <w:color w:val="0000FF" w:themeColor="hyperlink"/>
      <w:u w:val="single"/>
    </w:rPr>
  </w:style>
  <w:style w:type="paragraph" w:styleId="BalloonText">
    <w:name w:val="Balloon Text"/>
    <w:basedOn w:val="Normal"/>
    <w:link w:val="BalloonTextChar"/>
    <w:uiPriority w:val="99"/>
    <w:semiHidden/>
    <w:unhideWhenUsed/>
    <w:rsid w:val="0017065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7065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92755-4ABE-467E-8642-B58762EE107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1374</Words>
  <Characters>7837</Characters>
  <Application>Microsoft Office Word</Application>
  <DocSecurity>0</DocSecurity>
  <Lines>65</Lines>
  <Paragraphs>18</Paragraphs>
  <ScaleCrop>false</ScaleCrop>
  <Company/>
  <LinksUpToDate>false</LinksUpToDate>
  <CharactersWithSpaces>9193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Salam</cp:lastModifiedBy>
  <cp:revision>10</cp:revision>
  <dcterms:created xsi:type="dcterms:W3CDTF">2023-03-03T13:59:00Z</dcterms:created>
  <dcterms:modified xsi:type="dcterms:W3CDTF">2023-03-03T14:06:00Z</dcterms:modified>
</cp:coreProperties>
</file>