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417D31" w14:textId="77777777" w:rsidR="003947ED" w:rsidRPr="00511612" w:rsidRDefault="003947ED" w:rsidP="003947ED">
      <w:pPr>
        <w:jc w:val="center"/>
        <w:rPr>
          <w:rFonts w:ascii="Arial" w:hAnsi="Arial" w:cs="Arial"/>
          <w:sz w:val="28"/>
          <w:szCs w:val="28"/>
        </w:rPr>
      </w:pPr>
      <w:r w:rsidRPr="00511612">
        <w:rPr>
          <w:rFonts w:ascii="Arial" w:hAnsi="Arial" w:cs="Arial"/>
          <w:noProof/>
          <w:sz w:val="28"/>
          <w:szCs w:val="28"/>
        </w:rPr>
        <w:drawing>
          <wp:inline distT="0" distB="0" distL="0" distR="0" wp14:anchorId="2FE5D2CC" wp14:editId="0895C49D">
            <wp:extent cx="3273466" cy="1310218"/>
            <wp:effectExtent l="0" t="0" r="317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764).png"/>
                    <pic:cNvPicPr/>
                  </pic:nvPicPr>
                  <pic:blipFill>
                    <a:blip r:embed="rId7"/>
                    <a:stretch>
                      <a:fillRect/>
                    </a:stretch>
                  </pic:blipFill>
                  <pic:spPr>
                    <a:xfrm>
                      <a:off x="0" y="0"/>
                      <a:ext cx="3288951" cy="1316416"/>
                    </a:xfrm>
                    <a:prstGeom prst="rect">
                      <a:avLst/>
                    </a:prstGeom>
                  </pic:spPr>
                </pic:pic>
              </a:graphicData>
            </a:graphic>
          </wp:inline>
        </w:drawing>
      </w:r>
    </w:p>
    <w:p w14:paraId="556CC606" w14:textId="77777777" w:rsidR="003947ED" w:rsidRPr="00511612" w:rsidRDefault="003947ED" w:rsidP="003947ED">
      <w:pPr>
        <w:pBdr>
          <w:bottom w:val="single" w:sz="18" w:space="1" w:color="FFD400"/>
        </w:pBdr>
        <w:spacing w:after="0"/>
        <w:rPr>
          <w:rFonts w:ascii="Arial" w:hAnsi="Arial" w:cs="Arial"/>
          <w:sz w:val="28"/>
          <w:szCs w:val="28"/>
        </w:rPr>
      </w:pPr>
    </w:p>
    <w:p w14:paraId="48F5AC85" w14:textId="77777777" w:rsidR="003947ED" w:rsidRPr="00511612" w:rsidRDefault="003947ED" w:rsidP="003947ED">
      <w:pPr>
        <w:spacing w:after="0" w:line="240" w:lineRule="auto"/>
        <w:rPr>
          <w:rFonts w:ascii="Arial" w:hAnsi="Arial" w:cs="Arial"/>
          <w:sz w:val="28"/>
          <w:szCs w:val="28"/>
        </w:rPr>
      </w:pPr>
    </w:p>
    <w:p w14:paraId="13E84A14" w14:textId="77777777" w:rsidR="003947ED" w:rsidRPr="00511612" w:rsidRDefault="003947ED" w:rsidP="003947ED">
      <w:pPr>
        <w:spacing w:before="200" w:after="80"/>
        <w:jc w:val="center"/>
        <w:rPr>
          <w:rFonts w:ascii="Arial" w:hAnsi="Arial" w:cs="Arial"/>
          <w:sz w:val="28"/>
          <w:szCs w:val="28"/>
        </w:rPr>
      </w:pPr>
      <w:r w:rsidRPr="00511612">
        <w:rPr>
          <w:rFonts w:ascii="Arial" w:hAnsi="Arial" w:cs="Arial"/>
          <w:b/>
          <w:color w:val="000000"/>
          <w:sz w:val="28"/>
          <w:szCs w:val="28"/>
        </w:rPr>
        <w:t>FINANCIAL PERFORMANCE AND MANAGEMENT</w:t>
      </w:r>
    </w:p>
    <w:p w14:paraId="516E99FC" w14:textId="77777777" w:rsidR="003947ED" w:rsidRPr="00511612" w:rsidRDefault="003947ED" w:rsidP="003947ED">
      <w:pPr>
        <w:spacing w:before="80" w:after="120"/>
        <w:jc w:val="center"/>
        <w:rPr>
          <w:rFonts w:ascii="Arial" w:hAnsi="Arial" w:cs="Arial"/>
          <w:sz w:val="28"/>
          <w:szCs w:val="28"/>
        </w:rPr>
      </w:pPr>
      <w:r w:rsidRPr="00511612">
        <w:rPr>
          <w:rFonts w:ascii="Arial" w:hAnsi="Arial" w:cs="Arial"/>
          <w:b/>
          <w:color w:val="2D2D2D"/>
          <w:sz w:val="28"/>
          <w:szCs w:val="28"/>
        </w:rPr>
        <w:t>Financial Performance and Ratio Analysis of</w:t>
      </w:r>
      <w:r w:rsidRPr="00511612">
        <w:rPr>
          <w:rFonts w:ascii="Arial" w:hAnsi="Arial" w:cs="Arial"/>
          <w:b/>
          <w:color w:val="2D2D2D"/>
          <w:sz w:val="28"/>
          <w:szCs w:val="28"/>
        </w:rPr>
        <w:br/>
        <w:t>Wyndham Hotels &amp; Resorts, 2021–2025</w:t>
      </w:r>
    </w:p>
    <w:tbl>
      <w:tblPr>
        <w:tblW w:w="0" w:type="auto"/>
        <w:jc w:val="center"/>
        <w:tblLayout w:type="fixed"/>
        <w:tblLook w:val="04A0" w:firstRow="1" w:lastRow="0" w:firstColumn="1" w:lastColumn="0" w:noHBand="0" w:noVBand="1"/>
      </w:tblPr>
      <w:tblGrid>
        <w:gridCol w:w="9412"/>
      </w:tblGrid>
      <w:tr w:rsidR="003947ED" w:rsidRPr="00511612" w14:paraId="407A9066" w14:textId="77777777" w:rsidTr="00AA5684">
        <w:trPr>
          <w:jc w:val="center"/>
        </w:trPr>
        <w:tc>
          <w:tcPr>
            <w:tcW w:w="9412" w:type="dxa"/>
            <w:tcBorders>
              <w:top w:val="single" w:sz="8" w:space="0" w:color="FFD400"/>
              <w:left w:val="single" w:sz="8" w:space="0" w:color="FFD400"/>
              <w:bottom w:val="single" w:sz="8" w:space="0" w:color="FFD400"/>
              <w:right w:val="single" w:sz="8" w:space="0" w:color="FFD400"/>
            </w:tcBorders>
            <w:shd w:val="clear" w:color="auto" w:fill="FFF2A8"/>
            <w:tcMar>
              <w:top w:w="120" w:type="dxa"/>
              <w:left w:w="180" w:type="dxa"/>
              <w:bottom w:w="120" w:type="dxa"/>
              <w:right w:w="180" w:type="dxa"/>
            </w:tcMar>
          </w:tcPr>
          <w:p w14:paraId="1B1645A5" w14:textId="77777777" w:rsidR="003947ED" w:rsidRPr="00511612" w:rsidRDefault="003947ED" w:rsidP="00AA5684">
            <w:pPr>
              <w:jc w:val="center"/>
              <w:rPr>
                <w:rFonts w:ascii="Arial" w:hAnsi="Arial" w:cs="Arial"/>
                <w:sz w:val="28"/>
                <w:szCs w:val="28"/>
              </w:rPr>
            </w:pPr>
            <w:r w:rsidRPr="00511612">
              <w:rPr>
                <w:rFonts w:ascii="Arial" w:hAnsi="Arial" w:cs="Arial"/>
                <w:b/>
                <w:sz w:val="28"/>
                <w:szCs w:val="28"/>
              </w:rPr>
              <w:t>Assessment Component: Financial Performance and Management</w:t>
            </w:r>
          </w:p>
        </w:tc>
      </w:tr>
    </w:tbl>
    <w:p w14:paraId="39028181" w14:textId="77777777" w:rsidR="003947ED" w:rsidRPr="00511612" w:rsidRDefault="003947ED" w:rsidP="003947ED">
      <w:pPr>
        <w:spacing w:after="80"/>
        <w:rPr>
          <w:rFonts w:ascii="Arial" w:hAnsi="Arial" w:cs="Arial"/>
          <w:sz w:val="28"/>
          <w:szCs w:val="28"/>
        </w:rPr>
      </w:pPr>
    </w:p>
    <w:tbl>
      <w:tblPr>
        <w:tblW w:w="9072" w:type="dxa"/>
        <w:jc w:val="center"/>
        <w:tblLayout w:type="fixed"/>
        <w:tblLook w:val="04A0" w:firstRow="1" w:lastRow="0" w:firstColumn="1" w:lastColumn="0" w:noHBand="0" w:noVBand="1"/>
      </w:tblPr>
      <w:tblGrid>
        <w:gridCol w:w="2520"/>
        <w:gridCol w:w="6552"/>
      </w:tblGrid>
      <w:tr w:rsidR="003947ED" w:rsidRPr="00511612" w14:paraId="4EDC799D" w14:textId="77777777" w:rsidTr="00C04AB6">
        <w:trPr>
          <w:jc w:val="center"/>
        </w:trPr>
        <w:tc>
          <w:tcPr>
            <w:tcW w:w="2520" w:type="dxa"/>
            <w:tcBorders>
              <w:top w:val="single" w:sz="6" w:space="0" w:color="B7B7B7"/>
              <w:left w:val="single" w:sz="6" w:space="0" w:color="B7B7B7"/>
              <w:bottom w:val="single" w:sz="6" w:space="0" w:color="B7B7B7"/>
              <w:right w:val="single" w:sz="6" w:space="0" w:color="B7B7B7"/>
            </w:tcBorders>
            <w:shd w:val="clear" w:color="auto" w:fill="F2F2F2"/>
            <w:tcMar>
              <w:top w:w="120" w:type="dxa"/>
              <w:left w:w="150" w:type="dxa"/>
              <w:bottom w:w="120" w:type="dxa"/>
              <w:right w:w="150" w:type="dxa"/>
            </w:tcMar>
            <w:vAlign w:val="center"/>
          </w:tcPr>
          <w:p w14:paraId="302F13A5" w14:textId="77777777" w:rsidR="003947ED" w:rsidRPr="00511612" w:rsidRDefault="003947ED" w:rsidP="00AA5684">
            <w:pPr>
              <w:spacing w:after="0"/>
              <w:jc w:val="center"/>
              <w:rPr>
                <w:rFonts w:ascii="Arial" w:hAnsi="Arial" w:cs="Arial"/>
                <w:sz w:val="28"/>
                <w:szCs w:val="28"/>
              </w:rPr>
            </w:pPr>
            <w:r w:rsidRPr="00511612">
              <w:rPr>
                <w:rFonts w:ascii="Arial" w:hAnsi="Arial" w:cs="Arial"/>
                <w:b/>
                <w:sz w:val="28"/>
                <w:szCs w:val="28"/>
              </w:rPr>
              <w:t>Student Name</w:t>
            </w:r>
          </w:p>
        </w:tc>
        <w:tc>
          <w:tcPr>
            <w:tcW w:w="6552" w:type="dxa"/>
            <w:tcBorders>
              <w:top w:val="single" w:sz="6" w:space="0" w:color="B7B7B7"/>
              <w:left w:val="single" w:sz="6" w:space="0" w:color="B7B7B7"/>
              <w:bottom w:val="single" w:sz="6" w:space="0" w:color="B7B7B7"/>
              <w:right w:val="single" w:sz="6" w:space="0" w:color="B7B7B7"/>
            </w:tcBorders>
            <w:tcMar>
              <w:top w:w="120" w:type="dxa"/>
              <w:left w:w="150" w:type="dxa"/>
              <w:bottom w:w="120" w:type="dxa"/>
              <w:right w:w="150" w:type="dxa"/>
            </w:tcMar>
            <w:vAlign w:val="center"/>
          </w:tcPr>
          <w:p w14:paraId="19117C5B" w14:textId="5904475E" w:rsidR="003947ED" w:rsidRPr="00511612" w:rsidRDefault="006E06A7" w:rsidP="006E06A7">
            <w:pPr>
              <w:jc w:val="center"/>
              <w:rPr>
                <w:rFonts w:ascii="Arial" w:hAnsi="Arial" w:cs="Arial"/>
                <w:sz w:val="28"/>
                <w:szCs w:val="28"/>
              </w:rPr>
            </w:pPr>
            <w:r w:rsidRPr="006E06A7">
              <w:rPr>
                <w:rFonts w:ascii="Arial" w:hAnsi="Arial" w:cs="Arial"/>
                <w:sz w:val="28"/>
                <w:szCs w:val="28"/>
              </w:rPr>
              <w:t xml:space="preserve">Niraj </w:t>
            </w:r>
            <w:proofErr w:type="spellStart"/>
            <w:r w:rsidRPr="006E06A7">
              <w:rPr>
                <w:rFonts w:ascii="Arial" w:hAnsi="Arial" w:cs="Arial"/>
                <w:sz w:val="28"/>
                <w:szCs w:val="28"/>
              </w:rPr>
              <w:t>Vastabhai</w:t>
            </w:r>
            <w:proofErr w:type="spellEnd"/>
            <w:r w:rsidRPr="006E06A7">
              <w:rPr>
                <w:rFonts w:ascii="Arial" w:hAnsi="Arial" w:cs="Arial"/>
                <w:sz w:val="28"/>
                <w:szCs w:val="28"/>
              </w:rPr>
              <w:t xml:space="preserve"> Odedara</w:t>
            </w:r>
          </w:p>
        </w:tc>
      </w:tr>
      <w:tr w:rsidR="00C04AB6" w:rsidRPr="00511612" w14:paraId="265B0BA8" w14:textId="77777777" w:rsidTr="00C04AB6">
        <w:trPr>
          <w:jc w:val="center"/>
        </w:trPr>
        <w:tc>
          <w:tcPr>
            <w:tcW w:w="2520" w:type="dxa"/>
            <w:tcBorders>
              <w:top w:val="single" w:sz="6" w:space="0" w:color="B7B7B7"/>
              <w:left w:val="single" w:sz="6" w:space="0" w:color="B7B7B7"/>
              <w:bottom w:val="single" w:sz="6" w:space="0" w:color="B7B7B7"/>
              <w:right w:val="single" w:sz="6" w:space="0" w:color="B7B7B7"/>
            </w:tcBorders>
            <w:shd w:val="clear" w:color="auto" w:fill="F2F2F2"/>
            <w:tcMar>
              <w:top w:w="120" w:type="dxa"/>
              <w:left w:w="150" w:type="dxa"/>
              <w:bottom w:w="120" w:type="dxa"/>
              <w:right w:w="150" w:type="dxa"/>
            </w:tcMar>
            <w:vAlign w:val="center"/>
          </w:tcPr>
          <w:p w14:paraId="1FD13B26" w14:textId="6CDAFF7B" w:rsidR="00C04AB6" w:rsidRPr="00511612" w:rsidRDefault="00C04AB6" w:rsidP="00AA5684">
            <w:pPr>
              <w:spacing w:after="0"/>
              <w:jc w:val="center"/>
              <w:rPr>
                <w:rFonts w:ascii="Arial" w:hAnsi="Arial" w:cs="Arial"/>
                <w:b/>
                <w:sz w:val="28"/>
                <w:szCs w:val="28"/>
              </w:rPr>
            </w:pPr>
            <w:r>
              <w:rPr>
                <w:rFonts w:ascii="Arial" w:hAnsi="Arial" w:cs="Arial"/>
                <w:b/>
                <w:sz w:val="28"/>
                <w:szCs w:val="28"/>
              </w:rPr>
              <w:t>Student ID</w:t>
            </w:r>
          </w:p>
        </w:tc>
        <w:tc>
          <w:tcPr>
            <w:tcW w:w="6552" w:type="dxa"/>
            <w:tcBorders>
              <w:top w:val="single" w:sz="6" w:space="0" w:color="B7B7B7"/>
              <w:left w:val="single" w:sz="6" w:space="0" w:color="B7B7B7"/>
              <w:bottom w:val="single" w:sz="6" w:space="0" w:color="B7B7B7"/>
              <w:right w:val="single" w:sz="6" w:space="0" w:color="B7B7B7"/>
            </w:tcBorders>
            <w:tcMar>
              <w:top w:w="120" w:type="dxa"/>
              <w:left w:w="150" w:type="dxa"/>
              <w:bottom w:w="120" w:type="dxa"/>
              <w:right w:w="150" w:type="dxa"/>
            </w:tcMar>
            <w:vAlign w:val="center"/>
          </w:tcPr>
          <w:p w14:paraId="38D6DFF8" w14:textId="28C5A53D" w:rsidR="00C04AB6" w:rsidRPr="00511612" w:rsidRDefault="006E06A7" w:rsidP="006E06A7">
            <w:pPr>
              <w:jc w:val="center"/>
              <w:rPr>
                <w:rFonts w:ascii="Arial" w:hAnsi="Arial" w:cs="Arial"/>
                <w:sz w:val="28"/>
                <w:szCs w:val="28"/>
              </w:rPr>
            </w:pPr>
            <w:r w:rsidRPr="006E06A7">
              <w:rPr>
                <w:rFonts w:ascii="Arial" w:hAnsi="Arial" w:cs="Arial"/>
                <w:sz w:val="28"/>
                <w:szCs w:val="28"/>
              </w:rPr>
              <w:t>2541726</w:t>
            </w:r>
          </w:p>
        </w:tc>
      </w:tr>
      <w:tr w:rsidR="003947ED" w:rsidRPr="00511612" w14:paraId="2831AECE" w14:textId="77777777" w:rsidTr="00C04AB6">
        <w:trPr>
          <w:jc w:val="center"/>
        </w:trPr>
        <w:tc>
          <w:tcPr>
            <w:tcW w:w="2520" w:type="dxa"/>
            <w:tcBorders>
              <w:top w:val="single" w:sz="6" w:space="0" w:color="B7B7B7"/>
              <w:left w:val="single" w:sz="6" w:space="0" w:color="B7B7B7"/>
              <w:bottom w:val="single" w:sz="6" w:space="0" w:color="B7B7B7"/>
              <w:right w:val="single" w:sz="6" w:space="0" w:color="B7B7B7"/>
            </w:tcBorders>
            <w:shd w:val="clear" w:color="auto" w:fill="F2F2F2"/>
            <w:tcMar>
              <w:top w:w="120" w:type="dxa"/>
              <w:left w:w="150" w:type="dxa"/>
              <w:bottom w:w="120" w:type="dxa"/>
              <w:right w:w="150" w:type="dxa"/>
            </w:tcMar>
            <w:vAlign w:val="center"/>
          </w:tcPr>
          <w:p w14:paraId="7B324B9B" w14:textId="77777777" w:rsidR="003947ED" w:rsidRPr="00511612" w:rsidRDefault="003947ED" w:rsidP="00AA5684">
            <w:pPr>
              <w:spacing w:after="0"/>
              <w:jc w:val="center"/>
              <w:rPr>
                <w:rFonts w:ascii="Arial" w:hAnsi="Arial" w:cs="Arial"/>
                <w:sz w:val="28"/>
                <w:szCs w:val="28"/>
              </w:rPr>
            </w:pPr>
            <w:proofErr w:type="spellStart"/>
            <w:r w:rsidRPr="00511612">
              <w:rPr>
                <w:rFonts w:ascii="Arial" w:hAnsi="Arial" w:cs="Arial"/>
                <w:b/>
                <w:sz w:val="28"/>
                <w:szCs w:val="28"/>
              </w:rPr>
              <w:t>Programme</w:t>
            </w:r>
            <w:proofErr w:type="spellEnd"/>
          </w:p>
        </w:tc>
        <w:tc>
          <w:tcPr>
            <w:tcW w:w="6552" w:type="dxa"/>
            <w:tcBorders>
              <w:top w:val="single" w:sz="6" w:space="0" w:color="B7B7B7"/>
              <w:left w:val="single" w:sz="6" w:space="0" w:color="B7B7B7"/>
              <w:bottom w:val="single" w:sz="6" w:space="0" w:color="B7B7B7"/>
              <w:right w:val="single" w:sz="6" w:space="0" w:color="B7B7B7"/>
            </w:tcBorders>
            <w:tcMar>
              <w:top w:w="120" w:type="dxa"/>
              <w:left w:w="150" w:type="dxa"/>
              <w:bottom w:w="120" w:type="dxa"/>
              <w:right w:w="150" w:type="dxa"/>
            </w:tcMar>
            <w:vAlign w:val="center"/>
          </w:tcPr>
          <w:p w14:paraId="538B75C3" w14:textId="77777777" w:rsidR="003947ED" w:rsidRPr="00511612" w:rsidRDefault="003947ED" w:rsidP="00AA5684">
            <w:pPr>
              <w:spacing w:after="0" w:line="252" w:lineRule="auto"/>
              <w:jc w:val="center"/>
              <w:rPr>
                <w:rFonts w:ascii="Arial" w:hAnsi="Arial" w:cs="Arial"/>
                <w:sz w:val="28"/>
                <w:szCs w:val="28"/>
              </w:rPr>
            </w:pPr>
            <w:r w:rsidRPr="00511612">
              <w:rPr>
                <w:rFonts w:ascii="Arial" w:hAnsi="Arial" w:cs="Arial"/>
                <w:sz w:val="28"/>
                <w:szCs w:val="28"/>
              </w:rPr>
              <w:t>Master of Business Administration</w:t>
            </w:r>
          </w:p>
        </w:tc>
      </w:tr>
      <w:tr w:rsidR="003947ED" w:rsidRPr="00511612" w14:paraId="64D87766" w14:textId="77777777" w:rsidTr="00C04AB6">
        <w:trPr>
          <w:jc w:val="center"/>
        </w:trPr>
        <w:tc>
          <w:tcPr>
            <w:tcW w:w="2520" w:type="dxa"/>
            <w:tcBorders>
              <w:top w:val="single" w:sz="6" w:space="0" w:color="B7B7B7"/>
              <w:left w:val="single" w:sz="6" w:space="0" w:color="B7B7B7"/>
              <w:bottom w:val="single" w:sz="6" w:space="0" w:color="B7B7B7"/>
              <w:right w:val="single" w:sz="6" w:space="0" w:color="B7B7B7"/>
            </w:tcBorders>
            <w:shd w:val="clear" w:color="auto" w:fill="F2F2F2"/>
            <w:tcMar>
              <w:top w:w="120" w:type="dxa"/>
              <w:left w:w="150" w:type="dxa"/>
              <w:bottom w:w="120" w:type="dxa"/>
              <w:right w:w="150" w:type="dxa"/>
            </w:tcMar>
            <w:vAlign w:val="center"/>
          </w:tcPr>
          <w:p w14:paraId="150BDD12" w14:textId="77777777" w:rsidR="003947ED" w:rsidRPr="00511612" w:rsidRDefault="003947ED" w:rsidP="00AA5684">
            <w:pPr>
              <w:spacing w:after="0"/>
              <w:jc w:val="center"/>
              <w:rPr>
                <w:rFonts w:ascii="Arial" w:hAnsi="Arial" w:cs="Arial"/>
                <w:sz w:val="28"/>
                <w:szCs w:val="28"/>
              </w:rPr>
            </w:pPr>
            <w:r w:rsidRPr="00511612">
              <w:rPr>
                <w:rFonts w:ascii="Arial" w:hAnsi="Arial" w:cs="Arial"/>
                <w:b/>
                <w:sz w:val="28"/>
                <w:szCs w:val="28"/>
              </w:rPr>
              <w:t>Module</w:t>
            </w:r>
          </w:p>
        </w:tc>
        <w:tc>
          <w:tcPr>
            <w:tcW w:w="6552" w:type="dxa"/>
            <w:tcBorders>
              <w:top w:val="single" w:sz="6" w:space="0" w:color="B7B7B7"/>
              <w:left w:val="single" w:sz="6" w:space="0" w:color="B7B7B7"/>
              <w:bottom w:val="single" w:sz="6" w:space="0" w:color="B7B7B7"/>
              <w:right w:val="single" w:sz="6" w:space="0" w:color="B7B7B7"/>
            </w:tcBorders>
            <w:tcMar>
              <w:top w:w="120" w:type="dxa"/>
              <w:left w:w="150" w:type="dxa"/>
              <w:bottom w:w="120" w:type="dxa"/>
              <w:right w:w="150" w:type="dxa"/>
            </w:tcMar>
            <w:vAlign w:val="center"/>
          </w:tcPr>
          <w:p w14:paraId="032CB2EA" w14:textId="77777777" w:rsidR="003947ED" w:rsidRPr="00511612" w:rsidRDefault="003947ED" w:rsidP="00AA5684">
            <w:pPr>
              <w:spacing w:after="0" w:line="252" w:lineRule="auto"/>
              <w:jc w:val="center"/>
              <w:rPr>
                <w:rFonts w:ascii="Arial" w:hAnsi="Arial" w:cs="Arial"/>
                <w:sz w:val="28"/>
                <w:szCs w:val="28"/>
              </w:rPr>
            </w:pPr>
            <w:r w:rsidRPr="00511612">
              <w:rPr>
                <w:rFonts w:ascii="Arial" w:hAnsi="Arial" w:cs="Arial"/>
                <w:sz w:val="28"/>
                <w:szCs w:val="28"/>
              </w:rPr>
              <w:t>Financial Management</w:t>
            </w:r>
          </w:p>
        </w:tc>
      </w:tr>
      <w:tr w:rsidR="003947ED" w:rsidRPr="00511612" w14:paraId="50D80473" w14:textId="77777777" w:rsidTr="00C04AB6">
        <w:trPr>
          <w:jc w:val="center"/>
        </w:trPr>
        <w:tc>
          <w:tcPr>
            <w:tcW w:w="2520" w:type="dxa"/>
            <w:tcBorders>
              <w:top w:val="single" w:sz="6" w:space="0" w:color="B7B7B7"/>
              <w:left w:val="single" w:sz="6" w:space="0" w:color="B7B7B7"/>
              <w:bottom w:val="single" w:sz="6" w:space="0" w:color="B7B7B7"/>
              <w:right w:val="single" w:sz="6" w:space="0" w:color="B7B7B7"/>
            </w:tcBorders>
            <w:shd w:val="clear" w:color="auto" w:fill="F2F2F2"/>
            <w:tcMar>
              <w:top w:w="120" w:type="dxa"/>
              <w:left w:w="150" w:type="dxa"/>
              <w:bottom w:w="120" w:type="dxa"/>
              <w:right w:w="150" w:type="dxa"/>
            </w:tcMar>
            <w:vAlign w:val="center"/>
          </w:tcPr>
          <w:p w14:paraId="5F696D54" w14:textId="77777777" w:rsidR="003947ED" w:rsidRPr="00511612" w:rsidRDefault="003947ED" w:rsidP="00AA5684">
            <w:pPr>
              <w:spacing w:after="0"/>
              <w:jc w:val="center"/>
              <w:rPr>
                <w:rFonts w:ascii="Arial" w:hAnsi="Arial" w:cs="Arial"/>
                <w:sz w:val="28"/>
                <w:szCs w:val="28"/>
              </w:rPr>
            </w:pPr>
            <w:r w:rsidRPr="00511612">
              <w:rPr>
                <w:rFonts w:ascii="Arial" w:hAnsi="Arial" w:cs="Arial"/>
                <w:b/>
                <w:sz w:val="28"/>
                <w:szCs w:val="28"/>
              </w:rPr>
              <w:t>Module Code</w:t>
            </w:r>
          </w:p>
        </w:tc>
        <w:tc>
          <w:tcPr>
            <w:tcW w:w="6552" w:type="dxa"/>
            <w:tcBorders>
              <w:top w:val="single" w:sz="6" w:space="0" w:color="B7B7B7"/>
              <w:left w:val="single" w:sz="6" w:space="0" w:color="B7B7B7"/>
              <w:bottom w:val="single" w:sz="6" w:space="0" w:color="B7B7B7"/>
              <w:right w:val="single" w:sz="6" w:space="0" w:color="B7B7B7"/>
            </w:tcBorders>
            <w:tcMar>
              <w:top w:w="120" w:type="dxa"/>
              <w:left w:w="150" w:type="dxa"/>
              <w:bottom w:w="120" w:type="dxa"/>
              <w:right w:w="150" w:type="dxa"/>
            </w:tcMar>
            <w:vAlign w:val="center"/>
          </w:tcPr>
          <w:p w14:paraId="6A942839" w14:textId="77777777" w:rsidR="003947ED" w:rsidRPr="00511612" w:rsidRDefault="003947ED" w:rsidP="00AA5684">
            <w:pPr>
              <w:spacing w:after="0" w:line="252" w:lineRule="auto"/>
              <w:jc w:val="center"/>
              <w:rPr>
                <w:rFonts w:ascii="Arial" w:hAnsi="Arial" w:cs="Arial"/>
                <w:sz w:val="28"/>
                <w:szCs w:val="28"/>
              </w:rPr>
            </w:pPr>
            <w:r w:rsidRPr="00511612">
              <w:rPr>
                <w:rFonts w:ascii="Arial" w:hAnsi="Arial" w:cs="Arial"/>
                <w:sz w:val="28"/>
                <w:szCs w:val="28"/>
              </w:rPr>
              <w:t>LCMB7002</w:t>
            </w:r>
          </w:p>
        </w:tc>
      </w:tr>
      <w:tr w:rsidR="003947ED" w:rsidRPr="00511612" w14:paraId="3EAE2B04" w14:textId="77777777" w:rsidTr="00C04AB6">
        <w:trPr>
          <w:jc w:val="center"/>
        </w:trPr>
        <w:tc>
          <w:tcPr>
            <w:tcW w:w="2520" w:type="dxa"/>
            <w:tcBorders>
              <w:top w:val="single" w:sz="6" w:space="0" w:color="B7B7B7"/>
              <w:left w:val="single" w:sz="6" w:space="0" w:color="B7B7B7"/>
              <w:bottom w:val="single" w:sz="6" w:space="0" w:color="B7B7B7"/>
              <w:right w:val="single" w:sz="6" w:space="0" w:color="B7B7B7"/>
            </w:tcBorders>
            <w:shd w:val="clear" w:color="auto" w:fill="F2F2F2"/>
            <w:tcMar>
              <w:top w:w="120" w:type="dxa"/>
              <w:left w:w="150" w:type="dxa"/>
              <w:bottom w:w="120" w:type="dxa"/>
              <w:right w:w="150" w:type="dxa"/>
            </w:tcMar>
            <w:vAlign w:val="center"/>
          </w:tcPr>
          <w:p w14:paraId="0A2F7F48" w14:textId="77777777" w:rsidR="003947ED" w:rsidRPr="00511612" w:rsidRDefault="003947ED" w:rsidP="00AA5684">
            <w:pPr>
              <w:spacing w:after="0"/>
              <w:jc w:val="center"/>
              <w:rPr>
                <w:rFonts w:ascii="Arial" w:hAnsi="Arial" w:cs="Arial"/>
                <w:sz w:val="28"/>
                <w:szCs w:val="28"/>
              </w:rPr>
            </w:pPr>
            <w:r w:rsidRPr="00511612">
              <w:rPr>
                <w:rFonts w:ascii="Arial" w:hAnsi="Arial" w:cs="Arial"/>
                <w:b/>
                <w:sz w:val="28"/>
                <w:szCs w:val="28"/>
              </w:rPr>
              <w:t>Lecturer(s)</w:t>
            </w:r>
          </w:p>
        </w:tc>
        <w:tc>
          <w:tcPr>
            <w:tcW w:w="6552" w:type="dxa"/>
            <w:tcBorders>
              <w:top w:val="single" w:sz="6" w:space="0" w:color="B7B7B7"/>
              <w:left w:val="single" w:sz="6" w:space="0" w:color="B7B7B7"/>
              <w:bottom w:val="single" w:sz="6" w:space="0" w:color="B7B7B7"/>
              <w:right w:val="single" w:sz="6" w:space="0" w:color="B7B7B7"/>
            </w:tcBorders>
            <w:tcMar>
              <w:top w:w="120" w:type="dxa"/>
              <w:left w:w="150" w:type="dxa"/>
              <w:bottom w:w="120" w:type="dxa"/>
              <w:right w:w="150" w:type="dxa"/>
            </w:tcMar>
            <w:vAlign w:val="center"/>
          </w:tcPr>
          <w:p w14:paraId="5B3295EA" w14:textId="77777777" w:rsidR="003947ED" w:rsidRPr="00511612" w:rsidRDefault="003947ED" w:rsidP="00AA5684">
            <w:pPr>
              <w:spacing w:after="0" w:line="252" w:lineRule="auto"/>
              <w:jc w:val="center"/>
              <w:rPr>
                <w:rFonts w:ascii="Arial" w:hAnsi="Arial" w:cs="Arial"/>
                <w:sz w:val="28"/>
                <w:szCs w:val="28"/>
              </w:rPr>
            </w:pPr>
            <w:proofErr w:type="spellStart"/>
            <w:r w:rsidRPr="00511612">
              <w:rPr>
                <w:rFonts w:ascii="Arial" w:hAnsi="Arial" w:cs="Arial"/>
                <w:sz w:val="28"/>
                <w:szCs w:val="28"/>
              </w:rPr>
              <w:t>Shengfeng</w:t>
            </w:r>
            <w:proofErr w:type="spellEnd"/>
            <w:r w:rsidRPr="00511612">
              <w:rPr>
                <w:rFonts w:ascii="Arial" w:hAnsi="Arial" w:cs="Arial"/>
                <w:sz w:val="28"/>
                <w:szCs w:val="28"/>
              </w:rPr>
              <w:t xml:space="preserve"> Mei (London)</w:t>
            </w:r>
            <w:r w:rsidRPr="00511612">
              <w:rPr>
                <w:rFonts w:ascii="Arial" w:hAnsi="Arial" w:cs="Arial"/>
                <w:sz w:val="28"/>
                <w:szCs w:val="28"/>
              </w:rPr>
              <w:br/>
              <w:t>Patrick Yeboah (Birmingham)</w:t>
            </w:r>
          </w:p>
        </w:tc>
      </w:tr>
      <w:tr w:rsidR="003947ED" w:rsidRPr="00511612" w14:paraId="54B25330" w14:textId="77777777" w:rsidTr="00C04AB6">
        <w:trPr>
          <w:jc w:val="center"/>
        </w:trPr>
        <w:tc>
          <w:tcPr>
            <w:tcW w:w="2520" w:type="dxa"/>
            <w:tcBorders>
              <w:top w:val="single" w:sz="6" w:space="0" w:color="B7B7B7"/>
              <w:left w:val="single" w:sz="6" w:space="0" w:color="B7B7B7"/>
              <w:bottom w:val="single" w:sz="6" w:space="0" w:color="B7B7B7"/>
              <w:right w:val="single" w:sz="6" w:space="0" w:color="B7B7B7"/>
            </w:tcBorders>
            <w:shd w:val="clear" w:color="auto" w:fill="F2F2F2"/>
            <w:tcMar>
              <w:top w:w="120" w:type="dxa"/>
              <w:left w:w="150" w:type="dxa"/>
              <w:bottom w:w="120" w:type="dxa"/>
              <w:right w:w="150" w:type="dxa"/>
            </w:tcMar>
            <w:vAlign w:val="center"/>
          </w:tcPr>
          <w:p w14:paraId="3AB51FB4" w14:textId="77777777" w:rsidR="003947ED" w:rsidRPr="00511612" w:rsidRDefault="003947ED" w:rsidP="00AA5684">
            <w:pPr>
              <w:spacing w:after="0"/>
              <w:jc w:val="center"/>
              <w:rPr>
                <w:rFonts w:ascii="Arial" w:hAnsi="Arial" w:cs="Arial"/>
                <w:sz w:val="28"/>
                <w:szCs w:val="28"/>
              </w:rPr>
            </w:pPr>
            <w:r w:rsidRPr="00511612">
              <w:rPr>
                <w:rFonts w:ascii="Arial" w:hAnsi="Arial" w:cs="Arial"/>
                <w:b/>
                <w:sz w:val="28"/>
                <w:szCs w:val="28"/>
              </w:rPr>
              <w:t>Assignment Title</w:t>
            </w:r>
          </w:p>
        </w:tc>
        <w:tc>
          <w:tcPr>
            <w:tcW w:w="6552" w:type="dxa"/>
            <w:tcBorders>
              <w:top w:val="single" w:sz="6" w:space="0" w:color="B7B7B7"/>
              <w:left w:val="single" w:sz="6" w:space="0" w:color="B7B7B7"/>
              <w:bottom w:val="single" w:sz="6" w:space="0" w:color="B7B7B7"/>
              <w:right w:val="single" w:sz="6" w:space="0" w:color="B7B7B7"/>
            </w:tcBorders>
            <w:tcMar>
              <w:top w:w="120" w:type="dxa"/>
              <w:left w:w="150" w:type="dxa"/>
              <w:bottom w:w="120" w:type="dxa"/>
              <w:right w:w="150" w:type="dxa"/>
            </w:tcMar>
            <w:vAlign w:val="center"/>
          </w:tcPr>
          <w:p w14:paraId="518E21C5" w14:textId="77777777" w:rsidR="003947ED" w:rsidRPr="00511612" w:rsidRDefault="003947ED" w:rsidP="00AA5684">
            <w:pPr>
              <w:spacing w:after="0" w:line="252" w:lineRule="auto"/>
              <w:jc w:val="center"/>
              <w:rPr>
                <w:rFonts w:ascii="Arial" w:hAnsi="Arial" w:cs="Arial"/>
                <w:sz w:val="28"/>
                <w:szCs w:val="28"/>
              </w:rPr>
            </w:pPr>
            <w:r w:rsidRPr="00511612">
              <w:rPr>
                <w:rFonts w:ascii="Arial" w:hAnsi="Arial" w:cs="Arial"/>
                <w:sz w:val="28"/>
                <w:szCs w:val="28"/>
              </w:rPr>
              <w:t>Assessment Component: Financial Performance and Management</w:t>
            </w:r>
          </w:p>
        </w:tc>
      </w:tr>
      <w:tr w:rsidR="003947ED" w:rsidRPr="00511612" w14:paraId="49E7C0B1" w14:textId="77777777" w:rsidTr="00C04AB6">
        <w:trPr>
          <w:jc w:val="center"/>
        </w:trPr>
        <w:tc>
          <w:tcPr>
            <w:tcW w:w="2520" w:type="dxa"/>
            <w:tcBorders>
              <w:top w:val="single" w:sz="6" w:space="0" w:color="B7B7B7"/>
              <w:left w:val="single" w:sz="6" w:space="0" w:color="B7B7B7"/>
              <w:bottom w:val="single" w:sz="6" w:space="0" w:color="B7B7B7"/>
              <w:right w:val="single" w:sz="6" w:space="0" w:color="B7B7B7"/>
            </w:tcBorders>
            <w:shd w:val="clear" w:color="auto" w:fill="F2F2F2"/>
            <w:tcMar>
              <w:top w:w="120" w:type="dxa"/>
              <w:left w:w="150" w:type="dxa"/>
              <w:bottom w:w="120" w:type="dxa"/>
              <w:right w:w="150" w:type="dxa"/>
            </w:tcMar>
            <w:vAlign w:val="center"/>
          </w:tcPr>
          <w:p w14:paraId="582E435C" w14:textId="77777777" w:rsidR="003947ED" w:rsidRPr="00511612" w:rsidRDefault="003947ED" w:rsidP="00AA5684">
            <w:pPr>
              <w:spacing w:after="0"/>
              <w:jc w:val="center"/>
              <w:rPr>
                <w:rFonts w:ascii="Arial" w:hAnsi="Arial" w:cs="Arial"/>
                <w:sz w:val="28"/>
                <w:szCs w:val="28"/>
              </w:rPr>
            </w:pPr>
            <w:r w:rsidRPr="00511612">
              <w:rPr>
                <w:rFonts w:ascii="Arial" w:hAnsi="Arial" w:cs="Arial"/>
                <w:b/>
                <w:sz w:val="28"/>
                <w:szCs w:val="28"/>
              </w:rPr>
              <w:t>Date of Submission</w:t>
            </w:r>
          </w:p>
        </w:tc>
        <w:tc>
          <w:tcPr>
            <w:tcW w:w="6552" w:type="dxa"/>
            <w:tcBorders>
              <w:top w:val="single" w:sz="6" w:space="0" w:color="B7B7B7"/>
              <w:left w:val="single" w:sz="6" w:space="0" w:color="B7B7B7"/>
              <w:bottom w:val="single" w:sz="6" w:space="0" w:color="B7B7B7"/>
              <w:right w:val="single" w:sz="6" w:space="0" w:color="B7B7B7"/>
            </w:tcBorders>
            <w:tcMar>
              <w:top w:w="120" w:type="dxa"/>
              <w:left w:w="150" w:type="dxa"/>
              <w:bottom w:w="120" w:type="dxa"/>
              <w:right w:w="150" w:type="dxa"/>
            </w:tcMar>
            <w:vAlign w:val="center"/>
          </w:tcPr>
          <w:p w14:paraId="01DB01FC" w14:textId="77777777" w:rsidR="003947ED" w:rsidRPr="00511612" w:rsidRDefault="003947ED" w:rsidP="00AA5684">
            <w:pPr>
              <w:jc w:val="center"/>
              <w:rPr>
                <w:rFonts w:ascii="Arial" w:hAnsi="Arial" w:cs="Arial"/>
                <w:sz w:val="28"/>
                <w:szCs w:val="28"/>
              </w:rPr>
            </w:pPr>
            <w:r w:rsidRPr="00511612">
              <w:rPr>
                <w:rFonts w:ascii="Arial" w:hAnsi="Arial" w:cs="Arial"/>
                <w:sz w:val="28"/>
                <w:szCs w:val="28"/>
              </w:rPr>
              <w:t>24</w:t>
            </w:r>
            <w:r w:rsidRPr="00511612">
              <w:rPr>
                <w:rFonts w:ascii="Arial" w:hAnsi="Arial" w:cs="Arial"/>
                <w:sz w:val="28"/>
                <w:szCs w:val="28"/>
                <w:vertAlign w:val="superscript"/>
              </w:rPr>
              <w:t>th</w:t>
            </w:r>
            <w:r w:rsidRPr="00511612">
              <w:rPr>
                <w:rFonts w:ascii="Arial" w:hAnsi="Arial" w:cs="Arial"/>
                <w:sz w:val="28"/>
                <w:szCs w:val="28"/>
              </w:rPr>
              <w:t xml:space="preserve"> July 2026</w:t>
            </w:r>
          </w:p>
        </w:tc>
      </w:tr>
    </w:tbl>
    <w:p w14:paraId="5AD81D38" w14:textId="3F837173" w:rsidR="006E06A7" w:rsidRDefault="006E06A7" w:rsidP="003947ED">
      <w:pPr>
        <w:spacing w:before="260" w:after="0"/>
        <w:jc w:val="center"/>
        <w:rPr>
          <w:rFonts w:ascii="Arial" w:hAnsi="Arial" w:cs="Arial"/>
          <w:sz w:val="28"/>
          <w:szCs w:val="28"/>
        </w:rPr>
      </w:pPr>
    </w:p>
    <w:p w14:paraId="24DBECBE" w14:textId="76C44F79" w:rsidR="00160CEE" w:rsidRPr="006E06A7" w:rsidRDefault="006E06A7" w:rsidP="006E06A7">
      <w:pPr>
        <w:rPr>
          <w:rFonts w:ascii="Arial" w:hAnsi="Arial" w:cs="Arial"/>
          <w:sz w:val="28"/>
          <w:szCs w:val="28"/>
        </w:rPr>
      </w:pPr>
      <w:r>
        <w:rPr>
          <w:rFonts w:ascii="Arial" w:hAnsi="Arial" w:cs="Arial"/>
          <w:sz w:val="28"/>
          <w:szCs w:val="28"/>
        </w:rPr>
        <w:br w:type="page"/>
      </w:r>
    </w:p>
    <w:sdt>
      <w:sdtPr>
        <w:rPr>
          <w:rFonts w:ascii="Arial" w:eastAsiaTheme="minorEastAsia" w:hAnsi="Arial" w:cs="Arial"/>
          <w:b w:val="0"/>
          <w:bCs w:val="0"/>
          <w:smallCaps w:val="0"/>
          <w:color w:val="auto"/>
          <w:sz w:val="24"/>
          <w:szCs w:val="24"/>
        </w:rPr>
        <w:id w:val="-1159541879"/>
        <w:docPartObj>
          <w:docPartGallery w:val="Table of Contents"/>
          <w:docPartUnique/>
        </w:docPartObj>
      </w:sdtPr>
      <w:sdtEndPr>
        <w:rPr>
          <w:noProof/>
        </w:rPr>
      </w:sdtEndPr>
      <w:sdtContent>
        <w:p w14:paraId="0DB59602" w14:textId="6492591C" w:rsidR="000E7262" w:rsidRPr="006E06A7" w:rsidRDefault="000E7262" w:rsidP="006E06A7">
          <w:pPr>
            <w:pStyle w:val="TOCHeading"/>
            <w:numPr>
              <w:ilvl w:val="0"/>
              <w:numId w:val="0"/>
            </w:numPr>
            <w:ind w:left="432" w:hanging="432"/>
            <w:jc w:val="center"/>
            <w:rPr>
              <w:rFonts w:ascii="Arial" w:hAnsi="Arial" w:cs="Arial"/>
              <w:sz w:val="32"/>
              <w:szCs w:val="32"/>
            </w:rPr>
          </w:pPr>
          <w:r w:rsidRPr="006E06A7">
            <w:rPr>
              <w:rFonts w:ascii="Arial" w:hAnsi="Arial" w:cs="Arial"/>
              <w:sz w:val="32"/>
              <w:szCs w:val="32"/>
            </w:rPr>
            <w:t>Table of Contents</w:t>
          </w:r>
        </w:p>
        <w:p w14:paraId="337440D6" w14:textId="214BA34C" w:rsidR="00A54746" w:rsidRDefault="000E7262">
          <w:pPr>
            <w:pStyle w:val="TOC1"/>
            <w:tabs>
              <w:tab w:val="left" w:pos="480"/>
              <w:tab w:val="right" w:leader="dot" w:pos="9016"/>
            </w:tabs>
            <w:rPr>
              <w:noProof/>
              <w:kern w:val="2"/>
              <w:sz w:val="24"/>
              <w:szCs w:val="24"/>
              <w14:ligatures w14:val="standardContextual"/>
            </w:rPr>
          </w:pPr>
          <w:r w:rsidRPr="00C63568">
            <w:rPr>
              <w:rFonts w:ascii="Arial" w:hAnsi="Arial" w:cs="Arial"/>
              <w:sz w:val="24"/>
              <w:szCs w:val="24"/>
            </w:rPr>
            <w:fldChar w:fldCharType="begin"/>
          </w:r>
          <w:r w:rsidRPr="00C63568">
            <w:rPr>
              <w:rFonts w:ascii="Arial" w:hAnsi="Arial" w:cs="Arial"/>
              <w:sz w:val="24"/>
              <w:szCs w:val="24"/>
            </w:rPr>
            <w:instrText xml:space="preserve"> TOC \o "1-3" \h \z \u </w:instrText>
          </w:r>
          <w:r w:rsidRPr="00C63568">
            <w:rPr>
              <w:rFonts w:ascii="Arial" w:hAnsi="Arial" w:cs="Arial"/>
              <w:sz w:val="24"/>
              <w:szCs w:val="24"/>
            </w:rPr>
            <w:fldChar w:fldCharType="separate"/>
          </w:r>
          <w:hyperlink w:anchor="_Toc235706396" w:history="1">
            <w:r w:rsidR="00A54746" w:rsidRPr="00115240">
              <w:rPr>
                <w:rStyle w:val="Hyperlink"/>
                <w:rFonts w:ascii="Arial" w:hAnsi="Arial" w:cs="Arial"/>
                <w:noProof/>
              </w:rPr>
              <w:t>1</w:t>
            </w:r>
            <w:r w:rsidR="00A54746">
              <w:rPr>
                <w:noProof/>
                <w:kern w:val="2"/>
                <w:sz w:val="24"/>
                <w:szCs w:val="24"/>
                <w14:ligatures w14:val="standardContextual"/>
              </w:rPr>
              <w:tab/>
            </w:r>
            <w:r w:rsidR="00A54746" w:rsidRPr="00115240">
              <w:rPr>
                <w:rStyle w:val="Hyperlink"/>
                <w:rFonts w:ascii="Arial" w:hAnsi="Arial" w:cs="Arial"/>
                <w:noProof/>
              </w:rPr>
              <w:t>Financial Performance and Ratio Analysis of Wyndham Hotels &amp; Resorts, 2021–2025</w:t>
            </w:r>
            <w:r w:rsidR="00A54746">
              <w:rPr>
                <w:noProof/>
                <w:webHidden/>
              </w:rPr>
              <w:tab/>
            </w:r>
            <w:r w:rsidR="00A54746">
              <w:rPr>
                <w:noProof/>
                <w:webHidden/>
              </w:rPr>
              <w:fldChar w:fldCharType="begin"/>
            </w:r>
            <w:r w:rsidR="00A54746">
              <w:rPr>
                <w:noProof/>
                <w:webHidden/>
              </w:rPr>
              <w:instrText xml:space="preserve"> PAGEREF _Toc235706396 \h </w:instrText>
            </w:r>
            <w:r w:rsidR="00A54746">
              <w:rPr>
                <w:noProof/>
                <w:webHidden/>
              </w:rPr>
            </w:r>
            <w:r w:rsidR="00A54746">
              <w:rPr>
                <w:noProof/>
                <w:webHidden/>
              </w:rPr>
              <w:fldChar w:fldCharType="separate"/>
            </w:r>
            <w:r w:rsidR="00A54746">
              <w:rPr>
                <w:noProof/>
                <w:webHidden/>
              </w:rPr>
              <w:t>3</w:t>
            </w:r>
            <w:r w:rsidR="00A54746">
              <w:rPr>
                <w:noProof/>
                <w:webHidden/>
              </w:rPr>
              <w:fldChar w:fldCharType="end"/>
            </w:r>
          </w:hyperlink>
        </w:p>
        <w:p w14:paraId="0DE82417" w14:textId="23F959DB" w:rsidR="00A54746" w:rsidRDefault="00A54746">
          <w:pPr>
            <w:pStyle w:val="TOC2"/>
            <w:tabs>
              <w:tab w:val="left" w:pos="960"/>
              <w:tab w:val="right" w:leader="dot" w:pos="9016"/>
            </w:tabs>
            <w:rPr>
              <w:noProof/>
              <w:kern w:val="2"/>
              <w:sz w:val="24"/>
              <w:szCs w:val="24"/>
              <w14:ligatures w14:val="standardContextual"/>
            </w:rPr>
          </w:pPr>
          <w:hyperlink w:anchor="_Toc235706397" w:history="1">
            <w:r w:rsidRPr="00115240">
              <w:rPr>
                <w:rStyle w:val="Hyperlink"/>
                <w:rFonts w:ascii="Arial" w:hAnsi="Arial" w:cs="Arial"/>
                <w:noProof/>
              </w:rPr>
              <w:t>1.1</w:t>
            </w:r>
            <w:r>
              <w:rPr>
                <w:noProof/>
                <w:kern w:val="2"/>
                <w:sz w:val="24"/>
                <w:szCs w:val="24"/>
                <w14:ligatures w14:val="standardContextual"/>
              </w:rPr>
              <w:tab/>
            </w:r>
            <w:r w:rsidRPr="00115240">
              <w:rPr>
                <w:rStyle w:val="Hyperlink"/>
                <w:rFonts w:ascii="Arial" w:hAnsi="Arial" w:cs="Arial"/>
                <w:noProof/>
              </w:rPr>
              <w:t>Executive Overview</w:t>
            </w:r>
            <w:r>
              <w:rPr>
                <w:noProof/>
                <w:webHidden/>
              </w:rPr>
              <w:tab/>
            </w:r>
            <w:r>
              <w:rPr>
                <w:noProof/>
                <w:webHidden/>
              </w:rPr>
              <w:fldChar w:fldCharType="begin"/>
            </w:r>
            <w:r>
              <w:rPr>
                <w:noProof/>
                <w:webHidden/>
              </w:rPr>
              <w:instrText xml:space="preserve"> PAGEREF _Toc235706397 \h </w:instrText>
            </w:r>
            <w:r>
              <w:rPr>
                <w:noProof/>
                <w:webHidden/>
              </w:rPr>
            </w:r>
            <w:r>
              <w:rPr>
                <w:noProof/>
                <w:webHidden/>
              </w:rPr>
              <w:fldChar w:fldCharType="separate"/>
            </w:r>
            <w:r>
              <w:rPr>
                <w:noProof/>
                <w:webHidden/>
              </w:rPr>
              <w:t>3</w:t>
            </w:r>
            <w:r>
              <w:rPr>
                <w:noProof/>
                <w:webHidden/>
              </w:rPr>
              <w:fldChar w:fldCharType="end"/>
            </w:r>
          </w:hyperlink>
        </w:p>
        <w:p w14:paraId="1DBD51BC" w14:textId="7E68DC89" w:rsidR="00A54746" w:rsidRDefault="00A54746">
          <w:pPr>
            <w:pStyle w:val="TOC2"/>
            <w:tabs>
              <w:tab w:val="left" w:pos="960"/>
              <w:tab w:val="right" w:leader="dot" w:pos="9016"/>
            </w:tabs>
            <w:rPr>
              <w:noProof/>
              <w:kern w:val="2"/>
              <w:sz w:val="24"/>
              <w:szCs w:val="24"/>
              <w14:ligatures w14:val="standardContextual"/>
            </w:rPr>
          </w:pPr>
          <w:hyperlink w:anchor="_Toc235706398" w:history="1">
            <w:r w:rsidRPr="00115240">
              <w:rPr>
                <w:rStyle w:val="Hyperlink"/>
                <w:rFonts w:ascii="Arial" w:hAnsi="Arial" w:cs="Arial"/>
                <w:noProof/>
              </w:rPr>
              <w:t>1.2</w:t>
            </w:r>
            <w:r>
              <w:rPr>
                <w:noProof/>
                <w:kern w:val="2"/>
                <w:sz w:val="24"/>
                <w:szCs w:val="24"/>
                <w14:ligatures w14:val="standardContextual"/>
              </w:rPr>
              <w:tab/>
            </w:r>
            <w:r w:rsidRPr="00115240">
              <w:rPr>
                <w:rStyle w:val="Hyperlink"/>
                <w:rFonts w:ascii="Arial" w:hAnsi="Arial" w:cs="Arial"/>
                <w:noProof/>
              </w:rPr>
              <w:t>Five-Year Financial-Statement Performance</w:t>
            </w:r>
            <w:r>
              <w:rPr>
                <w:noProof/>
                <w:webHidden/>
              </w:rPr>
              <w:tab/>
            </w:r>
            <w:r>
              <w:rPr>
                <w:noProof/>
                <w:webHidden/>
              </w:rPr>
              <w:fldChar w:fldCharType="begin"/>
            </w:r>
            <w:r>
              <w:rPr>
                <w:noProof/>
                <w:webHidden/>
              </w:rPr>
              <w:instrText xml:space="preserve"> PAGEREF _Toc235706398 \h </w:instrText>
            </w:r>
            <w:r>
              <w:rPr>
                <w:noProof/>
                <w:webHidden/>
              </w:rPr>
            </w:r>
            <w:r>
              <w:rPr>
                <w:noProof/>
                <w:webHidden/>
              </w:rPr>
              <w:fldChar w:fldCharType="separate"/>
            </w:r>
            <w:r>
              <w:rPr>
                <w:noProof/>
                <w:webHidden/>
              </w:rPr>
              <w:t>3</w:t>
            </w:r>
            <w:r>
              <w:rPr>
                <w:noProof/>
                <w:webHidden/>
              </w:rPr>
              <w:fldChar w:fldCharType="end"/>
            </w:r>
          </w:hyperlink>
        </w:p>
        <w:p w14:paraId="02F568CD" w14:textId="3C3F8AD4" w:rsidR="00A54746" w:rsidRDefault="00A54746">
          <w:pPr>
            <w:pStyle w:val="TOC2"/>
            <w:tabs>
              <w:tab w:val="left" w:pos="960"/>
              <w:tab w:val="right" w:leader="dot" w:pos="9016"/>
            </w:tabs>
            <w:rPr>
              <w:noProof/>
              <w:kern w:val="2"/>
              <w:sz w:val="24"/>
              <w:szCs w:val="24"/>
              <w14:ligatures w14:val="standardContextual"/>
            </w:rPr>
          </w:pPr>
          <w:hyperlink w:anchor="_Toc235706399" w:history="1">
            <w:r w:rsidRPr="00115240">
              <w:rPr>
                <w:rStyle w:val="Hyperlink"/>
                <w:rFonts w:ascii="Arial" w:hAnsi="Arial" w:cs="Arial"/>
                <w:noProof/>
              </w:rPr>
              <w:t>1.3</w:t>
            </w:r>
            <w:r>
              <w:rPr>
                <w:noProof/>
                <w:kern w:val="2"/>
                <w:sz w:val="24"/>
                <w:szCs w:val="24"/>
                <w14:ligatures w14:val="standardContextual"/>
              </w:rPr>
              <w:tab/>
            </w:r>
            <w:r w:rsidRPr="00115240">
              <w:rPr>
                <w:rStyle w:val="Hyperlink"/>
                <w:rFonts w:ascii="Arial" w:hAnsi="Arial" w:cs="Arial"/>
                <w:noProof/>
              </w:rPr>
              <w:t>Comprehensive Ratio Analysis</w:t>
            </w:r>
            <w:r>
              <w:rPr>
                <w:noProof/>
                <w:webHidden/>
              </w:rPr>
              <w:tab/>
            </w:r>
            <w:r>
              <w:rPr>
                <w:noProof/>
                <w:webHidden/>
              </w:rPr>
              <w:fldChar w:fldCharType="begin"/>
            </w:r>
            <w:r>
              <w:rPr>
                <w:noProof/>
                <w:webHidden/>
              </w:rPr>
              <w:instrText xml:space="preserve"> PAGEREF _Toc235706399 \h </w:instrText>
            </w:r>
            <w:r>
              <w:rPr>
                <w:noProof/>
                <w:webHidden/>
              </w:rPr>
            </w:r>
            <w:r>
              <w:rPr>
                <w:noProof/>
                <w:webHidden/>
              </w:rPr>
              <w:fldChar w:fldCharType="separate"/>
            </w:r>
            <w:r>
              <w:rPr>
                <w:noProof/>
                <w:webHidden/>
              </w:rPr>
              <w:t>4</w:t>
            </w:r>
            <w:r>
              <w:rPr>
                <w:noProof/>
                <w:webHidden/>
              </w:rPr>
              <w:fldChar w:fldCharType="end"/>
            </w:r>
          </w:hyperlink>
        </w:p>
        <w:p w14:paraId="1BC2293C" w14:textId="472EFCA2" w:rsidR="00A54746" w:rsidRDefault="00A54746">
          <w:pPr>
            <w:pStyle w:val="TOC2"/>
            <w:tabs>
              <w:tab w:val="left" w:pos="960"/>
              <w:tab w:val="right" w:leader="dot" w:pos="9016"/>
            </w:tabs>
            <w:rPr>
              <w:noProof/>
              <w:kern w:val="2"/>
              <w:sz w:val="24"/>
              <w:szCs w:val="24"/>
              <w14:ligatures w14:val="standardContextual"/>
            </w:rPr>
          </w:pPr>
          <w:hyperlink w:anchor="_Toc235706400" w:history="1">
            <w:r w:rsidRPr="00115240">
              <w:rPr>
                <w:rStyle w:val="Hyperlink"/>
                <w:rFonts w:ascii="Arial" w:hAnsi="Arial" w:cs="Arial"/>
                <w:noProof/>
              </w:rPr>
              <w:t>1.4</w:t>
            </w:r>
            <w:r>
              <w:rPr>
                <w:noProof/>
                <w:kern w:val="2"/>
                <w:sz w:val="24"/>
                <w:szCs w:val="24"/>
                <w14:ligatures w14:val="standardContextual"/>
              </w:rPr>
              <w:tab/>
            </w:r>
            <w:r w:rsidRPr="00115240">
              <w:rPr>
                <w:rStyle w:val="Hyperlink"/>
                <w:rFonts w:ascii="Arial" w:hAnsi="Arial" w:cs="Arial"/>
                <w:noProof/>
              </w:rPr>
              <w:t>Liquidity Comparison with Industry Benchmarks</w:t>
            </w:r>
            <w:r>
              <w:rPr>
                <w:noProof/>
                <w:webHidden/>
              </w:rPr>
              <w:tab/>
            </w:r>
            <w:r>
              <w:rPr>
                <w:noProof/>
                <w:webHidden/>
              </w:rPr>
              <w:fldChar w:fldCharType="begin"/>
            </w:r>
            <w:r>
              <w:rPr>
                <w:noProof/>
                <w:webHidden/>
              </w:rPr>
              <w:instrText xml:space="preserve"> PAGEREF _Toc235706400 \h </w:instrText>
            </w:r>
            <w:r>
              <w:rPr>
                <w:noProof/>
                <w:webHidden/>
              </w:rPr>
            </w:r>
            <w:r>
              <w:rPr>
                <w:noProof/>
                <w:webHidden/>
              </w:rPr>
              <w:fldChar w:fldCharType="separate"/>
            </w:r>
            <w:r>
              <w:rPr>
                <w:noProof/>
                <w:webHidden/>
              </w:rPr>
              <w:t>5</w:t>
            </w:r>
            <w:r>
              <w:rPr>
                <w:noProof/>
                <w:webHidden/>
              </w:rPr>
              <w:fldChar w:fldCharType="end"/>
            </w:r>
          </w:hyperlink>
        </w:p>
        <w:p w14:paraId="02B4B573" w14:textId="1544F218" w:rsidR="00A54746" w:rsidRDefault="00A54746">
          <w:pPr>
            <w:pStyle w:val="TOC2"/>
            <w:tabs>
              <w:tab w:val="left" w:pos="960"/>
              <w:tab w:val="right" w:leader="dot" w:pos="9016"/>
            </w:tabs>
            <w:rPr>
              <w:noProof/>
              <w:kern w:val="2"/>
              <w:sz w:val="24"/>
              <w:szCs w:val="24"/>
              <w14:ligatures w14:val="standardContextual"/>
            </w:rPr>
          </w:pPr>
          <w:hyperlink w:anchor="_Toc235706401" w:history="1">
            <w:r w:rsidRPr="00115240">
              <w:rPr>
                <w:rStyle w:val="Hyperlink"/>
                <w:rFonts w:ascii="Arial" w:hAnsi="Arial" w:cs="Arial"/>
                <w:noProof/>
              </w:rPr>
              <w:t>1.5</w:t>
            </w:r>
            <w:r>
              <w:rPr>
                <w:noProof/>
                <w:kern w:val="2"/>
                <w:sz w:val="24"/>
                <w:szCs w:val="24"/>
                <w14:ligatures w14:val="standardContextual"/>
              </w:rPr>
              <w:tab/>
            </w:r>
            <w:r w:rsidRPr="00115240">
              <w:rPr>
                <w:rStyle w:val="Hyperlink"/>
                <w:rFonts w:ascii="Arial" w:hAnsi="Arial" w:cs="Arial"/>
                <w:noProof/>
              </w:rPr>
              <w:t>Strengths, Threats and CFO Financial Strategy</w:t>
            </w:r>
            <w:r>
              <w:rPr>
                <w:noProof/>
                <w:webHidden/>
              </w:rPr>
              <w:tab/>
            </w:r>
            <w:r>
              <w:rPr>
                <w:noProof/>
                <w:webHidden/>
              </w:rPr>
              <w:fldChar w:fldCharType="begin"/>
            </w:r>
            <w:r>
              <w:rPr>
                <w:noProof/>
                <w:webHidden/>
              </w:rPr>
              <w:instrText xml:space="preserve"> PAGEREF _Toc235706401 \h </w:instrText>
            </w:r>
            <w:r>
              <w:rPr>
                <w:noProof/>
                <w:webHidden/>
              </w:rPr>
            </w:r>
            <w:r>
              <w:rPr>
                <w:noProof/>
                <w:webHidden/>
              </w:rPr>
              <w:fldChar w:fldCharType="separate"/>
            </w:r>
            <w:r>
              <w:rPr>
                <w:noProof/>
                <w:webHidden/>
              </w:rPr>
              <w:t>6</w:t>
            </w:r>
            <w:r>
              <w:rPr>
                <w:noProof/>
                <w:webHidden/>
              </w:rPr>
              <w:fldChar w:fldCharType="end"/>
            </w:r>
          </w:hyperlink>
        </w:p>
        <w:p w14:paraId="69A1AE4D" w14:textId="022DF830" w:rsidR="00A54746" w:rsidRDefault="00A54746">
          <w:pPr>
            <w:pStyle w:val="TOC1"/>
            <w:tabs>
              <w:tab w:val="left" w:pos="480"/>
              <w:tab w:val="right" w:leader="dot" w:pos="9016"/>
            </w:tabs>
            <w:rPr>
              <w:noProof/>
              <w:kern w:val="2"/>
              <w:sz w:val="24"/>
              <w:szCs w:val="24"/>
              <w14:ligatures w14:val="standardContextual"/>
            </w:rPr>
          </w:pPr>
          <w:hyperlink w:anchor="_Toc235706402" w:history="1">
            <w:r w:rsidRPr="00115240">
              <w:rPr>
                <w:rStyle w:val="Hyperlink"/>
                <w:rFonts w:ascii="Arial" w:hAnsi="Arial" w:cs="Arial"/>
                <w:noProof/>
              </w:rPr>
              <w:t>2</w:t>
            </w:r>
            <w:r>
              <w:rPr>
                <w:noProof/>
                <w:kern w:val="2"/>
                <w:sz w:val="24"/>
                <w:szCs w:val="24"/>
                <w14:ligatures w14:val="standardContextual"/>
              </w:rPr>
              <w:tab/>
            </w:r>
            <w:r w:rsidRPr="00115240">
              <w:rPr>
                <w:rStyle w:val="Hyperlink"/>
                <w:rFonts w:ascii="Arial" w:hAnsi="Arial" w:cs="Arial"/>
                <w:noProof/>
              </w:rPr>
              <w:t>Working Capital Management Analysis</w:t>
            </w:r>
            <w:r>
              <w:rPr>
                <w:noProof/>
                <w:webHidden/>
              </w:rPr>
              <w:tab/>
            </w:r>
            <w:r>
              <w:rPr>
                <w:noProof/>
                <w:webHidden/>
              </w:rPr>
              <w:fldChar w:fldCharType="begin"/>
            </w:r>
            <w:r>
              <w:rPr>
                <w:noProof/>
                <w:webHidden/>
              </w:rPr>
              <w:instrText xml:space="preserve"> PAGEREF _Toc235706402 \h </w:instrText>
            </w:r>
            <w:r>
              <w:rPr>
                <w:noProof/>
                <w:webHidden/>
              </w:rPr>
            </w:r>
            <w:r>
              <w:rPr>
                <w:noProof/>
                <w:webHidden/>
              </w:rPr>
              <w:fldChar w:fldCharType="separate"/>
            </w:r>
            <w:r>
              <w:rPr>
                <w:noProof/>
                <w:webHidden/>
              </w:rPr>
              <w:t>7</w:t>
            </w:r>
            <w:r>
              <w:rPr>
                <w:noProof/>
                <w:webHidden/>
              </w:rPr>
              <w:fldChar w:fldCharType="end"/>
            </w:r>
          </w:hyperlink>
        </w:p>
        <w:p w14:paraId="7AA8C2A6" w14:textId="110A4A5C" w:rsidR="00A54746" w:rsidRDefault="00A54746">
          <w:pPr>
            <w:pStyle w:val="TOC2"/>
            <w:tabs>
              <w:tab w:val="left" w:pos="960"/>
              <w:tab w:val="right" w:leader="dot" w:pos="9016"/>
            </w:tabs>
            <w:rPr>
              <w:noProof/>
              <w:kern w:val="2"/>
              <w:sz w:val="24"/>
              <w:szCs w:val="24"/>
              <w14:ligatures w14:val="standardContextual"/>
            </w:rPr>
          </w:pPr>
          <w:hyperlink w:anchor="_Toc235706403" w:history="1">
            <w:r w:rsidRPr="00115240">
              <w:rPr>
                <w:rStyle w:val="Hyperlink"/>
                <w:rFonts w:ascii="Arial" w:hAnsi="Arial" w:cs="Arial"/>
                <w:noProof/>
              </w:rPr>
              <w:t>2.1</w:t>
            </w:r>
            <w:r>
              <w:rPr>
                <w:noProof/>
                <w:kern w:val="2"/>
                <w:sz w:val="24"/>
                <w:szCs w:val="24"/>
                <w14:ligatures w14:val="standardContextual"/>
              </w:rPr>
              <w:tab/>
            </w:r>
            <w:r w:rsidRPr="00115240">
              <w:rPr>
                <w:rStyle w:val="Hyperlink"/>
                <w:rFonts w:ascii="Arial" w:hAnsi="Arial" w:cs="Arial"/>
                <w:noProof/>
              </w:rPr>
              <w:t>Assessment of the Cash Operating Cycle</w:t>
            </w:r>
            <w:r>
              <w:rPr>
                <w:noProof/>
                <w:webHidden/>
              </w:rPr>
              <w:tab/>
            </w:r>
            <w:r>
              <w:rPr>
                <w:noProof/>
                <w:webHidden/>
              </w:rPr>
              <w:fldChar w:fldCharType="begin"/>
            </w:r>
            <w:r>
              <w:rPr>
                <w:noProof/>
                <w:webHidden/>
              </w:rPr>
              <w:instrText xml:space="preserve"> PAGEREF _Toc235706403 \h </w:instrText>
            </w:r>
            <w:r>
              <w:rPr>
                <w:noProof/>
                <w:webHidden/>
              </w:rPr>
            </w:r>
            <w:r>
              <w:rPr>
                <w:noProof/>
                <w:webHidden/>
              </w:rPr>
              <w:fldChar w:fldCharType="separate"/>
            </w:r>
            <w:r>
              <w:rPr>
                <w:noProof/>
                <w:webHidden/>
              </w:rPr>
              <w:t>7</w:t>
            </w:r>
            <w:r>
              <w:rPr>
                <w:noProof/>
                <w:webHidden/>
              </w:rPr>
              <w:fldChar w:fldCharType="end"/>
            </w:r>
          </w:hyperlink>
        </w:p>
        <w:p w14:paraId="374042C1" w14:textId="153C6914" w:rsidR="00A54746" w:rsidRDefault="00A54746">
          <w:pPr>
            <w:pStyle w:val="TOC2"/>
            <w:tabs>
              <w:tab w:val="left" w:pos="960"/>
              <w:tab w:val="right" w:leader="dot" w:pos="9016"/>
            </w:tabs>
            <w:rPr>
              <w:noProof/>
              <w:kern w:val="2"/>
              <w:sz w:val="24"/>
              <w:szCs w:val="24"/>
              <w14:ligatures w14:val="standardContextual"/>
            </w:rPr>
          </w:pPr>
          <w:hyperlink w:anchor="_Toc235706404" w:history="1">
            <w:r w:rsidRPr="00115240">
              <w:rPr>
                <w:rStyle w:val="Hyperlink"/>
                <w:rFonts w:ascii="Arial" w:hAnsi="Arial" w:cs="Arial"/>
                <w:noProof/>
              </w:rPr>
              <w:t>2.2</w:t>
            </w:r>
            <w:r>
              <w:rPr>
                <w:noProof/>
                <w:kern w:val="2"/>
                <w:sz w:val="24"/>
                <w:szCs w:val="24"/>
                <w14:ligatures w14:val="standardContextual"/>
              </w:rPr>
              <w:tab/>
            </w:r>
            <w:r w:rsidRPr="00115240">
              <w:rPr>
                <w:rStyle w:val="Hyperlink"/>
                <w:rFonts w:ascii="Arial" w:hAnsi="Arial" w:cs="Arial"/>
                <w:noProof/>
              </w:rPr>
              <w:t>Working Capital Reforms to Improve Liquidity</w:t>
            </w:r>
            <w:r>
              <w:rPr>
                <w:noProof/>
                <w:webHidden/>
              </w:rPr>
              <w:tab/>
            </w:r>
            <w:r>
              <w:rPr>
                <w:noProof/>
                <w:webHidden/>
              </w:rPr>
              <w:fldChar w:fldCharType="begin"/>
            </w:r>
            <w:r>
              <w:rPr>
                <w:noProof/>
                <w:webHidden/>
              </w:rPr>
              <w:instrText xml:space="preserve"> PAGEREF _Toc235706404 \h </w:instrText>
            </w:r>
            <w:r>
              <w:rPr>
                <w:noProof/>
                <w:webHidden/>
              </w:rPr>
            </w:r>
            <w:r>
              <w:rPr>
                <w:noProof/>
                <w:webHidden/>
              </w:rPr>
              <w:fldChar w:fldCharType="separate"/>
            </w:r>
            <w:r>
              <w:rPr>
                <w:noProof/>
                <w:webHidden/>
              </w:rPr>
              <w:t>8</w:t>
            </w:r>
            <w:r>
              <w:rPr>
                <w:noProof/>
                <w:webHidden/>
              </w:rPr>
              <w:fldChar w:fldCharType="end"/>
            </w:r>
          </w:hyperlink>
        </w:p>
        <w:p w14:paraId="374DC80C" w14:textId="62F431E8" w:rsidR="00A54746" w:rsidRDefault="00A54746">
          <w:pPr>
            <w:pStyle w:val="TOC2"/>
            <w:tabs>
              <w:tab w:val="left" w:pos="960"/>
              <w:tab w:val="right" w:leader="dot" w:pos="9016"/>
            </w:tabs>
            <w:rPr>
              <w:noProof/>
              <w:kern w:val="2"/>
              <w:sz w:val="24"/>
              <w:szCs w:val="24"/>
              <w14:ligatures w14:val="standardContextual"/>
            </w:rPr>
          </w:pPr>
          <w:hyperlink w:anchor="_Toc235706405" w:history="1">
            <w:r w:rsidRPr="00115240">
              <w:rPr>
                <w:rStyle w:val="Hyperlink"/>
                <w:rFonts w:ascii="Arial" w:hAnsi="Arial" w:cs="Arial"/>
                <w:noProof/>
              </w:rPr>
              <w:t>2.3</w:t>
            </w:r>
            <w:r>
              <w:rPr>
                <w:noProof/>
                <w:kern w:val="2"/>
                <w:sz w:val="24"/>
                <w:szCs w:val="24"/>
                <w14:ligatures w14:val="standardContextual"/>
              </w:rPr>
              <w:tab/>
            </w:r>
            <w:r w:rsidRPr="00115240">
              <w:rPr>
                <w:rStyle w:val="Hyperlink"/>
                <w:rFonts w:ascii="Arial" w:hAnsi="Arial" w:cs="Arial"/>
                <w:noProof/>
              </w:rPr>
              <w:t>Comparison of Short-Term and Long-Term Financing Options</w:t>
            </w:r>
            <w:r>
              <w:rPr>
                <w:noProof/>
                <w:webHidden/>
              </w:rPr>
              <w:tab/>
            </w:r>
            <w:r>
              <w:rPr>
                <w:noProof/>
                <w:webHidden/>
              </w:rPr>
              <w:fldChar w:fldCharType="begin"/>
            </w:r>
            <w:r>
              <w:rPr>
                <w:noProof/>
                <w:webHidden/>
              </w:rPr>
              <w:instrText xml:space="preserve"> PAGEREF _Toc235706405 \h </w:instrText>
            </w:r>
            <w:r>
              <w:rPr>
                <w:noProof/>
                <w:webHidden/>
              </w:rPr>
            </w:r>
            <w:r>
              <w:rPr>
                <w:noProof/>
                <w:webHidden/>
              </w:rPr>
              <w:fldChar w:fldCharType="separate"/>
            </w:r>
            <w:r>
              <w:rPr>
                <w:noProof/>
                <w:webHidden/>
              </w:rPr>
              <w:t>8</w:t>
            </w:r>
            <w:r>
              <w:rPr>
                <w:noProof/>
                <w:webHidden/>
              </w:rPr>
              <w:fldChar w:fldCharType="end"/>
            </w:r>
          </w:hyperlink>
        </w:p>
        <w:p w14:paraId="3E003759" w14:textId="18E6D156" w:rsidR="00A54746" w:rsidRDefault="00A54746">
          <w:pPr>
            <w:pStyle w:val="TOC1"/>
            <w:tabs>
              <w:tab w:val="left" w:pos="480"/>
              <w:tab w:val="right" w:leader="dot" w:pos="9016"/>
            </w:tabs>
            <w:rPr>
              <w:noProof/>
              <w:kern w:val="2"/>
              <w:sz w:val="24"/>
              <w:szCs w:val="24"/>
              <w14:ligatures w14:val="standardContextual"/>
            </w:rPr>
          </w:pPr>
          <w:hyperlink w:anchor="_Toc235706406" w:history="1">
            <w:r w:rsidRPr="00115240">
              <w:rPr>
                <w:rStyle w:val="Hyperlink"/>
                <w:rFonts w:ascii="Arial" w:hAnsi="Arial" w:cs="Arial"/>
                <w:noProof/>
              </w:rPr>
              <w:t>3</w:t>
            </w:r>
            <w:r>
              <w:rPr>
                <w:noProof/>
                <w:kern w:val="2"/>
                <w:sz w:val="24"/>
                <w:szCs w:val="24"/>
                <w14:ligatures w14:val="standardContextual"/>
              </w:rPr>
              <w:tab/>
            </w:r>
            <w:r w:rsidRPr="00115240">
              <w:rPr>
                <w:rStyle w:val="Hyperlink"/>
                <w:rFonts w:ascii="Arial" w:hAnsi="Arial" w:cs="Arial"/>
                <w:noProof/>
              </w:rPr>
              <w:t>Strategic Financial Restructuring Plan</w:t>
            </w:r>
            <w:r>
              <w:rPr>
                <w:noProof/>
                <w:webHidden/>
              </w:rPr>
              <w:tab/>
            </w:r>
            <w:r>
              <w:rPr>
                <w:noProof/>
                <w:webHidden/>
              </w:rPr>
              <w:fldChar w:fldCharType="begin"/>
            </w:r>
            <w:r>
              <w:rPr>
                <w:noProof/>
                <w:webHidden/>
              </w:rPr>
              <w:instrText xml:space="preserve"> PAGEREF _Toc235706406 \h </w:instrText>
            </w:r>
            <w:r>
              <w:rPr>
                <w:noProof/>
                <w:webHidden/>
              </w:rPr>
            </w:r>
            <w:r>
              <w:rPr>
                <w:noProof/>
                <w:webHidden/>
              </w:rPr>
              <w:fldChar w:fldCharType="separate"/>
            </w:r>
            <w:r>
              <w:rPr>
                <w:noProof/>
                <w:webHidden/>
              </w:rPr>
              <w:t>9</w:t>
            </w:r>
            <w:r>
              <w:rPr>
                <w:noProof/>
                <w:webHidden/>
              </w:rPr>
              <w:fldChar w:fldCharType="end"/>
            </w:r>
          </w:hyperlink>
        </w:p>
        <w:p w14:paraId="295813A5" w14:textId="27A03497" w:rsidR="00A54746" w:rsidRDefault="00A54746">
          <w:pPr>
            <w:pStyle w:val="TOC2"/>
            <w:tabs>
              <w:tab w:val="left" w:pos="960"/>
              <w:tab w:val="right" w:leader="dot" w:pos="9016"/>
            </w:tabs>
            <w:rPr>
              <w:noProof/>
              <w:kern w:val="2"/>
              <w:sz w:val="24"/>
              <w:szCs w:val="24"/>
              <w14:ligatures w14:val="standardContextual"/>
            </w:rPr>
          </w:pPr>
          <w:hyperlink w:anchor="_Toc235706407" w:history="1">
            <w:r w:rsidRPr="00115240">
              <w:rPr>
                <w:rStyle w:val="Hyperlink"/>
                <w:rFonts w:ascii="Arial" w:hAnsi="Arial" w:cs="Arial"/>
                <w:noProof/>
              </w:rPr>
              <w:t>3.1</w:t>
            </w:r>
            <w:r>
              <w:rPr>
                <w:noProof/>
                <w:kern w:val="2"/>
                <w:sz w:val="24"/>
                <w:szCs w:val="24"/>
                <w14:ligatures w14:val="standardContextual"/>
              </w:rPr>
              <w:tab/>
            </w:r>
            <w:r w:rsidRPr="00115240">
              <w:rPr>
                <w:rStyle w:val="Hyperlink"/>
                <w:rFonts w:ascii="Arial" w:hAnsi="Arial" w:cs="Arial"/>
                <w:noProof/>
              </w:rPr>
              <w:t>Restructuring Rationale</w:t>
            </w:r>
            <w:r>
              <w:rPr>
                <w:noProof/>
                <w:webHidden/>
              </w:rPr>
              <w:tab/>
            </w:r>
            <w:r>
              <w:rPr>
                <w:noProof/>
                <w:webHidden/>
              </w:rPr>
              <w:fldChar w:fldCharType="begin"/>
            </w:r>
            <w:r>
              <w:rPr>
                <w:noProof/>
                <w:webHidden/>
              </w:rPr>
              <w:instrText xml:space="preserve"> PAGEREF _Toc235706407 \h </w:instrText>
            </w:r>
            <w:r>
              <w:rPr>
                <w:noProof/>
                <w:webHidden/>
              </w:rPr>
            </w:r>
            <w:r>
              <w:rPr>
                <w:noProof/>
                <w:webHidden/>
              </w:rPr>
              <w:fldChar w:fldCharType="separate"/>
            </w:r>
            <w:r>
              <w:rPr>
                <w:noProof/>
                <w:webHidden/>
              </w:rPr>
              <w:t>9</w:t>
            </w:r>
            <w:r>
              <w:rPr>
                <w:noProof/>
                <w:webHidden/>
              </w:rPr>
              <w:fldChar w:fldCharType="end"/>
            </w:r>
          </w:hyperlink>
        </w:p>
        <w:p w14:paraId="32F67144" w14:textId="6856DB39" w:rsidR="00A54746" w:rsidRDefault="00A54746">
          <w:pPr>
            <w:pStyle w:val="TOC2"/>
            <w:tabs>
              <w:tab w:val="left" w:pos="960"/>
              <w:tab w:val="right" w:leader="dot" w:pos="9016"/>
            </w:tabs>
            <w:rPr>
              <w:noProof/>
              <w:kern w:val="2"/>
              <w:sz w:val="24"/>
              <w:szCs w:val="24"/>
              <w14:ligatures w14:val="standardContextual"/>
            </w:rPr>
          </w:pPr>
          <w:hyperlink w:anchor="_Toc235706408" w:history="1">
            <w:r w:rsidRPr="00115240">
              <w:rPr>
                <w:rStyle w:val="Hyperlink"/>
                <w:rFonts w:ascii="Arial" w:hAnsi="Arial" w:cs="Arial"/>
                <w:noProof/>
              </w:rPr>
              <w:t>3.2</w:t>
            </w:r>
            <w:r>
              <w:rPr>
                <w:noProof/>
                <w:kern w:val="2"/>
                <w:sz w:val="24"/>
                <w:szCs w:val="24"/>
                <w14:ligatures w14:val="standardContextual"/>
              </w:rPr>
              <w:tab/>
            </w:r>
            <w:r w:rsidRPr="00115240">
              <w:rPr>
                <w:rStyle w:val="Hyperlink"/>
                <w:rFonts w:ascii="Arial" w:hAnsi="Arial" w:cs="Arial"/>
                <w:noProof/>
              </w:rPr>
              <w:t>Recommended Restructuring Options</w:t>
            </w:r>
            <w:r>
              <w:rPr>
                <w:noProof/>
                <w:webHidden/>
              </w:rPr>
              <w:tab/>
            </w:r>
            <w:r>
              <w:rPr>
                <w:noProof/>
                <w:webHidden/>
              </w:rPr>
              <w:fldChar w:fldCharType="begin"/>
            </w:r>
            <w:r>
              <w:rPr>
                <w:noProof/>
                <w:webHidden/>
              </w:rPr>
              <w:instrText xml:space="preserve"> PAGEREF _Toc235706408 \h </w:instrText>
            </w:r>
            <w:r>
              <w:rPr>
                <w:noProof/>
                <w:webHidden/>
              </w:rPr>
            </w:r>
            <w:r>
              <w:rPr>
                <w:noProof/>
                <w:webHidden/>
              </w:rPr>
              <w:fldChar w:fldCharType="separate"/>
            </w:r>
            <w:r>
              <w:rPr>
                <w:noProof/>
                <w:webHidden/>
              </w:rPr>
              <w:t>10</w:t>
            </w:r>
            <w:r>
              <w:rPr>
                <w:noProof/>
                <w:webHidden/>
              </w:rPr>
              <w:fldChar w:fldCharType="end"/>
            </w:r>
          </w:hyperlink>
        </w:p>
        <w:p w14:paraId="33640CC1" w14:textId="1562B131" w:rsidR="00A54746" w:rsidRDefault="00A54746">
          <w:pPr>
            <w:pStyle w:val="TOC2"/>
            <w:tabs>
              <w:tab w:val="left" w:pos="960"/>
              <w:tab w:val="right" w:leader="dot" w:pos="9016"/>
            </w:tabs>
            <w:rPr>
              <w:noProof/>
              <w:kern w:val="2"/>
              <w:sz w:val="24"/>
              <w:szCs w:val="24"/>
              <w14:ligatures w14:val="standardContextual"/>
            </w:rPr>
          </w:pPr>
          <w:hyperlink w:anchor="_Toc235706409" w:history="1">
            <w:r w:rsidRPr="00115240">
              <w:rPr>
                <w:rStyle w:val="Hyperlink"/>
                <w:rFonts w:ascii="Arial" w:hAnsi="Arial" w:cs="Arial"/>
                <w:noProof/>
              </w:rPr>
              <w:t>3.3</w:t>
            </w:r>
            <w:r>
              <w:rPr>
                <w:noProof/>
                <w:kern w:val="2"/>
                <w:sz w:val="24"/>
                <w:szCs w:val="24"/>
                <w14:ligatures w14:val="standardContextual"/>
              </w:rPr>
              <w:tab/>
            </w:r>
            <w:r w:rsidRPr="00115240">
              <w:rPr>
                <w:rStyle w:val="Hyperlink"/>
                <w:rFonts w:ascii="Arial" w:hAnsi="Arial" w:cs="Arial"/>
                <w:noProof/>
              </w:rPr>
              <w:t>Impact on Shareholder Value, Debt and Flexibility</w:t>
            </w:r>
            <w:r>
              <w:rPr>
                <w:noProof/>
                <w:webHidden/>
              </w:rPr>
              <w:tab/>
            </w:r>
            <w:r>
              <w:rPr>
                <w:noProof/>
                <w:webHidden/>
              </w:rPr>
              <w:fldChar w:fldCharType="begin"/>
            </w:r>
            <w:r>
              <w:rPr>
                <w:noProof/>
                <w:webHidden/>
              </w:rPr>
              <w:instrText xml:space="preserve"> PAGEREF _Toc235706409 \h </w:instrText>
            </w:r>
            <w:r>
              <w:rPr>
                <w:noProof/>
                <w:webHidden/>
              </w:rPr>
            </w:r>
            <w:r>
              <w:rPr>
                <w:noProof/>
                <w:webHidden/>
              </w:rPr>
              <w:fldChar w:fldCharType="separate"/>
            </w:r>
            <w:r>
              <w:rPr>
                <w:noProof/>
                <w:webHidden/>
              </w:rPr>
              <w:t>10</w:t>
            </w:r>
            <w:r>
              <w:rPr>
                <w:noProof/>
                <w:webHidden/>
              </w:rPr>
              <w:fldChar w:fldCharType="end"/>
            </w:r>
          </w:hyperlink>
        </w:p>
        <w:p w14:paraId="204A13CB" w14:textId="207C155B" w:rsidR="00A54746" w:rsidRDefault="00A54746">
          <w:pPr>
            <w:pStyle w:val="TOC2"/>
            <w:tabs>
              <w:tab w:val="left" w:pos="960"/>
              <w:tab w:val="right" w:leader="dot" w:pos="9016"/>
            </w:tabs>
            <w:rPr>
              <w:noProof/>
              <w:kern w:val="2"/>
              <w:sz w:val="24"/>
              <w:szCs w:val="24"/>
              <w14:ligatures w14:val="standardContextual"/>
            </w:rPr>
          </w:pPr>
          <w:hyperlink w:anchor="_Toc235706410" w:history="1">
            <w:r w:rsidRPr="00115240">
              <w:rPr>
                <w:rStyle w:val="Hyperlink"/>
                <w:rFonts w:ascii="Arial" w:hAnsi="Arial" w:cs="Arial"/>
                <w:noProof/>
              </w:rPr>
              <w:t>3.4</w:t>
            </w:r>
            <w:r>
              <w:rPr>
                <w:noProof/>
                <w:kern w:val="2"/>
                <w:sz w:val="24"/>
                <w:szCs w:val="24"/>
                <w14:ligatures w14:val="standardContextual"/>
              </w:rPr>
              <w:tab/>
            </w:r>
            <w:r w:rsidRPr="00115240">
              <w:rPr>
                <w:rStyle w:val="Hyperlink"/>
                <w:rFonts w:ascii="Arial" w:hAnsi="Arial" w:cs="Arial"/>
                <w:noProof/>
              </w:rPr>
              <w:t>International and Ethical Considerations</w:t>
            </w:r>
            <w:r>
              <w:rPr>
                <w:noProof/>
                <w:webHidden/>
              </w:rPr>
              <w:tab/>
            </w:r>
            <w:r>
              <w:rPr>
                <w:noProof/>
                <w:webHidden/>
              </w:rPr>
              <w:fldChar w:fldCharType="begin"/>
            </w:r>
            <w:r>
              <w:rPr>
                <w:noProof/>
                <w:webHidden/>
              </w:rPr>
              <w:instrText xml:space="preserve"> PAGEREF _Toc235706410 \h </w:instrText>
            </w:r>
            <w:r>
              <w:rPr>
                <w:noProof/>
                <w:webHidden/>
              </w:rPr>
            </w:r>
            <w:r>
              <w:rPr>
                <w:noProof/>
                <w:webHidden/>
              </w:rPr>
              <w:fldChar w:fldCharType="separate"/>
            </w:r>
            <w:r>
              <w:rPr>
                <w:noProof/>
                <w:webHidden/>
              </w:rPr>
              <w:t>11</w:t>
            </w:r>
            <w:r>
              <w:rPr>
                <w:noProof/>
                <w:webHidden/>
              </w:rPr>
              <w:fldChar w:fldCharType="end"/>
            </w:r>
          </w:hyperlink>
        </w:p>
        <w:p w14:paraId="54E617C1" w14:textId="2780509F" w:rsidR="00A54746" w:rsidRDefault="00A54746">
          <w:pPr>
            <w:pStyle w:val="TOC1"/>
            <w:tabs>
              <w:tab w:val="left" w:pos="480"/>
              <w:tab w:val="right" w:leader="dot" w:pos="9016"/>
            </w:tabs>
            <w:rPr>
              <w:noProof/>
              <w:kern w:val="2"/>
              <w:sz w:val="24"/>
              <w:szCs w:val="24"/>
              <w14:ligatures w14:val="standardContextual"/>
            </w:rPr>
          </w:pPr>
          <w:hyperlink w:anchor="_Toc235706411" w:history="1">
            <w:r w:rsidRPr="00115240">
              <w:rPr>
                <w:rStyle w:val="Hyperlink"/>
                <w:rFonts w:ascii="Arial" w:hAnsi="Arial" w:cs="Arial"/>
                <w:noProof/>
              </w:rPr>
              <w:t>4</w:t>
            </w:r>
            <w:r>
              <w:rPr>
                <w:noProof/>
                <w:kern w:val="2"/>
                <w:sz w:val="24"/>
                <w:szCs w:val="24"/>
                <w14:ligatures w14:val="standardContextual"/>
              </w:rPr>
              <w:tab/>
            </w:r>
            <w:r w:rsidRPr="00115240">
              <w:rPr>
                <w:rStyle w:val="Hyperlink"/>
                <w:rFonts w:ascii="Arial" w:hAnsi="Arial" w:cs="Arial"/>
                <w:noProof/>
              </w:rPr>
              <w:t>INVESTMENT APPRAISALAND CAPITAL BUDGETING</w:t>
            </w:r>
            <w:r>
              <w:rPr>
                <w:noProof/>
                <w:webHidden/>
              </w:rPr>
              <w:tab/>
            </w:r>
            <w:r>
              <w:rPr>
                <w:noProof/>
                <w:webHidden/>
              </w:rPr>
              <w:fldChar w:fldCharType="begin"/>
            </w:r>
            <w:r>
              <w:rPr>
                <w:noProof/>
                <w:webHidden/>
              </w:rPr>
              <w:instrText xml:space="preserve"> PAGEREF _Toc235706411 \h </w:instrText>
            </w:r>
            <w:r>
              <w:rPr>
                <w:noProof/>
                <w:webHidden/>
              </w:rPr>
            </w:r>
            <w:r>
              <w:rPr>
                <w:noProof/>
                <w:webHidden/>
              </w:rPr>
              <w:fldChar w:fldCharType="separate"/>
            </w:r>
            <w:r>
              <w:rPr>
                <w:noProof/>
                <w:webHidden/>
              </w:rPr>
              <w:t>11</w:t>
            </w:r>
            <w:r>
              <w:rPr>
                <w:noProof/>
                <w:webHidden/>
              </w:rPr>
              <w:fldChar w:fldCharType="end"/>
            </w:r>
          </w:hyperlink>
        </w:p>
        <w:p w14:paraId="1A2A2C1F" w14:textId="5389E171" w:rsidR="00A54746" w:rsidRDefault="00A54746">
          <w:pPr>
            <w:pStyle w:val="TOC2"/>
            <w:tabs>
              <w:tab w:val="left" w:pos="960"/>
              <w:tab w:val="right" w:leader="dot" w:pos="9016"/>
            </w:tabs>
            <w:rPr>
              <w:noProof/>
              <w:kern w:val="2"/>
              <w:sz w:val="24"/>
              <w:szCs w:val="24"/>
              <w14:ligatures w14:val="standardContextual"/>
            </w:rPr>
          </w:pPr>
          <w:hyperlink w:anchor="_Toc235706412" w:history="1">
            <w:r w:rsidRPr="00115240">
              <w:rPr>
                <w:rStyle w:val="Hyperlink"/>
                <w:rFonts w:ascii="Arial" w:hAnsi="Arial" w:cs="Arial"/>
                <w:noProof/>
              </w:rPr>
              <w:t>4.1</w:t>
            </w:r>
            <w:r>
              <w:rPr>
                <w:noProof/>
                <w:kern w:val="2"/>
                <w:sz w:val="24"/>
                <w:szCs w:val="24"/>
                <w14:ligatures w14:val="standardContextual"/>
              </w:rPr>
              <w:tab/>
            </w:r>
            <w:r w:rsidRPr="00115240">
              <w:rPr>
                <w:rStyle w:val="Hyperlink"/>
                <w:rFonts w:ascii="Arial" w:hAnsi="Arial" w:cs="Arial"/>
                <w:noProof/>
              </w:rPr>
              <w:t>Appraisal Basis and Decision Criteria</w:t>
            </w:r>
            <w:r>
              <w:rPr>
                <w:noProof/>
                <w:webHidden/>
              </w:rPr>
              <w:tab/>
            </w:r>
            <w:r>
              <w:rPr>
                <w:noProof/>
                <w:webHidden/>
              </w:rPr>
              <w:fldChar w:fldCharType="begin"/>
            </w:r>
            <w:r>
              <w:rPr>
                <w:noProof/>
                <w:webHidden/>
              </w:rPr>
              <w:instrText xml:space="preserve"> PAGEREF _Toc235706412 \h </w:instrText>
            </w:r>
            <w:r>
              <w:rPr>
                <w:noProof/>
                <w:webHidden/>
              </w:rPr>
            </w:r>
            <w:r>
              <w:rPr>
                <w:noProof/>
                <w:webHidden/>
              </w:rPr>
              <w:fldChar w:fldCharType="separate"/>
            </w:r>
            <w:r>
              <w:rPr>
                <w:noProof/>
                <w:webHidden/>
              </w:rPr>
              <w:t>11</w:t>
            </w:r>
            <w:r>
              <w:rPr>
                <w:noProof/>
                <w:webHidden/>
              </w:rPr>
              <w:fldChar w:fldCharType="end"/>
            </w:r>
          </w:hyperlink>
        </w:p>
        <w:p w14:paraId="5EEB4F0B" w14:textId="233D2B63" w:rsidR="00A54746" w:rsidRDefault="00A54746">
          <w:pPr>
            <w:pStyle w:val="TOC2"/>
            <w:tabs>
              <w:tab w:val="left" w:pos="960"/>
              <w:tab w:val="right" w:leader="dot" w:pos="9016"/>
            </w:tabs>
            <w:rPr>
              <w:noProof/>
              <w:kern w:val="2"/>
              <w:sz w:val="24"/>
              <w:szCs w:val="24"/>
              <w14:ligatures w14:val="standardContextual"/>
            </w:rPr>
          </w:pPr>
          <w:hyperlink w:anchor="_Toc235706413" w:history="1">
            <w:r w:rsidRPr="00115240">
              <w:rPr>
                <w:rStyle w:val="Hyperlink"/>
                <w:rFonts w:ascii="Arial" w:hAnsi="Arial" w:cs="Arial"/>
                <w:noProof/>
              </w:rPr>
              <w:t>4.2</w:t>
            </w:r>
            <w:r>
              <w:rPr>
                <w:noProof/>
                <w:kern w:val="2"/>
                <w:sz w:val="24"/>
                <w:szCs w:val="24"/>
                <w14:ligatures w14:val="standardContextual"/>
              </w:rPr>
              <w:tab/>
            </w:r>
            <w:r w:rsidRPr="00115240">
              <w:rPr>
                <w:rStyle w:val="Hyperlink"/>
                <w:rFonts w:ascii="Arial" w:hAnsi="Arial" w:cs="Arial"/>
                <w:noProof/>
              </w:rPr>
              <w:t>Comparative Appraisal of Projects A, B and C</w:t>
            </w:r>
            <w:r>
              <w:rPr>
                <w:noProof/>
                <w:webHidden/>
              </w:rPr>
              <w:tab/>
            </w:r>
            <w:r>
              <w:rPr>
                <w:noProof/>
                <w:webHidden/>
              </w:rPr>
              <w:fldChar w:fldCharType="begin"/>
            </w:r>
            <w:r>
              <w:rPr>
                <w:noProof/>
                <w:webHidden/>
              </w:rPr>
              <w:instrText xml:space="preserve"> PAGEREF _Toc235706413 \h </w:instrText>
            </w:r>
            <w:r>
              <w:rPr>
                <w:noProof/>
                <w:webHidden/>
              </w:rPr>
            </w:r>
            <w:r>
              <w:rPr>
                <w:noProof/>
                <w:webHidden/>
              </w:rPr>
              <w:fldChar w:fldCharType="separate"/>
            </w:r>
            <w:r>
              <w:rPr>
                <w:noProof/>
                <w:webHidden/>
              </w:rPr>
              <w:t>12</w:t>
            </w:r>
            <w:r>
              <w:rPr>
                <w:noProof/>
                <w:webHidden/>
              </w:rPr>
              <w:fldChar w:fldCharType="end"/>
            </w:r>
          </w:hyperlink>
        </w:p>
        <w:p w14:paraId="0444322A" w14:textId="761A279D" w:rsidR="00A54746" w:rsidRDefault="00A54746">
          <w:pPr>
            <w:pStyle w:val="TOC2"/>
            <w:tabs>
              <w:tab w:val="left" w:pos="960"/>
              <w:tab w:val="right" w:leader="dot" w:pos="9016"/>
            </w:tabs>
            <w:rPr>
              <w:noProof/>
              <w:kern w:val="2"/>
              <w:sz w:val="24"/>
              <w:szCs w:val="24"/>
              <w14:ligatures w14:val="standardContextual"/>
            </w:rPr>
          </w:pPr>
          <w:hyperlink w:anchor="_Toc235706414" w:history="1">
            <w:r w:rsidRPr="00115240">
              <w:rPr>
                <w:rStyle w:val="Hyperlink"/>
                <w:rFonts w:ascii="Arial" w:hAnsi="Arial" w:cs="Arial"/>
                <w:noProof/>
              </w:rPr>
              <w:t>4.3</w:t>
            </w:r>
            <w:r>
              <w:rPr>
                <w:noProof/>
                <w:kern w:val="2"/>
                <w:sz w:val="24"/>
                <w:szCs w:val="24"/>
                <w14:ligatures w14:val="standardContextual"/>
              </w:rPr>
              <w:tab/>
            </w:r>
            <w:r w:rsidRPr="00115240">
              <w:rPr>
                <w:rStyle w:val="Hyperlink"/>
                <w:rFonts w:ascii="Arial" w:hAnsi="Arial" w:cs="Arial"/>
                <w:noProof/>
              </w:rPr>
              <w:t>Project Recommendation and Financial Capacity</w:t>
            </w:r>
            <w:r>
              <w:rPr>
                <w:noProof/>
                <w:webHidden/>
              </w:rPr>
              <w:tab/>
            </w:r>
            <w:r>
              <w:rPr>
                <w:noProof/>
                <w:webHidden/>
              </w:rPr>
              <w:fldChar w:fldCharType="begin"/>
            </w:r>
            <w:r>
              <w:rPr>
                <w:noProof/>
                <w:webHidden/>
              </w:rPr>
              <w:instrText xml:space="preserve"> PAGEREF _Toc235706414 \h </w:instrText>
            </w:r>
            <w:r>
              <w:rPr>
                <w:noProof/>
                <w:webHidden/>
              </w:rPr>
            </w:r>
            <w:r>
              <w:rPr>
                <w:noProof/>
                <w:webHidden/>
              </w:rPr>
              <w:fldChar w:fldCharType="separate"/>
            </w:r>
            <w:r>
              <w:rPr>
                <w:noProof/>
                <w:webHidden/>
              </w:rPr>
              <w:t>15</w:t>
            </w:r>
            <w:r>
              <w:rPr>
                <w:noProof/>
                <w:webHidden/>
              </w:rPr>
              <w:fldChar w:fldCharType="end"/>
            </w:r>
          </w:hyperlink>
        </w:p>
        <w:p w14:paraId="47452E94" w14:textId="02CD4189" w:rsidR="00A54746" w:rsidRDefault="00A54746">
          <w:pPr>
            <w:pStyle w:val="TOC2"/>
            <w:tabs>
              <w:tab w:val="left" w:pos="960"/>
              <w:tab w:val="right" w:leader="dot" w:pos="9016"/>
            </w:tabs>
            <w:rPr>
              <w:noProof/>
              <w:kern w:val="2"/>
              <w:sz w:val="24"/>
              <w:szCs w:val="24"/>
              <w14:ligatures w14:val="standardContextual"/>
            </w:rPr>
          </w:pPr>
          <w:hyperlink w:anchor="_Toc235706415" w:history="1">
            <w:r w:rsidRPr="00115240">
              <w:rPr>
                <w:rStyle w:val="Hyperlink"/>
                <w:rFonts w:ascii="Arial" w:hAnsi="Arial" w:cs="Arial"/>
                <w:noProof/>
              </w:rPr>
              <w:t>4.4</w:t>
            </w:r>
            <w:r>
              <w:rPr>
                <w:noProof/>
                <w:kern w:val="2"/>
                <w:sz w:val="24"/>
                <w:szCs w:val="24"/>
                <w14:ligatures w14:val="standardContextual"/>
              </w:rPr>
              <w:tab/>
            </w:r>
            <w:r w:rsidRPr="00115240">
              <w:rPr>
                <w:rStyle w:val="Hyperlink"/>
                <w:rFonts w:ascii="Arial" w:hAnsi="Arial" w:cs="Arial"/>
                <w:noProof/>
              </w:rPr>
              <w:t>Non-Financial Risks and Strategic Fit</w:t>
            </w:r>
            <w:r>
              <w:rPr>
                <w:noProof/>
                <w:webHidden/>
              </w:rPr>
              <w:tab/>
            </w:r>
            <w:r>
              <w:rPr>
                <w:noProof/>
                <w:webHidden/>
              </w:rPr>
              <w:fldChar w:fldCharType="begin"/>
            </w:r>
            <w:r>
              <w:rPr>
                <w:noProof/>
                <w:webHidden/>
              </w:rPr>
              <w:instrText xml:space="preserve"> PAGEREF _Toc235706415 \h </w:instrText>
            </w:r>
            <w:r>
              <w:rPr>
                <w:noProof/>
                <w:webHidden/>
              </w:rPr>
            </w:r>
            <w:r>
              <w:rPr>
                <w:noProof/>
                <w:webHidden/>
              </w:rPr>
              <w:fldChar w:fldCharType="separate"/>
            </w:r>
            <w:r>
              <w:rPr>
                <w:noProof/>
                <w:webHidden/>
              </w:rPr>
              <w:t>16</w:t>
            </w:r>
            <w:r>
              <w:rPr>
                <w:noProof/>
                <w:webHidden/>
              </w:rPr>
              <w:fldChar w:fldCharType="end"/>
            </w:r>
          </w:hyperlink>
        </w:p>
        <w:p w14:paraId="4418BBE2" w14:textId="20A253F8" w:rsidR="00A54746" w:rsidRDefault="00A54746">
          <w:pPr>
            <w:pStyle w:val="TOC2"/>
            <w:tabs>
              <w:tab w:val="left" w:pos="960"/>
              <w:tab w:val="right" w:leader="dot" w:pos="9016"/>
            </w:tabs>
            <w:rPr>
              <w:noProof/>
              <w:kern w:val="2"/>
              <w:sz w:val="24"/>
              <w:szCs w:val="24"/>
              <w14:ligatures w14:val="standardContextual"/>
            </w:rPr>
          </w:pPr>
          <w:hyperlink w:anchor="_Toc235706416" w:history="1">
            <w:r w:rsidRPr="00115240">
              <w:rPr>
                <w:rStyle w:val="Hyperlink"/>
                <w:rFonts w:ascii="Arial" w:hAnsi="Arial" w:cs="Arial"/>
                <w:noProof/>
              </w:rPr>
              <w:t>4.5</w:t>
            </w:r>
            <w:r>
              <w:rPr>
                <w:noProof/>
                <w:kern w:val="2"/>
                <w:sz w:val="24"/>
                <w:szCs w:val="24"/>
                <w14:ligatures w14:val="standardContextual"/>
              </w:rPr>
              <w:tab/>
            </w:r>
            <w:r w:rsidRPr="00115240">
              <w:rPr>
                <w:rStyle w:val="Hyperlink"/>
                <w:rFonts w:ascii="Arial" w:hAnsi="Arial" w:cs="Arial"/>
                <w:noProof/>
              </w:rPr>
              <w:t>Capital Rationing under the £100 Million Limit</w:t>
            </w:r>
            <w:r>
              <w:rPr>
                <w:noProof/>
                <w:webHidden/>
              </w:rPr>
              <w:tab/>
            </w:r>
            <w:r>
              <w:rPr>
                <w:noProof/>
                <w:webHidden/>
              </w:rPr>
              <w:fldChar w:fldCharType="begin"/>
            </w:r>
            <w:r>
              <w:rPr>
                <w:noProof/>
                <w:webHidden/>
              </w:rPr>
              <w:instrText xml:space="preserve"> PAGEREF _Toc235706416 \h </w:instrText>
            </w:r>
            <w:r>
              <w:rPr>
                <w:noProof/>
                <w:webHidden/>
              </w:rPr>
            </w:r>
            <w:r>
              <w:rPr>
                <w:noProof/>
                <w:webHidden/>
              </w:rPr>
              <w:fldChar w:fldCharType="separate"/>
            </w:r>
            <w:r>
              <w:rPr>
                <w:noProof/>
                <w:webHidden/>
              </w:rPr>
              <w:t>16</w:t>
            </w:r>
            <w:r>
              <w:rPr>
                <w:noProof/>
                <w:webHidden/>
              </w:rPr>
              <w:fldChar w:fldCharType="end"/>
            </w:r>
          </w:hyperlink>
        </w:p>
        <w:p w14:paraId="03EC97F5" w14:textId="47691F78" w:rsidR="00A54746" w:rsidRDefault="00A54746">
          <w:pPr>
            <w:pStyle w:val="TOC1"/>
            <w:tabs>
              <w:tab w:val="left" w:pos="480"/>
              <w:tab w:val="right" w:leader="dot" w:pos="9016"/>
            </w:tabs>
            <w:rPr>
              <w:noProof/>
              <w:kern w:val="2"/>
              <w:sz w:val="24"/>
              <w:szCs w:val="24"/>
              <w14:ligatures w14:val="standardContextual"/>
            </w:rPr>
          </w:pPr>
          <w:hyperlink w:anchor="_Toc235706417" w:history="1">
            <w:r w:rsidRPr="00115240">
              <w:rPr>
                <w:rStyle w:val="Hyperlink"/>
                <w:rFonts w:ascii="Arial" w:hAnsi="Arial" w:cs="Arial"/>
                <w:noProof/>
              </w:rPr>
              <w:t>5</w:t>
            </w:r>
            <w:r>
              <w:rPr>
                <w:noProof/>
                <w:kern w:val="2"/>
                <w:sz w:val="24"/>
                <w:szCs w:val="24"/>
                <w14:ligatures w14:val="standardContextual"/>
              </w:rPr>
              <w:tab/>
            </w:r>
            <w:r w:rsidRPr="00115240">
              <w:rPr>
                <w:rStyle w:val="Hyperlink"/>
                <w:rFonts w:ascii="Arial" w:hAnsi="Arial" w:cs="Arial"/>
                <w:noProof/>
              </w:rPr>
              <w:t>Critical Reflection on AI Usage</w:t>
            </w:r>
            <w:r>
              <w:rPr>
                <w:noProof/>
                <w:webHidden/>
              </w:rPr>
              <w:tab/>
            </w:r>
            <w:r>
              <w:rPr>
                <w:noProof/>
                <w:webHidden/>
              </w:rPr>
              <w:fldChar w:fldCharType="begin"/>
            </w:r>
            <w:r>
              <w:rPr>
                <w:noProof/>
                <w:webHidden/>
              </w:rPr>
              <w:instrText xml:space="preserve"> PAGEREF _Toc235706417 \h </w:instrText>
            </w:r>
            <w:r>
              <w:rPr>
                <w:noProof/>
                <w:webHidden/>
              </w:rPr>
            </w:r>
            <w:r>
              <w:rPr>
                <w:noProof/>
                <w:webHidden/>
              </w:rPr>
              <w:fldChar w:fldCharType="separate"/>
            </w:r>
            <w:r>
              <w:rPr>
                <w:noProof/>
                <w:webHidden/>
              </w:rPr>
              <w:t>18</w:t>
            </w:r>
            <w:r>
              <w:rPr>
                <w:noProof/>
                <w:webHidden/>
              </w:rPr>
              <w:fldChar w:fldCharType="end"/>
            </w:r>
          </w:hyperlink>
        </w:p>
        <w:p w14:paraId="268E5717" w14:textId="5732EDCE" w:rsidR="00A54746" w:rsidRDefault="00A54746">
          <w:pPr>
            <w:pStyle w:val="TOC2"/>
            <w:tabs>
              <w:tab w:val="left" w:pos="960"/>
              <w:tab w:val="right" w:leader="dot" w:pos="9016"/>
            </w:tabs>
            <w:rPr>
              <w:noProof/>
              <w:kern w:val="2"/>
              <w:sz w:val="24"/>
              <w:szCs w:val="24"/>
              <w14:ligatures w14:val="standardContextual"/>
            </w:rPr>
          </w:pPr>
          <w:hyperlink w:anchor="_Toc235706418" w:history="1">
            <w:r w:rsidRPr="00115240">
              <w:rPr>
                <w:rStyle w:val="Hyperlink"/>
                <w:rFonts w:ascii="Arial" w:hAnsi="Arial" w:cs="Arial"/>
                <w:noProof/>
              </w:rPr>
              <w:t>5.1</w:t>
            </w:r>
            <w:r>
              <w:rPr>
                <w:noProof/>
                <w:kern w:val="2"/>
                <w:sz w:val="24"/>
                <w:szCs w:val="24"/>
                <w14:ligatures w14:val="standardContextual"/>
              </w:rPr>
              <w:tab/>
            </w:r>
            <w:r w:rsidRPr="00115240">
              <w:rPr>
                <w:rStyle w:val="Hyperlink"/>
                <w:rFonts w:ascii="Arial" w:hAnsi="Arial" w:cs="Arial"/>
                <w:noProof/>
              </w:rPr>
              <w:t>Tool Disclosure</w:t>
            </w:r>
            <w:r>
              <w:rPr>
                <w:noProof/>
                <w:webHidden/>
              </w:rPr>
              <w:tab/>
            </w:r>
            <w:r>
              <w:rPr>
                <w:noProof/>
                <w:webHidden/>
              </w:rPr>
              <w:fldChar w:fldCharType="begin"/>
            </w:r>
            <w:r>
              <w:rPr>
                <w:noProof/>
                <w:webHidden/>
              </w:rPr>
              <w:instrText xml:space="preserve"> PAGEREF _Toc235706418 \h </w:instrText>
            </w:r>
            <w:r>
              <w:rPr>
                <w:noProof/>
                <w:webHidden/>
              </w:rPr>
            </w:r>
            <w:r>
              <w:rPr>
                <w:noProof/>
                <w:webHidden/>
              </w:rPr>
              <w:fldChar w:fldCharType="separate"/>
            </w:r>
            <w:r>
              <w:rPr>
                <w:noProof/>
                <w:webHidden/>
              </w:rPr>
              <w:t>18</w:t>
            </w:r>
            <w:r>
              <w:rPr>
                <w:noProof/>
                <w:webHidden/>
              </w:rPr>
              <w:fldChar w:fldCharType="end"/>
            </w:r>
          </w:hyperlink>
        </w:p>
        <w:p w14:paraId="3DAFD2F7" w14:textId="5D220AEE" w:rsidR="00A54746" w:rsidRDefault="00A54746">
          <w:pPr>
            <w:pStyle w:val="TOC2"/>
            <w:tabs>
              <w:tab w:val="left" w:pos="960"/>
              <w:tab w:val="right" w:leader="dot" w:pos="9016"/>
            </w:tabs>
            <w:rPr>
              <w:noProof/>
              <w:kern w:val="2"/>
              <w:sz w:val="24"/>
              <w:szCs w:val="24"/>
              <w14:ligatures w14:val="standardContextual"/>
            </w:rPr>
          </w:pPr>
          <w:hyperlink w:anchor="_Toc235706419" w:history="1">
            <w:r w:rsidRPr="00115240">
              <w:rPr>
                <w:rStyle w:val="Hyperlink"/>
                <w:rFonts w:ascii="Arial" w:hAnsi="Arial" w:cs="Arial"/>
                <w:noProof/>
              </w:rPr>
              <w:t>5.2</w:t>
            </w:r>
            <w:r>
              <w:rPr>
                <w:noProof/>
                <w:kern w:val="2"/>
                <w:sz w:val="24"/>
                <w:szCs w:val="24"/>
                <w14:ligatures w14:val="standardContextual"/>
              </w:rPr>
              <w:tab/>
            </w:r>
            <w:r w:rsidRPr="00115240">
              <w:rPr>
                <w:rStyle w:val="Hyperlink"/>
                <w:rFonts w:ascii="Arial" w:hAnsi="Arial" w:cs="Arial"/>
                <w:noProof/>
              </w:rPr>
              <w:t>Critical Evaluation and Verification</w:t>
            </w:r>
            <w:r>
              <w:rPr>
                <w:noProof/>
                <w:webHidden/>
              </w:rPr>
              <w:tab/>
            </w:r>
            <w:r>
              <w:rPr>
                <w:noProof/>
                <w:webHidden/>
              </w:rPr>
              <w:fldChar w:fldCharType="begin"/>
            </w:r>
            <w:r>
              <w:rPr>
                <w:noProof/>
                <w:webHidden/>
              </w:rPr>
              <w:instrText xml:space="preserve"> PAGEREF _Toc235706419 \h </w:instrText>
            </w:r>
            <w:r>
              <w:rPr>
                <w:noProof/>
                <w:webHidden/>
              </w:rPr>
            </w:r>
            <w:r>
              <w:rPr>
                <w:noProof/>
                <w:webHidden/>
              </w:rPr>
              <w:fldChar w:fldCharType="separate"/>
            </w:r>
            <w:r>
              <w:rPr>
                <w:noProof/>
                <w:webHidden/>
              </w:rPr>
              <w:t>19</w:t>
            </w:r>
            <w:r>
              <w:rPr>
                <w:noProof/>
                <w:webHidden/>
              </w:rPr>
              <w:fldChar w:fldCharType="end"/>
            </w:r>
          </w:hyperlink>
        </w:p>
        <w:p w14:paraId="1D3D1DC2" w14:textId="65F36F13" w:rsidR="00A54746" w:rsidRDefault="00A54746">
          <w:pPr>
            <w:pStyle w:val="TOC2"/>
            <w:tabs>
              <w:tab w:val="left" w:pos="960"/>
              <w:tab w:val="right" w:leader="dot" w:pos="9016"/>
            </w:tabs>
            <w:rPr>
              <w:noProof/>
              <w:kern w:val="2"/>
              <w:sz w:val="24"/>
              <w:szCs w:val="24"/>
              <w14:ligatures w14:val="standardContextual"/>
            </w:rPr>
          </w:pPr>
          <w:hyperlink w:anchor="_Toc235706420" w:history="1">
            <w:r w:rsidRPr="00115240">
              <w:rPr>
                <w:rStyle w:val="Hyperlink"/>
                <w:rFonts w:ascii="Arial" w:hAnsi="Arial" w:cs="Arial"/>
                <w:noProof/>
              </w:rPr>
              <w:t>5.3</w:t>
            </w:r>
            <w:r>
              <w:rPr>
                <w:noProof/>
                <w:kern w:val="2"/>
                <w:sz w:val="24"/>
                <w:szCs w:val="24"/>
                <w14:ligatures w14:val="standardContextual"/>
              </w:rPr>
              <w:tab/>
            </w:r>
            <w:r w:rsidRPr="00115240">
              <w:rPr>
                <w:rStyle w:val="Hyperlink"/>
                <w:rFonts w:ascii="Arial" w:hAnsi="Arial" w:cs="Arial"/>
                <w:noProof/>
              </w:rPr>
              <w:t>Contribution of AI and Original Analysis</w:t>
            </w:r>
            <w:r>
              <w:rPr>
                <w:noProof/>
                <w:webHidden/>
              </w:rPr>
              <w:tab/>
            </w:r>
            <w:r>
              <w:rPr>
                <w:noProof/>
                <w:webHidden/>
              </w:rPr>
              <w:fldChar w:fldCharType="begin"/>
            </w:r>
            <w:r>
              <w:rPr>
                <w:noProof/>
                <w:webHidden/>
              </w:rPr>
              <w:instrText xml:space="preserve"> PAGEREF _Toc235706420 \h </w:instrText>
            </w:r>
            <w:r>
              <w:rPr>
                <w:noProof/>
                <w:webHidden/>
              </w:rPr>
            </w:r>
            <w:r>
              <w:rPr>
                <w:noProof/>
                <w:webHidden/>
              </w:rPr>
              <w:fldChar w:fldCharType="separate"/>
            </w:r>
            <w:r>
              <w:rPr>
                <w:noProof/>
                <w:webHidden/>
              </w:rPr>
              <w:t>19</w:t>
            </w:r>
            <w:r>
              <w:rPr>
                <w:noProof/>
                <w:webHidden/>
              </w:rPr>
              <w:fldChar w:fldCharType="end"/>
            </w:r>
          </w:hyperlink>
        </w:p>
        <w:p w14:paraId="4CAB4EA7" w14:textId="5D3DFA96" w:rsidR="00A54746" w:rsidRDefault="00A54746">
          <w:pPr>
            <w:pStyle w:val="TOC2"/>
            <w:tabs>
              <w:tab w:val="left" w:pos="960"/>
              <w:tab w:val="right" w:leader="dot" w:pos="9016"/>
            </w:tabs>
            <w:rPr>
              <w:noProof/>
              <w:kern w:val="2"/>
              <w:sz w:val="24"/>
              <w:szCs w:val="24"/>
              <w14:ligatures w14:val="standardContextual"/>
            </w:rPr>
          </w:pPr>
          <w:hyperlink w:anchor="_Toc235706421" w:history="1">
            <w:r w:rsidRPr="00115240">
              <w:rPr>
                <w:rStyle w:val="Hyperlink"/>
                <w:rFonts w:ascii="Arial" w:hAnsi="Arial" w:cs="Arial"/>
                <w:noProof/>
              </w:rPr>
              <w:t>5.4</w:t>
            </w:r>
            <w:r>
              <w:rPr>
                <w:noProof/>
                <w:kern w:val="2"/>
                <w:sz w:val="24"/>
                <w:szCs w:val="24"/>
                <w14:ligatures w14:val="standardContextual"/>
              </w:rPr>
              <w:tab/>
            </w:r>
            <w:r w:rsidRPr="00115240">
              <w:rPr>
                <w:rStyle w:val="Hyperlink"/>
                <w:rFonts w:ascii="Arial" w:hAnsi="Arial" w:cs="Arial"/>
                <w:noProof/>
              </w:rPr>
              <w:t>Ethical and Professional Reflection</w:t>
            </w:r>
            <w:r>
              <w:rPr>
                <w:noProof/>
                <w:webHidden/>
              </w:rPr>
              <w:tab/>
            </w:r>
            <w:r>
              <w:rPr>
                <w:noProof/>
                <w:webHidden/>
              </w:rPr>
              <w:fldChar w:fldCharType="begin"/>
            </w:r>
            <w:r>
              <w:rPr>
                <w:noProof/>
                <w:webHidden/>
              </w:rPr>
              <w:instrText xml:space="preserve"> PAGEREF _Toc235706421 \h </w:instrText>
            </w:r>
            <w:r>
              <w:rPr>
                <w:noProof/>
                <w:webHidden/>
              </w:rPr>
            </w:r>
            <w:r>
              <w:rPr>
                <w:noProof/>
                <w:webHidden/>
              </w:rPr>
              <w:fldChar w:fldCharType="separate"/>
            </w:r>
            <w:r>
              <w:rPr>
                <w:noProof/>
                <w:webHidden/>
              </w:rPr>
              <w:t>20</w:t>
            </w:r>
            <w:r>
              <w:rPr>
                <w:noProof/>
                <w:webHidden/>
              </w:rPr>
              <w:fldChar w:fldCharType="end"/>
            </w:r>
          </w:hyperlink>
        </w:p>
        <w:p w14:paraId="62F538D4" w14:textId="3570FC38" w:rsidR="00A54746" w:rsidRDefault="00A54746">
          <w:pPr>
            <w:pStyle w:val="TOC1"/>
            <w:tabs>
              <w:tab w:val="left" w:pos="480"/>
              <w:tab w:val="right" w:leader="dot" w:pos="9016"/>
            </w:tabs>
            <w:rPr>
              <w:noProof/>
              <w:kern w:val="2"/>
              <w:sz w:val="24"/>
              <w:szCs w:val="24"/>
              <w14:ligatures w14:val="standardContextual"/>
            </w:rPr>
          </w:pPr>
          <w:hyperlink w:anchor="_Toc235706422" w:history="1">
            <w:r w:rsidRPr="00115240">
              <w:rPr>
                <w:rStyle w:val="Hyperlink"/>
                <w:rFonts w:ascii="Arial" w:hAnsi="Arial" w:cs="Arial"/>
                <w:noProof/>
              </w:rPr>
              <w:t>6</w:t>
            </w:r>
            <w:r>
              <w:rPr>
                <w:noProof/>
                <w:kern w:val="2"/>
                <w:sz w:val="24"/>
                <w:szCs w:val="24"/>
                <w14:ligatures w14:val="standardContextual"/>
              </w:rPr>
              <w:tab/>
            </w:r>
            <w:r w:rsidRPr="0011524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_Toc235706422 \h </w:instrText>
            </w:r>
            <w:r>
              <w:rPr>
                <w:noProof/>
                <w:webHidden/>
              </w:rPr>
            </w:r>
            <w:r>
              <w:rPr>
                <w:noProof/>
                <w:webHidden/>
              </w:rPr>
              <w:fldChar w:fldCharType="separate"/>
            </w:r>
            <w:r>
              <w:rPr>
                <w:noProof/>
                <w:webHidden/>
              </w:rPr>
              <w:t>21</w:t>
            </w:r>
            <w:r>
              <w:rPr>
                <w:noProof/>
                <w:webHidden/>
              </w:rPr>
              <w:fldChar w:fldCharType="end"/>
            </w:r>
          </w:hyperlink>
        </w:p>
        <w:p w14:paraId="749206E3" w14:textId="7D84B5F3" w:rsidR="00A54746" w:rsidRDefault="00A54746">
          <w:pPr>
            <w:pStyle w:val="TOC1"/>
            <w:tabs>
              <w:tab w:val="left" w:pos="480"/>
              <w:tab w:val="right" w:leader="dot" w:pos="9016"/>
            </w:tabs>
            <w:rPr>
              <w:noProof/>
              <w:kern w:val="2"/>
              <w:sz w:val="24"/>
              <w:szCs w:val="24"/>
              <w14:ligatures w14:val="standardContextual"/>
            </w:rPr>
          </w:pPr>
          <w:hyperlink w:anchor="_Toc235706423" w:history="1">
            <w:r w:rsidRPr="00115240">
              <w:rPr>
                <w:rStyle w:val="Hyperlink"/>
                <w:rFonts w:ascii="Arial" w:hAnsi="Arial" w:cs="Arial"/>
                <w:noProof/>
              </w:rPr>
              <w:t>7</w:t>
            </w:r>
            <w:r>
              <w:rPr>
                <w:noProof/>
                <w:kern w:val="2"/>
                <w:sz w:val="24"/>
                <w:szCs w:val="24"/>
                <w14:ligatures w14:val="standardContextual"/>
              </w:rPr>
              <w:tab/>
            </w:r>
            <w:r w:rsidRPr="00115240">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_Toc235706423 \h </w:instrText>
            </w:r>
            <w:r>
              <w:rPr>
                <w:noProof/>
                <w:webHidden/>
              </w:rPr>
            </w:r>
            <w:r>
              <w:rPr>
                <w:noProof/>
                <w:webHidden/>
              </w:rPr>
              <w:fldChar w:fldCharType="separate"/>
            </w:r>
            <w:r>
              <w:rPr>
                <w:noProof/>
                <w:webHidden/>
              </w:rPr>
              <w:t>24</w:t>
            </w:r>
            <w:r>
              <w:rPr>
                <w:noProof/>
                <w:webHidden/>
              </w:rPr>
              <w:fldChar w:fldCharType="end"/>
            </w:r>
          </w:hyperlink>
        </w:p>
        <w:p w14:paraId="211F258F" w14:textId="61D03461" w:rsidR="00A54746" w:rsidRDefault="00A54746">
          <w:pPr>
            <w:pStyle w:val="TOC2"/>
            <w:tabs>
              <w:tab w:val="left" w:pos="960"/>
              <w:tab w:val="right" w:leader="dot" w:pos="9016"/>
            </w:tabs>
            <w:rPr>
              <w:noProof/>
              <w:kern w:val="2"/>
              <w:sz w:val="24"/>
              <w:szCs w:val="24"/>
              <w14:ligatures w14:val="standardContextual"/>
            </w:rPr>
          </w:pPr>
          <w:hyperlink w:anchor="_Toc235706424" w:history="1">
            <w:r w:rsidRPr="00115240">
              <w:rPr>
                <w:rStyle w:val="Hyperlink"/>
                <w:rFonts w:ascii="Arial" w:hAnsi="Arial" w:cs="Arial"/>
                <w:noProof/>
              </w:rPr>
              <w:t>7.1</w:t>
            </w:r>
            <w:r>
              <w:rPr>
                <w:noProof/>
                <w:kern w:val="2"/>
                <w:sz w:val="24"/>
                <w:szCs w:val="24"/>
                <w14:ligatures w14:val="standardContextual"/>
              </w:rPr>
              <w:tab/>
            </w:r>
            <w:r w:rsidRPr="00115240">
              <w:rPr>
                <w:rStyle w:val="Hyperlink"/>
                <w:rFonts w:ascii="Arial" w:hAnsi="Arial" w:cs="Arial"/>
                <w:noProof/>
              </w:rPr>
              <w:t>Appendix A: Five-Year Financial-Statement Summary</w:t>
            </w:r>
            <w:r>
              <w:rPr>
                <w:noProof/>
                <w:webHidden/>
              </w:rPr>
              <w:tab/>
            </w:r>
            <w:r>
              <w:rPr>
                <w:noProof/>
                <w:webHidden/>
              </w:rPr>
              <w:fldChar w:fldCharType="begin"/>
            </w:r>
            <w:r>
              <w:rPr>
                <w:noProof/>
                <w:webHidden/>
              </w:rPr>
              <w:instrText xml:space="preserve"> PAGEREF _Toc235706424 \h </w:instrText>
            </w:r>
            <w:r>
              <w:rPr>
                <w:noProof/>
                <w:webHidden/>
              </w:rPr>
            </w:r>
            <w:r>
              <w:rPr>
                <w:noProof/>
                <w:webHidden/>
              </w:rPr>
              <w:fldChar w:fldCharType="separate"/>
            </w:r>
            <w:r>
              <w:rPr>
                <w:noProof/>
                <w:webHidden/>
              </w:rPr>
              <w:t>24</w:t>
            </w:r>
            <w:r>
              <w:rPr>
                <w:noProof/>
                <w:webHidden/>
              </w:rPr>
              <w:fldChar w:fldCharType="end"/>
            </w:r>
          </w:hyperlink>
        </w:p>
        <w:p w14:paraId="42F0926D" w14:textId="56DBD60B" w:rsidR="00A54746" w:rsidRDefault="00A54746">
          <w:pPr>
            <w:pStyle w:val="TOC2"/>
            <w:tabs>
              <w:tab w:val="left" w:pos="960"/>
              <w:tab w:val="right" w:leader="dot" w:pos="9016"/>
            </w:tabs>
            <w:rPr>
              <w:noProof/>
              <w:kern w:val="2"/>
              <w:sz w:val="24"/>
              <w:szCs w:val="24"/>
              <w14:ligatures w14:val="standardContextual"/>
            </w:rPr>
          </w:pPr>
          <w:hyperlink w:anchor="_Toc235706425" w:history="1">
            <w:r w:rsidRPr="00115240">
              <w:rPr>
                <w:rStyle w:val="Hyperlink"/>
                <w:rFonts w:ascii="Arial" w:hAnsi="Arial" w:cs="Arial"/>
                <w:noProof/>
              </w:rPr>
              <w:t>7.2</w:t>
            </w:r>
            <w:r>
              <w:rPr>
                <w:noProof/>
                <w:kern w:val="2"/>
                <w:sz w:val="24"/>
                <w:szCs w:val="24"/>
                <w14:ligatures w14:val="standardContextual"/>
              </w:rPr>
              <w:tab/>
            </w:r>
            <w:r w:rsidRPr="00115240">
              <w:rPr>
                <w:rStyle w:val="Hyperlink"/>
                <w:rFonts w:ascii="Arial" w:hAnsi="Arial" w:cs="Arial"/>
                <w:noProof/>
              </w:rPr>
              <w:t>Appendix B: Comprehensive Ratio Summary</w:t>
            </w:r>
            <w:r>
              <w:rPr>
                <w:noProof/>
                <w:webHidden/>
              </w:rPr>
              <w:tab/>
            </w:r>
            <w:r>
              <w:rPr>
                <w:noProof/>
                <w:webHidden/>
              </w:rPr>
              <w:fldChar w:fldCharType="begin"/>
            </w:r>
            <w:r>
              <w:rPr>
                <w:noProof/>
                <w:webHidden/>
              </w:rPr>
              <w:instrText xml:space="preserve"> PAGEREF _Toc235706425 \h </w:instrText>
            </w:r>
            <w:r>
              <w:rPr>
                <w:noProof/>
                <w:webHidden/>
              </w:rPr>
            </w:r>
            <w:r>
              <w:rPr>
                <w:noProof/>
                <w:webHidden/>
              </w:rPr>
              <w:fldChar w:fldCharType="separate"/>
            </w:r>
            <w:r>
              <w:rPr>
                <w:noProof/>
                <w:webHidden/>
              </w:rPr>
              <w:t>25</w:t>
            </w:r>
            <w:r>
              <w:rPr>
                <w:noProof/>
                <w:webHidden/>
              </w:rPr>
              <w:fldChar w:fldCharType="end"/>
            </w:r>
          </w:hyperlink>
        </w:p>
        <w:p w14:paraId="222E3146" w14:textId="42D80A67" w:rsidR="00A54746" w:rsidRDefault="00A54746">
          <w:pPr>
            <w:pStyle w:val="TOC2"/>
            <w:tabs>
              <w:tab w:val="left" w:pos="960"/>
              <w:tab w:val="right" w:leader="dot" w:pos="9016"/>
            </w:tabs>
            <w:rPr>
              <w:noProof/>
              <w:kern w:val="2"/>
              <w:sz w:val="24"/>
              <w:szCs w:val="24"/>
              <w14:ligatures w14:val="standardContextual"/>
            </w:rPr>
          </w:pPr>
          <w:hyperlink w:anchor="_Toc235706426" w:history="1">
            <w:r w:rsidRPr="00115240">
              <w:rPr>
                <w:rStyle w:val="Hyperlink"/>
                <w:rFonts w:ascii="Arial" w:hAnsi="Arial" w:cs="Arial"/>
                <w:noProof/>
              </w:rPr>
              <w:t>7.3</w:t>
            </w:r>
            <w:r>
              <w:rPr>
                <w:noProof/>
                <w:kern w:val="2"/>
                <w:sz w:val="24"/>
                <w:szCs w:val="24"/>
                <w14:ligatures w14:val="standardContextual"/>
              </w:rPr>
              <w:tab/>
            </w:r>
            <w:r w:rsidRPr="00115240">
              <w:rPr>
                <w:rStyle w:val="Hyperlink"/>
                <w:rFonts w:ascii="Arial" w:hAnsi="Arial" w:cs="Arial"/>
                <w:noProof/>
              </w:rPr>
              <w:t>Appendix C: Liquidity Benchmark Comparison</w:t>
            </w:r>
            <w:r>
              <w:rPr>
                <w:noProof/>
                <w:webHidden/>
              </w:rPr>
              <w:tab/>
            </w:r>
            <w:r>
              <w:rPr>
                <w:noProof/>
                <w:webHidden/>
              </w:rPr>
              <w:fldChar w:fldCharType="begin"/>
            </w:r>
            <w:r>
              <w:rPr>
                <w:noProof/>
                <w:webHidden/>
              </w:rPr>
              <w:instrText xml:space="preserve"> PAGEREF _Toc235706426 \h </w:instrText>
            </w:r>
            <w:r>
              <w:rPr>
                <w:noProof/>
                <w:webHidden/>
              </w:rPr>
            </w:r>
            <w:r>
              <w:rPr>
                <w:noProof/>
                <w:webHidden/>
              </w:rPr>
              <w:fldChar w:fldCharType="separate"/>
            </w:r>
            <w:r>
              <w:rPr>
                <w:noProof/>
                <w:webHidden/>
              </w:rPr>
              <w:t>26</w:t>
            </w:r>
            <w:r>
              <w:rPr>
                <w:noProof/>
                <w:webHidden/>
              </w:rPr>
              <w:fldChar w:fldCharType="end"/>
            </w:r>
          </w:hyperlink>
        </w:p>
        <w:p w14:paraId="6124FD74" w14:textId="16B1061C" w:rsidR="00A54746" w:rsidRDefault="00A54746">
          <w:pPr>
            <w:pStyle w:val="TOC2"/>
            <w:tabs>
              <w:tab w:val="left" w:pos="960"/>
              <w:tab w:val="right" w:leader="dot" w:pos="9016"/>
            </w:tabs>
            <w:rPr>
              <w:noProof/>
              <w:kern w:val="2"/>
              <w:sz w:val="24"/>
              <w:szCs w:val="24"/>
              <w14:ligatures w14:val="standardContextual"/>
            </w:rPr>
          </w:pPr>
          <w:hyperlink w:anchor="_Toc235706427" w:history="1">
            <w:r w:rsidRPr="00115240">
              <w:rPr>
                <w:rStyle w:val="Hyperlink"/>
                <w:rFonts w:ascii="Arial" w:hAnsi="Arial" w:cs="Arial"/>
                <w:noProof/>
              </w:rPr>
              <w:t>7.4</w:t>
            </w:r>
            <w:r>
              <w:rPr>
                <w:noProof/>
                <w:kern w:val="2"/>
                <w:sz w:val="24"/>
                <w:szCs w:val="24"/>
                <w14:ligatures w14:val="standardContextual"/>
              </w:rPr>
              <w:tab/>
            </w:r>
            <w:r w:rsidRPr="00115240">
              <w:rPr>
                <w:rStyle w:val="Hyperlink"/>
                <w:rFonts w:ascii="Arial" w:hAnsi="Arial" w:cs="Arial"/>
                <w:noProof/>
              </w:rPr>
              <w:t>Appendix D: Graphs of All Ratios</w:t>
            </w:r>
            <w:r>
              <w:rPr>
                <w:noProof/>
                <w:webHidden/>
              </w:rPr>
              <w:tab/>
            </w:r>
            <w:r>
              <w:rPr>
                <w:noProof/>
                <w:webHidden/>
              </w:rPr>
              <w:fldChar w:fldCharType="begin"/>
            </w:r>
            <w:r>
              <w:rPr>
                <w:noProof/>
                <w:webHidden/>
              </w:rPr>
              <w:instrText xml:space="preserve"> PAGEREF _Toc235706427 \h </w:instrText>
            </w:r>
            <w:r>
              <w:rPr>
                <w:noProof/>
                <w:webHidden/>
              </w:rPr>
            </w:r>
            <w:r>
              <w:rPr>
                <w:noProof/>
                <w:webHidden/>
              </w:rPr>
              <w:fldChar w:fldCharType="separate"/>
            </w:r>
            <w:r>
              <w:rPr>
                <w:noProof/>
                <w:webHidden/>
              </w:rPr>
              <w:t>27</w:t>
            </w:r>
            <w:r>
              <w:rPr>
                <w:noProof/>
                <w:webHidden/>
              </w:rPr>
              <w:fldChar w:fldCharType="end"/>
            </w:r>
          </w:hyperlink>
        </w:p>
        <w:p w14:paraId="2B58FFBC" w14:textId="23C279B8" w:rsidR="00160CEE" w:rsidRPr="006E06A7" w:rsidRDefault="000E7262" w:rsidP="006E06A7">
          <w:pPr>
            <w:rPr>
              <w:rFonts w:ascii="Arial" w:hAnsi="Arial" w:cs="Arial"/>
              <w:sz w:val="24"/>
              <w:szCs w:val="24"/>
            </w:rPr>
          </w:pPr>
          <w:r w:rsidRPr="00C63568">
            <w:rPr>
              <w:rFonts w:ascii="Arial" w:hAnsi="Arial" w:cs="Arial"/>
              <w:b/>
              <w:bCs/>
              <w:noProof/>
              <w:sz w:val="24"/>
              <w:szCs w:val="24"/>
            </w:rPr>
            <w:fldChar w:fldCharType="end"/>
          </w:r>
        </w:p>
      </w:sdtContent>
    </w:sdt>
    <w:p w14:paraId="45C263A9" w14:textId="77777777" w:rsidR="00160CEE" w:rsidRPr="00C63568" w:rsidRDefault="00160CEE" w:rsidP="00160CEE">
      <w:pPr>
        <w:pStyle w:val="Heading1"/>
        <w:spacing w:line="360" w:lineRule="auto"/>
        <w:jc w:val="both"/>
        <w:rPr>
          <w:rFonts w:ascii="Arial" w:hAnsi="Arial" w:cs="Arial"/>
          <w:sz w:val="24"/>
          <w:szCs w:val="24"/>
        </w:rPr>
      </w:pPr>
      <w:bookmarkStart w:id="0" w:name="_Toc235706396"/>
      <w:r w:rsidRPr="00C63568">
        <w:rPr>
          <w:rFonts w:ascii="Arial" w:hAnsi="Arial" w:cs="Arial"/>
          <w:sz w:val="24"/>
          <w:szCs w:val="24"/>
        </w:rPr>
        <w:lastRenderedPageBreak/>
        <w:t>Financial Performance and Ratio Analysis of Wyndham Hotels &amp; Resorts, 2021–2025</w:t>
      </w:r>
      <w:bookmarkEnd w:id="0"/>
    </w:p>
    <w:p w14:paraId="4D7623B5" w14:textId="7B6B1EA9" w:rsidR="00160CEE" w:rsidRPr="00C63568" w:rsidRDefault="00160CEE" w:rsidP="00160CEE">
      <w:pPr>
        <w:pStyle w:val="Heading2"/>
        <w:spacing w:line="360" w:lineRule="auto"/>
        <w:rPr>
          <w:rFonts w:ascii="Arial" w:hAnsi="Arial" w:cs="Arial"/>
          <w:sz w:val="24"/>
          <w:szCs w:val="24"/>
        </w:rPr>
      </w:pPr>
      <w:bookmarkStart w:id="1" w:name="_Toc235706397"/>
      <w:r w:rsidRPr="00C63568">
        <w:rPr>
          <w:rFonts w:ascii="Arial" w:hAnsi="Arial" w:cs="Arial"/>
          <w:sz w:val="24"/>
          <w:szCs w:val="24"/>
        </w:rPr>
        <w:t>Executive Overview</w:t>
      </w:r>
      <w:bookmarkEnd w:id="1"/>
    </w:p>
    <w:p w14:paraId="2549AC55" w14:textId="7D943325" w:rsidR="00CD4C0D" w:rsidRPr="00C63568" w:rsidRDefault="000F60D6" w:rsidP="00160CEE">
      <w:pPr>
        <w:spacing w:line="360" w:lineRule="auto"/>
        <w:jc w:val="both"/>
        <w:rPr>
          <w:rFonts w:ascii="Arial" w:hAnsi="Arial" w:cs="Arial"/>
          <w:sz w:val="24"/>
          <w:szCs w:val="24"/>
        </w:rPr>
      </w:pPr>
      <w:r w:rsidRPr="00C63568">
        <w:rPr>
          <w:rFonts w:ascii="Arial" w:hAnsi="Arial" w:cs="Arial"/>
          <w:sz w:val="24"/>
          <w:szCs w:val="24"/>
        </w:rPr>
        <w:t xml:space="preserve">Wyndham Hotels &amp; Resorts is an international hotel franchisor whose business is principally based on the payment of recurring fees for the use of its assets, principally the royalties and fees from its hotel franchise, its marketing and other fees, and not the ownership of hotel real estate. Across 2021–2025, the company expanded from 7,873 to 8,389 properties and from approximately 744,700 to 868,900 rooms (Wyndham Hotels &amp; Resorts, 2026). As reported revenue dropped 10 percent to $1.429 billion, compared with $1.565 billion, and net income declined 4 percent to $193 million, from $244 million, this scale growth enabled adjusted EBITDA to increase from $590 million to $718 million. The apparent paradox stems from both the trend toward fee income in higher-margin territories as well as the quite high charges in 2025 related to the inability to service a large franchisee (Wyndham Hotels &amp; Resorts, 2026). The underlying statements are </w:t>
      </w:r>
      <w:proofErr w:type="spellStart"/>
      <w:r w:rsidRPr="00C63568">
        <w:rPr>
          <w:rFonts w:ascii="Arial" w:hAnsi="Arial" w:cs="Arial"/>
          <w:sz w:val="24"/>
          <w:szCs w:val="24"/>
        </w:rPr>
        <w:t>summarised</w:t>
      </w:r>
      <w:proofErr w:type="spellEnd"/>
      <w:r w:rsidRPr="00C63568">
        <w:rPr>
          <w:rFonts w:ascii="Arial" w:hAnsi="Arial" w:cs="Arial"/>
          <w:sz w:val="24"/>
          <w:szCs w:val="24"/>
        </w:rPr>
        <w:t xml:space="preserve"> in Appendix </w:t>
      </w:r>
      <w:r w:rsidR="00552BEA" w:rsidRPr="00C63568">
        <w:rPr>
          <w:rFonts w:ascii="Arial" w:hAnsi="Arial" w:cs="Arial"/>
          <w:sz w:val="24"/>
          <w:szCs w:val="24"/>
        </w:rPr>
        <w:t>A,</w:t>
      </w:r>
      <w:r w:rsidRPr="00C63568">
        <w:rPr>
          <w:rFonts w:ascii="Arial" w:hAnsi="Arial" w:cs="Arial"/>
          <w:sz w:val="24"/>
          <w:szCs w:val="24"/>
        </w:rPr>
        <w:t xml:space="preserve"> and the accompanying ratios are presented in Appendix B.</w:t>
      </w:r>
    </w:p>
    <w:p w14:paraId="112E66C0" w14:textId="6A756D38" w:rsidR="00160CEE" w:rsidRPr="00C63568" w:rsidRDefault="00160CEE" w:rsidP="00160CEE">
      <w:pPr>
        <w:pStyle w:val="Heading2"/>
        <w:spacing w:line="360" w:lineRule="auto"/>
        <w:rPr>
          <w:rFonts w:ascii="Arial" w:hAnsi="Arial" w:cs="Arial"/>
          <w:sz w:val="24"/>
          <w:szCs w:val="24"/>
        </w:rPr>
      </w:pPr>
      <w:bookmarkStart w:id="2" w:name="_Toc235706398"/>
      <w:r w:rsidRPr="00C63568">
        <w:rPr>
          <w:rFonts w:ascii="Arial" w:hAnsi="Arial" w:cs="Arial"/>
          <w:sz w:val="24"/>
          <w:szCs w:val="24"/>
        </w:rPr>
        <w:t>Five-Year Financial-Statement Performance</w:t>
      </w:r>
      <w:bookmarkEnd w:id="2"/>
    </w:p>
    <w:p w14:paraId="75D5B50D" w14:textId="53F4FA1C" w:rsidR="000F07A6" w:rsidRPr="00C63568" w:rsidRDefault="000F07A6" w:rsidP="000F07A6">
      <w:pPr>
        <w:spacing w:line="360" w:lineRule="auto"/>
        <w:jc w:val="both"/>
        <w:rPr>
          <w:rFonts w:ascii="Arial" w:hAnsi="Arial" w:cs="Arial"/>
          <w:sz w:val="24"/>
          <w:szCs w:val="24"/>
        </w:rPr>
      </w:pPr>
      <w:r w:rsidRPr="00C63568">
        <w:rPr>
          <w:rFonts w:ascii="Arial" w:hAnsi="Arial" w:cs="Arial"/>
          <w:sz w:val="24"/>
          <w:szCs w:val="24"/>
        </w:rPr>
        <w:t xml:space="preserve">Revenue decreased by 10.7% between 2021 and 2023, from $1.565 billion to $1.397 billion, before recovering modestly to $1.429 billion in 2025. The headline decrease is not just due to commercial contraction as prior periods encompassed reimbursable </w:t>
      </w:r>
      <w:r w:rsidR="006F7930" w:rsidRPr="00C63568">
        <w:rPr>
          <w:rFonts w:ascii="Arial" w:hAnsi="Arial" w:cs="Arial"/>
          <w:sz w:val="24"/>
          <w:szCs w:val="24"/>
        </w:rPr>
        <w:t>cost-related</w:t>
      </w:r>
      <w:r w:rsidRPr="00C63568">
        <w:rPr>
          <w:rFonts w:ascii="Arial" w:hAnsi="Arial" w:cs="Arial"/>
          <w:sz w:val="24"/>
          <w:szCs w:val="24"/>
        </w:rPr>
        <w:t xml:space="preserve"> revenue with limited profit margins</w:t>
      </w:r>
      <w:r w:rsidR="005A26B8" w:rsidRPr="00C63568">
        <w:rPr>
          <w:rFonts w:ascii="Arial" w:hAnsi="Arial" w:cs="Arial"/>
          <w:sz w:val="24"/>
          <w:szCs w:val="24"/>
        </w:rPr>
        <w:t xml:space="preserve"> (Wyndham Hotels &amp; Resorts, 2026).</w:t>
      </w:r>
      <w:r w:rsidRPr="00C63568">
        <w:rPr>
          <w:rFonts w:ascii="Arial" w:hAnsi="Arial" w:cs="Arial"/>
          <w:sz w:val="24"/>
          <w:szCs w:val="24"/>
        </w:rPr>
        <w:t xml:space="preserve"> The more significant figure is that adjusted EBITDA has grown each year, resulting in a 21.7% cumulative growth (Wyndham Hotels &amp; Resorts, 2026). Its margin increased from 37.7% in 2021 to 50.2% in 2025, showcasing the scalability of its franchise platform and disciplined cost structure (Wyndham Hotels &amp; Resorts, 2026).</w:t>
      </w:r>
    </w:p>
    <w:p w14:paraId="228F98E1" w14:textId="44A659A2" w:rsidR="000F07A6" w:rsidRPr="00C63568" w:rsidRDefault="000F07A6" w:rsidP="000F07A6">
      <w:pPr>
        <w:spacing w:line="360" w:lineRule="auto"/>
        <w:jc w:val="both"/>
        <w:rPr>
          <w:rFonts w:ascii="Arial" w:hAnsi="Arial" w:cs="Arial"/>
          <w:sz w:val="24"/>
          <w:szCs w:val="24"/>
        </w:rPr>
      </w:pPr>
      <w:r w:rsidRPr="00C63568">
        <w:rPr>
          <w:rFonts w:ascii="Arial" w:hAnsi="Arial" w:cs="Arial"/>
          <w:sz w:val="24"/>
          <w:szCs w:val="24"/>
        </w:rPr>
        <w:t xml:space="preserve">However, statutory profitability declined. Operating income rose to a high of $558 million in 2022 and then dropped to $402 million in 2025, and net income followed a similar pattern, reaching a high of $355 million in 2022 before falling to $193 million in 2025 (Wyndham Hotels &amp; Resorts, 2026). About $160 million of charges in </w:t>
      </w:r>
      <w:r w:rsidR="005A26B8" w:rsidRPr="00C63568">
        <w:rPr>
          <w:rFonts w:ascii="Arial" w:hAnsi="Arial" w:cs="Arial"/>
          <w:sz w:val="24"/>
          <w:szCs w:val="24"/>
        </w:rPr>
        <w:t>2025</w:t>
      </w:r>
      <w:r w:rsidRPr="00C63568">
        <w:rPr>
          <w:rFonts w:ascii="Arial" w:hAnsi="Arial" w:cs="Arial"/>
          <w:sz w:val="24"/>
          <w:szCs w:val="24"/>
        </w:rPr>
        <w:t xml:space="preserve"> result related to the insolvency proceedings of Revo Hospitality Group, comprising impairments of $86 million and operating expenses of $74 million. As a result, the </w:t>
      </w:r>
      <w:r w:rsidRPr="00C63568">
        <w:rPr>
          <w:rFonts w:ascii="Arial" w:hAnsi="Arial" w:cs="Arial"/>
          <w:sz w:val="24"/>
          <w:szCs w:val="24"/>
        </w:rPr>
        <w:lastRenderedPageBreak/>
        <w:t>operating margin in 2025 fell to 28.1%, while the net margin dropped to 13.5%, the return on assets to 4.6% and the diluted earnings per share to $2.50. Adjusted EBITDA is a measure of the core franchise business while GAAP earnings reveal concentration and credit risks across development advances, guarantees and franchisee relationships (Wyndham Hotels &amp; Resorts, 2026).</w:t>
      </w:r>
    </w:p>
    <w:p w14:paraId="79E8AB9A" w14:textId="77777777" w:rsidR="000F07A6" w:rsidRPr="00C63568" w:rsidRDefault="000F07A6" w:rsidP="000F07A6">
      <w:pPr>
        <w:spacing w:line="360" w:lineRule="auto"/>
        <w:jc w:val="both"/>
        <w:rPr>
          <w:rFonts w:ascii="Arial" w:hAnsi="Arial" w:cs="Arial"/>
          <w:sz w:val="24"/>
          <w:szCs w:val="24"/>
        </w:rPr>
      </w:pPr>
      <w:r w:rsidRPr="00C63568">
        <w:rPr>
          <w:rFonts w:ascii="Arial" w:hAnsi="Arial" w:cs="Arial"/>
          <w:sz w:val="24"/>
          <w:szCs w:val="24"/>
        </w:rPr>
        <w:t>The balance sheet shows a more severe deterioration. Total debt rose from $2.084 billion in 2021 to $2.560 billion in 2025, while shareholders' equity fell from $1.089 billion to $468 million. The amount of cash and cash equivalents decreased from $171 million to $64 million (Wyndham Hotels &amp; Resorts, 2026). This decline in equity reflects significant capital distributions, such as dividends and share buybacks, as well as the earnings volatility. As a result, while there are fewer direct property investments, the financing structure has become materially more leveraged (Wyndham Hotels &amp; Resorts, 2022; 2026).</w:t>
      </w:r>
    </w:p>
    <w:p w14:paraId="35B51BC1" w14:textId="1C12FD10" w:rsidR="000F60D6" w:rsidRPr="00C63568" w:rsidRDefault="000F07A6" w:rsidP="000F07A6">
      <w:pPr>
        <w:spacing w:line="360" w:lineRule="auto"/>
        <w:jc w:val="both"/>
        <w:rPr>
          <w:rFonts w:ascii="Arial" w:hAnsi="Arial" w:cs="Arial"/>
          <w:sz w:val="24"/>
          <w:szCs w:val="24"/>
        </w:rPr>
      </w:pPr>
      <w:r w:rsidRPr="00C63568">
        <w:rPr>
          <w:rFonts w:ascii="Arial" w:hAnsi="Arial" w:cs="Arial"/>
          <w:sz w:val="24"/>
          <w:szCs w:val="24"/>
        </w:rPr>
        <w:t xml:space="preserve">Cash generation continued to be a key strength. Operating cash flow of $426 million in 2021, dropped to $290 million in 2024, and rose </w:t>
      </w:r>
      <w:r w:rsidR="00F31670" w:rsidRPr="00C63568">
        <w:rPr>
          <w:rFonts w:ascii="Arial" w:hAnsi="Arial" w:cs="Arial"/>
          <w:sz w:val="24"/>
          <w:szCs w:val="24"/>
        </w:rPr>
        <w:t>back</w:t>
      </w:r>
      <w:r w:rsidRPr="00C63568">
        <w:rPr>
          <w:rFonts w:ascii="Arial" w:hAnsi="Arial" w:cs="Arial"/>
          <w:sz w:val="24"/>
          <w:szCs w:val="24"/>
        </w:rPr>
        <w:t xml:space="preserve"> to $367 million in 2025. Free cash flow in 2025 was $321 million, which is a 22.5% margin (Wyndham Hotels &amp; Resorts, 2026), after capital expenditure. The cash conversion ratio was 1.90 times net income, indicating that the outstanding accounting charges of 2025 were mostly non-cash. However, resilient cash generation should now be used to repair the balance sheet rather than justify continued aggressive shareholder distributions (Wyndham Hotels &amp; Resorts, 2026).</w:t>
      </w:r>
    </w:p>
    <w:p w14:paraId="5664CFBC" w14:textId="0F18A8B1" w:rsidR="00160CEE" w:rsidRPr="00C63568" w:rsidRDefault="00160CEE" w:rsidP="00160CEE">
      <w:pPr>
        <w:pStyle w:val="Heading2"/>
        <w:spacing w:line="360" w:lineRule="auto"/>
        <w:rPr>
          <w:rFonts w:ascii="Arial" w:hAnsi="Arial" w:cs="Arial"/>
          <w:sz w:val="24"/>
          <w:szCs w:val="24"/>
        </w:rPr>
      </w:pPr>
      <w:bookmarkStart w:id="3" w:name="_Toc235706399"/>
      <w:r w:rsidRPr="00C63568">
        <w:rPr>
          <w:rFonts w:ascii="Arial" w:hAnsi="Arial" w:cs="Arial"/>
          <w:sz w:val="24"/>
          <w:szCs w:val="24"/>
        </w:rPr>
        <w:t>Comprehensive Ratio Analysis</w:t>
      </w:r>
      <w:bookmarkEnd w:id="3"/>
    </w:p>
    <w:p w14:paraId="76F7B349" w14:textId="011979D9" w:rsidR="00854698" w:rsidRPr="00C63568" w:rsidRDefault="00854698" w:rsidP="00854698">
      <w:pPr>
        <w:spacing w:line="360" w:lineRule="auto"/>
        <w:jc w:val="both"/>
        <w:rPr>
          <w:rFonts w:ascii="Arial" w:hAnsi="Arial" w:cs="Arial"/>
          <w:sz w:val="24"/>
          <w:szCs w:val="24"/>
        </w:rPr>
      </w:pPr>
      <w:r w:rsidRPr="00C63568">
        <w:rPr>
          <w:rFonts w:ascii="Arial" w:hAnsi="Arial" w:cs="Arial"/>
          <w:sz w:val="24"/>
          <w:szCs w:val="24"/>
        </w:rPr>
        <w:t xml:space="preserve">The best years for profitability were 2022, with an operating margin of 37.2%, a net margin of 23.7%, a return on assets of 8.5% and a return on equity of 34.6%. In 2025, only ROE had improved significantly while other measures had deteriorated significantly. The denominator of the figure (average shareholders' equity) has decreased significantly, and the 34.5% return on equity reported for 2025 is not an unqualified strength. Better metrics are </w:t>
      </w:r>
      <w:r w:rsidR="00497FDA" w:rsidRPr="00C63568">
        <w:rPr>
          <w:rFonts w:ascii="Arial" w:hAnsi="Arial" w:cs="Arial"/>
          <w:sz w:val="24"/>
          <w:szCs w:val="24"/>
        </w:rPr>
        <w:t>returned</w:t>
      </w:r>
      <w:r w:rsidRPr="00C63568">
        <w:rPr>
          <w:rFonts w:ascii="Arial" w:hAnsi="Arial" w:cs="Arial"/>
          <w:sz w:val="24"/>
          <w:szCs w:val="24"/>
        </w:rPr>
        <w:t xml:space="preserve"> on assets, profit margins and cash returns, reflecting lower statutory profitability but underlying strength in EBITDA. These calculations have been prepared using Wyndham's audited statements and are included as Appendix B.</w:t>
      </w:r>
    </w:p>
    <w:p w14:paraId="17A5FE65" w14:textId="71FCE44C" w:rsidR="00854698" w:rsidRPr="00C63568" w:rsidRDefault="00854698" w:rsidP="00854698">
      <w:pPr>
        <w:spacing w:line="360" w:lineRule="auto"/>
        <w:jc w:val="both"/>
        <w:rPr>
          <w:rFonts w:ascii="Arial" w:hAnsi="Arial" w:cs="Arial"/>
          <w:sz w:val="24"/>
          <w:szCs w:val="24"/>
        </w:rPr>
      </w:pPr>
      <w:r w:rsidRPr="00C63568">
        <w:rPr>
          <w:rFonts w:ascii="Arial" w:hAnsi="Arial" w:cs="Arial"/>
          <w:sz w:val="24"/>
          <w:szCs w:val="24"/>
        </w:rPr>
        <w:lastRenderedPageBreak/>
        <w:t>Liquidity declined consistently. The current ratio fell from 1.81 times in 2021 to 0.86 times in 2025, the quick ratio from 1.05 to 0.70, and the cash ratio from 0.43 to 0.13. Net working capital changed from a $323 million surplus to a $72 million deficit</w:t>
      </w:r>
      <w:r w:rsidR="00552BEA" w:rsidRPr="00C63568">
        <w:rPr>
          <w:rFonts w:ascii="Arial" w:hAnsi="Arial" w:cs="Arial"/>
          <w:sz w:val="24"/>
          <w:szCs w:val="24"/>
        </w:rPr>
        <w:t xml:space="preserve"> (Wyndham Hotels &amp; Resorts, 2026).</w:t>
      </w:r>
      <w:r w:rsidRPr="00C63568">
        <w:rPr>
          <w:rFonts w:ascii="Arial" w:hAnsi="Arial" w:cs="Arial"/>
          <w:sz w:val="24"/>
          <w:szCs w:val="24"/>
        </w:rPr>
        <w:t xml:space="preserve"> This is the sign of growing reliance on continuing franchise-fee income and </w:t>
      </w:r>
      <w:r w:rsidR="00C45823" w:rsidRPr="00C63568">
        <w:rPr>
          <w:rFonts w:ascii="Arial" w:hAnsi="Arial" w:cs="Arial"/>
          <w:sz w:val="24"/>
          <w:szCs w:val="24"/>
        </w:rPr>
        <w:t>retaining</w:t>
      </w:r>
      <w:r w:rsidRPr="00C63568">
        <w:rPr>
          <w:rFonts w:ascii="Arial" w:hAnsi="Arial" w:cs="Arial"/>
          <w:sz w:val="24"/>
          <w:szCs w:val="24"/>
        </w:rPr>
        <w:t xml:space="preserve"> power to meet short-term demands. In a predictable fee-based business, the risk can be contained at a predictable premium, but the margin of safety has narrowed at Wyndham Hotels &amp; Resorts, 2026).</w:t>
      </w:r>
    </w:p>
    <w:p w14:paraId="561D1A5E" w14:textId="77777777" w:rsidR="00854698" w:rsidRPr="00C63568" w:rsidRDefault="00854698" w:rsidP="00854698">
      <w:pPr>
        <w:spacing w:line="360" w:lineRule="auto"/>
        <w:jc w:val="both"/>
        <w:rPr>
          <w:rFonts w:ascii="Arial" w:hAnsi="Arial" w:cs="Arial"/>
          <w:sz w:val="24"/>
          <w:szCs w:val="24"/>
        </w:rPr>
      </w:pPr>
      <w:r w:rsidRPr="00C63568">
        <w:rPr>
          <w:rFonts w:ascii="Arial" w:hAnsi="Arial" w:cs="Arial"/>
          <w:sz w:val="24"/>
          <w:szCs w:val="24"/>
        </w:rPr>
        <w:t>Efficiency ratios present mixed results. Fixed-asset turnover remained elevated at about 0.34 times, while total asset turnover was flat due to Wyndham's relatively low physical hotel asset base. Receivables turnover ratio decreased from 6.24 times in 2022 to 5.09 times in 2025 and DSO rose from 58.5 days to 71.8 days. The longer collection period is in line with the higher franchise-credit risk illustrated by the Revo loss and demands more stringent measures of receivables and counterparty control. (Wyndham Hotels &amp; Resorts, 2026)</w:t>
      </w:r>
    </w:p>
    <w:p w14:paraId="02F93A34" w14:textId="7FF0C828" w:rsidR="000F07A6" w:rsidRPr="00C63568" w:rsidRDefault="00854698" w:rsidP="00854698">
      <w:pPr>
        <w:spacing w:line="360" w:lineRule="auto"/>
        <w:jc w:val="both"/>
        <w:rPr>
          <w:rFonts w:ascii="Arial" w:hAnsi="Arial" w:cs="Arial"/>
          <w:sz w:val="24"/>
          <w:szCs w:val="24"/>
        </w:rPr>
      </w:pPr>
      <w:r w:rsidRPr="00C63568">
        <w:rPr>
          <w:rFonts w:ascii="Arial" w:hAnsi="Arial" w:cs="Arial"/>
          <w:sz w:val="24"/>
          <w:szCs w:val="24"/>
        </w:rPr>
        <w:t>Gearing is the clearest financial threat. Debt-to-equity increased from 1.91 times to 5.47 times, debt-to-assets increased from 48.8% to 61.2% and interest coverage decreased from 4.80 to 2.89 times. Net debt to adjusted EBITDA grew more modestly to 3.48 from 3.24 times, as EBITDA growth helped partially cover the increased borrowing. Despite this, a higher interest expense and a deterioration in cover make strategic flexibility more difficult</w:t>
      </w:r>
      <w:r w:rsidR="00552BEA" w:rsidRPr="00C63568">
        <w:rPr>
          <w:rFonts w:ascii="Arial" w:hAnsi="Arial" w:cs="Arial"/>
          <w:sz w:val="24"/>
          <w:szCs w:val="24"/>
        </w:rPr>
        <w:t xml:space="preserve"> (Wyndham Hotels &amp; Resorts, 2026).</w:t>
      </w:r>
      <w:r w:rsidRPr="00C63568">
        <w:rPr>
          <w:rFonts w:ascii="Arial" w:hAnsi="Arial" w:cs="Arial"/>
          <w:sz w:val="24"/>
          <w:szCs w:val="24"/>
        </w:rPr>
        <w:t xml:space="preserve"> The investment ratios also deteriorated, increasing the dividend per share from $0.88 to $1.64 per share and decreasing the EPS from 1.46 to 1.00, which resulted in a higher payout ratio from 33.8% to 65.6% and a lower dividend cover from 2.95 times to 1.52 times (Wyndham Hotels &amp; Resorts, 2026).</w:t>
      </w:r>
    </w:p>
    <w:p w14:paraId="428B3FE7" w14:textId="521410DF" w:rsidR="00160CEE" w:rsidRPr="00C63568" w:rsidRDefault="00160CEE" w:rsidP="00160CEE">
      <w:pPr>
        <w:pStyle w:val="Heading2"/>
        <w:spacing w:line="360" w:lineRule="auto"/>
        <w:rPr>
          <w:rFonts w:ascii="Arial" w:hAnsi="Arial" w:cs="Arial"/>
          <w:sz w:val="24"/>
          <w:szCs w:val="24"/>
        </w:rPr>
      </w:pPr>
      <w:bookmarkStart w:id="4" w:name="_Toc235706400"/>
      <w:r w:rsidRPr="00C63568">
        <w:rPr>
          <w:rFonts w:ascii="Arial" w:hAnsi="Arial" w:cs="Arial"/>
          <w:sz w:val="24"/>
          <w:szCs w:val="24"/>
        </w:rPr>
        <w:t>Liquidity Comparison with Industry Benchmarks</w:t>
      </w:r>
      <w:bookmarkEnd w:id="4"/>
    </w:p>
    <w:p w14:paraId="2F09DB93" w14:textId="0C33DF09" w:rsidR="00854698" w:rsidRPr="00C63568" w:rsidRDefault="00362B7B" w:rsidP="00160CEE">
      <w:pPr>
        <w:spacing w:line="360" w:lineRule="auto"/>
        <w:jc w:val="both"/>
        <w:rPr>
          <w:rFonts w:ascii="Arial" w:hAnsi="Arial" w:cs="Arial"/>
          <w:sz w:val="24"/>
          <w:szCs w:val="24"/>
        </w:rPr>
      </w:pPr>
      <w:r w:rsidRPr="00C63568">
        <w:rPr>
          <w:rFonts w:ascii="Arial" w:hAnsi="Arial" w:cs="Arial"/>
          <w:sz w:val="24"/>
          <w:szCs w:val="24"/>
        </w:rPr>
        <w:t xml:space="preserve">According to the Hotels and Motels industry dataset provided by </w:t>
      </w:r>
      <w:proofErr w:type="spellStart"/>
      <w:r w:rsidRPr="00C63568">
        <w:rPr>
          <w:rFonts w:ascii="Arial" w:hAnsi="Arial" w:cs="Arial"/>
          <w:sz w:val="24"/>
          <w:szCs w:val="24"/>
        </w:rPr>
        <w:t>ReadyRatios</w:t>
      </w:r>
      <w:proofErr w:type="spellEnd"/>
      <w:r w:rsidRPr="00C63568">
        <w:rPr>
          <w:rFonts w:ascii="Arial" w:hAnsi="Arial" w:cs="Arial"/>
          <w:sz w:val="24"/>
          <w:szCs w:val="24"/>
        </w:rPr>
        <w:t xml:space="preserve">, the current ratio and quick ratio for 2025 are 0.82 and 0.69, respectively. The ratios of Wyndham are slightly higher at 0.86 times and 0.70 times. In addition, Wyndham surpassed both benchmarks in 2024, but it fell short of the industry quick-ratio benchmark in 2021 and 2023 and the current-ratio benchmark in 2021–2023 (Wyndham Hotels &amp; Resorts, 2026). Thus, Wyndham's relative performance is roughly in line with the sector, but its absolute liquidity is not very strong, as current assets do </w:t>
      </w:r>
      <w:r w:rsidRPr="00C63568">
        <w:rPr>
          <w:rFonts w:ascii="Arial" w:hAnsi="Arial" w:cs="Arial"/>
          <w:sz w:val="24"/>
          <w:szCs w:val="24"/>
        </w:rPr>
        <w:lastRenderedPageBreak/>
        <w:t>not sufficiently cover current liabilities. Negative working capital position and very low cash ratio should not be masked by sector comparison. The annual benchmark comparison is in Appendix C (</w:t>
      </w:r>
      <w:proofErr w:type="spellStart"/>
      <w:r w:rsidRPr="00C63568">
        <w:rPr>
          <w:rFonts w:ascii="Arial" w:hAnsi="Arial" w:cs="Arial"/>
          <w:sz w:val="24"/>
          <w:szCs w:val="24"/>
        </w:rPr>
        <w:t>ReadyRatios</w:t>
      </w:r>
      <w:proofErr w:type="spellEnd"/>
      <w:r w:rsidRPr="00C63568">
        <w:rPr>
          <w:rFonts w:ascii="Arial" w:hAnsi="Arial" w:cs="Arial"/>
          <w:sz w:val="24"/>
          <w:szCs w:val="24"/>
        </w:rPr>
        <w:t>, n.d.).</w:t>
      </w:r>
    </w:p>
    <w:p w14:paraId="14489D65" w14:textId="4877EB68" w:rsidR="00160CEE" w:rsidRPr="00C63568" w:rsidRDefault="00160CEE" w:rsidP="00160CEE">
      <w:pPr>
        <w:pStyle w:val="Heading2"/>
        <w:spacing w:line="360" w:lineRule="auto"/>
        <w:rPr>
          <w:rFonts w:ascii="Arial" w:hAnsi="Arial" w:cs="Arial"/>
          <w:sz w:val="24"/>
          <w:szCs w:val="24"/>
        </w:rPr>
      </w:pPr>
      <w:bookmarkStart w:id="5" w:name="_Toc235706401"/>
      <w:r w:rsidRPr="00C63568">
        <w:rPr>
          <w:rFonts w:ascii="Arial" w:hAnsi="Arial" w:cs="Arial"/>
          <w:sz w:val="24"/>
          <w:szCs w:val="24"/>
        </w:rPr>
        <w:t>Strengths, Threats and CFO Financial Strategy</w:t>
      </w:r>
      <w:bookmarkEnd w:id="5"/>
    </w:p>
    <w:p w14:paraId="3CC41E4F" w14:textId="77777777" w:rsidR="004A4F48" w:rsidRPr="00C63568" w:rsidRDefault="004A4F48" w:rsidP="004A4F48">
      <w:pPr>
        <w:spacing w:line="360" w:lineRule="auto"/>
        <w:jc w:val="both"/>
        <w:rPr>
          <w:rFonts w:ascii="Arial" w:hAnsi="Arial" w:cs="Arial"/>
          <w:sz w:val="24"/>
          <w:szCs w:val="24"/>
        </w:rPr>
      </w:pPr>
      <w:r w:rsidRPr="00C63568">
        <w:rPr>
          <w:rFonts w:ascii="Arial" w:hAnsi="Arial" w:cs="Arial"/>
          <w:sz w:val="24"/>
          <w:szCs w:val="24"/>
        </w:rPr>
        <w:t xml:space="preserve">Wyndham's key drivers are its asset-light franchise business model, growing room base, recurring fee revenue, positive adjusted EBITDA margin and high free-cash-flow conversion. They have a wide franchisee base and geographical dispersion that helps </w:t>
      </w:r>
      <w:proofErr w:type="spellStart"/>
      <w:r w:rsidRPr="00C63568">
        <w:rPr>
          <w:rFonts w:ascii="Arial" w:hAnsi="Arial" w:cs="Arial"/>
          <w:sz w:val="24"/>
          <w:szCs w:val="24"/>
        </w:rPr>
        <w:t>minimise</w:t>
      </w:r>
      <w:proofErr w:type="spellEnd"/>
      <w:r w:rsidRPr="00C63568">
        <w:rPr>
          <w:rFonts w:ascii="Arial" w:hAnsi="Arial" w:cs="Arial"/>
          <w:sz w:val="24"/>
          <w:szCs w:val="24"/>
        </w:rPr>
        <w:t xml:space="preserve"> reliance on individual hotel properties. However, important threats include franchisee insolvency and guarantee exposure, weaker economy-segment revenue per available room, high leverage, refinancing costs, cybersecurity incidents, climate-related disruption, foreign-exchange volatility, geopolitical instability and growing dependence on online travel agencies and artificial-intelligence-based travel-discovery platforms (Wyndham Hotels &amp; Resorts, 2026).</w:t>
      </w:r>
    </w:p>
    <w:p w14:paraId="4ACB9677" w14:textId="56BAE42C" w:rsidR="004A4F48" w:rsidRPr="00CD265D" w:rsidRDefault="004A4F48" w:rsidP="004A4F48">
      <w:pPr>
        <w:spacing w:line="360" w:lineRule="auto"/>
        <w:jc w:val="both"/>
        <w:rPr>
          <w:rFonts w:ascii="Arial" w:hAnsi="Arial" w:cs="Arial"/>
        </w:rPr>
      </w:pPr>
      <w:r w:rsidRPr="00C63568">
        <w:rPr>
          <w:rFonts w:ascii="Arial" w:hAnsi="Arial" w:cs="Arial"/>
          <w:sz w:val="24"/>
          <w:szCs w:val="24"/>
        </w:rPr>
        <w:t>The CFO strategy needs to emphasize the repair of the balance sheet. First, at least 50-60% of free cash flow should be applied to debt reduction until net debt to adjusted EBITDA is below 3.0 times and interest coverage ratio is above 4.0 times. Share repurchases should be paused or significantly reduced and dividend growth should be frozen until the payout ratio drops below 50% and the dividend cover improves to 2.0 or more times. Second, a formal minimum liquidity policy should aim to maintain a current ratio of at least 1.0, with unrestricted cash of around $150 million and committed rev capacity to cover downside scenarios</w:t>
      </w:r>
      <w:r w:rsidR="00CD265D">
        <w:rPr>
          <w:rFonts w:ascii="Arial" w:hAnsi="Arial" w:cs="Arial"/>
          <w:sz w:val="24"/>
          <w:szCs w:val="24"/>
        </w:rPr>
        <w:t xml:space="preserve"> </w:t>
      </w:r>
      <w:r w:rsidR="00CD265D" w:rsidRPr="00C7671F">
        <w:rPr>
          <w:rFonts w:ascii="Arial" w:hAnsi="Arial" w:cs="Arial"/>
        </w:rPr>
        <w:t>(Temelkov, 2022</w:t>
      </w:r>
      <w:r w:rsidR="00CD265D">
        <w:rPr>
          <w:rFonts w:ascii="Arial" w:hAnsi="Arial" w:cs="Arial"/>
        </w:rPr>
        <w:t>).</w:t>
      </w:r>
      <w:r w:rsidR="00CD265D" w:rsidRPr="00C7671F">
        <w:rPr>
          <w:rFonts w:ascii="Arial" w:hAnsi="Arial" w:cs="Arial"/>
        </w:rPr>
        <w:t xml:space="preserve"> </w:t>
      </w:r>
    </w:p>
    <w:p w14:paraId="7AF2FE58" w14:textId="7F581DEE" w:rsidR="00362B7B" w:rsidRPr="00C63568" w:rsidRDefault="004A4F48" w:rsidP="004A4F48">
      <w:pPr>
        <w:spacing w:line="360" w:lineRule="auto"/>
        <w:jc w:val="both"/>
        <w:rPr>
          <w:rFonts w:ascii="Arial" w:hAnsi="Arial" w:cs="Arial"/>
          <w:sz w:val="24"/>
          <w:szCs w:val="24"/>
        </w:rPr>
      </w:pPr>
      <w:r w:rsidRPr="00C63568">
        <w:rPr>
          <w:rFonts w:ascii="Arial" w:hAnsi="Arial" w:cs="Arial"/>
          <w:sz w:val="24"/>
          <w:szCs w:val="24"/>
        </w:rPr>
        <w:t xml:space="preserve">Third, working capital governance should also incorporate measures such as </w:t>
      </w:r>
      <w:proofErr w:type="spellStart"/>
      <w:r w:rsidRPr="00C63568">
        <w:rPr>
          <w:rFonts w:ascii="Arial" w:hAnsi="Arial" w:cs="Arial"/>
          <w:sz w:val="24"/>
          <w:szCs w:val="24"/>
        </w:rPr>
        <w:t>centralised</w:t>
      </w:r>
      <w:proofErr w:type="spellEnd"/>
      <w:r w:rsidRPr="00C63568">
        <w:rPr>
          <w:rFonts w:ascii="Arial" w:hAnsi="Arial" w:cs="Arial"/>
          <w:sz w:val="24"/>
          <w:szCs w:val="24"/>
        </w:rPr>
        <w:t xml:space="preserve"> credit scoring of franchisees, stricter collateral and covenant conditions for development advances, earlier intervention in collections, and a days-sales outstanding target below 60 days. Fourth, expansion should be continued selectively, in high-fee, capital-light brands and international markets, but all development-support investments should pass Risk-Adjusted NPV, IRR, counterparty screening, climate risk screening, cybersecurity screening, and ethical-</w:t>
      </w:r>
      <w:proofErr w:type="spellStart"/>
      <w:r w:rsidRPr="00C63568">
        <w:rPr>
          <w:rFonts w:ascii="Arial" w:hAnsi="Arial" w:cs="Arial"/>
          <w:sz w:val="24"/>
          <w:szCs w:val="24"/>
        </w:rPr>
        <w:t>labour</w:t>
      </w:r>
      <w:proofErr w:type="spellEnd"/>
      <w:r w:rsidRPr="00C63568">
        <w:rPr>
          <w:rFonts w:ascii="Arial" w:hAnsi="Arial" w:cs="Arial"/>
          <w:sz w:val="24"/>
          <w:szCs w:val="24"/>
        </w:rPr>
        <w:t xml:space="preserve"> screening. These measures would maintain Wyndham's global growth capacity and lower the likelihood of franchisee distress causing significant losses to the corporation (Wyndham Hotels &amp; Resorts, 2026).</w:t>
      </w:r>
    </w:p>
    <w:p w14:paraId="7DC387C1" w14:textId="1DDDA171" w:rsidR="00C43385" w:rsidRPr="00C63568" w:rsidRDefault="004A4F48" w:rsidP="00160CEE">
      <w:pPr>
        <w:spacing w:line="360" w:lineRule="auto"/>
        <w:jc w:val="both"/>
        <w:rPr>
          <w:rFonts w:ascii="Arial" w:hAnsi="Arial" w:cs="Arial"/>
          <w:sz w:val="24"/>
          <w:szCs w:val="24"/>
        </w:rPr>
      </w:pPr>
      <w:r w:rsidRPr="00C63568">
        <w:rPr>
          <w:rFonts w:ascii="Arial" w:hAnsi="Arial" w:cs="Arial"/>
          <w:sz w:val="24"/>
          <w:szCs w:val="24"/>
        </w:rPr>
        <w:lastRenderedPageBreak/>
        <w:t>Wyndham's five-year history reveals a solid operating platform and a more precarious capital structure. Commercial resiliency is reflected in network growth, increasing adjusted EBITDA and significant free cash flow. However, lower liquidity, lower collections, higher gearing, reduced interest coverage and increasing dividend payments signal high financial risk. The recommended approach is not a wholesale operational turnaround, but a disciplined financial rebalancing that should involve maintaining the health of the franchise engine and concurrently re-establishing liquidity, deleveraging and enforcing investment and counterparty controls.</w:t>
      </w:r>
    </w:p>
    <w:p w14:paraId="70E152E8" w14:textId="77777777" w:rsidR="009203FB" w:rsidRPr="00C63568" w:rsidRDefault="009203FB" w:rsidP="009203FB">
      <w:pPr>
        <w:pStyle w:val="Heading1"/>
        <w:numPr>
          <w:ilvl w:val="0"/>
          <w:numId w:val="1"/>
        </w:numPr>
        <w:spacing w:line="360" w:lineRule="auto"/>
        <w:rPr>
          <w:rFonts w:ascii="Arial" w:hAnsi="Arial" w:cs="Arial"/>
          <w:sz w:val="24"/>
          <w:szCs w:val="24"/>
        </w:rPr>
      </w:pPr>
      <w:bookmarkStart w:id="6" w:name="_Toc235706402"/>
      <w:r w:rsidRPr="00C63568">
        <w:rPr>
          <w:rFonts w:ascii="Arial" w:hAnsi="Arial" w:cs="Arial"/>
          <w:sz w:val="24"/>
          <w:szCs w:val="24"/>
        </w:rPr>
        <w:t>Working Capital Management Analysis</w:t>
      </w:r>
      <w:bookmarkEnd w:id="6"/>
    </w:p>
    <w:p w14:paraId="0F3670AA" w14:textId="77777777" w:rsidR="009203FB" w:rsidRPr="00C63568" w:rsidRDefault="009203FB" w:rsidP="009203FB">
      <w:pPr>
        <w:pStyle w:val="Heading2"/>
        <w:numPr>
          <w:ilvl w:val="1"/>
          <w:numId w:val="1"/>
        </w:numPr>
        <w:spacing w:line="360" w:lineRule="auto"/>
        <w:rPr>
          <w:rFonts w:ascii="Arial" w:hAnsi="Arial" w:cs="Arial"/>
          <w:sz w:val="24"/>
          <w:szCs w:val="24"/>
        </w:rPr>
      </w:pPr>
      <w:bookmarkStart w:id="7" w:name="_Toc235706403"/>
      <w:r w:rsidRPr="00C63568">
        <w:rPr>
          <w:rFonts w:ascii="Arial" w:hAnsi="Arial" w:cs="Arial"/>
          <w:sz w:val="24"/>
          <w:szCs w:val="24"/>
        </w:rPr>
        <w:t>Assessment of the Cash Operating Cycle</w:t>
      </w:r>
      <w:bookmarkEnd w:id="7"/>
    </w:p>
    <w:p w14:paraId="4FEF95CB" w14:textId="72496F7F" w:rsidR="00E57D91" w:rsidRPr="00C63568" w:rsidRDefault="00E57D91" w:rsidP="00E57D91">
      <w:pPr>
        <w:spacing w:line="360" w:lineRule="auto"/>
        <w:jc w:val="both"/>
        <w:rPr>
          <w:rFonts w:ascii="Arial" w:hAnsi="Arial" w:cs="Arial"/>
          <w:sz w:val="24"/>
          <w:szCs w:val="24"/>
        </w:rPr>
      </w:pPr>
      <w:r w:rsidRPr="00C63568">
        <w:rPr>
          <w:rFonts w:ascii="Arial" w:hAnsi="Arial" w:cs="Arial"/>
          <w:sz w:val="24"/>
          <w:szCs w:val="24"/>
        </w:rPr>
        <w:t xml:space="preserve">The cash operating cycle is the time span between the use of cash to operate the business and the receipt of cash from customers. At Wyndham Hotels &amp; Resorts, the </w:t>
      </w:r>
      <w:r w:rsidR="00E31CA3" w:rsidRPr="00C63568">
        <w:rPr>
          <w:rFonts w:ascii="Arial" w:hAnsi="Arial" w:cs="Arial"/>
          <w:sz w:val="24"/>
          <w:szCs w:val="24"/>
        </w:rPr>
        <w:t>inventory days</w:t>
      </w:r>
      <w:r w:rsidRPr="00C63568">
        <w:rPr>
          <w:rFonts w:ascii="Arial" w:hAnsi="Arial" w:cs="Arial"/>
          <w:sz w:val="24"/>
          <w:szCs w:val="24"/>
        </w:rPr>
        <w:t xml:space="preserve"> is essentially zero since the franchise business model is asset-light and does not include material inventory. Thus, the cycle is primarily based around the collection of receivables related to the franchises, and the timing of the payments to suppliers and service providers.</w:t>
      </w:r>
    </w:p>
    <w:p w14:paraId="355275CD" w14:textId="77777777" w:rsidR="00E57D91" w:rsidRPr="00C63568" w:rsidRDefault="00E57D91" w:rsidP="00E57D91">
      <w:pPr>
        <w:spacing w:line="360" w:lineRule="auto"/>
        <w:jc w:val="both"/>
        <w:rPr>
          <w:rFonts w:ascii="Arial" w:hAnsi="Arial" w:cs="Arial"/>
          <w:sz w:val="24"/>
          <w:szCs w:val="24"/>
        </w:rPr>
      </w:pPr>
      <w:r w:rsidRPr="00C63568">
        <w:rPr>
          <w:rFonts w:ascii="Arial" w:hAnsi="Arial" w:cs="Arial"/>
          <w:sz w:val="24"/>
          <w:szCs w:val="24"/>
        </w:rPr>
        <w:t>Average trade receivables rose from about 66.4 days in 2024 to 71.8 days in 2025 for Wyndham. Accounts payable grew by just $1 million, from $37 million to $38 million, while operating expenses grew to about $1.027 billion. Payable days are a reasonable approximation because Wyndham doesn't report a separate cost-of-sales figure. Based on this, the number of days payable dropped a bit to 13.3 days from about 13.8 days. The estimated cash conversion cycle likewise extended by nearly 5 days, from approximately 52.6 days in 2024 to approximately 58.5 in 2025, and 57.0 in 2026 (Wyndham Hotels &amp; Resorts, 2025; Wyndham Hotels &amp; Resorts, 2026).</w:t>
      </w:r>
    </w:p>
    <w:p w14:paraId="35E95D48" w14:textId="12B4CF6C" w:rsidR="00E57D91" w:rsidRPr="00C63568" w:rsidRDefault="00E57D91" w:rsidP="00E57D91">
      <w:pPr>
        <w:spacing w:line="360" w:lineRule="auto"/>
        <w:jc w:val="both"/>
        <w:rPr>
          <w:rFonts w:ascii="Arial" w:hAnsi="Arial" w:cs="Arial"/>
          <w:sz w:val="24"/>
          <w:szCs w:val="24"/>
        </w:rPr>
      </w:pPr>
      <w:r w:rsidRPr="00C63568">
        <w:rPr>
          <w:rFonts w:ascii="Arial" w:hAnsi="Arial" w:cs="Arial"/>
          <w:sz w:val="24"/>
          <w:szCs w:val="24"/>
        </w:rPr>
        <w:t xml:space="preserve">The working capital pressure is confirmed in the balance sheet. As of 31 December 2025, current assets </w:t>
      </w:r>
      <w:proofErr w:type="spellStart"/>
      <w:r w:rsidRPr="00C63568">
        <w:rPr>
          <w:rFonts w:ascii="Arial" w:hAnsi="Arial" w:cs="Arial"/>
          <w:sz w:val="24"/>
          <w:szCs w:val="24"/>
        </w:rPr>
        <w:t>totalled</w:t>
      </w:r>
      <w:proofErr w:type="spellEnd"/>
      <w:r w:rsidRPr="00C63568">
        <w:rPr>
          <w:rFonts w:ascii="Arial" w:hAnsi="Arial" w:cs="Arial"/>
          <w:sz w:val="24"/>
          <w:szCs w:val="24"/>
        </w:rPr>
        <w:t xml:space="preserve"> $435 million and current liabilities </w:t>
      </w:r>
      <w:proofErr w:type="spellStart"/>
      <w:r w:rsidRPr="00C63568">
        <w:rPr>
          <w:rFonts w:ascii="Arial" w:hAnsi="Arial" w:cs="Arial"/>
          <w:sz w:val="24"/>
          <w:szCs w:val="24"/>
        </w:rPr>
        <w:t>totalled</w:t>
      </w:r>
      <w:proofErr w:type="spellEnd"/>
      <w:r w:rsidRPr="00C63568">
        <w:rPr>
          <w:rFonts w:ascii="Arial" w:hAnsi="Arial" w:cs="Arial"/>
          <w:sz w:val="24"/>
          <w:szCs w:val="24"/>
        </w:rPr>
        <w:t xml:space="preserve"> $507 million, resulting in negative working capital of $72 million. The trade receivables rose from $271 million to $291 million, and cash and cash equivalents fell from $103 million to $64 million</w:t>
      </w:r>
      <w:r w:rsidR="00552BEA" w:rsidRPr="00C63568">
        <w:rPr>
          <w:rFonts w:ascii="Arial" w:hAnsi="Arial" w:cs="Arial"/>
          <w:sz w:val="24"/>
          <w:szCs w:val="24"/>
        </w:rPr>
        <w:t xml:space="preserve"> (Wyndham Hotels &amp; Resorts, 2026).</w:t>
      </w:r>
      <w:r w:rsidRPr="00C63568">
        <w:rPr>
          <w:rFonts w:ascii="Arial" w:hAnsi="Arial" w:cs="Arial"/>
          <w:sz w:val="24"/>
          <w:szCs w:val="24"/>
        </w:rPr>
        <w:t xml:space="preserve"> Although operating cash flow recovered from $290 million in 2024 to $367 million in 2025, Wyndham recorded an $87 million provision for doubtful accounts and loan losses and $86 million of </w:t>
      </w:r>
      <w:r w:rsidRPr="00C63568">
        <w:rPr>
          <w:rFonts w:ascii="Arial" w:hAnsi="Arial" w:cs="Arial"/>
          <w:sz w:val="24"/>
          <w:szCs w:val="24"/>
        </w:rPr>
        <w:lastRenderedPageBreak/>
        <w:t>impairment charges. Thus, the core issue is not that they are not generating cash flow, but that they are not collecting as fast as they would like to and that their cash flow is being exposed to financially challenged franchisees, including Wyndham Hotels &amp; Resorts (2026).</w:t>
      </w:r>
    </w:p>
    <w:p w14:paraId="61F00146" w14:textId="77777777" w:rsidR="009203FB" w:rsidRPr="00C63568" w:rsidRDefault="009203FB" w:rsidP="009203FB">
      <w:pPr>
        <w:pStyle w:val="Heading2"/>
        <w:numPr>
          <w:ilvl w:val="1"/>
          <w:numId w:val="1"/>
        </w:numPr>
        <w:spacing w:line="360" w:lineRule="auto"/>
        <w:rPr>
          <w:rFonts w:ascii="Arial" w:hAnsi="Arial" w:cs="Arial"/>
          <w:sz w:val="24"/>
          <w:szCs w:val="24"/>
        </w:rPr>
      </w:pPr>
      <w:bookmarkStart w:id="8" w:name="_Toc235706404"/>
      <w:r w:rsidRPr="00C63568">
        <w:rPr>
          <w:rFonts w:ascii="Arial" w:hAnsi="Arial" w:cs="Arial"/>
          <w:sz w:val="24"/>
          <w:szCs w:val="24"/>
        </w:rPr>
        <w:t>Working Capital Reforms to Improve Liquidity</w:t>
      </w:r>
      <w:bookmarkEnd w:id="8"/>
    </w:p>
    <w:p w14:paraId="42D11018" w14:textId="6F616089" w:rsidR="00E57D91" w:rsidRPr="00C63568" w:rsidRDefault="00E57D91" w:rsidP="00E57D91">
      <w:pPr>
        <w:spacing w:line="360" w:lineRule="auto"/>
        <w:jc w:val="both"/>
        <w:rPr>
          <w:rFonts w:ascii="Arial" w:hAnsi="Arial" w:cs="Arial"/>
          <w:sz w:val="24"/>
          <w:szCs w:val="24"/>
        </w:rPr>
      </w:pPr>
      <w:r w:rsidRPr="00C63568">
        <w:rPr>
          <w:rFonts w:ascii="Arial" w:hAnsi="Arial" w:cs="Arial"/>
          <w:sz w:val="24"/>
          <w:szCs w:val="24"/>
        </w:rPr>
        <w:t xml:space="preserve">The focus should be on comprehensive receivables reform. The target for Wyndham to reduce </w:t>
      </w:r>
      <w:r w:rsidR="00824776" w:rsidRPr="00C63568">
        <w:rPr>
          <w:rFonts w:ascii="Arial" w:hAnsi="Arial" w:cs="Arial"/>
          <w:sz w:val="24"/>
          <w:szCs w:val="24"/>
        </w:rPr>
        <w:t>the outstanding days</w:t>
      </w:r>
      <w:r w:rsidRPr="00C63568">
        <w:rPr>
          <w:rFonts w:ascii="Arial" w:hAnsi="Arial" w:cs="Arial"/>
          <w:sz w:val="24"/>
          <w:szCs w:val="24"/>
        </w:rPr>
        <w:t xml:space="preserve"> on sales to below 60 days should be achieved by implementing automated franchise-fee invoicing, </w:t>
      </w:r>
      <w:r w:rsidR="00923F41" w:rsidRPr="00C63568">
        <w:rPr>
          <w:rFonts w:ascii="Arial" w:hAnsi="Arial" w:cs="Arial"/>
          <w:sz w:val="24"/>
          <w:szCs w:val="24"/>
        </w:rPr>
        <w:t>direct debit</w:t>
      </w:r>
      <w:r w:rsidRPr="00C63568">
        <w:rPr>
          <w:rFonts w:ascii="Arial" w:hAnsi="Arial" w:cs="Arial"/>
          <w:sz w:val="24"/>
          <w:szCs w:val="24"/>
        </w:rPr>
        <w:t xml:space="preserve"> collection, shorter dispute-resolution time frames and earlier escalation </w:t>
      </w:r>
      <w:r w:rsidR="00C25481" w:rsidRPr="00C63568">
        <w:rPr>
          <w:rFonts w:ascii="Arial" w:hAnsi="Arial" w:cs="Arial"/>
          <w:sz w:val="24"/>
          <w:szCs w:val="24"/>
        </w:rPr>
        <w:t>in</w:t>
      </w:r>
      <w:r w:rsidRPr="00C63568">
        <w:rPr>
          <w:rFonts w:ascii="Arial" w:hAnsi="Arial" w:cs="Arial"/>
          <w:sz w:val="24"/>
          <w:szCs w:val="24"/>
        </w:rPr>
        <w:t xml:space="preserve"> overdue sales. Franchisees need to be graded on a credit risk basis, and deposits and guarantees should be demanded from the higher-risk operators, who should also be given shorter payment terms or limited access to development funding. Early payment discounts may also be available on a selective basis if their marginal borrowing rate is cheaper than Wyndham's</w:t>
      </w:r>
      <w:r w:rsidR="005628FD" w:rsidRPr="00C63568">
        <w:rPr>
          <w:rFonts w:ascii="Arial" w:hAnsi="Arial" w:cs="Arial"/>
          <w:sz w:val="24"/>
          <w:szCs w:val="24"/>
        </w:rPr>
        <w:t xml:space="preserve"> (Wyndham Hotels &amp; Resorts, 2026).</w:t>
      </w:r>
    </w:p>
    <w:p w14:paraId="69633B36" w14:textId="21228041" w:rsidR="00E57D91" w:rsidRPr="00C63568" w:rsidRDefault="00E57D91" w:rsidP="00E57D91">
      <w:pPr>
        <w:spacing w:line="360" w:lineRule="auto"/>
        <w:jc w:val="both"/>
        <w:rPr>
          <w:rFonts w:ascii="Arial" w:hAnsi="Arial" w:cs="Arial"/>
          <w:sz w:val="24"/>
          <w:szCs w:val="24"/>
        </w:rPr>
      </w:pPr>
      <w:r w:rsidRPr="00C63568">
        <w:rPr>
          <w:rFonts w:ascii="Arial" w:hAnsi="Arial" w:cs="Arial"/>
          <w:sz w:val="24"/>
          <w:szCs w:val="24"/>
        </w:rPr>
        <w:t>Second, the treasury function should implement a rolling thirteen-week cash-flow chart that shows the receipt of franchise fees, payroll, taxes, loyalty payments, development advance, interest with shareholders and distribution to shareholders. The international cash pooling and foreign-currency netting would eliminate balances held in unneeded bank accounts and external borrowing. Wyndham also needs to have a formal minimum cash reserve, not mainly based on undrawn revolving credit capacity</w:t>
      </w:r>
      <w:r w:rsidR="00552BEA" w:rsidRPr="00C63568">
        <w:rPr>
          <w:rFonts w:ascii="Arial" w:hAnsi="Arial" w:cs="Arial"/>
          <w:sz w:val="24"/>
          <w:szCs w:val="24"/>
        </w:rPr>
        <w:t xml:space="preserve"> (Wyndham Hotels &amp; Resorts, 2026).</w:t>
      </w:r>
    </w:p>
    <w:p w14:paraId="32850220" w14:textId="7060A40E" w:rsidR="00E57D91" w:rsidRPr="00C63568" w:rsidRDefault="00E57D91" w:rsidP="00E57D91">
      <w:pPr>
        <w:spacing w:line="360" w:lineRule="auto"/>
        <w:jc w:val="both"/>
        <w:rPr>
          <w:rFonts w:ascii="Arial" w:hAnsi="Arial" w:cs="Arial"/>
          <w:sz w:val="24"/>
          <w:szCs w:val="24"/>
        </w:rPr>
      </w:pPr>
      <w:r w:rsidRPr="00C63568">
        <w:rPr>
          <w:rFonts w:ascii="Arial" w:hAnsi="Arial" w:cs="Arial"/>
          <w:sz w:val="24"/>
          <w:szCs w:val="24"/>
        </w:rPr>
        <w:t xml:space="preserve">Third, negotiate longer supplier-payment terms and consolidate procurement to enhance purchasing power. But it would be preferable to agree on extensions as part of the contract, not </w:t>
      </w:r>
      <w:r w:rsidR="00037AEA" w:rsidRPr="00C63568">
        <w:rPr>
          <w:rFonts w:ascii="Arial" w:hAnsi="Arial" w:cs="Arial"/>
          <w:sz w:val="24"/>
          <w:szCs w:val="24"/>
        </w:rPr>
        <w:t>because of</w:t>
      </w:r>
      <w:r w:rsidRPr="00C63568">
        <w:rPr>
          <w:rFonts w:ascii="Arial" w:hAnsi="Arial" w:cs="Arial"/>
          <w:sz w:val="24"/>
          <w:szCs w:val="24"/>
        </w:rPr>
        <w:t xml:space="preserve"> paying too slowly, especially if you are dealing with smaller suppliers. Dynamic discounting should only be accepted if the cost of paying early is outweighed by the gain of keeping cash. Furthermore, deferred marketing, reservation and loyalty revenues should not be regarded as freely available liquidity, but rather as a corresponding marketing service obligation.</w:t>
      </w:r>
    </w:p>
    <w:p w14:paraId="7F5169CB" w14:textId="77777777" w:rsidR="009203FB" w:rsidRPr="00C63568" w:rsidRDefault="009203FB" w:rsidP="009203FB">
      <w:pPr>
        <w:pStyle w:val="Heading2"/>
        <w:numPr>
          <w:ilvl w:val="1"/>
          <w:numId w:val="1"/>
        </w:numPr>
        <w:spacing w:line="360" w:lineRule="auto"/>
        <w:rPr>
          <w:rFonts w:ascii="Arial" w:hAnsi="Arial" w:cs="Arial"/>
          <w:sz w:val="24"/>
          <w:szCs w:val="24"/>
        </w:rPr>
      </w:pPr>
      <w:bookmarkStart w:id="9" w:name="_Toc235706405"/>
      <w:r w:rsidRPr="00C63568">
        <w:rPr>
          <w:rFonts w:ascii="Arial" w:hAnsi="Arial" w:cs="Arial"/>
          <w:sz w:val="24"/>
          <w:szCs w:val="24"/>
        </w:rPr>
        <w:t>Comparison of Short-Term and Long-Term Financing Options</w:t>
      </w:r>
      <w:bookmarkEnd w:id="9"/>
    </w:p>
    <w:p w14:paraId="394317F1" w14:textId="33344208" w:rsidR="00E57D91" w:rsidRPr="00C63568" w:rsidRDefault="00030531" w:rsidP="00E57D91">
      <w:pPr>
        <w:spacing w:line="360" w:lineRule="auto"/>
        <w:jc w:val="both"/>
        <w:rPr>
          <w:rFonts w:ascii="Arial" w:hAnsi="Arial" w:cs="Arial"/>
          <w:sz w:val="24"/>
          <w:szCs w:val="24"/>
        </w:rPr>
      </w:pPr>
      <w:r w:rsidRPr="00C63568">
        <w:rPr>
          <w:rFonts w:ascii="Arial" w:hAnsi="Arial" w:cs="Arial"/>
          <w:sz w:val="24"/>
          <w:szCs w:val="24"/>
        </w:rPr>
        <w:t>Short-term</w:t>
      </w:r>
      <w:r w:rsidR="00E57D91" w:rsidRPr="00C63568">
        <w:rPr>
          <w:rFonts w:ascii="Arial" w:hAnsi="Arial" w:cs="Arial"/>
          <w:sz w:val="24"/>
          <w:szCs w:val="24"/>
        </w:rPr>
        <w:t xml:space="preserve"> financing is best for short term or seasonal cash flow problems. The revolving credit facility provides flexibility in that the money can be borrowed and then </w:t>
      </w:r>
      <w:r w:rsidR="00E57D91" w:rsidRPr="00C63568">
        <w:rPr>
          <w:rFonts w:ascii="Arial" w:hAnsi="Arial" w:cs="Arial"/>
          <w:sz w:val="24"/>
          <w:szCs w:val="24"/>
        </w:rPr>
        <w:lastRenderedPageBreak/>
        <w:t>repaid and loaned out again as needed. But it carries risks of fluctuating interest rates, refinancing risk, and covenant pressure for the company. The total capacity of the revolving facility was $1 billion of which $224 million was utilized and $776 million was still available at the end of 2025. It is tied to SOFR and will fluctuate based on Wyndham's leverage position, which could result in higher borrowing costs if the financial risk of the company worsens (Wyndham Hotels &amp; Resorts, 2026).</w:t>
      </w:r>
    </w:p>
    <w:p w14:paraId="5DFA5BD4" w14:textId="77777777" w:rsidR="00E57D91" w:rsidRPr="00C63568" w:rsidRDefault="00E57D91" w:rsidP="00E57D91">
      <w:pPr>
        <w:spacing w:line="360" w:lineRule="auto"/>
        <w:jc w:val="both"/>
        <w:rPr>
          <w:rFonts w:ascii="Arial" w:hAnsi="Arial" w:cs="Arial"/>
          <w:sz w:val="24"/>
          <w:szCs w:val="24"/>
        </w:rPr>
      </w:pPr>
      <w:r w:rsidRPr="00C63568">
        <w:rPr>
          <w:rFonts w:ascii="Arial" w:hAnsi="Arial" w:cs="Arial"/>
          <w:sz w:val="24"/>
          <w:szCs w:val="24"/>
        </w:rPr>
        <w:t>A line of credit is therefore appropriate for temporary adjustments between cash receipts and cash operating payments but not for permanent working-capital gaps. Facilities are typically arranged to accommodate changing operating needs, while longer-term loans are structured for foreseeable repayments for ongoing funding needs (BDC, 2024).</w:t>
      </w:r>
    </w:p>
    <w:p w14:paraId="2455D239" w14:textId="084AF484" w:rsidR="00CF0DCB" w:rsidRPr="00C63568" w:rsidRDefault="00E57D91" w:rsidP="00E57D91">
      <w:pPr>
        <w:spacing w:line="360" w:lineRule="auto"/>
        <w:jc w:val="both"/>
        <w:rPr>
          <w:rFonts w:ascii="Arial" w:hAnsi="Arial" w:cs="Arial"/>
          <w:sz w:val="24"/>
          <w:szCs w:val="24"/>
        </w:rPr>
      </w:pPr>
      <w:r w:rsidRPr="00C63568">
        <w:rPr>
          <w:rFonts w:ascii="Arial" w:hAnsi="Arial" w:cs="Arial"/>
          <w:sz w:val="24"/>
          <w:szCs w:val="24"/>
        </w:rPr>
        <w:t>Long term financing, such as term loans, bonds and retained free cash flow, is better suited to structural working-capital needs, technology investments, and multi-year advances for franchise development. It offers more resources for certainty and less frequent refinancing risk; however, it involves ongoing interest payments and can contain financial covenants that limit financial options. Wyndham should consequently adopt a maturity-matching approach: the revolving facility should finance temporary timing gaps, while permanent working-capital needs should be supported through retained cash flow or appropriately structured long-term funding. Given Wyndham’s increasing leverage, this strategy should be accompanied by debt reduction, and restrained share repurchases rather than additional borrowing</w:t>
      </w:r>
      <w:r w:rsidR="003519D6">
        <w:rPr>
          <w:rFonts w:ascii="Arial" w:hAnsi="Arial" w:cs="Arial"/>
          <w:sz w:val="24"/>
          <w:szCs w:val="24"/>
        </w:rPr>
        <w:t xml:space="preserve"> </w:t>
      </w:r>
      <w:r w:rsidR="003519D6" w:rsidRPr="00C7671F">
        <w:rPr>
          <w:rFonts w:ascii="Arial" w:hAnsi="Arial" w:cs="Arial"/>
        </w:rPr>
        <w:t>(</w:t>
      </w:r>
      <w:proofErr w:type="spellStart"/>
      <w:r w:rsidR="003519D6" w:rsidRPr="00C7671F">
        <w:rPr>
          <w:rFonts w:ascii="Arial" w:hAnsi="Arial" w:cs="Arial"/>
        </w:rPr>
        <w:t>Temelkov</w:t>
      </w:r>
      <w:proofErr w:type="spellEnd"/>
      <w:r w:rsidR="003519D6" w:rsidRPr="00C7671F">
        <w:rPr>
          <w:rFonts w:ascii="Arial" w:hAnsi="Arial" w:cs="Arial"/>
        </w:rPr>
        <w:t>, 2022</w:t>
      </w:r>
      <w:r w:rsidR="003519D6">
        <w:rPr>
          <w:rFonts w:ascii="Arial" w:hAnsi="Arial" w:cs="Arial"/>
        </w:rPr>
        <w:t>).</w:t>
      </w:r>
      <w:r w:rsidR="003519D6" w:rsidRPr="00C7671F">
        <w:rPr>
          <w:rFonts w:ascii="Arial" w:hAnsi="Arial" w:cs="Arial"/>
        </w:rPr>
        <w:t xml:space="preserve"> </w:t>
      </w:r>
    </w:p>
    <w:p w14:paraId="64546B63" w14:textId="77777777" w:rsidR="0039272B" w:rsidRPr="00C63568" w:rsidRDefault="0039272B" w:rsidP="0039272B">
      <w:pPr>
        <w:pStyle w:val="Heading1"/>
        <w:numPr>
          <w:ilvl w:val="0"/>
          <w:numId w:val="1"/>
        </w:numPr>
        <w:spacing w:line="360" w:lineRule="auto"/>
        <w:jc w:val="both"/>
        <w:rPr>
          <w:rFonts w:ascii="Arial" w:hAnsi="Arial" w:cs="Arial"/>
          <w:sz w:val="24"/>
          <w:szCs w:val="24"/>
        </w:rPr>
      </w:pPr>
      <w:bookmarkStart w:id="10" w:name="_Toc235706406"/>
      <w:r w:rsidRPr="00C63568">
        <w:rPr>
          <w:rFonts w:ascii="Arial" w:hAnsi="Arial" w:cs="Arial"/>
          <w:sz w:val="24"/>
          <w:szCs w:val="24"/>
        </w:rPr>
        <w:t>Strategic Financial Restructuring Plan</w:t>
      </w:r>
      <w:bookmarkEnd w:id="10"/>
    </w:p>
    <w:p w14:paraId="15A89B05" w14:textId="77777777" w:rsidR="0039272B" w:rsidRPr="00C63568" w:rsidRDefault="0039272B" w:rsidP="0039272B">
      <w:pPr>
        <w:pStyle w:val="Heading2"/>
        <w:numPr>
          <w:ilvl w:val="1"/>
          <w:numId w:val="1"/>
        </w:numPr>
        <w:spacing w:line="360" w:lineRule="auto"/>
        <w:jc w:val="both"/>
        <w:rPr>
          <w:rFonts w:ascii="Arial" w:hAnsi="Arial" w:cs="Arial"/>
          <w:sz w:val="24"/>
          <w:szCs w:val="24"/>
        </w:rPr>
      </w:pPr>
      <w:bookmarkStart w:id="11" w:name="_Toc235706407"/>
      <w:r w:rsidRPr="00C63568">
        <w:rPr>
          <w:rFonts w:ascii="Arial" w:hAnsi="Arial" w:cs="Arial"/>
          <w:sz w:val="24"/>
          <w:szCs w:val="24"/>
        </w:rPr>
        <w:t>Restructuring Rationale</w:t>
      </w:r>
      <w:bookmarkEnd w:id="11"/>
    </w:p>
    <w:p w14:paraId="10AEA05E" w14:textId="1B7FFED7" w:rsidR="0039272B" w:rsidRPr="00C63568" w:rsidRDefault="00B54088" w:rsidP="0039272B">
      <w:pPr>
        <w:spacing w:line="360" w:lineRule="auto"/>
        <w:jc w:val="both"/>
        <w:rPr>
          <w:rFonts w:ascii="Arial" w:hAnsi="Arial" w:cs="Arial"/>
          <w:sz w:val="24"/>
          <w:szCs w:val="24"/>
        </w:rPr>
      </w:pPr>
      <w:r w:rsidRPr="00C63568">
        <w:rPr>
          <w:rFonts w:ascii="Arial" w:hAnsi="Arial" w:cs="Arial"/>
          <w:sz w:val="24"/>
          <w:szCs w:val="24"/>
        </w:rPr>
        <w:t xml:space="preserve">Wyndham's asset-light business continues to have a profit, but his capital structure is becoming more aggressive. As of 31 December 2025, total debt stood at $2.560 billion, shareholders' equity at $468 million, interest expense at $139 million, and interest coverage at around 2.89 times. While liquidity is approximately $840 million, and the revolving facility is extended to 2030, leverage reduces the resilience to franchisee failure or recession and refinancing shocks (Wyndham Hotels &amp; Resorts, 2026). </w:t>
      </w:r>
      <w:r w:rsidR="00923F41" w:rsidRPr="00C63568">
        <w:rPr>
          <w:rFonts w:ascii="Arial" w:hAnsi="Arial" w:cs="Arial"/>
          <w:sz w:val="24"/>
          <w:szCs w:val="24"/>
        </w:rPr>
        <w:t>So,</w:t>
      </w:r>
      <w:r w:rsidRPr="00C63568">
        <w:rPr>
          <w:rFonts w:ascii="Arial" w:hAnsi="Arial" w:cs="Arial"/>
          <w:sz w:val="24"/>
          <w:szCs w:val="24"/>
        </w:rPr>
        <w:t xml:space="preserve"> the restructuring goal should be to reduce financial risk without compromising the global franchise platform.</w:t>
      </w:r>
    </w:p>
    <w:p w14:paraId="11222ECC" w14:textId="77777777" w:rsidR="0039272B" w:rsidRPr="00C63568" w:rsidRDefault="0039272B" w:rsidP="0039272B">
      <w:pPr>
        <w:pStyle w:val="Heading2"/>
        <w:numPr>
          <w:ilvl w:val="1"/>
          <w:numId w:val="1"/>
        </w:numPr>
        <w:spacing w:line="360" w:lineRule="auto"/>
        <w:jc w:val="both"/>
        <w:rPr>
          <w:rFonts w:ascii="Arial" w:hAnsi="Arial" w:cs="Arial"/>
          <w:sz w:val="24"/>
          <w:szCs w:val="24"/>
        </w:rPr>
      </w:pPr>
      <w:bookmarkStart w:id="12" w:name="_Toc235706408"/>
      <w:r w:rsidRPr="00C63568">
        <w:rPr>
          <w:rFonts w:ascii="Arial" w:hAnsi="Arial" w:cs="Arial"/>
          <w:sz w:val="24"/>
          <w:szCs w:val="24"/>
        </w:rPr>
        <w:lastRenderedPageBreak/>
        <w:t>Recommended Restructuring Options</w:t>
      </w:r>
      <w:bookmarkEnd w:id="12"/>
    </w:p>
    <w:p w14:paraId="086F1F49" w14:textId="77777777" w:rsidR="001C5307" w:rsidRPr="00C63568" w:rsidRDefault="001C5307" w:rsidP="001C5307">
      <w:pPr>
        <w:spacing w:line="360" w:lineRule="auto"/>
        <w:jc w:val="both"/>
        <w:rPr>
          <w:rFonts w:ascii="Arial" w:hAnsi="Arial" w:cs="Arial"/>
          <w:sz w:val="24"/>
          <w:szCs w:val="24"/>
        </w:rPr>
      </w:pPr>
      <w:r w:rsidRPr="00C63568">
        <w:rPr>
          <w:rFonts w:ascii="Arial" w:hAnsi="Arial" w:cs="Arial"/>
          <w:sz w:val="24"/>
          <w:szCs w:val="24"/>
        </w:rPr>
        <w:t xml:space="preserve">The first step is a debt-financed </w:t>
      </w:r>
      <w:proofErr w:type="spellStart"/>
      <w:r w:rsidRPr="00C63568">
        <w:rPr>
          <w:rFonts w:ascii="Arial" w:hAnsi="Arial" w:cs="Arial"/>
          <w:sz w:val="24"/>
          <w:szCs w:val="24"/>
        </w:rPr>
        <w:t>recapitalisation</w:t>
      </w:r>
      <w:proofErr w:type="spellEnd"/>
      <w:r w:rsidRPr="00C63568">
        <w:rPr>
          <w:rFonts w:ascii="Arial" w:hAnsi="Arial" w:cs="Arial"/>
          <w:sz w:val="24"/>
          <w:szCs w:val="24"/>
        </w:rPr>
        <w:t>. Wyndham needs to end discretionary share buybacks, cap dividend growth and direct at least 50-60% of its annual free cash flow to paying down debt. The $224 million revolving balance and the $337 million term loan A (due 2027) should be paid back first and then refinanced or retired. The company should then reprioritize its $500 million of 2028 notes and realign its fixed/floating purchases. This would lower interest expense, increase covenant headroom and maintain credit quality.</w:t>
      </w:r>
    </w:p>
    <w:p w14:paraId="2A0FE067" w14:textId="4CDD9174" w:rsidR="001C5307" w:rsidRPr="00C63568" w:rsidRDefault="001C5307" w:rsidP="001C5307">
      <w:pPr>
        <w:spacing w:line="360" w:lineRule="auto"/>
        <w:jc w:val="both"/>
        <w:rPr>
          <w:rFonts w:ascii="Arial" w:hAnsi="Arial" w:cs="Arial"/>
          <w:sz w:val="24"/>
          <w:szCs w:val="24"/>
        </w:rPr>
      </w:pPr>
      <w:r w:rsidRPr="00C63568">
        <w:rPr>
          <w:rFonts w:ascii="Arial" w:hAnsi="Arial" w:cs="Arial"/>
          <w:sz w:val="24"/>
          <w:szCs w:val="24"/>
        </w:rPr>
        <w:t xml:space="preserve">Second, Wyndham should take steps to recycle non-core financial assets, not sell off core brands. The advance of development reported within non-current assets totaled $343 million in 2025, and significant loan-loss provisions and impairments occurred in the franchisees. Potential for syndication, </w:t>
      </w:r>
      <w:proofErr w:type="spellStart"/>
      <w:r w:rsidRPr="00C63568">
        <w:rPr>
          <w:rFonts w:ascii="Arial" w:hAnsi="Arial" w:cs="Arial"/>
          <w:sz w:val="24"/>
          <w:szCs w:val="24"/>
        </w:rPr>
        <w:t>securitisation</w:t>
      </w:r>
      <w:proofErr w:type="spellEnd"/>
      <w:r w:rsidRPr="00C63568">
        <w:rPr>
          <w:rFonts w:ascii="Arial" w:hAnsi="Arial" w:cs="Arial"/>
          <w:sz w:val="24"/>
          <w:szCs w:val="24"/>
        </w:rPr>
        <w:t xml:space="preserve"> and transfer into joint vehicles with institutional investors for mature performing development receivables. Proceeds to be used to pay off debts and Wyndham to keep brand-management rights and </w:t>
      </w:r>
      <w:r w:rsidR="009735F3" w:rsidRPr="00C63568">
        <w:rPr>
          <w:rFonts w:ascii="Arial" w:hAnsi="Arial" w:cs="Arial"/>
          <w:sz w:val="24"/>
          <w:szCs w:val="24"/>
        </w:rPr>
        <w:t>franchise fees</w:t>
      </w:r>
      <w:r w:rsidRPr="00C63568">
        <w:rPr>
          <w:rFonts w:ascii="Arial" w:hAnsi="Arial" w:cs="Arial"/>
          <w:sz w:val="24"/>
          <w:szCs w:val="24"/>
        </w:rPr>
        <w:t>. But distressed assets shouldn't be sold at fire-sale prices, or the value is destroyed (Wyndham Hotels &amp; Resorts, 2026).</w:t>
      </w:r>
    </w:p>
    <w:p w14:paraId="7B6A4A5D" w14:textId="2CF9ADDC" w:rsidR="00B54088" w:rsidRPr="00464387" w:rsidRDefault="001C5307" w:rsidP="001C5307">
      <w:pPr>
        <w:spacing w:line="360" w:lineRule="auto"/>
        <w:jc w:val="both"/>
        <w:rPr>
          <w:rFonts w:ascii="Arial" w:hAnsi="Arial" w:cs="Arial"/>
        </w:rPr>
      </w:pPr>
      <w:r w:rsidRPr="00C63568">
        <w:rPr>
          <w:rFonts w:ascii="Arial" w:hAnsi="Arial" w:cs="Arial"/>
          <w:sz w:val="24"/>
          <w:szCs w:val="24"/>
        </w:rPr>
        <w:t xml:space="preserve">Third, a moderate equity injection should remain a contingency option. A rights issue would give existing shareholders the opportunity to retain their shares while a strategic private placement or convertible preference issue would provide capital without immediate full dilution. Equity funding would improve the balance sheet, but if shares are issued at a depressed </w:t>
      </w:r>
      <w:r w:rsidR="009735F3" w:rsidRPr="00C63568">
        <w:rPr>
          <w:rFonts w:ascii="Arial" w:hAnsi="Arial" w:cs="Arial"/>
          <w:sz w:val="24"/>
          <w:szCs w:val="24"/>
        </w:rPr>
        <w:t>valuation,</w:t>
      </w:r>
      <w:r w:rsidRPr="00C63568">
        <w:rPr>
          <w:rFonts w:ascii="Arial" w:hAnsi="Arial" w:cs="Arial"/>
          <w:sz w:val="24"/>
          <w:szCs w:val="24"/>
        </w:rPr>
        <w:t xml:space="preserve"> it may have a negative effect on earnings per share. It will then only be triggered once leverage is above the board's target following cash-flow deleveraging and asset recycling. A large debt-funded merger is not suggested; smaller equity or debt-funded acquisitions would retain flexibility</w:t>
      </w:r>
      <w:r w:rsidR="00464387">
        <w:rPr>
          <w:rFonts w:ascii="Arial" w:hAnsi="Arial" w:cs="Arial"/>
          <w:sz w:val="24"/>
          <w:szCs w:val="24"/>
        </w:rPr>
        <w:t xml:space="preserve"> </w:t>
      </w:r>
      <w:r w:rsidR="00464387" w:rsidRPr="00C7671F">
        <w:rPr>
          <w:rFonts w:ascii="Arial" w:hAnsi="Arial" w:cs="Arial"/>
        </w:rPr>
        <w:t>(</w:t>
      </w:r>
      <w:proofErr w:type="spellStart"/>
      <w:r w:rsidR="00464387" w:rsidRPr="00C7671F">
        <w:rPr>
          <w:rFonts w:ascii="Arial" w:hAnsi="Arial" w:cs="Arial"/>
        </w:rPr>
        <w:t>Demirçiftci</w:t>
      </w:r>
      <w:proofErr w:type="spellEnd"/>
      <w:r w:rsidR="00464387" w:rsidRPr="00C7671F">
        <w:rPr>
          <w:rFonts w:ascii="Arial" w:hAnsi="Arial" w:cs="Arial"/>
        </w:rPr>
        <w:t>, 2022</w:t>
      </w:r>
      <w:r w:rsidR="00464387">
        <w:rPr>
          <w:rFonts w:ascii="Arial" w:hAnsi="Arial" w:cs="Arial"/>
        </w:rPr>
        <w:t>).</w:t>
      </w:r>
      <w:r w:rsidR="00464387" w:rsidRPr="00C7671F">
        <w:rPr>
          <w:rFonts w:ascii="Arial" w:hAnsi="Arial" w:cs="Arial"/>
        </w:rPr>
        <w:t xml:space="preserve"> </w:t>
      </w:r>
    </w:p>
    <w:p w14:paraId="0DCB3C0C" w14:textId="77777777" w:rsidR="0039272B" w:rsidRPr="00C63568" w:rsidRDefault="0039272B" w:rsidP="0039272B">
      <w:pPr>
        <w:pStyle w:val="Heading2"/>
        <w:numPr>
          <w:ilvl w:val="1"/>
          <w:numId w:val="1"/>
        </w:numPr>
        <w:spacing w:line="360" w:lineRule="auto"/>
        <w:rPr>
          <w:rFonts w:ascii="Arial" w:hAnsi="Arial" w:cs="Arial"/>
          <w:sz w:val="24"/>
          <w:szCs w:val="24"/>
        </w:rPr>
      </w:pPr>
      <w:bookmarkStart w:id="13" w:name="_Toc235706409"/>
      <w:r w:rsidRPr="00C63568">
        <w:rPr>
          <w:rFonts w:ascii="Arial" w:hAnsi="Arial" w:cs="Arial"/>
          <w:sz w:val="24"/>
          <w:szCs w:val="24"/>
        </w:rPr>
        <w:t>Impact on Shareholder Value, Debt and Flexibility</w:t>
      </w:r>
      <w:bookmarkEnd w:id="13"/>
    </w:p>
    <w:p w14:paraId="4AE564BD" w14:textId="4ACA772A" w:rsidR="001C5307" w:rsidRPr="00C63568" w:rsidRDefault="00CF0DCB" w:rsidP="0039272B">
      <w:pPr>
        <w:spacing w:line="360" w:lineRule="auto"/>
        <w:jc w:val="both"/>
        <w:rPr>
          <w:rFonts w:ascii="Arial" w:hAnsi="Arial" w:cs="Arial"/>
          <w:sz w:val="24"/>
          <w:szCs w:val="24"/>
        </w:rPr>
      </w:pPr>
      <w:r w:rsidRPr="00C63568">
        <w:rPr>
          <w:rFonts w:ascii="Arial" w:hAnsi="Arial" w:cs="Arial"/>
          <w:sz w:val="24"/>
          <w:szCs w:val="24"/>
        </w:rPr>
        <w:t xml:space="preserve">The plan is expected to minimize the distribution to short-term shareholders while enhancing long-term value by minimizing default risk, refinancing costs and the required return demanded by investors. Deleveraging would improve interest coverage and give increased investment flexibility in down cycles. It would also help in negotiating with lenders. Asset recycling may bring capital recovery sooner, but at the expense of some future income from transfers of receivables. Unless structured </w:t>
      </w:r>
      <w:r w:rsidRPr="00C63568">
        <w:rPr>
          <w:rFonts w:ascii="Arial" w:hAnsi="Arial" w:cs="Arial"/>
          <w:sz w:val="24"/>
          <w:szCs w:val="24"/>
        </w:rPr>
        <w:lastRenderedPageBreak/>
        <w:t>as a pre-emptive rights offering, an equity injection would reduce profitability and voting rights; however, it would improve debt-to-equity the fastest. In general, disciplined restructuring should build a more sustainable valuation than ongoing debt financed repurchases</w:t>
      </w:r>
      <w:r w:rsidR="005628FD" w:rsidRPr="00C63568">
        <w:rPr>
          <w:rFonts w:ascii="Arial" w:hAnsi="Arial" w:cs="Arial"/>
          <w:sz w:val="24"/>
          <w:szCs w:val="24"/>
        </w:rPr>
        <w:t xml:space="preserve"> (Wyndham Hotels &amp; Resorts, 2026).</w:t>
      </w:r>
    </w:p>
    <w:p w14:paraId="381B1A15" w14:textId="77777777" w:rsidR="0039272B" w:rsidRPr="00C63568" w:rsidRDefault="0039272B" w:rsidP="0039272B">
      <w:pPr>
        <w:pStyle w:val="Heading2"/>
        <w:numPr>
          <w:ilvl w:val="1"/>
          <w:numId w:val="1"/>
        </w:numPr>
        <w:spacing w:line="360" w:lineRule="auto"/>
        <w:rPr>
          <w:rFonts w:ascii="Arial" w:hAnsi="Arial" w:cs="Arial"/>
          <w:sz w:val="24"/>
          <w:szCs w:val="24"/>
        </w:rPr>
      </w:pPr>
      <w:bookmarkStart w:id="14" w:name="_Toc235706410"/>
      <w:r w:rsidRPr="00C63568">
        <w:rPr>
          <w:rFonts w:ascii="Arial" w:hAnsi="Arial" w:cs="Arial"/>
          <w:sz w:val="24"/>
          <w:szCs w:val="24"/>
        </w:rPr>
        <w:t>International and Ethical Considerations</w:t>
      </w:r>
      <w:bookmarkEnd w:id="14"/>
    </w:p>
    <w:p w14:paraId="3FD068AF" w14:textId="087E9157" w:rsidR="00CF0DCB" w:rsidRPr="00C63568" w:rsidRDefault="00CF0DCB" w:rsidP="00CF0DCB">
      <w:pPr>
        <w:spacing w:line="360" w:lineRule="auto"/>
        <w:jc w:val="both"/>
        <w:rPr>
          <w:rFonts w:ascii="Arial" w:hAnsi="Arial" w:cs="Arial"/>
          <w:sz w:val="24"/>
          <w:szCs w:val="24"/>
        </w:rPr>
      </w:pPr>
      <w:r w:rsidRPr="00C63568">
        <w:rPr>
          <w:rFonts w:ascii="Arial" w:hAnsi="Arial" w:cs="Arial"/>
          <w:sz w:val="24"/>
          <w:szCs w:val="24"/>
        </w:rPr>
        <w:t xml:space="preserve">International restructuring should include tax risk, currency risk and inflation risk. Wyndham paid $73 million </w:t>
      </w:r>
      <w:r w:rsidR="00660EE5" w:rsidRPr="00C63568">
        <w:rPr>
          <w:rFonts w:ascii="Arial" w:hAnsi="Arial" w:cs="Arial"/>
          <w:sz w:val="24"/>
          <w:szCs w:val="24"/>
        </w:rPr>
        <w:t>in</w:t>
      </w:r>
      <w:r w:rsidRPr="00C63568">
        <w:rPr>
          <w:rFonts w:ascii="Arial" w:hAnsi="Arial" w:cs="Arial"/>
          <w:sz w:val="24"/>
          <w:szCs w:val="24"/>
        </w:rPr>
        <w:t xml:space="preserve"> cash income taxes in 2025, including $27 million in foreign jurisdictions. Effective tax planning should include the use of lawful loss relief, withholding-tax credits and appropriate legal structures, in addition to adherence to transfer pricing rules and avoidance of aggressive profit shifting that may lead to loss of stakeholder confidence (Wyndham Hotels &amp; Resorts, 2026).</w:t>
      </w:r>
    </w:p>
    <w:p w14:paraId="394CD498" w14:textId="77777777" w:rsidR="00CF0DCB" w:rsidRPr="00C63568" w:rsidRDefault="00CF0DCB" w:rsidP="00CF0DCB">
      <w:pPr>
        <w:spacing w:line="360" w:lineRule="auto"/>
        <w:jc w:val="both"/>
        <w:rPr>
          <w:rFonts w:ascii="Arial" w:hAnsi="Arial" w:cs="Arial"/>
          <w:sz w:val="24"/>
          <w:szCs w:val="24"/>
        </w:rPr>
      </w:pPr>
      <w:r w:rsidRPr="00C63568">
        <w:rPr>
          <w:rFonts w:ascii="Arial" w:hAnsi="Arial" w:cs="Arial"/>
          <w:sz w:val="24"/>
          <w:szCs w:val="24"/>
        </w:rPr>
        <w:t>Canadian dollar, Chinese yuan, euro, Brazilian real and British pound and Argentine peso are the most highly weighted currencies. A hypothetical 10% change in the exchange rate would change the fair value of the derivatives by approximately $8 million, given Wyndham's exposure of $294 million to foreign exchange hedges. The company should use rolling forward contracts, natural hedging, funding in local currency and limits on unhedged development advances. Wage, utility, insurance, and construction-cost stresses on franchisees (Wyndham Hotels &amp; Resorts, 2026) should be included in inflation stress tests.</w:t>
      </w:r>
    </w:p>
    <w:p w14:paraId="6E57CEA9" w14:textId="2B51E19B" w:rsidR="00C97543" w:rsidRPr="00C63568" w:rsidRDefault="00CF0DCB" w:rsidP="00CF0DCB">
      <w:pPr>
        <w:spacing w:line="360" w:lineRule="auto"/>
        <w:jc w:val="both"/>
        <w:rPr>
          <w:rFonts w:ascii="Arial" w:hAnsi="Arial" w:cs="Arial"/>
          <w:sz w:val="24"/>
          <w:szCs w:val="24"/>
        </w:rPr>
      </w:pPr>
      <w:r w:rsidRPr="00C63568">
        <w:rPr>
          <w:rFonts w:ascii="Arial" w:hAnsi="Arial" w:cs="Arial"/>
          <w:sz w:val="24"/>
          <w:szCs w:val="24"/>
        </w:rPr>
        <w:t xml:space="preserve">Finally, employee, </w:t>
      </w:r>
      <w:r w:rsidR="009735F3" w:rsidRPr="00C63568">
        <w:rPr>
          <w:rFonts w:ascii="Arial" w:hAnsi="Arial" w:cs="Arial"/>
          <w:sz w:val="24"/>
          <w:szCs w:val="24"/>
        </w:rPr>
        <w:t>franchisees</w:t>
      </w:r>
      <w:r w:rsidRPr="00C63568">
        <w:rPr>
          <w:rFonts w:ascii="Arial" w:hAnsi="Arial" w:cs="Arial"/>
          <w:sz w:val="24"/>
          <w:szCs w:val="24"/>
        </w:rPr>
        <w:t>, suppliers, and community protection should be part of restructuring decisions. Financing may also involve sustainability-linked debt linked to achievable energy, emissions, water and responsible-sourcing targets achieved through independent verification. A governance structure is provided by Wyndham's Green Program, Human Rights Policy, Modern Slavery Statement, and Supplier Code, but targets should be clear and achievable for smaller franchisees. This ethical approach reduces reputational risk while aligning financial recovery with durable environmental and social performance (Wyndham Hotels &amp; Resorts, 2026).</w:t>
      </w:r>
    </w:p>
    <w:p w14:paraId="7906FF5C" w14:textId="77777777" w:rsidR="00C40A46" w:rsidRPr="00C63568" w:rsidRDefault="00C40A46" w:rsidP="00C40A46">
      <w:pPr>
        <w:pStyle w:val="Heading1"/>
        <w:numPr>
          <w:ilvl w:val="0"/>
          <w:numId w:val="1"/>
        </w:numPr>
        <w:rPr>
          <w:rFonts w:ascii="Arial" w:hAnsi="Arial" w:cs="Arial"/>
          <w:sz w:val="24"/>
          <w:szCs w:val="24"/>
        </w:rPr>
      </w:pPr>
      <w:bookmarkStart w:id="15" w:name="_Toc235706411"/>
      <w:r w:rsidRPr="00C63568">
        <w:rPr>
          <w:rFonts w:ascii="Arial" w:hAnsi="Arial" w:cs="Arial"/>
          <w:sz w:val="24"/>
          <w:szCs w:val="24"/>
        </w:rPr>
        <w:lastRenderedPageBreak/>
        <w:t>INVESTMENT APPRAISALAND CAPITAL BUDGETING</w:t>
      </w:r>
      <w:bookmarkEnd w:id="15"/>
    </w:p>
    <w:p w14:paraId="1C7F68A8" w14:textId="77777777" w:rsidR="00C40A46" w:rsidRPr="00C63568" w:rsidRDefault="00C40A46" w:rsidP="00C40A46">
      <w:pPr>
        <w:pStyle w:val="Heading2"/>
        <w:numPr>
          <w:ilvl w:val="1"/>
          <w:numId w:val="1"/>
        </w:numPr>
        <w:spacing w:line="360" w:lineRule="auto"/>
        <w:jc w:val="both"/>
        <w:rPr>
          <w:rFonts w:ascii="Arial" w:hAnsi="Arial" w:cs="Arial"/>
          <w:sz w:val="24"/>
          <w:szCs w:val="24"/>
        </w:rPr>
      </w:pPr>
      <w:bookmarkStart w:id="16" w:name="_Toc235706412"/>
      <w:r w:rsidRPr="00C63568">
        <w:rPr>
          <w:rFonts w:ascii="Arial" w:hAnsi="Arial" w:cs="Arial"/>
          <w:sz w:val="24"/>
          <w:szCs w:val="24"/>
        </w:rPr>
        <w:t>Appraisal Basis and Decision Criteria</w:t>
      </w:r>
      <w:bookmarkEnd w:id="16"/>
    </w:p>
    <w:p w14:paraId="29A98446" w14:textId="00B37D99" w:rsidR="00AD3ABE" w:rsidRPr="00C63568" w:rsidRDefault="00662D8F" w:rsidP="00C40A46">
      <w:pPr>
        <w:spacing w:line="360" w:lineRule="auto"/>
        <w:jc w:val="both"/>
        <w:rPr>
          <w:rFonts w:ascii="Arial" w:hAnsi="Arial" w:cs="Arial"/>
          <w:sz w:val="24"/>
          <w:szCs w:val="24"/>
        </w:rPr>
      </w:pPr>
      <w:r w:rsidRPr="00C63568">
        <w:rPr>
          <w:rFonts w:ascii="Arial" w:hAnsi="Arial" w:cs="Arial"/>
          <w:sz w:val="24"/>
          <w:szCs w:val="24"/>
        </w:rPr>
        <w:t>The three projects were evaluated using the cash flows and assumptions contained in the supplied Excel workbook. The first costs £50m, the second costs £50m, both will last 5 years, neither has any scrap value and both will be written down at £10m per year. An 8% required return is applied to NPV and PI, while IRR is compared directly with the same hurdle rate. Payback period is the time it takes to recover the initial outlay, ARR is an indicator of accounting profitability, NPV measures the amount of value created in absolute dollars, PI is the dollars per pound return and IRR is the percentage return the project is expected to yield. The other techniques are used to evaluate accounting performance and decision robustness (Atrill and McLaney, 2022; Brealey, Myers and Allen, 2023), while NPV is considered the most important since it takes into account the time value of money and also measures the change in shareholder wealth. Detailed calculations are provided in Appendix A.</w:t>
      </w:r>
    </w:p>
    <w:p w14:paraId="2199B661" w14:textId="77777777" w:rsidR="00C40A46" w:rsidRPr="00C63568" w:rsidRDefault="00C40A46" w:rsidP="00C40A46">
      <w:pPr>
        <w:pStyle w:val="Heading2"/>
        <w:numPr>
          <w:ilvl w:val="1"/>
          <w:numId w:val="1"/>
        </w:numPr>
        <w:spacing w:line="360" w:lineRule="auto"/>
        <w:jc w:val="both"/>
        <w:rPr>
          <w:rFonts w:ascii="Arial" w:hAnsi="Arial" w:cs="Arial"/>
          <w:sz w:val="24"/>
          <w:szCs w:val="24"/>
        </w:rPr>
      </w:pPr>
      <w:bookmarkStart w:id="17" w:name="_Toc235706413"/>
      <w:r w:rsidRPr="00C63568">
        <w:rPr>
          <w:rFonts w:ascii="Arial" w:hAnsi="Arial" w:cs="Arial"/>
          <w:sz w:val="24"/>
          <w:szCs w:val="24"/>
        </w:rPr>
        <w:t>Comparative Appraisal of Projects A, B and C</w:t>
      </w:r>
      <w:bookmarkEnd w:id="17"/>
    </w:p>
    <w:p w14:paraId="4F62B178" w14:textId="77777777" w:rsidR="000031AD" w:rsidRPr="00C63568" w:rsidRDefault="000031AD" w:rsidP="000031AD">
      <w:pPr>
        <w:keepNext/>
        <w:keepLines/>
        <w:spacing w:line="360" w:lineRule="auto"/>
        <w:jc w:val="center"/>
        <w:rPr>
          <w:rFonts w:ascii="Arial" w:hAnsi="Arial" w:cs="Arial"/>
          <w:color w:val="0D0D0D" w:themeColor="text1" w:themeTint="F2"/>
          <w:sz w:val="24"/>
          <w:szCs w:val="24"/>
        </w:rPr>
      </w:pPr>
      <w:r w:rsidRPr="00C63568">
        <w:rPr>
          <w:rFonts w:ascii="Arial" w:hAnsi="Arial" w:cs="Arial"/>
          <w:b/>
          <w:color w:val="0D0D0D" w:themeColor="text1" w:themeTint="F2"/>
          <w:sz w:val="24"/>
          <w:szCs w:val="24"/>
        </w:rPr>
        <w:t>Table: Summary of Investment-Appraisal Results</w:t>
      </w:r>
    </w:p>
    <w:tbl>
      <w:tblPr>
        <w:tblStyle w:val="TableGrid"/>
        <w:tblW w:w="9350" w:type="dxa"/>
        <w:jc w:val="center"/>
        <w:tblLayout w:type="fixed"/>
        <w:tblLook w:val="04A0" w:firstRow="1" w:lastRow="0" w:firstColumn="1" w:lastColumn="0" w:noHBand="0" w:noVBand="1"/>
      </w:tblPr>
      <w:tblGrid>
        <w:gridCol w:w="1870"/>
        <w:gridCol w:w="1870"/>
        <w:gridCol w:w="1870"/>
        <w:gridCol w:w="1870"/>
        <w:gridCol w:w="1870"/>
      </w:tblGrid>
      <w:tr w:rsidR="000031AD" w:rsidRPr="00C63568" w14:paraId="5916EB0C" w14:textId="77777777" w:rsidTr="00AA5684">
        <w:trPr>
          <w:cantSplit/>
          <w:trHeight w:val="283"/>
          <w:jc w:val="center"/>
        </w:trPr>
        <w:tc>
          <w:tcPr>
            <w:tcW w:w="1870" w:type="dxa"/>
            <w:shd w:val="clear" w:color="auto" w:fill="17365D"/>
            <w:tcMar>
              <w:top w:w="80" w:type="dxa"/>
              <w:left w:w="90" w:type="dxa"/>
              <w:bottom w:w="80" w:type="dxa"/>
              <w:right w:w="90" w:type="dxa"/>
            </w:tcMar>
            <w:vAlign w:val="center"/>
          </w:tcPr>
          <w:p w14:paraId="183F297B"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b/>
                <w:color w:val="FFFFFF"/>
                <w:sz w:val="24"/>
                <w:szCs w:val="24"/>
              </w:rPr>
              <w:t>Method</w:t>
            </w:r>
          </w:p>
        </w:tc>
        <w:tc>
          <w:tcPr>
            <w:tcW w:w="1870" w:type="dxa"/>
            <w:shd w:val="clear" w:color="auto" w:fill="17365D"/>
            <w:tcMar>
              <w:top w:w="80" w:type="dxa"/>
              <w:left w:w="90" w:type="dxa"/>
              <w:bottom w:w="80" w:type="dxa"/>
              <w:right w:w="90" w:type="dxa"/>
            </w:tcMar>
            <w:vAlign w:val="center"/>
          </w:tcPr>
          <w:p w14:paraId="4A2701D7"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b/>
                <w:color w:val="FFFFFF"/>
                <w:sz w:val="24"/>
                <w:szCs w:val="24"/>
              </w:rPr>
              <w:t>Project A</w:t>
            </w:r>
          </w:p>
        </w:tc>
        <w:tc>
          <w:tcPr>
            <w:tcW w:w="1870" w:type="dxa"/>
            <w:shd w:val="clear" w:color="auto" w:fill="17365D"/>
            <w:tcMar>
              <w:top w:w="80" w:type="dxa"/>
              <w:left w:w="90" w:type="dxa"/>
              <w:bottom w:w="80" w:type="dxa"/>
              <w:right w:w="90" w:type="dxa"/>
            </w:tcMar>
            <w:vAlign w:val="center"/>
          </w:tcPr>
          <w:p w14:paraId="557E6ABF"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b/>
                <w:color w:val="FFFFFF"/>
                <w:sz w:val="24"/>
                <w:szCs w:val="24"/>
              </w:rPr>
              <w:t>Project B</w:t>
            </w:r>
          </w:p>
        </w:tc>
        <w:tc>
          <w:tcPr>
            <w:tcW w:w="1870" w:type="dxa"/>
            <w:shd w:val="clear" w:color="auto" w:fill="17365D"/>
            <w:tcMar>
              <w:top w:w="80" w:type="dxa"/>
              <w:left w:w="90" w:type="dxa"/>
              <w:bottom w:w="80" w:type="dxa"/>
              <w:right w:w="90" w:type="dxa"/>
            </w:tcMar>
            <w:vAlign w:val="center"/>
          </w:tcPr>
          <w:p w14:paraId="6DD212D3"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b/>
                <w:color w:val="FFFFFF"/>
                <w:sz w:val="24"/>
                <w:szCs w:val="24"/>
              </w:rPr>
              <w:t>Project C</w:t>
            </w:r>
          </w:p>
        </w:tc>
        <w:tc>
          <w:tcPr>
            <w:tcW w:w="1870" w:type="dxa"/>
            <w:shd w:val="clear" w:color="auto" w:fill="17365D"/>
            <w:tcMar>
              <w:top w:w="80" w:type="dxa"/>
              <w:left w:w="90" w:type="dxa"/>
              <w:bottom w:w="80" w:type="dxa"/>
              <w:right w:w="90" w:type="dxa"/>
            </w:tcMar>
            <w:vAlign w:val="center"/>
          </w:tcPr>
          <w:p w14:paraId="2F292902"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b/>
                <w:color w:val="FFFFFF"/>
                <w:sz w:val="24"/>
                <w:szCs w:val="24"/>
              </w:rPr>
              <w:t>Preferred</w:t>
            </w:r>
          </w:p>
        </w:tc>
      </w:tr>
      <w:tr w:rsidR="000031AD" w:rsidRPr="00C63568" w14:paraId="7DA0365E" w14:textId="77777777" w:rsidTr="00AA5684">
        <w:trPr>
          <w:cantSplit/>
          <w:trHeight w:val="303"/>
          <w:jc w:val="center"/>
        </w:trPr>
        <w:tc>
          <w:tcPr>
            <w:tcW w:w="1870" w:type="dxa"/>
            <w:tcMar>
              <w:top w:w="80" w:type="dxa"/>
              <w:left w:w="90" w:type="dxa"/>
              <w:bottom w:w="80" w:type="dxa"/>
              <w:right w:w="90" w:type="dxa"/>
            </w:tcMar>
            <w:vAlign w:val="center"/>
          </w:tcPr>
          <w:p w14:paraId="5F440379"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PBP</w:t>
            </w:r>
          </w:p>
        </w:tc>
        <w:tc>
          <w:tcPr>
            <w:tcW w:w="1870" w:type="dxa"/>
            <w:tcMar>
              <w:top w:w="80" w:type="dxa"/>
              <w:left w:w="90" w:type="dxa"/>
              <w:bottom w:w="80" w:type="dxa"/>
              <w:right w:w="90" w:type="dxa"/>
            </w:tcMar>
            <w:vAlign w:val="center"/>
          </w:tcPr>
          <w:p w14:paraId="4F462A2C"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4.50 years</w:t>
            </w:r>
          </w:p>
        </w:tc>
        <w:tc>
          <w:tcPr>
            <w:tcW w:w="1870" w:type="dxa"/>
            <w:tcMar>
              <w:top w:w="80" w:type="dxa"/>
              <w:left w:w="90" w:type="dxa"/>
              <w:bottom w:w="80" w:type="dxa"/>
              <w:right w:w="90" w:type="dxa"/>
            </w:tcMar>
            <w:vAlign w:val="center"/>
          </w:tcPr>
          <w:p w14:paraId="51CCC56E"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4.55 years</w:t>
            </w:r>
          </w:p>
        </w:tc>
        <w:tc>
          <w:tcPr>
            <w:tcW w:w="1870" w:type="dxa"/>
            <w:shd w:val="clear" w:color="auto" w:fill="F2F8ED"/>
            <w:tcMar>
              <w:top w:w="80" w:type="dxa"/>
              <w:left w:w="90" w:type="dxa"/>
              <w:bottom w:w="80" w:type="dxa"/>
              <w:right w:w="90" w:type="dxa"/>
            </w:tcMar>
            <w:vAlign w:val="center"/>
          </w:tcPr>
          <w:p w14:paraId="37BEF8EF"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3.60 years</w:t>
            </w:r>
          </w:p>
        </w:tc>
        <w:tc>
          <w:tcPr>
            <w:tcW w:w="1870" w:type="dxa"/>
            <w:tcMar>
              <w:top w:w="80" w:type="dxa"/>
              <w:left w:w="90" w:type="dxa"/>
              <w:bottom w:w="80" w:type="dxa"/>
              <w:right w:w="90" w:type="dxa"/>
            </w:tcMar>
            <w:vAlign w:val="center"/>
          </w:tcPr>
          <w:p w14:paraId="3460B8D9"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b/>
                <w:color w:val="006100"/>
                <w:sz w:val="24"/>
                <w:szCs w:val="24"/>
              </w:rPr>
              <w:t>C</w:t>
            </w:r>
          </w:p>
        </w:tc>
      </w:tr>
      <w:tr w:rsidR="000031AD" w:rsidRPr="00C63568" w14:paraId="352ECD2A" w14:textId="77777777" w:rsidTr="00AA5684">
        <w:trPr>
          <w:cantSplit/>
          <w:trHeight w:val="283"/>
          <w:jc w:val="center"/>
        </w:trPr>
        <w:tc>
          <w:tcPr>
            <w:tcW w:w="1870" w:type="dxa"/>
            <w:shd w:val="clear" w:color="auto" w:fill="F7F7F7"/>
            <w:tcMar>
              <w:top w:w="80" w:type="dxa"/>
              <w:left w:w="90" w:type="dxa"/>
              <w:bottom w:w="80" w:type="dxa"/>
              <w:right w:w="90" w:type="dxa"/>
            </w:tcMar>
            <w:vAlign w:val="center"/>
          </w:tcPr>
          <w:p w14:paraId="0652B6AD"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ARR</w:t>
            </w:r>
          </w:p>
        </w:tc>
        <w:tc>
          <w:tcPr>
            <w:tcW w:w="1870" w:type="dxa"/>
            <w:shd w:val="clear" w:color="auto" w:fill="F7F7F7"/>
            <w:tcMar>
              <w:top w:w="80" w:type="dxa"/>
              <w:left w:w="90" w:type="dxa"/>
              <w:bottom w:w="80" w:type="dxa"/>
              <w:right w:w="90" w:type="dxa"/>
            </w:tcMar>
            <w:vAlign w:val="center"/>
          </w:tcPr>
          <w:p w14:paraId="2E36CE82"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3.20%</w:t>
            </w:r>
          </w:p>
        </w:tc>
        <w:tc>
          <w:tcPr>
            <w:tcW w:w="1870" w:type="dxa"/>
            <w:shd w:val="clear" w:color="auto" w:fill="F7F7F7"/>
            <w:tcMar>
              <w:top w:w="80" w:type="dxa"/>
              <w:left w:w="90" w:type="dxa"/>
              <w:bottom w:w="80" w:type="dxa"/>
              <w:right w:w="90" w:type="dxa"/>
            </w:tcMar>
            <w:vAlign w:val="center"/>
          </w:tcPr>
          <w:p w14:paraId="079D2BE5"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4.00%</w:t>
            </w:r>
          </w:p>
        </w:tc>
        <w:tc>
          <w:tcPr>
            <w:tcW w:w="1870" w:type="dxa"/>
            <w:shd w:val="clear" w:color="auto" w:fill="F2F8ED"/>
            <w:tcMar>
              <w:top w:w="80" w:type="dxa"/>
              <w:left w:w="90" w:type="dxa"/>
              <w:bottom w:w="80" w:type="dxa"/>
              <w:right w:w="90" w:type="dxa"/>
            </w:tcMar>
            <w:vAlign w:val="center"/>
          </w:tcPr>
          <w:p w14:paraId="33A99B6D"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12.00%</w:t>
            </w:r>
          </w:p>
        </w:tc>
        <w:tc>
          <w:tcPr>
            <w:tcW w:w="1870" w:type="dxa"/>
            <w:shd w:val="clear" w:color="auto" w:fill="F7F7F7"/>
            <w:tcMar>
              <w:top w:w="80" w:type="dxa"/>
              <w:left w:w="90" w:type="dxa"/>
              <w:bottom w:w="80" w:type="dxa"/>
              <w:right w:w="90" w:type="dxa"/>
            </w:tcMar>
            <w:vAlign w:val="center"/>
          </w:tcPr>
          <w:p w14:paraId="0CBC7706"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b/>
                <w:color w:val="006100"/>
                <w:sz w:val="24"/>
                <w:szCs w:val="24"/>
              </w:rPr>
              <w:t>C</w:t>
            </w:r>
          </w:p>
        </w:tc>
      </w:tr>
      <w:tr w:rsidR="000031AD" w:rsidRPr="00C63568" w14:paraId="315B3D5B" w14:textId="77777777" w:rsidTr="00AA5684">
        <w:trPr>
          <w:cantSplit/>
          <w:trHeight w:val="283"/>
          <w:jc w:val="center"/>
        </w:trPr>
        <w:tc>
          <w:tcPr>
            <w:tcW w:w="1870" w:type="dxa"/>
            <w:tcMar>
              <w:top w:w="80" w:type="dxa"/>
              <w:left w:w="90" w:type="dxa"/>
              <w:bottom w:w="80" w:type="dxa"/>
              <w:right w:w="90" w:type="dxa"/>
            </w:tcMar>
            <w:vAlign w:val="center"/>
          </w:tcPr>
          <w:p w14:paraId="5F818FA2"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NPV</w:t>
            </w:r>
          </w:p>
        </w:tc>
        <w:tc>
          <w:tcPr>
            <w:tcW w:w="1870" w:type="dxa"/>
            <w:tcMar>
              <w:top w:w="80" w:type="dxa"/>
              <w:left w:w="90" w:type="dxa"/>
              <w:bottom w:w="80" w:type="dxa"/>
              <w:right w:w="90" w:type="dxa"/>
            </w:tcMar>
            <w:vAlign w:val="center"/>
          </w:tcPr>
          <w:p w14:paraId="08702FB8"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(£6.544m)</w:t>
            </w:r>
          </w:p>
        </w:tc>
        <w:tc>
          <w:tcPr>
            <w:tcW w:w="1870" w:type="dxa"/>
            <w:tcMar>
              <w:top w:w="80" w:type="dxa"/>
              <w:left w:w="90" w:type="dxa"/>
              <w:bottom w:w="80" w:type="dxa"/>
              <w:right w:w="90" w:type="dxa"/>
            </w:tcMar>
            <w:vAlign w:val="center"/>
          </w:tcPr>
          <w:p w14:paraId="52E34E9B"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(£6.080m)</w:t>
            </w:r>
          </w:p>
        </w:tc>
        <w:tc>
          <w:tcPr>
            <w:tcW w:w="1870" w:type="dxa"/>
            <w:shd w:val="clear" w:color="auto" w:fill="F2F8ED"/>
            <w:tcMar>
              <w:top w:w="80" w:type="dxa"/>
              <w:left w:w="90" w:type="dxa"/>
              <w:bottom w:w="80" w:type="dxa"/>
              <w:right w:w="90" w:type="dxa"/>
            </w:tcMar>
            <w:vAlign w:val="center"/>
          </w:tcPr>
          <w:p w14:paraId="754B62F4"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£0.858m</w:t>
            </w:r>
          </w:p>
        </w:tc>
        <w:tc>
          <w:tcPr>
            <w:tcW w:w="1870" w:type="dxa"/>
            <w:tcMar>
              <w:top w:w="80" w:type="dxa"/>
              <w:left w:w="90" w:type="dxa"/>
              <w:bottom w:w="80" w:type="dxa"/>
              <w:right w:w="90" w:type="dxa"/>
            </w:tcMar>
            <w:vAlign w:val="center"/>
          </w:tcPr>
          <w:p w14:paraId="682011E4"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b/>
                <w:color w:val="006100"/>
                <w:sz w:val="24"/>
                <w:szCs w:val="24"/>
              </w:rPr>
              <w:t>C</w:t>
            </w:r>
          </w:p>
        </w:tc>
      </w:tr>
      <w:tr w:rsidR="000031AD" w:rsidRPr="00C63568" w14:paraId="2C043455" w14:textId="77777777" w:rsidTr="00AA5684">
        <w:trPr>
          <w:cantSplit/>
          <w:trHeight w:val="303"/>
          <w:jc w:val="center"/>
        </w:trPr>
        <w:tc>
          <w:tcPr>
            <w:tcW w:w="1870" w:type="dxa"/>
            <w:shd w:val="clear" w:color="auto" w:fill="F7F7F7"/>
            <w:tcMar>
              <w:top w:w="80" w:type="dxa"/>
              <w:left w:w="90" w:type="dxa"/>
              <w:bottom w:w="80" w:type="dxa"/>
              <w:right w:w="90" w:type="dxa"/>
            </w:tcMar>
            <w:vAlign w:val="center"/>
          </w:tcPr>
          <w:p w14:paraId="144DAA9F"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PI</w:t>
            </w:r>
          </w:p>
        </w:tc>
        <w:tc>
          <w:tcPr>
            <w:tcW w:w="1870" w:type="dxa"/>
            <w:shd w:val="clear" w:color="auto" w:fill="F7F7F7"/>
            <w:tcMar>
              <w:top w:w="80" w:type="dxa"/>
              <w:left w:w="90" w:type="dxa"/>
              <w:bottom w:w="80" w:type="dxa"/>
              <w:right w:w="90" w:type="dxa"/>
            </w:tcMar>
            <w:vAlign w:val="center"/>
          </w:tcPr>
          <w:p w14:paraId="02975215"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0.869x</w:t>
            </w:r>
          </w:p>
        </w:tc>
        <w:tc>
          <w:tcPr>
            <w:tcW w:w="1870" w:type="dxa"/>
            <w:shd w:val="clear" w:color="auto" w:fill="F7F7F7"/>
            <w:tcMar>
              <w:top w:w="80" w:type="dxa"/>
              <w:left w:w="90" w:type="dxa"/>
              <w:bottom w:w="80" w:type="dxa"/>
              <w:right w:w="90" w:type="dxa"/>
            </w:tcMar>
            <w:vAlign w:val="center"/>
          </w:tcPr>
          <w:p w14:paraId="0234AB93"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0.878x</w:t>
            </w:r>
          </w:p>
        </w:tc>
        <w:tc>
          <w:tcPr>
            <w:tcW w:w="1870" w:type="dxa"/>
            <w:shd w:val="clear" w:color="auto" w:fill="F2F8ED"/>
            <w:tcMar>
              <w:top w:w="80" w:type="dxa"/>
              <w:left w:w="90" w:type="dxa"/>
              <w:bottom w:w="80" w:type="dxa"/>
              <w:right w:w="90" w:type="dxa"/>
            </w:tcMar>
            <w:vAlign w:val="center"/>
          </w:tcPr>
          <w:p w14:paraId="39A6E5DF"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1.017x</w:t>
            </w:r>
          </w:p>
        </w:tc>
        <w:tc>
          <w:tcPr>
            <w:tcW w:w="1870" w:type="dxa"/>
            <w:shd w:val="clear" w:color="auto" w:fill="F7F7F7"/>
            <w:tcMar>
              <w:top w:w="80" w:type="dxa"/>
              <w:left w:w="90" w:type="dxa"/>
              <w:bottom w:w="80" w:type="dxa"/>
              <w:right w:w="90" w:type="dxa"/>
            </w:tcMar>
            <w:vAlign w:val="center"/>
          </w:tcPr>
          <w:p w14:paraId="52CD60B7"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b/>
                <w:color w:val="006100"/>
                <w:sz w:val="24"/>
                <w:szCs w:val="24"/>
              </w:rPr>
              <w:t>C</w:t>
            </w:r>
          </w:p>
        </w:tc>
      </w:tr>
      <w:tr w:rsidR="000031AD" w:rsidRPr="00C63568" w14:paraId="001FC324" w14:textId="77777777" w:rsidTr="00AA5684">
        <w:trPr>
          <w:cantSplit/>
          <w:trHeight w:val="283"/>
          <w:jc w:val="center"/>
        </w:trPr>
        <w:tc>
          <w:tcPr>
            <w:tcW w:w="1870" w:type="dxa"/>
            <w:tcMar>
              <w:top w:w="80" w:type="dxa"/>
              <w:left w:w="90" w:type="dxa"/>
              <w:bottom w:w="80" w:type="dxa"/>
              <w:right w:w="90" w:type="dxa"/>
            </w:tcMar>
            <w:vAlign w:val="center"/>
          </w:tcPr>
          <w:p w14:paraId="38587147"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IRR</w:t>
            </w:r>
          </w:p>
        </w:tc>
        <w:tc>
          <w:tcPr>
            <w:tcW w:w="1870" w:type="dxa"/>
            <w:tcMar>
              <w:top w:w="80" w:type="dxa"/>
              <w:left w:w="90" w:type="dxa"/>
              <w:bottom w:w="80" w:type="dxa"/>
              <w:right w:w="90" w:type="dxa"/>
            </w:tcMar>
            <w:vAlign w:val="center"/>
          </w:tcPr>
          <w:p w14:paraId="33FE86D0"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2.72%</w:t>
            </w:r>
          </w:p>
        </w:tc>
        <w:tc>
          <w:tcPr>
            <w:tcW w:w="1870" w:type="dxa"/>
            <w:tcMar>
              <w:top w:w="80" w:type="dxa"/>
              <w:left w:w="90" w:type="dxa"/>
              <w:bottom w:w="80" w:type="dxa"/>
              <w:right w:w="90" w:type="dxa"/>
            </w:tcMar>
            <w:vAlign w:val="center"/>
          </w:tcPr>
          <w:p w14:paraId="4686A11E"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3.26%</w:t>
            </w:r>
          </w:p>
        </w:tc>
        <w:tc>
          <w:tcPr>
            <w:tcW w:w="1870" w:type="dxa"/>
            <w:shd w:val="clear" w:color="auto" w:fill="F2F8ED"/>
            <w:tcMar>
              <w:top w:w="80" w:type="dxa"/>
              <w:left w:w="90" w:type="dxa"/>
              <w:bottom w:w="80" w:type="dxa"/>
              <w:right w:w="90" w:type="dxa"/>
            </w:tcMar>
            <w:vAlign w:val="center"/>
          </w:tcPr>
          <w:p w14:paraId="35DFE7A5"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8.59%</w:t>
            </w:r>
          </w:p>
        </w:tc>
        <w:tc>
          <w:tcPr>
            <w:tcW w:w="1870" w:type="dxa"/>
            <w:tcMar>
              <w:top w:w="80" w:type="dxa"/>
              <w:left w:w="90" w:type="dxa"/>
              <w:bottom w:w="80" w:type="dxa"/>
              <w:right w:w="90" w:type="dxa"/>
            </w:tcMar>
            <w:vAlign w:val="center"/>
          </w:tcPr>
          <w:p w14:paraId="69C6866C"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b/>
                <w:color w:val="006100"/>
                <w:sz w:val="24"/>
                <w:szCs w:val="24"/>
              </w:rPr>
              <w:t>C</w:t>
            </w:r>
          </w:p>
        </w:tc>
      </w:tr>
      <w:tr w:rsidR="000031AD" w:rsidRPr="00C63568" w14:paraId="15D358E7" w14:textId="77777777" w:rsidTr="00AA5684">
        <w:trPr>
          <w:cantSplit/>
          <w:trHeight w:val="303"/>
          <w:jc w:val="center"/>
        </w:trPr>
        <w:tc>
          <w:tcPr>
            <w:tcW w:w="1870" w:type="dxa"/>
            <w:shd w:val="clear" w:color="auto" w:fill="F7F7F7"/>
            <w:tcMar>
              <w:top w:w="80" w:type="dxa"/>
              <w:left w:w="90" w:type="dxa"/>
              <w:bottom w:w="80" w:type="dxa"/>
              <w:right w:w="90" w:type="dxa"/>
            </w:tcMar>
            <w:vAlign w:val="center"/>
          </w:tcPr>
          <w:p w14:paraId="5D8DF0C0"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000000"/>
                <w:sz w:val="24"/>
                <w:szCs w:val="24"/>
              </w:rPr>
              <w:t>Decision</w:t>
            </w:r>
          </w:p>
        </w:tc>
        <w:tc>
          <w:tcPr>
            <w:tcW w:w="1870" w:type="dxa"/>
            <w:shd w:val="clear" w:color="auto" w:fill="F7F7F7"/>
            <w:tcMar>
              <w:top w:w="80" w:type="dxa"/>
              <w:left w:w="90" w:type="dxa"/>
              <w:bottom w:w="80" w:type="dxa"/>
              <w:right w:w="90" w:type="dxa"/>
            </w:tcMar>
            <w:vAlign w:val="center"/>
          </w:tcPr>
          <w:p w14:paraId="2959EA31"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9C0006"/>
                <w:sz w:val="24"/>
                <w:szCs w:val="24"/>
              </w:rPr>
              <w:t>Reject</w:t>
            </w:r>
          </w:p>
        </w:tc>
        <w:tc>
          <w:tcPr>
            <w:tcW w:w="1870" w:type="dxa"/>
            <w:shd w:val="clear" w:color="auto" w:fill="F7F7F7"/>
            <w:tcMar>
              <w:top w:w="80" w:type="dxa"/>
              <w:left w:w="90" w:type="dxa"/>
              <w:bottom w:w="80" w:type="dxa"/>
              <w:right w:w="90" w:type="dxa"/>
            </w:tcMar>
            <w:vAlign w:val="center"/>
          </w:tcPr>
          <w:p w14:paraId="797A2600"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color w:val="9C0006"/>
                <w:sz w:val="24"/>
                <w:szCs w:val="24"/>
              </w:rPr>
              <w:t>Reject</w:t>
            </w:r>
          </w:p>
        </w:tc>
        <w:tc>
          <w:tcPr>
            <w:tcW w:w="1870" w:type="dxa"/>
            <w:shd w:val="clear" w:color="auto" w:fill="F2F8ED"/>
            <w:tcMar>
              <w:top w:w="80" w:type="dxa"/>
              <w:left w:w="90" w:type="dxa"/>
              <w:bottom w:w="80" w:type="dxa"/>
              <w:right w:w="90" w:type="dxa"/>
            </w:tcMar>
            <w:vAlign w:val="center"/>
          </w:tcPr>
          <w:p w14:paraId="5E10C3C9"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b/>
                <w:color w:val="006100"/>
                <w:sz w:val="24"/>
                <w:szCs w:val="24"/>
              </w:rPr>
              <w:t>Accept</w:t>
            </w:r>
          </w:p>
        </w:tc>
        <w:tc>
          <w:tcPr>
            <w:tcW w:w="1870" w:type="dxa"/>
            <w:shd w:val="clear" w:color="auto" w:fill="F7F7F7"/>
            <w:tcMar>
              <w:top w:w="80" w:type="dxa"/>
              <w:left w:w="90" w:type="dxa"/>
              <w:bottom w:w="80" w:type="dxa"/>
              <w:right w:w="90" w:type="dxa"/>
            </w:tcMar>
            <w:vAlign w:val="center"/>
          </w:tcPr>
          <w:p w14:paraId="4433E48A" w14:textId="77777777" w:rsidR="000031AD" w:rsidRPr="00C63568" w:rsidRDefault="000031AD" w:rsidP="00AA5684">
            <w:pPr>
              <w:spacing w:line="276" w:lineRule="auto"/>
              <w:jc w:val="both"/>
              <w:rPr>
                <w:rFonts w:ascii="Arial" w:hAnsi="Arial" w:cs="Arial"/>
                <w:sz w:val="24"/>
                <w:szCs w:val="24"/>
              </w:rPr>
            </w:pPr>
            <w:r w:rsidRPr="00C63568">
              <w:rPr>
                <w:rFonts w:ascii="Arial" w:hAnsi="Arial" w:cs="Arial"/>
                <w:b/>
                <w:color w:val="006100"/>
                <w:sz w:val="24"/>
                <w:szCs w:val="24"/>
              </w:rPr>
              <w:t>C</w:t>
            </w:r>
          </w:p>
        </w:tc>
      </w:tr>
    </w:tbl>
    <w:p w14:paraId="4B106796" w14:textId="77777777" w:rsidR="000031AD" w:rsidRPr="00C63568" w:rsidRDefault="000031AD" w:rsidP="000031AD"/>
    <w:p w14:paraId="5036DA21" w14:textId="3BBCE39C" w:rsidR="00662D8F" w:rsidRPr="00C63568" w:rsidRDefault="00662D8F" w:rsidP="00662D8F">
      <w:pPr>
        <w:spacing w:line="360" w:lineRule="auto"/>
        <w:jc w:val="both"/>
        <w:rPr>
          <w:rFonts w:ascii="Arial" w:hAnsi="Arial" w:cs="Arial"/>
          <w:sz w:val="24"/>
          <w:szCs w:val="24"/>
        </w:rPr>
      </w:pPr>
      <w:r w:rsidRPr="00C63568">
        <w:rPr>
          <w:rFonts w:ascii="Arial" w:hAnsi="Arial" w:cs="Arial"/>
          <w:sz w:val="24"/>
          <w:szCs w:val="24"/>
        </w:rPr>
        <w:t xml:space="preserve">The total nominal inflows from project A are £54 million. By the end of year four, its cumulative inflows are £46 million, which is recovered from the £8 million inflows in year five, resulting in a payback period of 4.50 years. The average annual accounting profit is £0.8 million after depreciation, giving an ARR of 3.20%, for an average investment of £25 million. The discounted inflows are £43.456 million, with an NPV of negative £6.544 million, a PI of 0.869 and IRR of 2.72%. Project A then recoups the </w:t>
      </w:r>
      <w:r w:rsidRPr="00C63568">
        <w:rPr>
          <w:rFonts w:ascii="Arial" w:hAnsi="Arial" w:cs="Arial"/>
          <w:sz w:val="24"/>
          <w:szCs w:val="24"/>
        </w:rPr>
        <w:lastRenderedPageBreak/>
        <w:t>nominal cost of the project but does not return the 8% minimum required return to investors</w:t>
      </w:r>
      <w:r w:rsidR="004F252E">
        <w:rPr>
          <w:rFonts w:ascii="Arial" w:hAnsi="Arial" w:cs="Arial"/>
          <w:sz w:val="24"/>
          <w:szCs w:val="24"/>
        </w:rPr>
        <w:t xml:space="preserve"> </w:t>
      </w:r>
      <w:r w:rsidR="004F252E" w:rsidRPr="00C7671F">
        <w:rPr>
          <w:rFonts w:ascii="Arial" w:hAnsi="Arial" w:cs="Arial"/>
        </w:rPr>
        <w:t>(</w:t>
      </w:r>
      <w:proofErr w:type="spellStart"/>
      <w:r w:rsidR="004F252E" w:rsidRPr="00C7671F">
        <w:rPr>
          <w:rFonts w:ascii="Arial" w:hAnsi="Arial" w:cs="Arial"/>
        </w:rPr>
        <w:t>Temelkov</w:t>
      </w:r>
      <w:proofErr w:type="spellEnd"/>
      <w:r w:rsidR="004F252E" w:rsidRPr="00C7671F">
        <w:rPr>
          <w:rFonts w:ascii="Arial" w:hAnsi="Arial" w:cs="Arial"/>
        </w:rPr>
        <w:t>, 2022</w:t>
      </w:r>
      <w:r w:rsidR="004F252E">
        <w:rPr>
          <w:rFonts w:ascii="Arial" w:hAnsi="Arial" w:cs="Arial"/>
        </w:rPr>
        <w:t>).</w:t>
      </w:r>
      <w:r w:rsidR="004F252E" w:rsidRPr="00C7671F">
        <w:rPr>
          <w:rFonts w:ascii="Arial" w:hAnsi="Arial" w:cs="Arial"/>
        </w:rPr>
        <w:t xml:space="preserve"> </w:t>
      </w:r>
    </w:p>
    <w:p w14:paraId="635B07F1" w14:textId="568EC33D" w:rsidR="00662D8F" w:rsidRPr="0030188F" w:rsidRDefault="00662D8F" w:rsidP="00662D8F">
      <w:pPr>
        <w:spacing w:line="360" w:lineRule="auto"/>
        <w:jc w:val="both"/>
        <w:rPr>
          <w:rFonts w:ascii="Arial" w:hAnsi="Arial" w:cs="Arial"/>
        </w:rPr>
      </w:pPr>
      <w:r w:rsidRPr="00C63568">
        <w:rPr>
          <w:rFonts w:ascii="Arial" w:hAnsi="Arial" w:cs="Arial"/>
          <w:sz w:val="24"/>
          <w:szCs w:val="24"/>
        </w:rPr>
        <w:t>Project B has a stable annual inflow of £11m and total nominal receipt of £55m. This predictability can help to lower the volatility of forecasts, although the return period is a bit longer at 4.55 years. The average accounting profit is £1 million per year, giving an ARR of 4.00%. The discounted inflows are £43.920 million, giving an NPV of minus £6.080 million, a PI result of 0.878 and an IRR of 3.26%. Project B is slightly better than Project A on ARR, NPV, PI and IRR, but has not been found to be financially feasible because all discounted measures tested are below the minimum level</w:t>
      </w:r>
      <w:r w:rsidR="0030188F">
        <w:rPr>
          <w:rFonts w:ascii="Arial" w:hAnsi="Arial" w:cs="Arial"/>
          <w:sz w:val="24"/>
          <w:szCs w:val="24"/>
        </w:rPr>
        <w:t xml:space="preserve"> </w:t>
      </w:r>
      <w:r w:rsidR="0030188F" w:rsidRPr="00C7671F">
        <w:rPr>
          <w:rFonts w:ascii="Arial" w:hAnsi="Arial" w:cs="Arial"/>
        </w:rPr>
        <w:t>(</w:t>
      </w:r>
      <w:proofErr w:type="spellStart"/>
      <w:r w:rsidR="0030188F" w:rsidRPr="00C7671F">
        <w:rPr>
          <w:rFonts w:ascii="Arial" w:hAnsi="Arial" w:cs="Arial"/>
        </w:rPr>
        <w:t>Demirçiftci</w:t>
      </w:r>
      <w:proofErr w:type="spellEnd"/>
      <w:r w:rsidR="0030188F" w:rsidRPr="00C7671F">
        <w:rPr>
          <w:rFonts w:ascii="Arial" w:hAnsi="Arial" w:cs="Arial"/>
        </w:rPr>
        <w:t>, 2022</w:t>
      </w:r>
      <w:r w:rsidR="0030188F">
        <w:rPr>
          <w:rFonts w:ascii="Arial" w:hAnsi="Arial" w:cs="Arial"/>
        </w:rPr>
        <w:t>).</w:t>
      </w:r>
      <w:r w:rsidR="0030188F" w:rsidRPr="00C7671F">
        <w:rPr>
          <w:rFonts w:ascii="Arial" w:hAnsi="Arial" w:cs="Arial"/>
        </w:rPr>
        <w:t xml:space="preserve"> </w:t>
      </w:r>
    </w:p>
    <w:p w14:paraId="4AEA5EC7" w14:textId="496B4F76" w:rsidR="00AD3ABE" w:rsidRPr="00C63568" w:rsidRDefault="00662D8F" w:rsidP="00662D8F">
      <w:pPr>
        <w:spacing w:line="360" w:lineRule="auto"/>
        <w:jc w:val="both"/>
        <w:rPr>
          <w:rFonts w:ascii="Arial" w:hAnsi="Arial" w:cs="Arial"/>
          <w:sz w:val="24"/>
          <w:szCs w:val="24"/>
        </w:rPr>
      </w:pPr>
      <w:r w:rsidRPr="00C63568">
        <w:rPr>
          <w:rFonts w:ascii="Arial" w:hAnsi="Arial" w:cs="Arial"/>
          <w:sz w:val="24"/>
          <w:szCs w:val="24"/>
        </w:rPr>
        <w:t>Project C has nominal inflows of £65 million, with £20 million in year 3 and £25 million in year 4. It has the lowest payback of the options at 3.60 years. Average accounting profit is £3 million annually, giving an ARR of 12.00%. Discounted inflows (NPV) are £50.858 million with a PI of 1.017 and an IRR of 8.59%. Only project C has NPV greater than zero, PI greater than one, and IRR greater than 8 percent.</w:t>
      </w:r>
    </w:p>
    <w:p w14:paraId="406A87A3" w14:textId="77777777" w:rsidR="000031AD" w:rsidRPr="00C63568" w:rsidRDefault="000031AD" w:rsidP="000031AD">
      <w:pPr>
        <w:keepNext/>
        <w:keepLines/>
        <w:spacing w:before="120" w:line="360" w:lineRule="auto"/>
        <w:jc w:val="both"/>
        <w:rPr>
          <w:rFonts w:ascii="Arial" w:hAnsi="Arial" w:cs="Arial"/>
          <w:sz w:val="24"/>
          <w:szCs w:val="24"/>
        </w:rPr>
      </w:pPr>
      <w:r w:rsidRPr="00C63568">
        <w:rPr>
          <w:rFonts w:ascii="Arial" w:hAnsi="Arial" w:cs="Arial"/>
          <w:noProof/>
          <w:sz w:val="24"/>
          <w:szCs w:val="24"/>
        </w:rPr>
        <w:lastRenderedPageBreak/>
        <w:drawing>
          <wp:inline distT="0" distB="0" distL="0" distR="0" wp14:anchorId="75024E53" wp14:editId="2B227168">
            <wp:extent cx="5791200" cy="2826327"/>
            <wp:effectExtent l="0" t="0" r="0" b="12700"/>
            <wp:docPr id="422065247" name="Chart 1">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1E24C82" w14:textId="77777777" w:rsidR="000031AD" w:rsidRPr="00C63568" w:rsidRDefault="000031AD" w:rsidP="000031AD">
      <w:pPr>
        <w:pStyle w:val="FigureCaption"/>
        <w:keepNext/>
        <w:keepLines/>
        <w:spacing w:line="360" w:lineRule="auto"/>
        <w:rPr>
          <w:rFonts w:cs="Arial"/>
          <w:b/>
          <w:bCs/>
          <w:i w:val="0"/>
          <w:color w:val="0D0D0D" w:themeColor="text1" w:themeTint="F2"/>
          <w:sz w:val="24"/>
          <w:szCs w:val="24"/>
          <w:u w:val="single"/>
        </w:rPr>
      </w:pPr>
      <w:r w:rsidRPr="00C63568">
        <w:rPr>
          <w:rFonts w:cs="Arial"/>
          <w:b/>
          <w:bCs/>
          <w:i w:val="0"/>
          <w:color w:val="0D0D0D" w:themeColor="text1" w:themeTint="F2"/>
          <w:sz w:val="24"/>
          <w:szCs w:val="24"/>
          <w:u w:val="single"/>
        </w:rPr>
        <w:t>Figure: Annual net cash inflows by project (£ million).</w:t>
      </w:r>
    </w:p>
    <w:p w14:paraId="719DFE53" w14:textId="77777777" w:rsidR="000031AD" w:rsidRPr="00C63568" w:rsidRDefault="000031AD" w:rsidP="000031AD">
      <w:pPr>
        <w:keepNext/>
        <w:keepLines/>
        <w:spacing w:before="120" w:line="360" w:lineRule="auto"/>
        <w:jc w:val="both"/>
        <w:rPr>
          <w:rFonts w:ascii="Arial" w:hAnsi="Arial" w:cs="Arial"/>
          <w:sz w:val="24"/>
          <w:szCs w:val="24"/>
        </w:rPr>
      </w:pPr>
      <w:r w:rsidRPr="00C63568">
        <w:rPr>
          <w:rFonts w:ascii="Arial" w:hAnsi="Arial" w:cs="Arial"/>
          <w:noProof/>
          <w:sz w:val="24"/>
          <w:szCs w:val="24"/>
        </w:rPr>
        <w:drawing>
          <wp:inline distT="0" distB="0" distL="0" distR="0" wp14:anchorId="7DB3CA5B" wp14:editId="756711D9">
            <wp:extent cx="5760720" cy="2681605"/>
            <wp:effectExtent l="0" t="0" r="11430" b="4445"/>
            <wp:docPr id="552137179" name="Chart 1">
              <a:extLst xmlns:a="http://schemas.openxmlformats.org/drawingml/2006/main">
                <a:ext uri="{FF2B5EF4-FFF2-40B4-BE49-F238E27FC236}">
                  <a16:creationId xmlns:a16="http://schemas.microsoft.com/office/drawing/2014/main" id="{00000000-0008-0000-03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532B3F5" w14:textId="77777777" w:rsidR="000031AD" w:rsidRPr="00C63568" w:rsidRDefault="000031AD" w:rsidP="000031AD">
      <w:pPr>
        <w:pStyle w:val="FigureCaption"/>
        <w:keepNext/>
        <w:keepLines/>
        <w:spacing w:line="360" w:lineRule="auto"/>
        <w:rPr>
          <w:rFonts w:cs="Arial"/>
          <w:b/>
          <w:bCs/>
          <w:i w:val="0"/>
          <w:color w:val="0D0D0D" w:themeColor="text1" w:themeTint="F2"/>
          <w:sz w:val="24"/>
          <w:szCs w:val="24"/>
          <w:u w:val="single"/>
        </w:rPr>
      </w:pPr>
      <w:r w:rsidRPr="00C63568">
        <w:rPr>
          <w:rFonts w:cs="Arial"/>
          <w:b/>
          <w:bCs/>
          <w:i w:val="0"/>
          <w:color w:val="0D0D0D" w:themeColor="text1" w:themeTint="F2"/>
          <w:sz w:val="24"/>
          <w:szCs w:val="24"/>
          <w:u w:val="single"/>
        </w:rPr>
        <w:t>Figure: Net present value comparison at the 8% discount rate.</w:t>
      </w:r>
    </w:p>
    <w:p w14:paraId="152E96F2" w14:textId="77777777" w:rsidR="000031AD" w:rsidRPr="00C63568" w:rsidRDefault="000031AD" w:rsidP="000031AD">
      <w:pPr>
        <w:keepNext/>
        <w:keepLines/>
        <w:spacing w:before="120" w:line="360" w:lineRule="auto"/>
        <w:jc w:val="both"/>
        <w:rPr>
          <w:rFonts w:ascii="Arial" w:hAnsi="Arial" w:cs="Arial"/>
          <w:sz w:val="24"/>
          <w:szCs w:val="24"/>
        </w:rPr>
      </w:pPr>
      <w:r w:rsidRPr="00C63568">
        <w:rPr>
          <w:rFonts w:ascii="Arial" w:hAnsi="Arial" w:cs="Arial"/>
          <w:noProof/>
          <w:sz w:val="24"/>
          <w:szCs w:val="24"/>
        </w:rPr>
        <w:lastRenderedPageBreak/>
        <w:drawing>
          <wp:inline distT="0" distB="0" distL="0" distR="0" wp14:anchorId="0E24975D" wp14:editId="2CCF830F">
            <wp:extent cx="5760720" cy="2681605"/>
            <wp:effectExtent l="0" t="0" r="11430" b="4445"/>
            <wp:docPr id="1534487026" name="Chart 1">
              <a:extLst xmlns:a="http://schemas.openxmlformats.org/drawingml/2006/main">
                <a:ext uri="{FF2B5EF4-FFF2-40B4-BE49-F238E27FC236}">
                  <a16:creationId xmlns:a16="http://schemas.microsoft.com/office/drawing/2014/main" id="{00000000-0008-0000-03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7618CB1" w14:textId="77777777" w:rsidR="000031AD" w:rsidRPr="00C63568" w:rsidRDefault="000031AD" w:rsidP="000031AD">
      <w:pPr>
        <w:pStyle w:val="FigureCaption"/>
        <w:keepNext/>
        <w:keepLines/>
        <w:spacing w:line="360" w:lineRule="auto"/>
        <w:rPr>
          <w:rFonts w:cs="Arial"/>
          <w:b/>
          <w:bCs/>
          <w:i w:val="0"/>
          <w:color w:val="0D0D0D" w:themeColor="text1" w:themeTint="F2"/>
          <w:sz w:val="24"/>
          <w:szCs w:val="24"/>
          <w:u w:val="single"/>
        </w:rPr>
      </w:pPr>
      <w:r w:rsidRPr="00C63568">
        <w:rPr>
          <w:rFonts w:cs="Arial"/>
          <w:b/>
          <w:bCs/>
          <w:i w:val="0"/>
          <w:color w:val="0D0D0D" w:themeColor="text1" w:themeTint="F2"/>
          <w:sz w:val="24"/>
          <w:szCs w:val="24"/>
          <w:u w:val="single"/>
        </w:rPr>
        <w:t>Figure: Internal rates of return compared with the 8% required return.</w:t>
      </w:r>
    </w:p>
    <w:p w14:paraId="345F46C8" w14:textId="77777777" w:rsidR="000031AD" w:rsidRPr="00C63568" w:rsidRDefault="000031AD" w:rsidP="000031AD">
      <w:pPr>
        <w:pStyle w:val="Heading2"/>
        <w:numPr>
          <w:ilvl w:val="1"/>
          <w:numId w:val="1"/>
        </w:numPr>
        <w:spacing w:line="360" w:lineRule="auto"/>
        <w:jc w:val="both"/>
        <w:rPr>
          <w:rFonts w:ascii="Arial" w:hAnsi="Arial" w:cs="Arial"/>
          <w:sz w:val="24"/>
          <w:szCs w:val="24"/>
        </w:rPr>
      </w:pPr>
      <w:bookmarkStart w:id="18" w:name="_Toc235706414"/>
      <w:r w:rsidRPr="00C63568">
        <w:rPr>
          <w:rFonts w:ascii="Arial" w:hAnsi="Arial" w:cs="Arial"/>
          <w:sz w:val="24"/>
          <w:szCs w:val="24"/>
        </w:rPr>
        <w:t>Project Recommendation and Financial Capacity</w:t>
      </w:r>
      <w:bookmarkEnd w:id="18"/>
    </w:p>
    <w:p w14:paraId="462B3063" w14:textId="28BBC345" w:rsidR="000031AD" w:rsidRPr="00C63568" w:rsidRDefault="000031AD" w:rsidP="000031AD">
      <w:pPr>
        <w:spacing w:line="360" w:lineRule="auto"/>
        <w:jc w:val="both"/>
        <w:rPr>
          <w:rFonts w:ascii="Arial" w:hAnsi="Arial" w:cs="Arial"/>
          <w:sz w:val="24"/>
          <w:szCs w:val="24"/>
        </w:rPr>
      </w:pPr>
      <w:r w:rsidRPr="00C63568">
        <w:rPr>
          <w:rFonts w:ascii="Arial" w:hAnsi="Arial" w:cs="Arial"/>
          <w:sz w:val="24"/>
          <w:szCs w:val="24"/>
        </w:rPr>
        <w:t xml:space="preserve">Projects A and B should be turned </w:t>
      </w:r>
      <w:r w:rsidR="00D249B5" w:rsidRPr="00C63568">
        <w:rPr>
          <w:rFonts w:ascii="Arial" w:hAnsi="Arial" w:cs="Arial"/>
          <w:sz w:val="24"/>
          <w:szCs w:val="24"/>
        </w:rPr>
        <w:t>down,</w:t>
      </w:r>
      <w:r w:rsidRPr="00C63568">
        <w:rPr>
          <w:rFonts w:ascii="Arial" w:hAnsi="Arial" w:cs="Arial"/>
          <w:sz w:val="24"/>
          <w:szCs w:val="24"/>
        </w:rPr>
        <w:t xml:space="preserve"> and Project C should be accepted. The main reason for the recommendation is the positive NPV as accepting the project which has a negative NPV would result in loss of </w:t>
      </w:r>
      <w:r w:rsidR="008B4A2B" w:rsidRPr="00C63568">
        <w:rPr>
          <w:rFonts w:ascii="Arial" w:hAnsi="Arial" w:cs="Arial"/>
          <w:sz w:val="24"/>
          <w:szCs w:val="24"/>
        </w:rPr>
        <w:t>shareholders’</w:t>
      </w:r>
      <w:r w:rsidRPr="00C63568">
        <w:rPr>
          <w:rFonts w:ascii="Arial" w:hAnsi="Arial" w:cs="Arial"/>
          <w:sz w:val="24"/>
          <w:szCs w:val="24"/>
        </w:rPr>
        <w:t xml:space="preserve"> wealth</w:t>
      </w:r>
      <w:r w:rsidR="00FC0E56">
        <w:rPr>
          <w:rFonts w:ascii="Arial" w:hAnsi="Arial" w:cs="Arial"/>
          <w:sz w:val="24"/>
          <w:szCs w:val="24"/>
        </w:rPr>
        <w:t xml:space="preserve"> </w:t>
      </w:r>
      <w:r w:rsidR="00FC0E56" w:rsidRPr="00C7671F">
        <w:rPr>
          <w:rFonts w:ascii="Arial" w:hAnsi="Arial" w:cs="Arial"/>
        </w:rPr>
        <w:t>(Park and Lehto, 2021</w:t>
      </w:r>
      <w:r w:rsidR="00FC0E56">
        <w:rPr>
          <w:rFonts w:ascii="Arial" w:hAnsi="Arial" w:cs="Arial"/>
        </w:rPr>
        <w:t>).</w:t>
      </w:r>
      <w:r w:rsidR="00FC0E56" w:rsidRPr="00C7671F">
        <w:rPr>
          <w:rFonts w:ascii="Arial" w:hAnsi="Arial" w:cs="Arial"/>
        </w:rPr>
        <w:t xml:space="preserve"> </w:t>
      </w:r>
      <w:r w:rsidRPr="00C63568">
        <w:rPr>
          <w:rFonts w:ascii="Arial" w:hAnsi="Arial" w:cs="Arial"/>
          <w:sz w:val="24"/>
          <w:szCs w:val="24"/>
        </w:rPr>
        <w:t>The conclusion is not based on one technique alone, since this is shared by Project C, which also has the better payback and ARR. For its part, however, its NPV is only £0.858m, just 1.72% of the initial investment, and its IRR is only 0.59 percentage points above the hurdle rate. Project C should therefore be considered by the board as an acceptable but financially weak project and not an unusually good one</w:t>
      </w:r>
      <w:r w:rsidR="00AA110C">
        <w:rPr>
          <w:rFonts w:ascii="Arial" w:hAnsi="Arial" w:cs="Arial"/>
          <w:sz w:val="24"/>
          <w:szCs w:val="24"/>
        </w:rPr>
        <w:t xml:space="preserve"> </w:t>
      </w:r>
      <w:r w:rsidR="00AA110C" w:rsidRPr="00C7671F">
        <w:rPr>
          <w:rFonts w:ascii="Arial" w:hAnsi="Arial" w:cs="Arial"/>
        </w:rPr>
        <w:t>(Sharma et al., 2021</w:t>
      </w:r>
      <w:r w:rsidR="00AA110C">
        <w:rPr>
          <w:rFonts w:ascii="Arial" w:hAnsi="Arial" w:cs="Arial"/>
        </w:rPr>
        <w:t>).</w:t>
      </w:r>
      <w:r w:rsidR="00AA110C" w:rsidRPr="00C7671F">
        <w:rPr>
          <w:rFonts w:ascii="Arial" w:hAnsi="Arial" w:cs="Arial"/>
        </w:rPr>
        <w:t xml:space="preserve"> </w:t>
      </w:r>
    </w:p>
    <w:p w14:paraId="01EC159E" w14:textId="77777777" w:rsidR="000031AD" w:rsidRPr="00C63568" w:rsidRDefault="000031AD" w:rsidP="000031AD">
      <w:pPr>
        <w:spacing w:line="360" w:lineRule="auto"/>
        <w:jc w:val="both"/>
        <w:rPr>
          <w:rFonts w:ascii="Arial" w:hAnsi="Arial" w:cs="Arial"/>
          <w:sz w:val="24"/>
          <w:szCs w:val="24"/>
        </w:rPr>
      </w:pPr>
      <w:r w:rsidRPr="00C63568">
        <w:rPr>
          <w:rFonts w:ascii="Arial" w:hAnsi="Arial" w:cs="Arial"/>
          <w:sz w:val="24"/>
          <w:szCs w:val="24"/>
        </w:rPr>
        <w:t xml:space="preserve">This is a warning that comes at a time when Wyndham's situation is precarious. The company's cash generating franchise model is reflected in its generation of $718 million in adjusted EBITDA and $367 million in operating cash flow in 2025. But net income fell to $193 million, and cash came in at only $64 million, while current assets stood at $435 million, compared with a current liability of $507 million, and total indebtedness climbed to $2.560 billion (Wyndham Hotels &amp; Resorts, 2026). The investment should therefore be funded from retained operating cash flow and capital releases, not additional short-term debt. Verified construction, technology or market milestones should trigger the next tranche of funding with stage-gate approval. Then </w:t>
      </w:r>
      <w:r w:rsidRPr="00C63568">
        <w:rPr>
          <w:rFonts w:ascii="Arial" w:hAnsi="Arial" w:cs="Arial"/>
          <w:sz w:val="24"/>
          <w:szCs w:val="24"/>
        </w:rPr>
        <w:lastRenderedPageBreak/>
        <w:t>there is the concept of a contingency reserve and contractual cost ceilings, since a small delay or cost overrun may make the small positive NPV of the project disappear.</w:t>
      </w:r>
    </w:p>
    <w:p w14:paraId="59060518" w14:textId="77777777" w:rsidR="000031AD" w:rsidRPr="00C63568" w:rsidRDefault="000031AD" w:rsidP="000031AD">
      <w:pPr>
        <w:pStyle w:val="Heading2"/>
        <w:numPr>
          <w:ilvl w:val="1"/>
          <w:numId w:val="1"/>
        </w:numPr>
        <w:spacing w:line="360" w:lineRule="auto"/>
        <w:jc w:val="both"/>
        <w:rPr>
          <w:rFonts w:ascii="Arial" w:hAnsi="Arial" w:cs="Arial"/>
          <w:sz w:val="24"/>
          <w:szCs w:val="24"/>
        </w:rPr>
      </w:pPr>
      <w:bookmarkStart w:id="19" w:name="_Toc235706415"/>
      <w:r w:rsidRPr="00C63568">
        <w:rPr>
          <w:rFonts w:ascii="Arial" w:hAnsi="Arial" w:cs="Arial"/>
          <w:sz w:val="24"/>
          <w:szCs w:val="24"/>
        </w:rPr>
        <w:t>Non-Financial Risks and Strategic Fit</w:t>
      </w:r>
      <w:bookmarkEnd w:id="19"/>
    </w:p>
    <w:p w14:paraId="56FE5A7D" w14:textId="77777777" w:rsidR="000031AD" w:rsidRPr="00C63568" w:rsidRDefault="000031AD" w:rsidP="000031AD">
      <w:pPr>
        <w:spacing w:line="360" w:lineRule="auto"/>
        <w:jc w:val="both"/>
        <w:rPr>
          <w:rFonts w:ascii="Arial" w:hAnsi="Arial" w:cs="Arial"/>
          <w:sz w:val="24"/>
          <w:szCs w:val="24"/>
        </w:rPr>
      </w:pPr>
      <w:r w:rsidRPr="00C63568">
        <w:rPr>
          <w:rFonts w:ascii="Arial" w:hAnsi="Arial" w:cs="Arial"/>
          <w:sz w:val="24"/>
          <w:szCs w:val="24"/>
        </w:rPr>
        <w:t>The numerical recommendation needs to be checked against strategic and non-financial risks. Political turmoil, conflict, threats, trade sanctions, and travel bans or regulatory shifts can affect the strength of hotel demand or slow the pace of project cash flow, especially in a new or geopolitically sensitive market. Severe weather, health crises and cybersecurity incidents and disruptions to franchisees are material risks to operations, cash flow and liquidity, according to Wyndham. (Wyndham Hotels &amp; Resorts, 2026) Years three and four of the project are particularly significant as each year will see 69% of the value of the project's inflows. Political-risk insurance, diversified locations, termination rights and local-partner due diligence should therefore be due diligence conditions.</w:t>
      </w:r>
    </w:p>
    <w:p w14:paraId="76E2460C" w14:textId="543AE487" w:rsidR="000031AD" w:rsidRPr="00F20700" w:rsidRDefault="000031AD" w:rsidP="000031AD">
      <w:pPr>
        <w:spacing w:line="360" w:lineRule="auto"/>
        <w:jc w:val="both"/>
        <w:rPr>
          <w:rFonts w:ascii="Arial" w:hAnsi="Arial" w:cs="Arial"/>
        </w:rPr>
      </w:pPr>
      <w:r w:rsidRPr="00C63568">
        <w:rPr>
          <w:rFonts w:ascii="Arial" w:hAnsi="Arial" w:cs="Arial"/>
          <w:sz w:val="24"/>
          <w:szCs w:val="24"/>
        </w:rPr>
        <w:t xml:space="preserve">As of 2025, there were over 122 million members enrolled in Wyndham Rewards and over 37% of global check-ins and more than 53% of U.S. check-ins were by members of Wyndham Rewards (Wyndham Hotels &amp; Resorts, 2026). Project C should incorporate the loyalty platform, consistent brand standards and digital booking channels, ensuring that investment gains are not just limited to the cash flow from the project. Inadequate service, inadequate data protection, </w:t>
      </w:r>
      <w:proofErr w:type="spellStart"/>
      <w:r w:rsidRPr="00C63568">
        <w:rPr>
          <w:rFonts w:ascii="Arial" w:hAnsi="Arial" w:cs="Arial"/>
          <w:sz w:val="24"/>
          <w:szCs w:val="24"/>
        </w:rPr>
        <w:t>labour</w:t>
      </w:r>
      <w:proofErr w:type="spellEnd"/>
      <w:r w:rsidRPr="00C63568">
        <w:rPr>
          <w:rFonts w:ascii="Arial" w:hAnsi="Arial" w:cs="Arial"/>
          <w:sz w:val="24"/>
          <w:szCs w:val="24"/>
        </w:rPr>
        <w:t xml:space="preserve"> rights issues or environmental shortcomings may affect customer confidence and consequently decrease repeat demand. It should thus be accompanied by ESG, accessibility, privacy, employee welfare, and community-impact controls, in addition to financial milestones</w:t>
      </w:r>
      <w:r w:rsidR="00F20700">
        <w:rPr>
          <w:rFonts w:ascii="Arial" w:hAnsi="Arial" w:cs="Arial"/>
          <w:sz w:val="24"/>
          <w:szCs w:val="24"/>
        </w:rPr>
        <w:t xml:space="preserve"> </w:t>
      </w:r>
      <w:r w:rsidR="00F20700" w:rsidRPr="00C7671F">
        <w:rPr>
          <w:rFonts w:ascii="Arial" w:hAnsi="Arial" w:cs="Arial"/>
        </w:rPr>
        <w:t>(Park and Lehto, 2021</w:t>
      </w:r>
      <w:r w:rsidR="00F20700">
        <w:rPr>
          <w:rFonts w:ascii="Arial" w:hAnsi="Arial" w:cs="Arial"/>
        </w:rPr>
        <w:t>).</w:t>
      </w:r>
      <w:r w:rsidR="00F20700" w:rsidRPr="00C7671F">
        <w:rPr>
          <w:rFonts w:ascii="Arial" w:hAnsi="Arial" w:cs="Arial"/>
        </w:rPr>
        <w:t xml:space="preserve"> </w:t>
      </w:r>
    </w:p>
    <w:p w14:paraId="61A635FD" w14:textId="77777777" w:rsidR="000031AD" w:rsidRPr="00C63568" w:rsidRDefault="000031AD" w:rsidP="000031AD">
      <w:pPr>
        <w:pStyle w:val="Heading2"/>
        <w:numPr>
          <w:ilvl w:val="1"/>
          <w:numId w:val="1"/>
        </w:numPr>
        <w:spacing w:line="360" w:lineRule="auto"/>
        <w:jc w:val="both"/>
        <w:rPr>
          <w:rFonts w:ascii="Arial" w:hAnsi="Arial" w:cs="Arial"/>
          <w:sz w:val="24"/>
          <w:szCs w:val="24"/>
        </w:rPr>
      </w:pPr>
      <w:bookmarkStart w:id="20" w:name="_Toc235706416"/>
      <w:r w:rsidRPr="00C63568">
        <w:rPr>
          <w:rFonts w:ascii="Arial" w:hAnsi="Arial" w:cs="Arial"/>
          <w:sz w:val="24"/>
          <w:szCs w:val="24"/>
        </w:rPr>
        <w:t>Capital Rationing under the £100 Million Limit</w:t>
      </w:r>
      <w:bookmarkEnd w:id="20"/>
    </w:p>
    <w:p w14:paraId="40722006" w14:textId="212ADEA7" w:rsidR="000031AD" w:rsidRPr="00C63568" w:rsidRDefault="000031AD" w:rsidP="000031AD">
      <w:pPr>
        <w:spacing w:line="360" w:lineRule="auto"/>
        <w:jc w:val="both"/>
        <w:rPr>
          <w:rFonts w:ascii="Arial" w:hAnsi="Arial" w:cs="Arial"/>
          <w:sz w:val="24"/>
          <w:szCs w:val="24"/>
        </w:rPr>
      </w:pPr>
      <w:r w:rsidRPr="00C63568">
        <w:rPr>
          <w:rFonts w:ascii="Arial" w:hAnsi="Arial" w:cs="Arial"/>
          <w:sz w:val="24"/>
          <w:szCs w:val="24"/>
        </w:rPr>
        <w:t xml:space="preserve">The company has a maximum investment budget of £100M, which means that it can finance any two of the projects, but not all three. Capital rationing calls for the feasible portfolio that contains the maximum possible aggregate NPV, not a portfolio that spends the whole budget. The total NPV of Project A and Project B is - £12.624 million and the total cost is £100 million. Project A plus Project C also costs £100 million, but gives a negative £5.686 million. The combination of Project B and Project C generates </w:t>
      </w:r>
      <w:r w:rsidRPr="00C63568">
        <w:rPr>
          <w:rFonts w:ascii="Arial" w:hAnsi="Arial" w:cs="Arial"/>
          <w:sz w:val="24"/>
          <w:szCs w:val="24"/>
        </w:rPr>
        <w:lastRenderedPageBreak/>
        <w:t>the best result for two projects, with negative £5.222 million NPV and a portfolio PI of 0.948, but it still creates destruction</w:t>
      </w:r>
      <w:r w:rsidR="00C206DF">
        <w:rPr>
          <w:rFonts w:ascii="Arial" w:hAnsi="Arial" w:cs="Arial"/>
          <w:sz w:val="24"/>
          <w:szCs w:val="24"/>
        </w:rPr>
        <w:t xml:space="preserve"> </w:t>
      </w:r>
      <w:r w:rsidR="00C206DF" w:rsidRPr="00C7671F">
        <w:rPr>
          <w:rFonts w:ascii="Arial" w:hAnsi="Arial" w:cs="Arial"/>
        </w:rPr>
        <w:t>(Park and Lehto, 2021</w:t>
      </w:r>
      <w:r w:rsidR="00C206DF">
        <w:rPr>
          <w:rFonts w:ascii="Arial" w:hAnsi="Arial" w:cs="Arial"/>
        </w:rPr>
        <w:t>).</w:t>
      </w:r>
      <w:r w:rsidR="00C206DF" w:rsidRPr="00C7671F">
        <w:rPr>
          <w:rFonts w:ascii="Arial" w:hAnsi="Arial" w:cs="Arial"/>
        </w:rPr>
        <w:t xml:space="preserve"> </w:t>
      </w:r>
    </w:p>
    <w:p w14:paraId="75435C58" w14:textId="77777777" w:rsidR="000031AD" w:rsidRPr="00C63568" w:rsidRDefault="000031AD" w:rsidP="000031AD">
      <w:pPr>
        <w:spacing w:line="360" w:lineRule="auto"/>
        <w:jc w:val="both"/>
        <w:rPr>
          <w:rFonts w:ascii="Arial" w:hAnsi="Arial" w:cs="Arial"/>
          <w:sz w:val="24"/>
          <w:szCs w:val="24"/>
        </w:rPr>
      </w:pPr>
      <w:r w:rsidRPr="00C63568">
        <w:rPr>
          <w:rFonts w:ascii="Arial" w:hAnsi="Arial" w:cs="Arial"/>
          <w:sz w:val="24"/>
          <w:szCs w:val="24"/>
        </w:rPr>
        <w:t>The best option is then to spend £50 million on Project C and set aside £50 million unused. The overall NPV of this portfolio is positive £0.858 million and PI is 1.017. The unused capacity can help to improve liquidity, lower debt, or provide liquidity for a future positive-NPV project. If management is required by administration to choose between two projects, and is constrained to spending the full £100 million, then any projects B and C would be the least damaging, but this should be admitted as an administrative constraint, and not as an economically sound choice. The full portfolio ranking is included in Appendix C.</w:t>
      </w:r>
    </w:p>
    <w:p w14:paraId="343A97D4" w14:textId="77777777" w:rsidR="000031AD" w:rsidRPr="00C63568" w:rsidRDefault="000031AD" w:rsidP="000031AD">
      <w:pPr>
        <w:keepNext/>
        <w:keepLines/>
        <w:spacing w:line="360" w:lineRule="auto"/>
        <w:jc w:val="center"/>
        <w:rPr>
          <w:rFonts w:ascii="Arial" w:hAnsi="Arial" w:cs="Arial"/>
          <w:sz w:val="24"/>
          <w:szCs w:val="24"/>
        </w:rPr>
      </w:pPr>
      <w:r w:rsidRPr="00C63568">
        <w:rPr>
          <w:rFonts w:ascii="Arial" w:hAnsi="Arial" w:cs="Arial"/>
          <w:b/>
          <w:color w:val="0D0D0D" w:themeColor="text1" w:themeTint="F2"/>
          <w:sz w:val="24"/>
          <w:szCs w:val="24"/>
        </w:rPr>
        <w:t>Table: Feasible Portfolio Ranking under Capital Rationing</w:t>
      </w:r>
    </w:p>
    <w:tbl>
      <w:tblPr>
        <w:tblStyle w:val="TableGrid"/>
        <w:tblW w:w="0" w:type="auto"/>
        <w:jc w:val="center"/>
        <w:tblLayout w:type="fixed"/>
        <w:tblLook w:val="04A0" w:firstRow="1" w:lastRow="0" w:firstColumn="1" w:lastColumn="0" w:noHBand="0" w:noVBand="1"/>
      </w:tblPr>
      <w:tblGrid>
        <w:gridCol w:w="1814"/>
        <w:gridCol w:w="1814"/>
        <w:gridCol w:w="1814"/>
        <w:gridCol w:w="1814"/>
        <w:gridCol w:w="1814"/>
      </w:tblGrid>
      <w:tr w:rsidR="000031AD" w:rsidRPr="00C63568" w14:paraId="00713ACB" w14:textId="77777777" w:rsidTr="00AA5684">
        <w:trPr>
          <w:cantSplit/>
          <w:jc w:val="center"/>
        </w:trPr>
        <w:tc>
          <w:tcPr>
            <w:tcW w:w="1814" w:type="dxa"/>
            <w:shd w:val="clear" w:color="auto" w:fill="17365D"/>
            <w:tcMar>
              <w:top w:w="80" w:type="dxa"/>
              <w:left w:w="90" w:type="dxa"/>
              <w:bottom w:w="80" w:type="dxa"/>
              <w:right w:w="90" w:type="dxa"/>
            </w:tcMar>
            <w:vAlign w:val="center"/>
          </w:tcPr>
          <w:p w14:paraId="46DF5D3B" w14:textId="77777777" w:rsidR="000031AD" w:rsidRPr="00C63568" w:rsidRDefault="000031AD" w:rsidP="00AA5684">
            <w:pPr>
              <w:spacing w:line="360" w:lineRule="auto"/>
              <w:jc w:val="both"/>
              <w:rPr>
                <w:rFonts w:ascii="Arial" w:hAnsi="Arial" w:cs="Arial"/>
                <w:sz w:val="24"/>
                <w:szCs w:val="24"/>
              </w:rPr>
            </w:pPr>
            <w:r w:rsidRPr="00C63568">
              <w:rPr>
                <w:rFonts w:ascii="Arial" w:hAnsi="Arial" w:cs="Arial"/>
                <w:b/>
                <w:color w:val="FFFFFF"/>
                <w:sz w:val="24"/>
                <w:szCs w:val="24"/>
              </w:rPr>
              <w:t>Portfolio</w:t>
            </w:r>
          </w:p>
        </w:tc>
        <w:tc>
          <w:tcPr>
            <w:tcW w:w="1814" w:type="dxa"/>
            <w:shd w:val="clear" w:color="auto" w:fill="17365D"/>
            <w:tcMar>
              <w:top w:w="80" w:type="dxa"/>
              <w:left w:w="90" w:type="dxa"/>
              <w:bottom w:w="80" w:type="dxa"/>
              <w:right w:w="90" w:type="dxa"/>
            </w:tcMar>
            <w:vAlign w:val="center"/>
          </w:tcPr>
          <w:p w14:paraId="020889A3" w14:textId="77777777" w:rsidR="000031AD" w:rsidRPr="00C63568" w:rsidRDefault="000031AD" w:rsidP="00AA5684">
            <w:pPr>
              <w:spacing w:line="360" w:lineRule="auto"/>
              <w:jc w:val="both"/>
              <w:rPr>
                <w:rFonts w:ascii="Arial" w:hAnsi="Arial" w:cs="Arial"/>
                <w:sz w:val="24"/>
                <w:szCs w:val="24"/>
              </w:rPr>
            </w:pPr>
            <w:r w:rsidRPr="00C63568">
              <w:rPr>
                <w:rFonts w:ascii="Arial" w:hAnsi="Arial" w:cs="Arial"/>
                <w:b/>
                <w:color w:val="FFFFFF"/>
                <w:sz w:val="24"/>
                <w:szCs w:val="24"/>
              </w:rPr>
              <w:t>Investment</w:t>
            </w:r>
          </w:p>
        </w:tc>
        <w:tc>
          <w:tcPr>
            <w:tcW w:w="1814" w:type="dxa"/>
            <w:shd w:val="clear" w:color="auto" w:fill="17365D"/>
            <w:tcMar>
              <w:top w:w="80" w:type="dxa"/>
              <w:left w:w="90" w:type="dxa"/>
              <w:bottom w:w="80" w:type="dxa"/>
              <w:right w:w="90" w:type="dxa"/>
            </w:tcMar>
            <w:vAlign w:val="center"/>
          </w:tcPr>
          <w:p w14:paraId="1C94E698" w14:textId="77777777" w:rsidR="000031AD" w:rsidRPr="00C63568" w:rsidRDefault="000031AD" w:rsidP="00AA5684">
            <w:pPr>
              <w:spacing w:line="360" w:lineRule="auto"/>
              <w:jc w:val="both"/>
              <w:rPr>
                <w:rFonts w:ascii="Arial" w:hAnsi="Arial" w:cs="Arial"/>
                <w:sz w:val="24"/>
                <w:szCs w:val="24"/>
              </w:rPr>
            </w:pPr>
            <w:r w:rsidRPr="00C63568">
              <w:rPr>
                <w:rFonts w:ascii="Arial" w:hAnsi="Arial" w:cs="Arial"/>
                <w:b/>
                <w:color w:val="FFFFFF"/>
                <w:sz w:val="24"/>
                <w:szCs w:val="24"/>
              </w:rPr>
              <w:t>Aggregate NPV</w:t>
            </w:r>
          </w:p>
        </w:tc>
        <w:tc>
          <w:tcPr>
            <w:tcW w:w="1814" w:type="dxa"/>
            <w:shd w:val="clear" w:color="auto" w:fill="17365D"/>
            <w:tcMar>
              <w:top w:w="80" w:type="dxa"/>
              <w:left w:w="90" w:type="dxa"/>
              <w:bottom w:w="80" w:type="dxa"/>
              <w:right w:w="90" w:type="dxa"/>
            </w:tcMar>
            <w:vAlign w:val="center"/>
          </w:tcPr>
          <w:p w14:paraId="175F076D" w14:textId="77777777" w:rsidR="000031AD" w:rsidRPr="00C63568" w:rsidRDefault="000031AD" w:rsidP="00AA5684">
            <w:pPr>
              <w:spacing w:line="360" w:lineRule="auto"/>
              <w:jc w:val="both"/>
              <w:rPr>
                <w:rFonts w:ascii="Arial" w:hAnsi="Arial" w:cs="Arial"/>
                <w:sz w:val="24"/>
                <w:szCs w:val="24"/>
              </w:rPr>
            </w:pPr>
            <w:r w:rsidRPr="00C63568">
              <w:rPr>
                <w:rFonts w:ascii="Arial" w:hAnsi="Arial" w:cs="Arial"/>
                <w:b/>
                <w:color w:val="FFFFFF"/>
                <w:sz w:val="24"/>
                <w:szCs w:val="24"/>
              </w:rPr>
              <w:t>Portfolio PI</w:t>
            </w:r>
          </w:p>
        </w:tc>
        <w:tc>
          <w:tcPr>
            <w:tcW w:w="1814" w:type="dxa"/>
            <w:shd w:val="clear" w:color="auto" w:fill="17365D"/>
            <w:tcMar>
              <w:top w:w="80" w:type="dxa"/>
              <w:left w:w="90" w:type="dxa"/>
              <w:bottom w:w="80" w:type="dxa"/>
              <w:right w:w="90" w:type="dxa"/>
            </w:tcMar>
            <w:vAlign w:val="center"/>
          </w:tcPr>
          <w:p w14:paraId="33AC9F8A" w14:textId="77777777" w:rsidR="000031AD" w:rsidRPr="00C63568" w:rsidRDefault="000031AD" w:rsidP="00AA5684">
            <w:pPr>
              <w:spacing w:line="360" w:lineRule="auto"/>
              <w:jc w:val="both"/>
              <w:rPr>
                <w:rFonts w:ascii="Arial" w:hAnsi="Arial" w:cs="Arial"/>
                <w:sz w:val="24"/>
                <w:szCs w:val="24"/>
              </w:rPr>
            </w:pPr>
            <w:r w:rsidRPr="00C63568">
              <w:rPr>
                <w:rFonts w:ascii="Arial" w:hAnsi="Arial" w:cs="Arial"/>
                <w:b/>
                <w:color w:val="FFFFFF"/>
                <w:sz w:val="24"/>
                <w:szCs w:val="24"/>
              </w:rPr>
              <w:t>Decision</w:t>
            </w:r>
          </w:p>
        </w:tc>
      </w:tr>
      <w:tr w:rsidR="000031AD" w:rsidRPr="00C63568" w14:paraId="03EAA054" w14:textId="77777777" w:rsidTr="00AA5684">
        <w:trPr>
          <w:cantSplit/>
          <w:jc w:val="center"/>
        </w:trPr>
        <w:tc>
          <w:tcPr>
            <w:tcW w:w="1814" w:type="dxa"/>
            <w:tcMar>
              <w:top w:w="80" w:type="dxa"/>
              <w:left w:w="90" w:type="dxa"/>
              <w:bottom w:w="80" w:type="dxa"/>
              <w:right w:w="90" w:type="dxa"/>
            </w:tcMar>
            <w:vAlign w:val="center"/>
          </w:tcPr>
          <w:p w14:paraId="12E92011" w14:textId="77777777" w:rsidR="000031AD" w:rsidRPr="00C63568" w:rsidRDefault="000031AD" w:rsidP="00AA5684">
            <w:pPr>
              <w:spacing w:line="360" w:lineRule="auto"/>
              <w:jc w:val="center"/>
              <w:rPr>
                <w:rFonts w:ascii="Arial" w:hAnsi="Arial" w:cs="Arial"/>
                <w:color w:val="0D0D0D" w:themeColor="text1" w:themeTint="F2"/>
                <w:sz w:val="24"/>
                <w:szCs w:val="24"/>
              </w:rPr>
            </w:pPr>
            <w:proofErr w:type="gramStart"/>
            <w:r w:rsidRPr="00C63568">
              <w:rPr>
                <w:rFonts w:ascii="Arial" w:hAnsi="Arial" w:cs="Arial"/>
                <w:color w:val="0D0D0D" w:themeColor="text1" w:themeTint="F2"/>
                <w:sz w:val="24"/>
                <w:szCs w:val="24"/>
              </w:rPr>
              <w:t>A</w:t>
            </w:r>
            <w:proofErr w:type="gramEnd"/>
            <w:r w:rsidRPr="00C63568">
              <w:rPr>
                <w:rFonts w:ascii="Arial" w:hAnsi="Arial" w:cs="Arial"/>
                <w:color w:val="0D0D0D" w:themeColor="text1" w:themeTint="F2"/>
                <w:sz w:val="24"/>
                <w:szCs w:val="24"/>
              </w:rPr>
              <w:t xml:space="preserve"> only</w:t>
            </w:r>
          </w:p>
        </w:tc>
        <w:tc>
          <w:tcPr>
            <w:tcW w:w="1814" w:type="dxa"/>
            <w:tcMar>
              <w:top w:w="80" w:type="dxa"/>
              <w:left w:w="90" w:type="dxa"/>
              <w:bottom w:w="80" w:type="dxa"/>
              <w:right w:w="90" w:type="dxa"/>
            </w:tcMar>
            <w:vAlign w:val="center"/>
          </w:tcPr>
          <w:p w14:paraId="147FE700"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£50m</w:t>
            </w:r>
          </w:p>
        </w:tc>
        <w:tc>
          <w:tcPr>
            <w:tcW w:w="1814" w:type="dxa"/>
            <w:tcMar>
              <w:top w:w="80" w:type="dxa"/>
              <w:left w:w="90" w:type="dxa"/>
              <w:bottom w:w="80" w:type="dxa"/>
              <w:right w:w="90" w:type="dxa"/>
            </w:tcMar>
            <w:vAlign w:val="center"/>
          </w:tcPr>
          <w:p w14:paraId="09CD9A2C"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(£6.544m)</w:t>
            </w:r>
          </w:p>
        </w:tc>
        <w:tc>
          <w:tcPr>
            <w:tcW w:w="1814" w:type="dxa"/>
            <w:tcMar>
              <w:top w:w="80" w:type="dxa"/>
              <w:left w:w="90" w:type="dxa"/>
              <w:bottom w:w="80" w:type="dxa"/>
              <w:right w:w="90" w:type="dxa"/>
            </w:tcMar>
            <w:vAlign w:val="center"/>
          </w:tcPr>
          <w:p w14:paraId="2FA0376E"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0.869x</w:t>
            </w:r>
          </w:p>
        </w:tc>
        <w:tc>
          <w:tcPr>
            <w:tcW w:w="1814" w:type="dxa"/>
            <w:tcMar>
              <w:top w:w="80" w:type="dxa"/>
              <w:left w:w="90" w:type="dxa"/>
              <w:bottom w:w="80" w:type="dxa"/>
              <w:right w:w="90" w:type="dxa"/>
            </w:tcMar>
            <w:vAlign w:val="center"/>
          </w:tcPr>
          <w:p w14:paraId="307B43F3" w14:textId="77777777" w:rsidR="000031AD" w:rsidRPr="00C63568" w:rsidRDefault="000031AD" w:rsidP="00AA5684">
            <w:pPr>
              <w:spacing w:line="360" w:lineRule="auto"/>
              <w:jc w:val="both"/>
              <w:rPr>
                <w:rFonts w:ascii="Arial" w:hAnsi="Arial" w:cs="Arial"/>
                <w:sz w:val="24"/>
                <w:szCs w:val="24"/>
              </w:rPr>
            </w:pPr>
            <w:r w:rsidRPr="00C63568">
              <w:rPr>
                <w:rFonts w:ascii="Arial" w:hAnsi="Arial" w:cs="Arial"/>
                <w:color w:val="9C0006"/>
                <w:sz w:val="24"/>
                <w:szCs w:val="24"/>
              </w:rPr>
              <w:t>Reject</w:t>
            </w:r>
          </w:p>
        </w:tc>
      </w:tr>
      <w:tr w:rsidR="000031AD" w:rsidRPr="00C63568" w14:paraId="5622E103" w14:textId="77777777" w:rsidTr="00AA5684">
        <w:trPr>
          <w:cantSplit/>
          <w:jc w:val="center"/>
        </w:trPr>
        <w:tc>
          <w:tcPr>
            <w:tcW w:w="1814" w:type="dxa"/>
            <w:shd w:val="clear" w:color="auto" w:fill="F7F7F7"/>
            <w:tcMar>
              <w:top w:w="80" w:type="dxa"/>
              <w:left w:w="90" w:type="dxa"/>
              <w:bottom w:w="80" w:type="dxa"/>
              <w:right w:w="90" w:type="dxa"/>
            </w:tcMar>
            <w:vAlign w:val="center"/>
          </w:tcPr>
          <w:p w14:paraId="5B156695"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B only</w:t>
            </w:r>
          </w:p>
        </w:tc>
        <w:tc>
          <w:tcPr>
            <w:tcW w:w="1814" w:type="dxa"/>
            <w:shd w:val="clear" w:color="auto" w:fill="F7F7F7"/>
            <w:tcMar>
              <w:top w:w="80" w:type="dxa"/>
              <w:left w:w="90" w:type="dxa"/>
              <w:bottom w:w="80" w:type="dxa"/>
              <w:right w:w="90" w:type="dxa"/>
            </w:tcMar>
            <w:vAlign w:val="center"/>
          </w:tcPr>
          <w:p w14:paraId="5F0D3CD4"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£50m</w:t>
            </w:r>
          </w:p>
        </w:tc>
        <w:tc>
          <w:tcPr>
            <w:tcW w:w="1814" w:type="dxa"/>
            <w:shd w:val="clear" w:color="auto" w:fill="F7F7F7"/>
            <w:tcMar>
              <w:top w:w="80" w:type="dxa"/>
              <w:left w:w="90" w:type="dxa"/>
              <w:bottom w:w="80" w:type="dxa"/>
              <w:right w:w="90" w:type="dxa"/>
            </w:tcMar>
            <w:vAlign w:val="center"/>
          </w:tcPr>
          <w:p w14:paraId="19E37952"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(£6.080m)</w:t>
            </w:r>
          </w:p>
        </w:tc>
        <w:tc>
          <w:tcPr>
            <w:tcW w:w="1814" w:type="dxa"/>
            <w:shd w:val="clear" w:color="auto" w:fill="F7F7F7"/>
            <w:tcMar>
              <w:top w:w="80" w:type="dxa"/>
              <w:left w:w="90" w:type="dxa"/>
              <w:bottom w:w="80" w:type="dxa"/>
              <w:right w:w="90" w:type="dxa"/>
            </w:tcMar>
            <w:vAlign w:val="center"/>
          </w:tcPr>
          <w:p w14:paraId="46B1EC45"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0.878x</w:t>
            </w:r>
          </w:p>
        </w:tc>
        <w:tc>
          <w:tcPr>
            <w:tcW w:w="1814" w:type="dxa"/>
            <w:shd w:val="clear" w:color="auto" w:fill="F7F7F7"/>
            <w:tcMar>
              <w:top w:w="80" w:type="dxa"/>
              <w:left w:w="90" w:type="dxa"/>
              <w:bottom w:w="80" w:type="dxa"/>
              <w:right w:w="90" w:type="dxa"/>
            </w:tcMar>
            <w:vAlign w:val="center"/>
          </w:tcPr>
          <w:p w14:paraId="32C1F6B9" w14:textId="77777777" w:rsidR="000031AD" w:rsidRPr="00C63568" w:rsidRDefault="000031AD" w:rsidP="00AA5684">
            <w:pPr>
              <w:spacing w:line="360" w:lineRule="auto"/>
              <w:jc w:val="both"/>
              <w:rPr>
                <w:rFonts w:ascii="Arial" w:hAnsi="Arial" w:cs="Arial"/>
                <w:sz w:val="24"/>
                <w:szCs w:val="24"/>
              </w:rPr>
            </w:pPr>
            <w:r w:rsidRPr="00C63568">
              <w:rPr>
                <w:rFonts w:ascii="Arial" w:hAnsi="Arial" w:cs="Arial"/>
                <w:color w:val="9C0006"/>
                <w:sz w:val="24"/>
                <w:szCs w:val="24"/>
              </w:rPr>
              <w:t>Reject</w:t>
            </w:r>
          </w:p>
        </w:tc>
      </w:tr>
      <w:tr w:rsidR="000031AD" w:rsidRPr="00C63568" w14:paraId="60F9B15D" w14:textId="77777777" w:rsidTr="00AA5684">
        <w:trPr>
          <w:cantSplit/>
          <w:jc w:val="center"/>
        </w:trPr>
        <w:tc>
          <w:tcPr>
            <w:tcW w:w="1814" w:type="dxa"/>
            <w:shd w:val="clear" w:color="auto" w:fill="E2F0D9"/>
            <w:tcMar>
              <w:top w:w="80" w:type="dxa"/>
              <w:left w:w="90" w:type="dxa"/>
              <w:bottom w:w="80" w:type="dxa"/>
              <w:right w:w="90" w:type="dxa"/>
            </w:tcMar>
            <w:vAlign w:val="center"/>
          </w:tcPr>
          <w:p w14:paraId="131F06B6"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b/>
                <w:color w:val="0D0D0D" w:themeColor="text1" w:themeTint="F2"/>
                <w:sz w:val="24"/>
                <w:szCs w:val="24"/>
              </w:rPr>
              <w:t>C only</w:t>
            </w:r>
          </w:p>
        </w:tc>
        <w:tc>
          <w:tcPr>
            <w:tcW w:w="1814" w:type="dxa"/>
            <w:shd w:val="clear" w:color="auto" w:fill="E2F0D9"/>
            <w:tcMar>
              <w:top w:w="80" w:type="dxa"/>
              <w:left w:w="90" w:type="dxa"/>
              <w:bottom w:w="80" w:type="dxa"/>
              <w:right w:w="90" w:type="dxa"/>
            </w:tcMar>
            <w:vAlign w:val="center"/>
          </w:tcPr>
          <w:p w14:paraId="285126B2"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b/>
                <w:color w:val="0D0D0D" w:themeColor="text1" w:themeTint="F2"/>
                <w:sz w:val="24"/>
                <w:szCs w:val="24"/>
              </w:rPr>
              <w:t>£50m</w:t>
            </w:r>
          </w:p>
        </w:tc>
        <w:tc>
          <w:tcPr>
            <w:tcW w:w="1814" w:type="dxa"/>
            <w:shd w:val="clear" w:color="auto" w:fill="E2F0D9"/>
            <w:tcMar>
              <w:top w:w="80" w:type="dxa"/>
              <w:left w:w="90" w:type="dxa"/>
              <w:bottom w:w="80" w:type="dxa"/>
              <w:right w:w="90" w:type="dxa"/>
            </w:tcMar>
            <w:vAlign w:val="center"/>
          </w:tcPr>
          <w:p w14:paraId="4C464571"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b/>
                <w:color w:val="0D0D0D" w:themeColor="text1" w:themeTint="F2"/>
                <w:sz w:val="24"/>
                <w:szCs w:val="24"/>
              </w:rPr>
              <w:t>£0.858m</w:t>
            </w:r>
          </w:p>
        </w:tc>
        <w:tc>
          <w:tcPr>
            <w:tcW w:w="1814" w:type="dxa"/>
            <w:shd w:val="clear" w:color="auto" w:fill="E2F0D9"/>
            <w:tcMar>
              <w:top w:w="80" w:type="dxa"/>
              <w:left w:w="90" w:type="dxa"/>
              <w:bottom w:w="80" w:type="dxa"/>
              <w:right w:w="90" w:type="dxa"/>
            </w:tcMar>
            <w:vAlign w:val="center"/>
          </w:tcPr>
          <w:p w14:paraId="3EE2E488"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b/>
                <w:color w:val="0D0D0D" w:themeColor="text1" w:themeTint="F2"/>
                <w:sz w:val="24"/>
                <w:szCs w:val="24"/>
              </w:rPr>
              <w:t>1.017x</w:t>
            </w:r>
          </w:p>
        </w:tc>
        <w:tc>
          <w:tcPr>
            <w:tcW w:w="1814" w:type="dxa"/>
            <w:shd w:val="clear" w:color="auto" w:fill="E2F0D9"/>
            <w:tcMar>
              <w:top w:w="80" w:type="dxa"/>
              <w:left w:w="90" w:type="dxa"/>
              <w:bottom w:w="80" w:type="dxa"/>
              <w:right w:w="90" w:type="dxa"/>
            </w:tcMar>
            <w:vAlign w:val="center"/>
          </w:tcPr>
          <w:p w14:paraId="2165FF23" w14:textId="77777777" w:rsidR="000031AD" w:rsidRPr="00C63568" w:rsidRDefault="000031AD" w:rsidP="00AA5684">
            <w:pPr>
              <w:spacing w:line="360" w:lineRule="auto"/>
              <w:jc w:val="both"/>
              <w:rPr>
                <w:rFonts w:ascii="Arial" w:hAnsi="Arial" w:cs="Arial"/>
                <w:sz w:val="24"/>
                <w:szCs w:val="24"/>
              </w:rPr>
            </w:pPr>
            <w:r w:rsidRPr="00C63568">
              <w:rPr>
                <w:rFonts w:ascii="Arial" w:hAnsi="Arial" w:cs="Arial"/>
                <w:b/>
                <w:color w:val="006100"/>
                <w:sz w:val="24"/>
                <w:szCs w:val="24"/>
              </w:rPr>
              <w:t>Accept</w:t>
            </w:r>
          </w:p>
        </w:tc>
      </w:tr>
      <w:tr w:rsidR="000031AD" w:rsidRPr="00C63568" w14:paraId="4259A41B" w14:textId="77777777" w:rsidTr="00AA5684">
        <w:trPr>
          <w:cantSplit/>
          <w:jc w:val="center"/>
        </w:trPr>
        <w:tc>
          <w:tcPr>
            <w:tcW w:w="1814" w:type="dxa"/>
            <w:shd w:val="clear" w:color="auto" w:fill="F7F7F7"/>
            <w:tcMar>
              <w:top w:w="80" w:type="dxa"/>
              <w:left w:w="90" w:type="dxa"/>
              <w:bottom w:w="80" w:type="dxa"/>
              <w:right w:w="90" w:type="dxa"/>
            </w:tcMar>
            <w:vAlign w:val="center"/>
          </w:tcPr>
          <w:p w14:paraId="661619D8"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A + B</w:t>
            </w:r>
          </w:p>
        </w:tc>
        <w:tc>
          <w:tcPr>
            <w:tcW w:w="1814" w:type="dxa"/>
            <w:shd w:val="clear" w:color="auto" w:fill="F7F7F7"/>
            <w:tcMar>
              <w:top w:w="80" w:type="dxa"/>
              <w:left w:w="90" w:type="dxa"/>
              <w:bottom w:w="80" w:type="dxa"/>
              <w:right w:w="90" w:type="dxa"/>
            </w:tcMar>
            <w:vAlign w:val="center"/>
          </w:tcPr>
          <w:p w14:paraId="78EA643C"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£100m</w:t>
            </w:r>
          </w:p>
        </w:tc>
        <w:tc>
          <w:tcPr>
            <w:tcW w:w="1814" w:type="dxa"/>
            <w:shd w:val="clear" w:color="auto" w:fill="F7F7F7"/>
            <w:tcMar>
              <w:top w:w="80" w:type="dxa"/>
              <w:left w:w="90" w:type="dxa"/>
              <w:bottom w:w="80" w:type="dxa"/>
              <w:right w:w="90" w:type="dxa"/>
            </w:tcMar>
            <w:vAlign w:val="center"/>
          </w:tcPr>
          <w:p w14:paraId="531439CC"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(£12.624m)</w:t>
            </w:r>
          </w:p>
        </w:tc>
        <w:tc>
          <w:tcPr>
            <w:tcW w:w="1814" w:type="dxa"/>
            <w:shd w:val="clear" w:color="auto" w:fill="F7F7F7"/>
            <w:tcMar>
              <w:top w:w="80" w:type="dxa"/>
              <w:left w:w="90" w:type="dxa"/>
              <w:bottom w:w="80" w:type="dxa"/>
              <w:right w:w="90" w:type="dxa"/>
            </w:tcMar>
            <w:vAlign w:val="center"/>
          </w:tcPr>
          <w:p w14:paraId="49FA2572"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0.874x</w:t>
            </w:r>
          </w:p>
        </w:tc>
        <w:tc>
          <w:tcPr>
            <w:tcW w:w="1814" w:type="dxa"/>
            <w:shd w:val="clear" w:color="auto" w:fill="F7F7F7"/>
            <w:tcMar>
              <w:top w:w="80" w:type="dxa"/>
              <w:left w:w="90" w:type="dxa"/>
              <w:bottom w:w="80" w:type="dxa"/>
              <w:right w:w="90" w:type="dxa"/>
            </w:tcMar>
            <w:vAlign w:val="center"/>
          </w:tcPr>
          <w:p w14:paraId="1C7B5431" w14:textId="77777777" w:rsidR="000031AD" w:rsidRPr="00C63568" w:rsidRDefault="000031AD" w:rsidP="00AA5684">
            <w:pPr>
              <w:spacing w:line="360" w:lineRule="auto"/>
              <w:jc w:val="both"/>
              <w:rPr>
                <w:rFonts w:ascii="Arial" w:hAnsi="Arial" w:cs="Arial"/>
                <w:sz w:val="24"/>
                <w:szCs w:val="24"/>
              </w:rPr>
            </w:pPr>
            <w:r w:rsidRPr="00C63568">
              <w:rPr>
                <w:rFonts w:ascii="Arial" w:hAnsi="Arial" w:cs="Arial"/>
                <w:color w:val="9C0006"/>
                <w:sz w:val="24"/>
                <w:szCs w:val="24"/>
              </w:rPr>
              <w:t>Reject</w:t>
            </w:r>
          </w:p>
        </w:tc>
      </w:tr>
      <w:tr w:rsidR="000031AD" w:rsidRPr="00C63568" w14:paraId="1767611F" w14:textId="77777777" w:rsidTr="00AA5684">
        <w:trPr>
          <w:cantSplit/>
          <w:jc w:val="center"/>
        </w:trPr>
        <w:tc>
          <w:tcPr>
            <w:tcW w:w="1814" w:type="dxa"/>
            <w:tcMar>
              <w:top w:w="80" w:type="dxa"/>
              <w:left w:w="90" w:type="dxa"/>
              <w:bottom w:w="80" w:type="dxa"/>
              <w:right w:w="90" w:type="dxa"/>
            </w:tcMar>
            <w:vAlign w:val="center"/>
          </w:tcPr>
          <w:p w14:paraId="03F98484"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A + C</w:t>
            </w:r>
          </w:p>
        </w:tc>
        <w:tc>
          <w:tcPr>
            <w:tcW w:w="1814" w:type="dxa"/>
            <w:tcMar>
              <w:top w:w="80" w:type="dxa"/>
              <w:left w:w="90" w:type="dxa"/>
              <w:bottom w:w="80" w:type="dxa"/>
              <w:right w:w="90" w:type="dxa"/>
            </w:tcMar>
            <w:vAlign w:val="center"/>
          </w:tcPr>
          <w:p w14:paraId="165D743A"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£100m</w:t>
            </w:r>
          </w:p>
        </w:tc>
        <w:tc>
          <w:tcPr>
            <w:tcW w:w="1814" w:type="dxa"/>
            <w:tcMar>
              <w:top w:w="80" w:type="dxa"/>
              <w:left w:w="90" w:type="dxa"/>
              <w:bottom w:w="80" w:type="dxa"/>
              <w:right w:w="90" w:type="dxa"/>
            </w:tcMar>
            <w:vAlign w:val="center"/>
          </w:tcPr>
          <w:p w14:paraId="1A40985C"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(£5.686m)</w:t>
            </w:r>
          </w:p>
        </w:tc>
        <w:tc>
          <w:tcPr>
            <w:tcW w:w="1814" w:type="dxa"/>
            <w:tcMar>
              <w:top w:w="80" w:type="dxa"/>
              <w:left w:w="90" w:type="dxa"/>
              <w:bottom w:w="80" w:type="dxa"/>
              <w:right w:w="90" w:type="dxa"/>
            </w:tcMar>
            <w:vAlign w:val="center"/>
          </w:tcPr>
          <w:p w14:paraId="3B21B93E"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0.943x</w:t>
            </w:r>
          </w:p>
        </w:tc>
        <w:tc>
          <w:tcPr>
            <w:tcW w:w="1814" w:type="dxa"/>
            <w:tcMar>
              <w:top w:w="80" w:type="dxa"/>
              <w:left w:w="90" w:type="dxa"/>
              <w:bottom w:w="80" w:type="dxa"/>
              <w:right w:w="90" w:type="dxa"/>
            </w:tcMar>
            <w:vAlign w:val="center"/>
          </w:tcPr>
          <w:p w14:paraId="17CC65BA" w14:textId="77777777" w:rsidR="000031AD" w:rsidRPr="00C63568" w:rsidRDefault="000031AD" w:rsidP="00AA5684">
            <w:pPr>
              <w:spacing w:line="360" w:lineRule="auto"/>
              <w:jc w:val="both"/>
              <w:rPr>
                <w:rFonts w:ascii="Arial" w:hAnsi="Arial" w:cs="Arial"/>
                <w:sz w:val="24"/>
                <w:szCs w:val="24"/>
              </w:rPr>
            </w:pPr>
            <w:r w:rsidRPr="00C63568">
              <w:rPr>
                <w:rFonts w:ascii="Arial" w:hAnsi="Arial" w:cs="Arial"/>
                <w:color w:val="9C0006"/>
                <w:sz w:val="24"/>
                <w:szCs w:val="24"/>
              </w:rPr>
              <w:t>Reject</w:t>
            </w:r>
          </w:p>
        </w:tc>
      </w:tr>
      <w:tr w:rsidR="000031AD" w:rsidRPr="00C63568" w14:paraId="552DF9A0" w14:textId="77777777" w:rsidTr="00AA5684">
        <w:trPr>
          <w:cantSplit/>
          <w:jc w:val="center"/>
        </w:trPr>
        <w:tc>
          <w:tcPr>
            <w:tcW w:w="1814" w:type="dxa"/>
            <w:shd w:val="clear" w:color="auto" w:fill="F7F7F7"/>
            <w:tcMar>
              <w:top w:w="80" w:type="dxa"/>
              <w:left w:w="90" w:type="dxa"/>
              <w:bottom w:w="80" w:type="dxa"/>
              <w:right w:w="90" w:type="dxa"/>
            </w:tcMar>
            <w:vAlign w:val="center"/>
          </w:tcPr>
          <w:p w14:paraId="74059FDA"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B + C</w:t>
            </w:r>
          </w:p>
        </w:tc>
        <w:tc>
          <w:tcPr>
            <w:tcW w:w="1814" w:type="dxa"/>
            <w:shd w:val="clear" w:color="auto" w:fill="F7F7F7"/>
            <w:tcMar>
              <w:top w:w="80" w:type="dxa"/>
              <w:left w:w="90" w:type="dxa"/>
              <w:bottom w:w="80" w:type="dxa"/>
              <w:right w:w="90" w:type="dxa"/>
            </w:tcMar>
            <w:vAlign w:val="center"/>
          </w:tcPr>
          <w:p w14:paraId="16D253E0"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£100m</w:t>
            </w:r>
          </w:p>
        </w:tc>
        <w:tc>
          <w:tcPr>
            <w:tcW w:w="1814" w:type="dxa"/>
            <w:shd w:val="clear" w:color="auto" w:fill="F7F7F7"/>
            <w:tcMar>
              <w:top w:w="80" w:type="dxa"/>
              <w:left w:w="90" w:type="dxa"/>
              <w:bottom w:w="80" w:type="dxa"/>
              <w:right w:w="90" w:type="dxa"/>
            </w:tcMar>
            <w:vAlign w:val="center"/>
          </w:tcPr>
          <w:p w14:paraId="1DE87E96"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(£5.222m)</w:t>
            </w:r>
          </w:p>
        </w:tc>
        <w:tc>
          <w:tcPr>
            <w:tcW w:w="1814" w:type="dxa"/>
            <w:shd w:val="clear" w:color="auto" w:fill="F7F7F7"/>
            <w:tcMar>
              <w:top w:w="80" w:type="dxa"/>
              <w:left w:w="90" w:type="dxa"/>
              <w:bottom w:w="80" w:type="dxa"/>
              <w:right w:w="90" w:type="dxa"/>
            </w:tcMar>
            <w:vAlign w:val="center"/>
          </w:tcPr>
          <w:p w14:paraId="7B4CFB88" w14:textId="77777777" w:rsidR="000031AD" w:rsidRPr="00C63568" w:rsidRDefault="000031AD" w:rsidP="00AA5684">
            <w:pPr>
              <w:spacing w:line="360" w:lineRule="auto"/>
              <w:jc w:val="center"/>
              <w:rPr>
                <w:rFonts w:ascii="Arial" w:hAnsi="Arial" w:cs="Arial"/>
                <w:color w:val="0D0D0D" w:themeColor="text1" w:themeTint="F2"/>
                <w:sz w:val="24"/>
                <w:szCs w:val="24"/>
              </w:rPr>
            </w:pPr>
            <w:r w:rsidRPr="00C63568">
              <w:rPr>
                <w:rFonts w:ascii="Arial" w:hAnsi="Arial" w:cs="Arial"/>
                <w:color w:val="0D0D0D" w:themeColor="text1" w:themeTint="F2"/>
                <w:sz w:val="24"/>
                <w:szCs w:val="24"/>
              </w:rPr>
              <w:t>0.948x</w:t>
            </w:r>
          </w:p>
        </w:tc>
        <w:tc>
          <w:tcPr>
            <w:tcW w:w="1814" w:type="dxa"/>
            <w:shd w:val="clear" w:color="auto" w:fill="F7F7F7"/>
            <w:tcMar>
              <w:top w:w="80" w:type="dxa"/>
              <w:left w:w="90" w:type="dxa"/>
              <w:bottom w:w="80" w:type="dxa"/>
              <w:right w:w="90" w:type="dxa"/>
            </w:tcMar>
            <w:vAlign w:val="center"/>
          </w:tcPr>
          <w:p w14:paraId="535A95B4" w14:textId="77777777" w:rsidR="000031AD" w:rsidRPr="00C63568" w:rsidRDefault="000031AD" w:rsidP="00AA5684">
            <w:pPr>
              <w:spacing w:line="360" w:lineRule="auto"/>
              <w:jc w:val="both"/>
              <w:rPr>
                <w:rFonts w:ascii="Arial" w:hAnsi="Arial" w:cs="Arial"/>
                <w:sz w:val="24"/>
                <w:szCs w:val="24"/>
              </w:rPr>
            </w:pPr>
            <w:r w:rsidRPr="00C63568">
              <w:rPr>
                <w:rFonts w:ascii="Arial" w:hAnsi="Arial" w:cs="Arial"/>
                <w:color w:val="9C0006"/>
                <w:sz w:val="24"/>
                <w:szCs w:val="24"/>
              </w:rPr>
              <w:t>Reject</w:t>
            </w:r>
          </w:p>
        </w:tc>
      </w:tr>
    </w:tbl>
    <w:p w14:paraId="5FCE43CB" w14:textId="77777777" w:rsidR="000031AD" w:rsidRPr="00C63568" w:rsidRDefault="000031AD" w:rsidP="000031AD">
      <w:pPr>
        <w:keepNext/>
        <w:keepLines/>
        <w:spacing w:line="360" w:lineRule="auto"/>
        <w:jc w:val="both"/>
        <w:rPr>
          <w:rFonts w:ascii="Arial" w:hAnsi="Arial" w:cs="Arial"/>
          <w:sz w:val="24"/>
          <w:szCs w:val="24"/>
        </w:rPr>
      </w:pPr>
      <w:r w:rsidRPr="00C63568">
        <w:rPr>
          <w:rFonts w:ascii="Arial" w:hAnsi="Arial" w:cs="Arial"/>
          <w:noProof/>
          <w:sz w:val="24"/>
          <w:szCs w:val="24"/>
        </w:rPr>
        <w:lastRenderedPageBreak/>
        <w:drawing>
          <wp:inline distT="0" distB="0" distL="0" distR="0" wp14:anchorId="2FE399BC" wp14:editId="498D9F7B">
            <wp:extent cx="5760720" cy="2681605"/>
            <wp:effectExtent l="0" t="0" r="11430" b="4445"/>
            <wp:docPr id="79855151" name="Chart 1">
              <a:extLst xmlns:a="http://schemas.openxmlformats.org/drawingml/2006/main">
                <a:ext uri="{FF2B5EF4-FFF2-40B4-BE49-F238E27FC236}">
                  <a16:creationId xmlns:a16="http://schemas.microsoft.com/office/drawing/2014/main" id="{00000000-0008-0000-03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70BA654" w14:textId="77777777" w:rsidR="000031AD" w:rsidRPr="00C63568" w:rsidRDefault="000031AD" w:rsidP="000031AD">
      <w:pPr>
        <w:pStyle w:val="FigureCaption"/>
        <w:keepNext/>
        <w:keepLines/>
        <w:spacing w:line="360" w:lineRule="auto"/>
        <w:rPr>
          <w:rFonts w:cs="Arial"/>
          <w:b/>
          <w:bCs/>
          <w:i w:val="0"/>
          <w:color w:val="0D0D0D" w:themeColor="text1" w:themeTint="F2"/>
          <w:sz w:val="24"/>
          <w:szCs w:val="24"/>
          <w:u w:val="single"/>
        </w:rPr>
      </w:pPr>
      <w:r w:rsidRPr="00C63568">
        <w:rPr>
          <w:rFonts w:cs="Arial"/>
          <w:b/>
          <w:bCs/>
          <w:i w:val="0"/>
          <w:color w:val="0D0D0D" w:themeColor="text1" w:themeTint="F2"/>
          <w:sz w:val="24"/>
          <w:szCs w:val="24"/>
          <w:u w:val="single"/>
        </w:rPr>
        <w:t>Figure 4: Aggregate NPV of feasible portfolios under the £100 million limit.</w:t>
      </w:r>
    </w:p>
    <w:p w14:paraId="64F8A75A" w14:textId="6D8D94B5" w:rsidR="000031AD" w:rsidRPr="00B65937" w:rsidRDefault="000031AD" w:rsidP="000031AD">
      <w:pPr>
        <w:spacing w:line="360" w:lineRule="auto"/>
        <w:jc w:val="both"/>
        <w:rPr>
          <w:rFonts w:ascii="Arial" w:hAnsi="Arial" w:cs="Arial"/>
        </w:rPr>
      </w:pPr>
      <w:r w:rsidRPr="00C63568">
        <w:rPr>
          <w:rFonts w:ascii="Arial" w:hAnsi="Arial" w:cs="Arial"/>
          <w:sz w:val="24"/>
          <w:szCs w:val="24"/>
        </w:rPr>
        <w:t>The appraisal produces a consistent decision. Although both projects A and B will eventually recover their nominal investments, projects A and B still do not pass the NPV and PI and IRR tests. Project C has the smallest payback, the greatest ARR, the only positive NPV, and the greatest PI and IRR above the minimum acceptable. Should be approved with phased funding, sensitivity testing and political, customer and operational and ESG risk controls. If capital rationing applies, project C maximises the shareholder value; any money left unspent after the project C is implemented would not help Wyndham's already-leveraged balance sheet and weakened liquidity. As such, careful choice is more important than using the full budget</w:t>
      </w:r>
      <w:r w:rsidR="00B65937">
        <w:rPr>
          <w:rFonts w:ascii="Arial" w:hAnsi="Arial" w:cs="Arial"/>
          <w:sz w:val="24"/>
          <w:szCs w:val="24"/>
        </w:rPr>
        <w:t xml:space="preserve"> </w:t>
      </w:r>
      <w:r w:rsidR="00B65937" w:rsidRPr="00C7671F">
        <w:rPr>
          <w:rFonts w:ascii="Arial" w:hAnsi="Arial" w:cs="Arial"/>
        </w:rPr>
        <w:t>(Park and Lehto, 2021</w:t>
      </w:r>
      <w:r w:rsidR="00B65937">
        <w:rPr>
          <w:rFonts w:ascii="Arial" w:hAnsi="Arial" w:cs="Arial"/>
        </w:rPr>
        <w:t>).</w:t>
      </w:r>
      <w:r w:rsidR="00B65937" w:rsidRPr="00C7671F">
        <w:rPr>
          <w:rFonts w:ascii="Arial" w:hAnsi="Arial" w:cs="Arial"/>
        </w:rPr>
        <w:t xml:space="preserve"> </w:t>
      </w:r>
    </w:p>
    <w:p w14:paraId="3239026F" w14:textId="77777777" w:rsidR="000031AD" w:rsidRPr="00C63568" w:rsidRDefault="000031AD" w:rsidP="000031AD">
      <w:pPr>
        <w:pStyle w:val="Heading1"/>
        <w:spacing w:line="360" w:lineRule="auto"/>
        <w:rPr>
          <w:rFonts w:ascii="Arial" w:hAnsi="Arial" w:cs="Arial"/>
          <w:sz w:val="24"/>
          <w:szCs w:val="24"/>
        </w:rPr>
      </w:pPr>
      <w:bookmarkStart w:id="21" w:name="_Toc235706417"/>
      <w:r w:rsidRPr="00C63568">
        <w:rPr>
          <w:rFonts w:ascii="Arial" w:hAnsi="Arial" w:cs="Arial"/>
          <w:sz w:val="24"/>
          <w:szCs w:val="24"/>
        </w:rPr>
        <w:t>Critical Reflection on AI Usage</w:t>
      </w:r>
      <w:bookmarkEnd w:id="21"/>
    </w:p>
    <w:p w14:paraId="501F34E4" w14:textId="77777777" w:rsidR="000031AD" w:rsidRPr="00C63568" w:rsidRDefault="000031AD" w:rsidP="000031AD">
      <w:pPr>
        <w:pStyle w:val="Heading2"/>
        <w:spacing w:line="360" w:lineRule="auto"/>
        <w:rPr>
          <w:rFonts w:ascii="Arial" w:hAnsi="Arial" w:cs="Arial"/>
          <w:sz w:val="24"/>
          <w:szCs w:val="24"/>
        </w:rPr>
      </w:pPr>
      <w:bookmarkStart w:id="22" w:name="_Toc235706418"/>
      <w:r w:rsidRPr="00C63568">
        <w:rPr>
          <w:rFonts w:ascii="Arial" w:hAnsi="Arial" w:cs="Arial"/>
          <w:sz w:val="24"/>
          <w:szCs w:val="24"/>
        </w:rPr>
        <w:t>Tool Disclosure</w:t>
      </w:r>
      <w:bookmarkEnd w:id="22"/>
    </w:p>
    <w:p w14:paraId="583CDD21" w14:textId="2EE39EF3" w:rsidR="000031AD" w:rsidRPr="00C63568" w:rsidRDefault="000031AD" w:rsidP="000031AD">
      <w:pPr>
        <w:spacing w:line="360" w:lineRule="auto"/>
        <w:jc w:val="both"/>
        <w:rPr>
          <w:rFonts w:ascii="Arial" w:hAnsi="Arial" w:cs="Arial"/>
          <w:sz w:val="24"/>
          <w:szCs w:val="24"/>
        </w:rPr>
      </w:pPr>
      <w:r w:rsidRPr="00C63568">
        <w:rPr>
          <w:rFonts w:ascii="Arial" w:hAnsi="Arial" w:cs="Arial"/>
          <w:sz w:val="24"/>
          <w:szCs w:val="24"/>
        </w:rPr>
        <w:t xml:space="preserve">The financial report has been prepared independently, including the taking of financial data; calculation of financial ratios; interpretation of Wyndham Hotels &amp; Resorts' performance; analysis of working capital; and making restructuring recommendations and investment-appraisal decisions. ChatGPT was used only at the final presentation stage to help </w:t>
      </w:r>
      <w:proofErr w:type="spellStart"/>
      <w:r w:rsidRPr="00C63568">
        <w:rPr>
          <w:rFonts w:ascii="Arial" w:hAnsi="Arial" w:cs="Arial"/>
          <w:sz w:val="24"/>
          <w:szCs w:val="24"/>
        </w:rPr>
        <w:t>organise</w:t>
      </w:r>
      <w:proofErr w:type="spellEnd"/>
      <w:r w:rsidRPr="00C63568">
        <w:rPr>
          <w:rFonts w:ascii="Arial" w:hAnsi="Arial" w:cs="Arial"/>
          <w:sz w:val="24"/>
          <w:szCs w:val="24"/>
        </w:rPr>
        <w:t xml:space="preserve"> and refine the wording of this critical-reflection section. It was not used to underpin the underlying calculation, to choose the financial evidence or to inform the recommendations in the report. It is limited use, which is disclosed in the </w:t>
      </w:r>
      <w:r w:rsidRPr="00C63568">
        <w:rPr>
          <w:rFonts w:ascii="Arial" w:hAnsi="Arial" w:cs="Arial"/>
          <w:sz w:val="24"/>
          <w:szCs w:val="24"/>
        </w:rPr>
        <w:lastRenderedPageBreak/>
        <w:t>AI-use acknowledgement to ensure that academic transparency. The report submitted shows independence in the use of profitability, liquidity and efficiency, gearing and investment-appraisal techniques, including NPV, IRR, ARR, payback and profitability index calculations</w:t>
      </w:r>
      <w:r w:rsidR="006565EC">
        <w:rPr>
          <w:rFonts w:ascii="Arial" w:hAnsi="Arial" w:cs="Arial"/>
          <w:sz w:val="24"/>
          <w:szCs w:val="24"/>
        </w:rPr>
        <w:t xml:space="preserve"> </w:t>
      </w:r>
      <w:r w:rsidR="006565EC" w:rsidRPr="00C7671F">
        <w:rPr>
          <w:rFonts w:ascii="Arial" w:hAnsi="Arial" w:cs="Arial"/>
        </w:rPr>
        <w:t>(Park and Lehto, 2021</w:t>
      </w:r>
      <w:r w:rsidR="006565EC">
        <w:rPr>
          <w:rFonts w:ascii="Arial" w:hAnsi="Arial" w:cs="Arial"/>
        </w:rPr>
        <w:t>).</w:t>
      </w:r>
      <w:r w:rsidR="006565EC" w:rsidRPr="00C7671F">
        <w:rPr>
          <w:rFonts w:ascii="Arial" w:hAnsi="Arial" w:cs="Arial"/>
        </w:rPr>
        <w:t xml:space="preserve"> </w:t>
      </w:r>
    </w:p>
    <w:p w14:paraId="31FC0DB6" w14:textId="77777777" w:rsidR="000031AD" w:rsidRPr="00C63568" w:rsidRDefault="000031AD" w:rsidP="000031AD">
      <w:pPr>
        <w:pStyle w:val="Heading2"/>
        <w:spacing w:line="360" w:lineRule="auto"/>
        <w:rPr>
          <w:rFonts w:ascii="Arial" w:hAnsi="Arial" w:cs="Arial"/>
          <w:sz w:val="24"/>
          <w:szCs w:val="24"/>
        </w:rPr>
      </w:pPr>
      <w:bookmarkStart w:id="23" w:name="_Toc235706419"/>
      <w:r w:rsidRPr="00C63568">
        <w:rPr>
          <w:rFonts w:ascii="Arial" w:hAnsi="Arial" w:cs="Arial"/>
          <w:sz w:val="24"/>
          <w:szCs w:val="24"/>
        </w:rPr>
        <w:t>Critical Evaluation and Verification</w:t>
      </w:r>
      <w:bookmarkEnd w:id="23"/>
    </w:p>
    <w:p w14:paraId="2DA6C6FA" w14:textId="77777777" w:rsidR="000031AD" w:rsidRPr="00C63568" w:rsidRDefault="000031AD" w:rsidP="000031AD">
      <w:pPr>
        <w:spacing w:line="360" w:lineRule="auto"/>
        <w:jc w:val="both"/>
        <w:rPr>
          <w:rFonts w:ascii="Arial" w:hAnsi="Arial" w:cs="Arial"/>
          <w:sz w:val="24"/>
          <w:szCs w:val="24"/>
        </w:rPr>
      </w:pPr>
      <w:r w:rsidRPr="00C63568">
        <w:rPr>
          <w:rFonts w:ascii="Arial" w:hAnsi="Arial" w:cs="Arial"/>
          <w:sz w:val="24"/>
          <w:szCs w:val="24"/>
        </w:rPr>
        <w:t>Every AI-generated financial interpretation was required to be reviewed. Each statement was checked against the figures, calculations and source evidence used in the report, where AI was invoked in the wording. For instance, the liquidity ratio was discussed as declining, leverage as increasing, negative working capital and Project C's slightly positive NPV was checked against the ratio tables, annual report figures, and Excel calculations in the completed analysis. The report clearly shows the current ratio of 2025 as 0.86, debt to equity ratio as 5.47 and the NPV of Project C as £0.858 million which can be checked.</w:t>
      </w:r>
    </w:p>
    <w:p w14:paraId="722C1FB6" w14:textId="77777777" w:rsidR="000031AD" w:rsidRPr="00C63568" w:rsidRDefault="000031AD" w:rsidP="000031AD">
      <w:pPr>
        <w:spacing w:line="360" w:lineRule="auto"/>
        <w:jc w:val="both"/>
        <w:rPr>
          <w:rFonts w:ascii="Arial" w:hAnsi="Arial" w:cs="Arial"/>
          <w:sz w:val="24"/>
          <w:szCs w:val="24"/>
        </w:rPr>
      </w:pPr>
      <w:r w:rsidRPr="00C63568">
        <w:rPr>
          <w:rFonts w:ascii="Arial" w:hAnsi="Arial" w:cs="Arial"/>
          <w:sz w:val="24"/>
          <w:szCs w:val="24"/>
        </w:rPr>
        <w:t>Potential hallucinations were detected by verifying that claims had an auditable source, that the years were consistent and that the currencies were consistent, and that results logically followed from the calculation. Unsupported statements and invented figures or causal claims were deleted or rewritten carefully. This approach follows NIST's guidance that generative AI can generate realistic looking but false information, and thus needs systematic risk controls (NIST, 2024).</w:t>
      </w:r>
    </w:p>
    <w:p w14:paraId="21C9807B" w14:textId="77777777" w:rsidR="000031AD" w:rsidRPr="00C63568" w:rsidRDefault="000031AD" w:rsidP="000031AD">
      <w:pPr>
        <w:pStyle w:val="Heading2"/>
        <w:spacing w:line="360" w:lineRule="auto"/>
        <w:rPr>
          <w:rFonts w:ascii="Arial" w:hAnsi="Arial" w:cs="Arial"/>
          <w:sz w:val="24"/>
          <w:szCs w:val="24"/>
        </w:rPr>
      </w:pPr>
      <w:bookmarkStart w:id="24" w:name="_Toc235706420"/>
      <w:r w:rsidRPr="00C63568">
        <w:rPr>
          <w:rFonts w:ascii="Arial" w:hAnsi="Arial" w:cs="Arial"/>
          <w:sz w:val="24"/>
          <w:szCs w:val="24"/>
        </w:rPr>
        <w:t>Contribution of AI and Original Analysis</w:t>
      </w:r>
      <w:bookmarkEnd w:id="24"/>
    </w:p>
    <w:p w14:paraId="4A52AFCC" w14:textId="77777777" w:rsidR="000031AD" w:rsidRPr="00C63568" w:rsidRDefault="000031AD" w:rsidP="000031AD">
      <w:pPr>
        <w:spacing w:line="360" w:lineRule="auto"/>
        <w:jc w:val="both"/>
        <w:rPr>
          <w:rFonts w:ascii="Arial" w:hAnsi="Arial" w:cs="Arial"/>
          <w:sz w:val="24"/>
          <w:szCs w:val="24"/>
        </w:rPr>
      </w:pPr>
      <w:r w:rsidRPr="00C63568">
        <w:rPr>
          <w:rFonts w:ascii="Arial" w:hAnsi="Arial" w:cs="Arial"/>
          <w:sz w:val="24"/>
          <w:szCs w:val="24"/>
        </w:rPr>
        <w:t xml:space="preserve">AI was used only for structure, readability and concise expression. The financial indicators were selected by me, five-year ratios were calculated and interpreted, liquidity were compared with other sector indicators, financing options were explored, and financial restructuring plan was designed and financial risks and non-financial risks were synthesized. I also arrived at a different conclusion for Project C, under capital rationing it should be accepted independently as both Projects A and B have negative NPV. Thus, the substantive judgement, strategic synthesis and recommendations were my own. The distinction matters because in the world of professional finance, humans must be </w:t>
      </w:r>
      <w:proofErr w:type="spellStart"/>
      <w:r w:rsidRPr="00C63568">
        <w:rPr>
          <w:rFonts w:ascii="Arial" w:hAnsi="Arial" w:cs="Arial"/>
          <w:sz w:val="24"/>
          <w:szCs w:val="24"/>
        </w:rPr>
        <w:t>sceptical</w:t>
      </w:r>
      <w:proofErr w:type="spellEnd"/>
      <w:r w:rsidRPr="00C63568">
        <w:rPr>
          <w:rFonts w:ascii="Arial" w:hAnsi="Arial" w:cs="Arial"/>
          <w:sz w:val="24"/>
          <w:szCs w:val="24"/>
        </w:rPr>
        <w:t xml:space="preserve"> and selective about the output of technology, not accepting it automatically (ICAEW, 2024).</w:t>
      </w:r>
    </w:p>
    <w:p w14:paraId="612EF907" w14:textId="77777777" w:rsidR="000031AD" w:rsidRPr="00C63568" w:rsidRDefault="000031AD" w:rsidP="000031AD">
      <w:pPr>
        <w:pStyle w:val="Heading2"/>
        <w:spacing w:line="360" w:lineRule="auto"/>
        <w:rPr>
          <w:rFonts w:ascii="Arial" w:hAnsi="Arial" w:cs="Arial"/>
          <w:sz w:val="24"/>
          <w:szCs w:val="24"/>
        </w:rPr>
      </w:pPr>
      <w:r w:rsidRPr="00C63568">
        <w:rPr>
          <w:rFonts w:ascii="Arial" w:hAnsi="Arial" w:cs="Arial"/>
          <w:sz w:val="24"/>
          <w:szCs w:val="24"/>
        </w:rPr>
        <w:lastRenderedPageBreak/>
        <w:t xml:space="preserve"> </w:t>
      </w:r>
      <w:bookmarkStart w:id="25" w:name="_Toc235706421"/>
      <w:r w:rsidRPr="00C63568">
        <w:rPr>
          <w:rFonts w:ascii="Arial" w:hAnsi="Arial" w:cs="Arial"/>
          <w:sz w:val="24"/>
          <w:szCs w:val="24"/>
        </w:rPr>
        <w:t>Ethical and Professional Reflection</w:t>
      </w:r>
      <w:bookmarkEnd w:id="25"/>
    </w:p>
    <w:p w14:paraId="62146C2A" w14:textId="77777777" w:rsidR="000031AD" w:rsidRPr="00C63568" w:rsidRDefault="000031AD" w:rsidP="000031AD">
      <w:pPr>
        <w:spacing w:line="360" w:lineRule="auto"/>
        <w:jc w:val="both"/>
        <w:rPr>
          <w:rFonts w:ascii="Arial" w:hAnsi="Arial" w:cs="Arial"/>
          <w:sz w:val="24"/>
          <w:szCs w:val="24"/>
        </w:rPr>
      </w:pPr>
      <w:r w:rsidRPr="00C63568">
        <w:rPr>
          <w:rFonts w:ascii="Arial" w:hAnsi="Arial" w:cs="Arial"/>
          <w:sz w:val="24"/>
          <w:szCs w:val="24"/>
        </w:rPr>
        <w:t>AI in finance also poses significant ethical challenges. Professionals are expected to be transparent when using AI for analysis or communication. Confidential company, client or transaction data shall not be captured in open systems. The OECD principles focus on privacy, transparency and accountability all along the AI lifecycle (OECD, 2024).</w:t>
      </w:r>
    </w:p>
    <w:p w14:paraId="4486734E" w14:textId="77777777" w:rsidR="000031AD" w:rsidRPr="00C63568" w:rsidRDefault="000031AD" w:rsidP="000031AD">
      <w:pPr>
        <w:spacing w:line="360" w:lineRule="auto"/>
        <w:jc w:val="both"/>
        <w:rPr>
          <w:rFonts w:ascii="Arial" w:hAnsi="Arial" w:cs="Arial"/>
          <w:sz w:val="24"/>
          <w:szCs w:val="24"/>
        </w:rPr>
      </w:pPr>
      <w:r w:rsidRPr="00C63568">
        <w:rPr>
          <w:rFonts w:ascii="Arial" w:hAnsi="Arial" w:cs="Arial"/>
          <w:sz w:val="24"/>
          <w:szCs w:val="24"/>
        </w:rPr>
        <w:t xml:space="preserve">First and foremost, executive decisions shouldn't be delegated to AI. An excess of reliance can lead to a loss of professional </w:t>
      </w:r>
      <w:proofErr w:type="spellStart"/>
      <w:r w:rsidRPr="00C63568">
        <w:rPr>
          <w:rFonts w:ascii="Arial" w:hAnsi="Arial" w:cs="Arial"/>
          <w:sz w:val="24"/>
          <w:szCs w:val="24"/>
        </w:rPr>
        <w:t>scepticism</w:t>
      </w:r>
      <w:proofErr w:type="spellEnd"/>
      <w:r w:rsidRPr="00C63568">
        <w:rPr>
          <w:rFonts w:ascii="Arial" w:hAnsi="Arial" w:cs="Arial"/>
          <w:sz w:val="24"/>
          <w:szCs w:val="24"/>
        </w:rPr>
        <w:t>, a failure to recognize model bias, and managers now making decisions based on false predictions or false data. AI can therefore complement, not supplant, financial know-how. The ultimate accountability must be with qualified professionals who are able to articulate assumptions, test outputs and defend recommendations in front of boards, investors and regulators.</w:t>
      </w:r>
    </w:p>
    <w:p w14:paraId="17B64E25" w14:textId="77777777" w:rsidR="00721AE5" w:rsidRPr="00C63568" w:rsidRDefault="00721AE5" w:rsidP="00721AE5">
      <w:pPr>
        <w:spacing w:line="360" w:lineRule="auto"/>
        <w:jc w:val="both"/>
        <w:rPr>
          <w:rFonts w:ascii="Arial" w:hAnsi="Arial" w:cs="Arial"/>
          <w:sz w:val="24"/>
          <w:szCs w:val="24"/>
        </w:rPr>
      </w:pPr>
    </w:p>
    <w:p w14:paraId="63849785" w14:textId="77777777" w:rsidR="00691558" w:rsidRPr="00C63568" w:rsidRDefault="00691558" w:rsidP="00160CEE">
      <w:pPr>
        <w:spacing w:line="360" w:lineRule="auto"/>
        <w:jc w:val="both"/>
        <w:rPr>
          <w:rFonts w:ascii="Arial" w:hAnsi="Arial" w:cs="Arial"/>
          <w:sz w:val="24"/>
          <w:szCs w:val="24"/>
        </w:rPr>
      </w:pPr>
    </w:p>
    <w:p w14:paraId="05017308" w14:textId="77777777" w:rsidR="00691558" w:rsidRPr="00C63568" w:rsidRDefault="00691558" w:rsidP="00160CEE">
      <w:pPr>
        <w:spacing w:line="360" w:lineRule="auto"/>
        <w:jc w:val="both"/>
        <w:rPr>
          <w:rFonts w:ascii="Arial" w:hAnsi="Arial" w:cs="Arial"/>
          <w:sz w:val="24"/>
          <w:szCs w:val="24"/>
        </w:rPr>
      </w:pPr>
    </w:p>
    <w:p w14:paraId="4A3A68D1" w14:textId="77777777" w:rsidR="001F6F26" w:rsidRPr="00C63568" w:rsidRDefault="001F6F26" w:rsidP="00160CEE">
      <w:pPr>
        <w:spacing w:line="360" w:lineRule="auto"/>
        <w:jc w:val="both"/>
        <w:rPr>
          <w:rFonts w:ascii="Arial" w:hAnsi="Arial" w:cs="Arial"/>
          <w:sz w:val="24"/>
          <w:szCs w:val="24"/>
        </w:rPr>
      </w:pPr>
    </w:p>
    <w:p w14:paraId="07891463" w14:textId="77777777" w:rsidR="001F6F26" w:rsidRPr="00C63568" w:rsidRDefault="001F6F26" w:rsidP="00160CEE">
      <w:pPr>
        <w:spacing w:line="360" w:lineRule="auto"/>
        <w:jc w:val="both"/>
        <w:rPr>
          <w:rFonts w:ascii="Arial" w:hAnsi="Arial" w:cs="Arial"/>
          <w:sz w:val="24"/>
          <w:szCs w:val="24"/>
        </w:rPr>
      </w:pPr>
    </w:p>
    <w:p w14:paraId="155A93E8" w14:textId="77777777" w:rsidR="001F6F26" w:rsidRPr="00C63568" w:rsidRDefault="001F6F26" w:rsidP="00160CEE">
      <w:pPr>
        <w:spacing w:line="360" w:lineRule="auto"/>
        <w:jc w:val="both"/>
        <w:rPr>
          <w:rFonts w:ascii="Arial" w:hAnsi="Arial" w:cs="Arial"/>
          <w:sz w:val="24"/>
          <w:szCs w:val="24"/>
        </w:rPr>
      </w:pPr>
    </w:p>
    <w:p w14:paraId="57999FEE" w14:textId="77777777" w:rsidR="001F6F26" w:rsidRPr="00C63568" w:rsidRDefault="001F6F26" w:rsidP="00160CEE">
      <w:pPr>
        <w:spacing w:line="360" w:lineRule="auto"/>
        <w:jc w:val="both"/>
        <w:rPr>
          <w:rFonts w:ascii="Arial" w:hAnsi="Arial" w:cs="Arial"/>
          <w:sz w:val="24"/>
          <w:szCs w:val="24"/>
        </w:rPr>
      </w:pPr>
    </w:p>
    <w:p w14:paraId="0533E569" w14:textId="77777777" w:rsidR="001F6F26" w:rsidRPr="00C63568" w:rsidRDefault="001F6F26" w:rsidP="00160CEE">
      <w:pPr>
        <w:spacing w:line="360" w:lineRule="auto"/>
        <w:jc w:val="both"/>
        <w:rPr>
          <w:rFonts w:ascii="Arial" w:hAnsi="Arial" w:cs="Arial"/>
          <w:sz w:val="24"/>
          <w:szCs w:val="24"/>
        </w:rPr>
      </w:pPr>
    </w:p>
    <w:p w14:paraId="6FF34C36" w14:textId="77777777" w:rsidR="001F6F26" w:rsidRPr="00C63568" w:rsidRDefault="001F6F26" w:rsidP="00160CEE">
      <w:pPr>
        <w:spacing w:line="360" w:lineRule="auto"/>
        <w:jc w:val="both"/>
        <w:rPr>
          <w:rFonts w:ascii="Arial" w:hAnsi="Arial" w:cs="Arial"/>
          <w:sz w:val="24"/>
          <w:szCs w:val="24"/>
        </w:rPr>
      </w:pPr>
    </w:p>
    <w:p w14:paraId="09C29144" w14:textId="77777777" w:rsidR="000D5E2E" w:rsidRPr="00C63568" w:rsidRDefault="000D5E2E" w:rsidP="00160CEE">
      <w:pPr>
        <w:spacing w:line="360" w:lineRule="auto"/>
        <w:jc w:val="both"/>
        <w:rPr>
          <w:rFonts w:ascii="Arial" w:hAnsi="Arial" w:cs="Arial"/>
          <w:sz w:val="24"/>
          <w:szCs w:val="24"/>
        </w:rPr>
      </w:pPr>
    </w:p>
    <w:p w14:paraId="4C9EAE3F" w14:textId="77777777" w:rsidR="001F6F26" w:rsidRPr="00C63568" w:rsidRDefault="001F6F26" w:rsidP="00160CEE">
      <w:pPr>
        <w:spacing w:line="360" w:lineRule="auto"/>
        <w:jc w:val="both"/>
        <w:rPr>
          <w:rFonts w:ascii="Arial" w:hAnsi="Arial" w:cs="Arial"/>
          <w:sz w:val="24"/>
          <w:szCs w:val="24"/>
        </w:rPr>
      </w:pPr>
    </w:p>
    <w:p w14:paraId="60C062F5" w14:textId="77777777" w:rsidR="001F6F26" w:rsidRPr="00C63568" w:rsidRDefault="001F6F26" w:rsidP="00160CEE">
      <w:pPr>
        <w:spacing w:line="360" w:lineRule="auto"/>
        <w:jc w:val="both"/>
        <w:rPr>
          <w:rFonts w:ascii="Arial" w:hAnsi="Arial" w:cs="Arial"/>
          <w:sz w:val="24"/>
          <w:szCs w:val="24"/>
        </w:rPr>
      </w:pPr>
    </w:p>
    <w:p w14:paraId="12420437" w14:textId="77777777" w:rsidR="00691558" w:rsidRPr="00C63568" w:rsidRDefault="00691558" w:rsidP="00160CEE">
      <w:pPr>
        <w:spacing w:line="360" w:lineRule="auto"/>
        <w:jc w:val="both"/>
        <w:rPr>
          <w:rFonts w:ascii="Arial" w:hAnsi="Arial" w:cs="Arial"/>
          <w:sz w:val="24"/>
          <w:szCs w:val="24"/>
        </w:rPr>
      </w:pPr>
    </w:p>
    <w:p w14:paraId="3C92A945" w14:textId="444182E6" w:rsidR="00C97543" w:rsidRPr="00C63568" w:rsidRDefault="00C97543" w:rsidP="009B66EE">
      <w:pPr>
        <w:pStyle w:val="Heading1"/>
        <w:spacing w:line="360" w:lineRule="auto"/>
        <w:rPr>
          <w:rFonts w:ascii="Arial" w:hAnsi="Arial" w:cs="Arial"/>
          <w:sz w:val="24"/>
          <w:szCs w:val="24"/>
        </w:rPr>
      </w:pPr>
      <w:bookmarkStart w:id="26" w:name="_Toc235706422"/>
      <w:r w:rsidRPr="00C63568">
        <w:rPr>
          <w:rFonts w:ascii="Arial" w:hAnsi="Arial" w:cs="Arial"/>
          <w:sz w:val="24"/>
          <w:szCs w:val="24"/>
        </w:rPr>
        <w:lastRenderedPageBreak/>
        <w:t>References</w:t>
      </w:r>
      <w:bookmarkEnd w:id="26"/>
    </w:p>
    <w:p w14:paraId="499F4681"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Atrill, P. and McLaney, E. (2022) Accounting and finance for non-specialists. 12th </w:t>
      </w:r>
      <w:proofErr w:type="spellStart"/>
      <w:r w:rsidRPr="00C63568">
        <w:rPr>
          <w:rFonts w:ascii="Arial" w:hAnsi="Arial" w:cs="Arial"/>
          <w:sz w:val="24"/>
          <w:szCs w:val="24"/>
        </w:rPr>
        <w:t>edn</w:t>
      </w:r>
      <w:proofErr w:type="spellEnd"/>
      <w:r w:rsidRPr="00C63568">
        <w:rPr>
          <w:rFonts w:ascii="Arial" w:hAnsi="Arial" w:cs="Arial"/>
          <w:sz w:val="24"/>
          <w:szCs w:val="24"/>
        </w:rPr>
        <w:t>. Harlow: Pearson Education Limited.</w:t>
      </w:r>
    </w:p>
    <w:p w14:paraId="7E609B6D"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Autio, C., Schwartz, R., </w:t>
      </w:r>
      <w:proofErr w:type="spellStart"/>
      <w:r w:rsidRPr="00C63568">
        <w:rPr>
          <w:rFonts w:ascii="Arial" w:hAnsi="Arial" w:cs="Arial"/>
          <w:sz w:val="24"/>
          <w:szCs w:val="24"/>
        </w:rPr>
        <w:t>Dunietz</w:t>
      </w:r>
      <w:proofErr w:type="spellEnd"/>
      <w:r w:rsidRPr="00C63568">
        <w:rPr>
          <w:rFonts w:ascii="Arial" w:hAnsi="Arial" w:cs="Arial"/>
          <w:sz w:val="24"/>
          <w:szCs w:val="24"/>
        </w:rPr>
        <w:t xml:space="preserve">, J., Jain, S., Stanley, M., Tabassi, E., Hall, P. and Roberts, K. (2024) Artificial Intelligence Risk Management Framework: Generative Artificial Intelligence Profile. NIST AI 600-1. Gaithersburg, MD: National Institute of Standards and Technology. </w:t>
      </w:r>
      <w:proofErr w:type="spellStart"/>
      <w:r w:rsidRPr="00C63568">
        <w:rPr>
          <w:rFonts w:ascii="Arial" w:hAnsi="Arial" w:cs="Arial"/>
          <w:sz w:val="24"/>
          <w:szCs w:val="24"/>
        </w:rPr>
        <w:t>doi</w:t>
      </w:r>
      <w:proofErr w:type="spellEnd"/>
      <w:r w:rsidRPr="00C63568">
        <w:rPr>
          <w:rFonts w:ascii="Arial" w:hAnsi="Arial" w:cs="Arial"/>
          <w:sz w:val="24"/>
          <w:szCs w:val="24"/>
        </w:rPr>
        <w:t>: 10.6028/NIST.AI.600-1.</w:t>
      </w:r>
    </w:p>
    <w:p w14:paraId="5B379942" w14:textId="6F5CCCAD"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BDC (Business Development Bank of Canada) (2024) ‘What is the difference between a line of credit and a working capital loan?’, Business Development Bank of Canada, 5 March. Available at: </w:t>
      </w:r>
      <w:hyperlink r:id="rId12" w:history="1">
        <w:r w:rsidRPr="00C63568">
          <w:rPr>
            <w:rStyle w:val="Hyperlink"/>
            <w:rFonts w:ascii="Arial" w:hAnsi="Arial" w:cs="Arial"/>
            <w:sz w:val="24"/>
            <w:szCs w:val="24"/>
          </w:rPr>
          <w:t>https://www.bdc.ca/en/articles-tools/money-finance/get-financing/what-is-the-difference-between-line-of-credit-and-working-capital-loan</w:t>
        </w:r>
      </w:hyperlink>
      <w:r w:rsidRPr="00C63568">
        <w:rPr>
          <w:rFonts w:ascii="Arial" w:hAnsi="Arial" w:cs="Arial"/>
          <w:sz w:val="24"/>
          <w:szCs w:val="24"/>
        </w:rPr>
        <w:t xml:space="preserve"> (</w:t>
      </w:r>
      <w:r w:rsidR="00C63568" w:rsidRPr="00C63568">
        <w:rPr>
          <w:rFonts w:ascii="Arial" w:hAnsi="Arial" w:cs="Arial"/>
          <w:sz w:val="24"/>
          <w:szCs w:val="24"/>
        </w:rPr>
        <w:t>Accessed: 13 July 2026</w:t>
      </w:r>
      <w:r w:rsidRPr="00C63568">
        <w:rPr>
          <w:rFonts w:ascii="Arial" w:hAnsi="Arial" w:cs="Arial"/>
          <w:sz w:val="24"/>
          <w:szCs w:val="24"/>
        </w:rPr>
        <w:t>).</w:t>
      </w:r>
    </w:p>
    <w:p w14:paraId="7EFF7222"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Brealey, R.A., Myers, S.C., Allen, F. and Edmans, A. (2023) Principles of corporate finance. 14th </w:t>
      </w:r>
      <w:proofErr w:type="spellStart"/>
      <w:r w:rsidRPr="00C63568">
        <w:rPr>
          <w:rFonts w:ascii="Arial" w:hAnsi="Arial" w:cs="Arial"/>
          <w:sz w:val="24"/>
          <w:szCs w:val="24"/>
        </w:rPr>
        <w:t>edn</w:t>
      </w:r>
      <w:proofErr w:type="spellEnd"/>
      <w:r w:rsidRPr="00C63568">
        <w:rPr>
          <w:rFonts w:ascii="Arial" w:hAnsi="Arial" w:cs="Arial"/>
          <w:sz w:val="24"/>
          <w:szCs w:val="24"/>
        </w:rPr>
        <w:t>. New York: McGraw Hill.</w:t>
      </w:r>
    </w:p>
    <w:p w14:paraId="28CA778B"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ICAEW (2024a) ‘Ethical AI use: the way forward’, ICAEW Insights, 10 May. London: Institute of Chartered Accountants in England and Wales.</w:t>
      </w:r>
    </w:p>
    <w:p w14:paraId="7A58C644"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ICAEW (2024b) ‘AI and ethics: could finance become too reliant on AI?’, ICAEW Insights, 6 November. London: Institute of Chartered Accountants in England and Wales.</w:t>
      </w:r>
    </w:p>
    <w:p w14:paraId="3ABB1670"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IESBA (2024) 2024 Handbook of the International Code of Ethics for Professional Accountants, Including International Independence Standards. New York: International Ethics Standards Board for Accountants.</w:t>
      </w:r>
    </w:p>
    <w:p w14:paraId="3658AAB8"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McCune, R. (2021). Wyndham Accelerates System Growth Through Global Conversions. vtechworks.lib.vt.edu. [online] Available at: https://vtechworks.lib.vt.edu/items/e1895b69-fe76-465b-80bb-2b4781ec4724 [Accessed 23 July 2026].</w:t>
      </w:r>
    </w:p>
    <w:p w14:paraId="029A1B21"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OECD (2024) OECD AI Principles. Paris: </w:t>
      </w:r>
      <w:proofErr w:type="spellStart"/>
      <w:r w:rsidRPr="00C63568">
        <w:rPr>
          <w:rFonts w:ascii="Arial" w:hAnsi="Arial" w:cs="Arial"/>
          <w:sz w:val="24"/>
          <w:szCs w:val="24"/>
        </w:rPr>
        <w:t>Organisation</w:t>
      </w:r>
      <w:proofErr w:type="spellEnd"/>
      <w:r w:rsidRPr="00C63568">
        <w:rPr>
          <w:rFonts w:ascii="Arial" w:hAnsi="Arial" w:cs="Arial"/>
          <w:sz w:val="24"/>
          <w:szCs w:val="24"/>
        </w:rPr>
        <w:t xml:space="preserve"> for Economic Co-operation and Development.</w:t>
      </w:r>
    </w:p>
    <w:p w14:paraId="6D0F82FF"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OpenAI (2026) ChatGPT [Large language model]. San Francisco, CA: OpenAI.</w:t>
      </w:r>
    </w:p>
    <w:p w14:paraId="072171D2"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lastRenderedPageBreak/>
        <w:t>Park, S. and Lehto, X. (2021). Understanding the opaque priority of safety measures and hotel customer choices after the COVID-19 pandemic: an application of discrete choice analysis. Journal of Travel &amp; Tourism Marketing, 38(7), pp.653–665. doi:10.1080/10548408.2021.1985038.</w:t>
      </w:r>
    </w:p>
    <w:p w14:paraId="29182F2D" w14:textId="62E7EB5A" w:rsidR="000D5E2E" w:rsidRPr="00C63568" w:rsidRDefault="000D5E2E" w:rsidP="000D5E2E">
      <w:pPr>
        <w:spacing w:line="360" w:lineRule="auto"/>
        <w:jc w:val="both"/>
        <w:rPr>
          <w:rFonts w:ascii="Arial" w:hAnsi="Arial" w:cs="Arial"/>
          <w:sz w:val="24"/>
          <w:szCs w:val="24"/>
        </w:rPr>
      </w:pPr>
      <w:proofErr w:type="spellStart"/>
      <w:r w:rsidRPr="00C63568">
        <w:rPr>
          <w:rFonts w:ascii="Arial" w:hAnsi="Arial" w:cs="Arial"/>
          <w:sz w:val="24"/>
          <w:szCs w:val="24"/>
        </w:rPr>
        <w:t>ReadyRatios</w:t>
      </w:r>
      <w:proofErr w:type="spellEnd"/>
      <w:r w:rsidRPr="00C63568">
        <w:rPr>
          <w:rFonts w:ascii="Arial" w:hAnsi="Arial" w:cs="Arial"/>
          <w:sz w:val="24"/>
          <w:szCs w:val="24"/>
        </w:rPr>
        <w:t xml:space="preserve"> (n.d.) ‘Hotels and motels: industry financial ratios benchmarking, SIC 7011’, </w:t>
      </w:r>
      <w:proofErr w:type="spellStart"/>
      <w:r w:rsidRPr="00C63568">
        <w:rPr>
          <w:rFonts w:ascii="Arial" w:hAnsi="Arial" w:cs="Arial"/>
          <w:sz w:val="24"/>
          <w:szCs w:val="24"/>
        </w:rPr>
        <w:t>ReadyRatios</w:t>
      </w:r>
      <w:proofErr w:type="spellEnd"/>
      <w:r w:rsidRPr="00C63568">
        <w:rPr>
          <w:rFonts w:ascii="Arial" w:hAnsi="Arial" w:cs="Arial"/>
          <w:sz w:val="24"/>
          <w:szCs w:val="24"/>
        </w:rPr>
        <w:t xml:space="preserve">. Available at: </w:t>
      </w:r>
      <w:hyperlink r:id="rId13" w:history="1">
        <w:r w:rsidRPr="00C63568">
          <w:rPr>
            <w:rStyle w:val="Hyperlink"/>
            <w:rFonts w:ascii="Arial" w:hAnsi="Arial" w:cs="Arial"/>
            <w:sz w:val="24"/>
            <w:szCs w:val="24"/>
          </w:rPr>
          <w:t>https://www.readyratios.com/sec/industry/7011/</w:t>
        </w:r>
      </w:hyperlink>
      <w:r w:rsidRPr="00C63568">
        <w:rPr>
          <w:rFonts w:ascii="Arial" w:hAnsi="Arial" w:cs="Arial"/>
          <w:sz w:val="24"/>
          <w:szCs w:val="24"/>
        </w:rPr>
        <w:t xml:space="preserve"> (</w:t>
      </w:r>
      <w:r w:rsidR="00C63568" w:rsidRPr="00C63568">
        <w:rPr>
          <w:rFonts w:ascii="Arial" w:hAnsi="Arial" w:cs="Arial"/>
          <w:sz w:val="24"/>
          <w:szCs w:val="24"/>
        </w:rPr>
        <w:t>Accessed: 13 July 2026</w:t>
      </w:r>
      <w:r w:rsidRPr="00C63568">
        <w:rPr>
          <w:rFonts w:ascii="Arial" w:hAnsi="Arial" w:cs="Arial"/>
          <w:sz w:val="24"/>
          <w:szCs w:val="24"/>
        </w:rPr>
        <w:t>).</w:t>
      </w:r>
    </w:p>
    <w:p w14:paraId="1FD6996E"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Sharma, A., Shin, H., Santa-María, M.J. and Nicolau, J.L. (2021). Hotels” COVID-19 Innovation and Performance. Annals of Tourism Research, 88(1), p.103180. </w:t>
      </w:r>
      <w:proofErr w:type="gramStart"/>
      <w:r w:rsidRPr="00C63568">
        <w:rPr>
          <w:rFonts w:ascii="Arial" w:hAnsi="Arial" w:cs="Arial"/>
          <w:sz w:val="24"/>
          <w:szCs w:val="24"/>
        </w:rPr>
        <w:t>doi:10.1016/j.annals</w:t>
      </w:r>
      <w:proofErr w:type="gramEnd"/>
      <w:r w:rsidRPr="00C63568">
        <w:rPr>
          <w:rFonts w:ascii="Arial" w:hAnsi="Arial" w:cs="Arial"/>
          <w:sz w:val="24"/>
          <w:szCs w:val="24"/>
        </w:rPr>
        <w:t>.2021.103180.</w:t>
      </w:r>
    </w:p>
    <w:p w14:paraId="06C8E0C3"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Song, X. (2025). Employee Satisfaction during the Pandemic: A Content Analysis of Online Reviews on Full-Service Hotel. [online] scholarworks.calstate.edu. Available at: https://scholarworks.calstate.edu/concern/projects/vx021n37r [Accessed 23 July 2026].</w:t>
      </w:r>
    </w:p>
    <w:p w14:paraId="63635D79"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Temelkov, Z. (2022). Financial performance of selected hotel groups and resorts during COVID-19 pandemic: 2019/2020 comparison. </w:t>
      </w:r>
      <w:proofErr w:type="spellStart"/>
      <w:r w:rsidRPr="00C63568">
        <w:rPr>
          <w:rFonts w:ascii="Arial" w:hAnsi="Arial" w:cs="Arial"/>
          <w:sz w:val="24"/>
          <w:szCs w:val="24"/>
        </w:rPr>
        <w:t>Менаџмент</w:t>
      </w:r>
      <w:proofErr w:type="spellEnd"/>
      <w:r w:rsidRPr="00C63568">
        <w:rPr>
          <w:rFonts w:ascii="Arial" w:hAnsi="Arial" w:cs="Arial"/>
          <w:sz w:val="24"/>
          <w:szCs w:val="24"/>
        </w:rPr>
        <w:t xml:space="preserve"> у </w:t>
      </w:r>
      <w:proofErr w:type="spellStart"/>
      <w:r w:rsidRPr="00C63568">
        <w:rPr>
          <w:rFonts w:ascii="Arial" w:hAnsi="Arial" w:cs="Arial"/>
          <w:sz w:val="24"/>
          <w:szCs w:val="24"/>
        </w:rPr>
        <w:t>хотелијерству</w:t>
      </w:r>
      <w:proofErr w:type="spellEnd"/>
      <w:r w:rsidRPr="00C63568">
        <w:rPr>
          <w:rFonts w:ascii="Arial" w:hAnsi="Arial" w:cs="Arial"/>
          <w:sz w:val="24"/>
          <w:szCs w:val="24"/>
        </w:rPr>
        <w:t xml:space="preserve"> и </w:t>
      </w:r>
      <w:proofErr w:type="spellStart"/>
      <w:r w:rsidRPr="00C63568">
        <w:rPr>
          <w:rFonts w:ascii="Arial" w:hAnsi="Arial" w:cs="Arial"/>
          <w:sz w:val="24"/>
          <w:szCs w:val="24"/>
        </w:rPr>
        <w:t>туризму</w:t>
      </w:r>
      <w:proofErr w:type="spellEnd"/>
      <w:r w:rsidRPr="00C63568">
        <w:rPr>
          <w:rFonts w:ascii="Arial" w:hAnsi="Arial" w:cs="Arial"/>
          <w:sz w:val="24"/>
          <w:szCs w:val="24"/>
        </w:rPr>
        <w:t>, [online] 10(1), pp.41–51. Available at: https://www.ceeol.com/search/article-detail?id=1053756 [Accessed 23 July 2026].</w:t>
      </w:r>
    </w:p>
    <w:p w14:paraId="7605D37B"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Tevfik </w:t>
      </w:r>
      <w:proofErr w:type="spellStart"/>
      <w:r w:rsidRPr="00C63568">
        <w:rPr>
          <w:rFonts w:ascii="Arial" w:hAnsi="Arial" w:cs="Arial"/>
          <w:sz w:val="24"/>
          <w:szCs w:val="24"/>
        </w:rPr>
        <w:t>Demirçiftci</w:t>
      </w:r>
      <w:proofErr w:type="spellEnd"/>
      <w:r w:rsidRPr="00C63568">
        <w:rPr>
          <w:rFonts w:ascii="Arial" w:hAnsi="Arial" w:cs="Arial"/>
          <w:sz w:val="24"/>
          <w:szCs w:val="24"/>
        </w:rPr>
        <w:t xml:space="preserve"> (2022). Global hotel revenue management challenges. pp.152–158. doi:10.4324/9781003182856-17.</w:t>
      </w:r>
    </w:p>
    <w:p w14:paraId="588EFE6F"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UNESCO (2021) Recommendation on the Ethics of Artificial Intelligence. Paris: United Nations Educational, Scientific and Cultural Organization.</w:t>
      </w:r>
    </w:p>
    <w:p w14:paraId="00C3BFC5" w14:textId="13DBE59F"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Wyndham Hotels &amp; Resorts, Inc. (2022) Annual report on Form 10-K for the year ended 31 December 2021. Parsippany, NJ: Wyndham Hotels &amp; Resorts, Inc. Available at: </w:t>
      </w:r>
      <w:hyperlink r:id="rId14" w:history="1">
        <w:r w:rsidRPr="00C63568">
          <w:rPr>
            <w:rStyle w:val="Hyperlink"/>
            <w:rFonts w:ascii="Arial" w:hAnsi="Arial" w:cs="Arial"/>
            <w:sz w:val="24"/>
            <w:szCs w:val="24"/>
          </w:rPr>
          <w:t>https://www.sec.gov/Archives/edgar/data/1722684/000172268422000005/wh-20211231.htm</w:t>
        </w:r>
      </w:hyperlink>
      <w:r w:rsidRPr="00C63568">
        <w:rPr>
          <w:rFonts w:ascii="Arial" w:hAnsi="Arial" w:cs="Arial"/>
          <w:sz w:val="24"/>
          <w:szCs w:val="24"/>
        </w:rPr>
        <w:t xml:space="preserve"> (</w:t>
      </w:r>
      <w:r w:rsidR="00C63568" w:rsidRPr="00C63568">
        <w:rPr>
          <w:rFonts w:ascii="Arial" w:hAnsi="Arial" w:cs="Arial"/>
          <w:sz w:val="24"/>
          <w:szCs w:val="24"/>
        </w:rPr>
        <w:t>Accessed: 13 July 2026</w:t>
      </w:r>
      <w:r w:rsidRPr="00C63568">
        <w:rPr>
          <w:rFonts w:ascii="Arial" w:hAnsi="Arial" w:cs="Arial"/>
          <w:sz w:val="24"/>
          <w:szCs w:val="24"/>
        </w:rPr>
        <w:t>).</w:t>
      </w:r>
    </w:p>
    <w:p w14:paraId="70A09B11" w14:textId="321C1FCB"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Wyndham Hotels &amp; Resorts, Inc. (2025) Annual report on Form 10-K for the year ended 31 December 2024. Parsippany, NJ: Wyndham Hotels &amp; Resorts, Inc. Available at: </w:t>
      </w:r>
      <w:hyperlink r:id="rId15" w:history="1">
        <w:r w:rsidRPr="00C63568">
          <w:rPr>
            <w:rStyle w:val="Hyperlink"/>
            <w:rFonts w:ascii="Arial" w:hAnsi="Arial" w:cs="Arial"/>
            <w:sz w:val="24"/>
            <w:szCs w:val="24"/>
          </w:rPr>
          <w:t>https://www.sec.gov/Archives/edgar/data/1722684/000172268425000005/wh-20241231.htm</w:t>
        </w:r>
      </w:hyperlink>
      <w:r w:rsidRPr="00C63568">
        <w:rPr>
          <w:rFonts w:ascii="Arial" w:hAnsi="Arial" w:cs="Arial"/>
          <w:sz w:val="24"/>
          <w:szCs w:val="24"/>
        </w:rPr>
        <w:t xml:space="preserve"> (</w:t>
      </w:r>
      <w:r w:rsidR="00C63568" w:rsidRPr="00C63568">
        <w:rPr>
          <w:rFonts w:ascii="Arial" w:hAnsi="Arial" w:cs="Arial"/>
          <w:sz w:val="24"/>
          <w:szCs w:val="24"/>
        </w:rPr>
        <w:t>Accessed: 13 July 2026</w:t>
      </w:r>
      <w:r w:rsidRPr="00C63568">
        <w:rPr>
          <w:rFonts w:ascii="Arial" w:hAnsi="Arial" w:cs="Arial"/>
          <w:sz w:val="24"/>
          <w:szCs w:val="24"/>
        </w:rPr>
        <w:t>).</w:t>
      </w:r>
    </w:p>
    <w:p w14:paraId="5C69C559" w14:textId="77777777"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lastRenderedPageBreak/>
        <w:t>Wyndham Hotels &amp; Resorts, Inc. (2026) 2025 Annual Report. Parsippany, NJ: Wyndham Hotels &amp; Resorts, Inc.</w:t>
      </w:r>
    </w:p>
    <w:p w14:paraId="60C4DB8B" w14:textId="20A0C4B8"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Wyndham Hotels &amp; Resorts, Inc. (2026a) Annual report on Form 10-K for the year ended 31 December 2025. Parsippany, NJ: Wyndham Hotels &amp; Resorts, Inc. Available at: </w:t>
      </w:r>
      <w:hyperlink r:id="rId16" w:history="1">
        <w:r w:rsidRPr="00C63568">
          <w:rPr>
            <w:rStyle w:val="Hyperlink"/>
            <w:rFonts w:ascii="Arial" w:hAnsi="Arial" w:cs="Arial"/>
            <w:sz w:val="24"/>
            <w:szCs w:val="24"/>
          </w:rPr>
          <w:t>https://www.sec.gov/Archives/edgar/data/1722684/000172268426000052/a2025annualreport.pdf</w:t>
        </w:r>
      </w:hyperlink>
      <w:r w:rsidRPr="00C63568">
        <w:rPr>
          <w:rFonts w:ascii="Arial" w:hAnsi="Arial" w:cs="Arial"/>
          <w:sz w:val="24"/>
          <w:szCs w:val="24"/>
        </w:rPr>
        <w:t xml:space="preserve"> (</w:t>
      </w:r>
      <w:r w:rsidR="00C63568" w:rsidRPr="00C63568">
        <w:rPr>
          <w:rFonts w:ascii="Arial" w:hAnsi="Arial" w:cs="Arial"/>
          <w:sz w:val="24"/>
          <w:szCs w:val="24"/>
        </w:rPr>
        <w:t>Accessed: 13 July 2026</w:t>
      </w:r>
      <w:r w:rsidRPr="00C63568">
        <w:rPr>
          <w:rFonts w:ascii="Arial" w:hAnsi="Arial" w:cs="Arial"/>
          <w:sz w:val="24"/>
          <w:szCs w:val="24"/>
        </w:rPr>
        <w:t>).</w:t>
      </w:r>
    </w:p>
    <w:p w14:paraId="7B275921" w14:textId="0250BC52"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Wyndham Hotels &amp; Resorts, Inc. (2026b) Corporate responsibility report 2026. Parsippany, NJ: Wyndham Hotels &amp; Resorts, Inc. Available at: </w:t>
      </w:r>
      <w:hyperlink r:id="rId17" w:history="1">
        <w:r w:rsidRPr="00C63568">
          <w:rPr>
            <w:rStyle w:val="Hyperlink"/>
            <w:rFonts w:ascii="Arial" w:hAnsi="Arial" w:cs="Arial"/>
            <w:sz w:val="24"/>
            <w:szCs w:val="24"/>
          </w:rPr>
          <w:t>https://d1io3yog0oux5.cloudfront.net/_61658a7aadd9009fd0b37fcaebd2cbd5/wyndhamhotels/db/2300/20907/document/2026%2BWH%26R%2BCR%2BReport_Final_063026.pdf</w:t>
        </w:r>
      </w:hyperlink>
      <w:r w:rsidRPr="00C63568">
        <w:rPr>
          <w:rFonts w:ascii="Arial" w:hAnsi="Arial" w:cs="Arial"/>
          <w:sz w:val="24"/>
          <w:szCs w:val="24"/>
        </w:rPr>
        <w:t xml:space="preserve"> (</w:t>
      </w:r>
      <w:r w:rsidR="00C63568" w:rsidRPr="00C63568">
        <w:rPr>
          <w:rFonts w:ascii="Arial" w:hAnsi="Arial" w:cs="Arial"/>
          <w:sz w:val="24"/>
          <w:szCs w:val="24"/>
        </w:rPr>
        <w:t>Accessed: 13 July 2026</w:t>
      </w:r>
      <w:r w:rsidRPr="00C63568">
        <w:rPr>
          <w:rFonts w:ascii="Arial" w:hAnsi="Arial" w:cs="Arial"/>
          <w:sz w:val="24"/>
          <w:szCs w:val="24"/>
        </w:rPr>
        <w:t>).</w:t>
      </w:r>
    </w:p>
    <w:p w14:paraId="2F934DEF" w14:textId="59DFBC41" w:rsidR="000D5E2E" w:rsidRPr="00C63568" w:rsidRDefault="000D5E2E" w:rsidP="000D5E2E">
      <w:pPr>
        <w:spacing w:line="360" w:lineRule="auto"/>
        <w:jc w:val="both"/>
        <w:rPr>
          <w:rFonts w:ascii="Arial" w:hAnsi="Arial" w:cs="Arial"/>
          <w:sz w:val="24"/>
          <w:szCs w:val="24"/>
        </w:rPr>
      </w:pPr>
      <w:r w:rsidRPr="00C63568">
        <w:rPr>
          <w:rFonts w:ascii="Arial" w:hAnsi="Arial" w:cs="Arial"/>
          <w:sz w:val="24"/>
          <w:szCs w:val="24"/>
        </w:rPr>
        <w:t xml:space="preserve">Wyndham Hotels &amp; Resorts, Inc. (n.d.) Corporate responsibility documents’, Wyndham Hotels &amp; Resorts Investor Relations. Available at: </w:t>
      </w:r>
      <w:hyperlink r:id="rId18" w:history="1">
        <w:r w:rsidRPr="00C63568">
          <w:rPr>
            <w:rStyle w:val="Hyperlink"/>
            <w:rFonts w:ascii="Arial" w:hAnsi="Arial" w:cs="Arial"/>
            <w:sz w:val="24"/>
            <w:szCs w:val="24"/>
          </w:rPr>
          <w:t>https://investor.wyndhamhotels.com/corporate-responsibility/corporate-responsibility-documents</w:t>
        </w:r>
      </w:hyperlink>
      <w:r w:rsidRPr="00C63568">
        <w:rPr>
          <w:rFonts w:ascii="Arial" w:hAnsi="Arial" w:cs="Arial"/>
          <w:sz w:val="24"/>
          <w:szCs w:val="24"/>
        </w:rPr>
        <w:t xml:space="preserve"> (</w:t>
      </w:r>
      <w:r w:rsidR="00C63568" w:rsidRPr="00C63568">
        <w:rPr>
          <w:rFonts w:ascii="Arial" w:hAnsi="Arial" w:cs="Arial"/>
          <w:sz w:val="24"/>
          <w:szCs w:val="24"/>
        </w:rPr>
        <w:t>Accessed: 13 July 2026</w:t>
      </w:r>
      <w:r w:rsidRPr="00C63568">
        <w:rPr>
          <w:rFonts w:ascii="Arial" w:hAnsi="Arial" w:cs="Arial"/>
          <w:sz w:val="24"/>
          <w:szCs w:val="24"/>
        </w:rPr>
        <w:t>).</w:t>
      </w:r>
    </w:p>
    <w:p w14:paraId="6AF21605" w14:textId="77777777" w:rsidR="009B66EE" w:rsidRPr="00C63568" w:rsidRDefault="009B66EE" w:rsidP="009B66EE">
      <w:pPr>
        <w:spacing w:line="360" w:lineRule="auto"/>
        <w:jc w:val="both"/>
        <w:rPr>
          <w:rFonts w:ascii="Arial" w:hAnsi="Arial" w:cs="Arial"/>
          <w:sz w:val="24"/>
          <w:szCs w:val="24"/>
        </w:rPr>
      </w:pPr>
    </w:p>
    <w:p w14:paraId="0F85ACD3" w14:textId="77777777" w:rsidR="00C97543" w:rsidRPr="00C63568" w:rsidRDefault="00C97543" w:rsidP="009B66EE">
      <w:pPr>
        <w:spacing w:line="360" w:lineRule="auto"/>
        <w:jc w:val="both"/>
        <w:rPr>
          <w:rFonts w:ascii="Arial" w:hAnsi="Arial" w:cs="Arial"/>
          <w:sz w:val="24"/>
          <w:szCs w:val="24"/>
        </w:rPr>
      </w:pPr>
    </w:p>
    <w:p w14:paraId="2225F7E8" w14:textId="77777777" w:rsidR="00115F8C" w:rsidRPr="00C63568" w:rsidRDefault="00115F8C" w:rsidP="00160CEE">
      <w:pPr>
        <w:spacing w:line="360" w:lineRule="auto"/>
        <w:jc w:val="both"/>
        <w:rPr>
          <w:rFonts w:ascii="Arial" w:hAnsi="Arial" w:cs="Arial"/>
          <w:sz w:val="24"/>
          <w:szCs w:val="24"/>
        </w:rPr>
      </w:pPr>
    </w:p>
    <w:p w14:paraId="59493E23" w14:textId="77777777" w:rsidR="000D5E2E" w:rsidRPr="00C63568" w:rsidRDefault="000D5E2E" w:rsidP="00160CEE">
      <w:pPr>
        <w:spacing w:line="360" w:lineRule="auto"/>
        <w:jc w:val="both"/>
        <w:rPr>
          <w:rFonts w:ascii="Arial" w:hAnsi="Arial" w:cs="Arial"/>
          <w:sz w:val="24"/>
          <w:szCs w:val="24"/>
        </w:rPr>
      </w:pPr>
    </w:p>
    <w:p w14:paraId="0FD73BE6" w14:textId="77777777" w:rsidR="000D5E2E" w:rsidRPr="00C63568" w:rsidRDefault="000D5E2E" w:rsidP="00160CEE">
      <w:pPr>
        <w:spacing w:line="360" w:lineRule="auto"/>
        <w:jc w:val="both"/>
        <w:rPr>
          <w:rFonts w:ascii="Arial" w:hAnsi="Arial" w:cs="Arial"/>
          <w:sz w:val="24"/>
          <w:szCs w:val="24"/>
        </w:rPr>
      </w:pPr>
    </w:p>
    <w:p w14:paraId="583E69A5" w14:textId="77777777" w:rsidR="000D5E2E" w:rsidRPr="00C63568" w:rsidRDefault="000D5E2E" w:rsidP="00160CEE">
      <w:pPr>
        <w:spacing w:line="360" w:lineRule="auto"/>
        <w:jc w:val="both"/>
        <w:rPr>
          <w:rFonts w:ascii="Arial" w:hAnsi="Arial" w:cs="Arial"/>
          <w:sz w:val="24"/>
          <w:szCs w:val="24"/>
        </w:rPr>
      </w:pPr>
    </w:p>
    <w:p w14:paraId="4092D209" w14:textId="77777777" w:rsidR="000D5E2E" w:rsidRPr="00C63568" w:rsidRDefault="000D5E2E" w:rsidP="00160CEE">
      <w:pPr>
        <w:spacing w:line="360" w:lineRule="auto"/>
        <w:jc w:val="both"/>
        <w:rPr>
          <w:rFonts w:ascii="Arial" w:hAnsi="Arial" w:cs="Arial"/>
          <w:sz w:val="24"/>
          <w:szCs w:val="24"/>
        </w:rPr>
      </w:pPr>
    </w:p>
    <w:p w14:paraId="4DF7910E" w14:textId="77777777" w:rsidR="000D5E2E" w:rsidRPr="00C63568" w:rsidRDefault="000D5E2E" w:rsidP="00160CEE">
      <w:pPr>
        <w:spacing w:line="360" w:lineRule="auto"/>
        <w:jc w:val="both"/>
        <w:rPr>
          <w:rFonts w:ascii="Arial" w:hAnsi="Arial" w:cs="Arial"/>
          <w:sz w:val="24"/>
          <w:szCs w:val="24"/>
        </w:rPr>
      </w:pPr>
    </w:p>
    <w:p w14:paraId="5459D45F" w14:textId="77777777" w:rsidR="000D5E2E" w:rsidRPr="00C63568" w:rsidRDefault="000D5E2E" w:rsidP="00160CEE">
      <w:pPr>
        <w:spacing w:line="360" w:lineRule="auto"/>
        <w:jc w:val="both"/>
        <w:rPr>
          <w:rFonts w:ascii="Arial" w:hAnsi="Arial" w:cs="Arial"/>
          <w:sz w:val="24"/>
          <w:szCs w:val="24"/>
        </w:rPr>
      </w:pPr>
    </w:p>
    <w:p w14:paraId="3A88F157" w14:textId="77777777" w:rsidR="00115F8C" w:rsidRPr="00C63568" w:rsidRDefault="00115F8C" w:rsidP="00160CEE">
      <w:pPr>
        <w:spacing w:line="360" w:lineRule="auto"/>
        <w:jc w:val="both"/>
        <w:rPr>
          <w:rFonts w:ascii="Arial" w:hAnsi="Arial" w:cs="Arial"/>
          <w:sz w:val="24"/>
          <w:szCs w:val="24"/>
        </w:rPr>
      </w:pPr>
    </w:p>
    <w:p w14:paraId="769FC40F" w14:textId="77777777" w:rsidR="00160CEE" w:rsidRPr="00C63568" w:rsidRDefault="00160CEE" w:rsidP="00740735">
      <w:pPr>
        <w:pStyle w:val="Heading1"/>
        <w:spacing w:line="360" w:lineRule="auto"/>
        <w:rPr>
          <w:rFonts w:ascii="Arial" w:hAnsi="Arial" w:cs="Arial"/>
          <w:sz w:val="24"/>
          <w:szCs w:val="24"/>
        </w:rPr>
      </w:pPr>
      <w:bookmarkStart w:id="27" w:name="_Toc235706423"/>
      <w:r w:rsidRPr="00C63568">
        <w:rPr>
          <w:rFonts w:ascii="Arial" w:hAnsi="Arial" w:cs="Arial"/>
          <w:sz w:val="24"/>
          <w:szCs w:val="24"/>
        </w:rPr>
        <w:lastRenderedPageBreak/>
        <w:t>Appendices</w:t>
      </w:r>
      <w:bookmarkEnd w:id="27"/>
    </w:p>
    <w:p w14:paraId="6A3174A0" w14:textId="77777777" w:rsidR="00160CEE" w:rsidRPr="00C63568" w:rsidRDefault="00160CEE" w:rsidP="00740735">
      <w:pPr>
        <w:pStyle w:val="Heading2"/>
        <w:spacing w:line="360" w:lineRule="auto"/>
        <w:rPr>
          <w:rFonts w:ascii="Arial" w:hAnsi="Arial" w:cs="Arial"/>
          <w:sz w:val="24"/>
          <w:szCs w:val="24"/>
        </w:rPr>
      </w:pPr>
      <w:bookmarkStart w:id="28" w:name="_Toc235706424"/>
      <w:r w:rsidRPr="00C63568">
        <w:rPr>
          <w:rFonts w:ascii="Arial" w:hAnsi="Arial" w:cs="Arial"/>
          <w:sz w:val="24"/>
          <w:szCs w:val="24"/>
        </w:rPr>
        <w:t>Appendix A: Five-Year Financial-Statement Summary</w:t>
      </w:r>
      <w:bookmarkEnd w:id="28"/>
    </w:p>
    <w:tbl>
      <w:tblPr>
        <w:tblW w:w="0" w:type="auto"/>
        <w:tblLook w:val="04A0" w:firstRow="1" w:lastRow="0" w:firstColumn="1" w:lastColumn="0" w:noHBand="0" w:noVBand="1"/>
      </w:tblPr>
      <w:tblGrid>
        <w:gridCol w:w="3364"/>
        <w:gridCol w:w="816"/>
        <w:gridCol w:w="925"/>
        <w:gridCol w:w="925"/>
        <w:gridCol w:w="925"/>
        <w:gridCol w:w="925"/>
        <w:gridCol w:w="925"/>
        <w:gridCol w:w="221"/>
      </w:tblGrid>
      <w:tr w:rsidR="00160CEE" w:rsidRPr="00C63568" w14:paraId="45DB8920" w14:textId="77777777" w:rsidTr="00160CEE">
        <w:trPr>
          <w:trHeight w:val="471"/>
        </w:trPr>
        <w:tc>
          <w:tcPr>
            <w:tcW w:w="0" w:type="auto"/>
            <w:gridSpan w:val="8"/>
            <w:tcBorders>
              <w:top w:val="nil"/>
              <w:left w:val="nil"/>
              <w:bottom w:val="nil"/>
              <w:right w:val="nil"/>
            </w:tcBorders>
            <w:shd w:val="clear" w:color="000000" w:fill="17365D"/>
            <w:noWrap/>
            <w:vAlign w:val="center"/>
            <w:hideMark/>
          </w:tcPr>
          <w:p w14:paraId="76556A4A" w14:textId="77777777" w:rsidR="00160CEE" w:rsidRPr="00C63568" w:rsidRDefault="00160CEE" w:rsidP="00740735">
            <w:pPr>
              <w:spacing w:after="0" w:line="360" w:lineRule="auto"/>
              <w:rPr>
                <w:rFonts w:ascii="Arial" w:eastAsia="Times New Roman" w:hAnsi="Arial" w:cs="Arial"/>
                <w:b/>
                <w:bCs/>
                <w:color w:val="FFFFFF"/>
                <w:sz w:val="24"/>
                <w:szCs w:val="24"/>
              </w:rPr>
            </w:pPr>
            <w:r w:rsidRPr="00C63568">
              <w:rPr>
                <w:rFonts w:ascii="Arial" w:eastAsia="Times New Roman" w:hAnsi="Arial" w:cs="Arial"/>
                <w:b/>
                <w:bCs/>
                <w:color w:val="FFFFFF"/>
                <w:sz w:val="24"/>
                <w:szCs w:val="24"/>
              </w:rPr>
              <w:t>Wyndham Hotels &amp; Resorts — Audited Financial Data (US$ millions unless stated)</w:t>
            </w:r>
          </w:p>
        </w:tc>
      </w:tr>
      <w:tr w:rsidR="00160CEE" w:rsidRPr="00C63568" w14:paraId="5287CEC0" w14:textId="77777777" w:rsidTr="00160CEE">
        <w:trPr>
          <w:trHeight w:val="290"/>
        </w:trPr>
        <w:tc>
          <w:tcPr>
            <w:tcW w:w="0" w:type="auto"/>
            <w:tcBorders>
              <w:top w:val="nil"/>
              <w:left w:val="nil"/>
              <w:bottom w:val="nil"/>
              <w:right w:val="nil"/>
            </w:tcBorders>
            <w:noWrap/>
            <w:vAlign w:val="center"/>
            <w:hideMark/>
          </w:tcPr>
          <w:p w14:paraId="12286E5D" w14:textId="77777777" w:rsidR="00160CEE" w:rsidRPr="00C63568" w:rsidRDefault="00160CEE" w:rsidP="00740735">
            <w:pPr>
              <w:spacing w:after="0" w:line="360" w:lineRule="auto"/>
              <w:rPr>
                <w:rFonts w:ascii="Arial" w:eastAsia="Times New Roman" w:hAnsi="Arial" w:cs="Arial"/>
                <w:b/>
                <w:bCs/>
                <w:color w:val="FFFFFF"/>
                <w:sz w:val="24"/>
                <w:szCs w:val="24"/>
              </w:rPr>
            </w:pPr>
          </w:p>
        </w:tc>
        <w:tc>
          <w:tcPr>
            <w:tcW w:w="0" w:type="auto"/>
            <w:tcBorders>
              <w:top w:val="nil"/>
              <w:left w:val="nil"/>
              <w:bottom w:val="nil"/>
              <w:right w:val="nil"/>
            </w:tcBorders>
            <w:noWrap/>
            <w:vAlign w:val="center"/>
            <w:hideMark/>
          </w:tcPr>
          <w:p w14:paraId="341EA22E"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center"/>
            <w:hideMark/>
          </w:tcPr>
          <w:p w14:paraId="164081A0"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center"/>
            <w:hideMark/>
          </w:tcPr>
          <w:p w14:paraId="43B99278"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center"/>
            <w:hideMark/>
          </w:tcPr>
          <w:p w14:paraId="4134DA0A"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center"/>
            <w:hideMark/>
          </w:tcPr>
          <w:p w14:paraId="239D804F"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center"/>
            <w:hideMark/>
          </w:tcPr>
          <w:p w14:paraId="6C5025E5"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center"/>
            <w:hideMark/>
          </w:tcPr>
          <w:p w14:paraId="59CAC22B" w14:textId="77777777" w:rsidR="00160CEE" w:rsidRPr="00C63568" w:rsidRDefault="00160CEE" w:rsidP="00740735">
            <w:pPr>
              <w:spacing w:after="0" w:line="360" w:lineRule="auto"/>
              <w:rPr>
                <w:rFonts w:ascii="Arial" w:eastAsia="Times New Roman" w:hAnsi="Arial" w:cs="Arial"/>
                <w:sz w:val="24"/>
                <w:szCs w:val="24"/>
              </w:rPr>
            </w:pPr>
          </w:p>
        </w:tc>
      </w:tr>
      <w:tr w:rsidR="00160CEE" w:rsidRPr="00C63568" w14:paraId="50B0DA3F" w14:textId="77777777" w:rsidTr="00160CEE">
        <w:trPr>
          <w:gridAfter w:val="1"/>
          <w:trHeight w:val="290"/>
        </w:trPr>
        <w:tc>
          <w:tcPr>
            <w:tcW w:w="0" w:type="auto"/>
            <w:tcBorders>
              <w:top w:val="nil"/>
              <w:left w:val="nil"/>
              <w:bottom w:val="nil"/>
              <w:right w:val="nil"/>
            </w:tcBorders>
            <w:shd w:val="clear" w:color="000000" w:fill="D9EAF7"/>
            <w:vAlign w:val="center"/>
            <w:hideMark/>
          </w:tcPr>
          <w:p w14:paraId="3F138181"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Financial statement item</w:t>
            </w:r>
          </w:p>
        </w:tc>
        <w:tc>
          <w:tcPr>
            <w:tcW w:w="0" w:type="auto"/>
            <w:tcBorders>
              <w:top w:val="nil"/>
              <w:left w:val="nil"/>
              <w:bottom w:val="nil"/>
              <w:right w:val="nil"/>
            </w:tcBorders>
            <w:shd w:val="clear" w:color="000000" w:fill="D9EAF7"/>
            <w:vAlign w:val="center"/>
            <w:hideMark/>
          </w:tcPr>
          <w:p w14:paraId="6A5BFEF6" w14:textId="77777777" w:rsidR="00160CEE" w:rsidRPr="00C63568" w:rsidRDefault="00160CEE" w:rsidP="00740735">
            <w:pPr>
              <w:spacing w:after="0" w:line="360" w:lineRule="auto"/>
              <w:jc w:val="center"/>
              <w:rPr>
                <w:rFonts w:ascii="Arial" w:eastAsia="Times New Roman" w:hAnsi="Arial" w:cs="Arial"/>
                <w:b/>
                <w:bCs/>
                <w:color w:val="000000" w:themeColor="text1"/>
                <w:sz w:val="24"/>
                <w:szCs w:val="24"/>
              </w:rPr>
            </w:pPr>
            <w:r w:rsidRPr="00C63568">
              <w:rPr>
                <w:rFonts w:ascii="Arial" w:eastAsia="Times New Roman" w:hAnsi="Arial" w:cs="Arial"/>
                <w:b/>
                <w:bCs/>
                <w:color w:val="000000" w:themeColor="text1"/>
                <w:sz w:val="24"/>
                <w:szCs w:val="24"/>
              </w:rPr>
              <w:t>2020</w:t>
            </w:r>
          </w:p>
        </w:tc>
        <w:tc>
          <w:tcPr>
            <w:tcW w:w="0" w:type="auto"/>
            <w:tcBorders>
              <w:top w:val="nil"/>
              <w:left w:val="nil"/>
              <w:bottom w:val="nil"/>
              <w:right w:val="nil"/>
            </w:tcBorders>
            <w:shd w:val="clear" w:color="000000" w:fill="D9EAF7"/>
            <w:vAlign w:val="center"/>
            <w:hideMark/>
          </w:tcPr>
          <w:p w14:paraId="6651200C" w14:textId="77777777" w:rsidR="00160CEE" w:rsidRPr="00C63568" w:rsidRDefault="00160CEE" w:rsidP="00740735">
            <w:pPr>
              <w:spacing w:after="0" w:line="360" w:lineRule="auto"/>
              <w:jc w:val="center"/>
              <w:rPr>
                <w:rFonts w:ascii="Arial" w:eastAsia="Times New Roman" w:hAnsi="Arial" w:cs="Arial"/>
                <w:b/>
                <w:bCs/>
                <w:color w:val="000000" w:themeColor="text1"/>
                <w:sz w:val="24"/>
                <w:szCs w:val="24"/>
              </w:rPr>
            </w:pPr>
            <w:r w:rsidRPr="00C63568">
              <w:rPr>
                <w:rFonts w:ascii="Arial" w:eastAsia="Times New Roman" w:hAnsi="Arial" w:cs="Arial"/>
                <w:b/>
                <w:bCs/>
                <w:color w:val="000000" w:themeColor="text1"/>
                <w:sz w:val="24"/>
                <w:szCs w:val="24"/>
              </w:rPr>
              <w:t>2021</w:t>
            </w:r>
          </w:p>
        </w:tc>
        <w:tc>
          <w:tcPr>
            <w:tcW w:w="0" w:type="auto"/>
            <w:tcBorders>
              <w:top w:val="nil"/>
              <w:left w:val="nil"/>
              <w:bottom w:val="nil"/>
              <w:right w:val="nil"/>
            </w:tcBorders>
            <w:shd w:val="clear" w:color="000000" w:fill="D9EAF7"/>
            <w:vAlign w:val="center"/>
            <w:hideMark/>
          </w:tcPr>
          <w:p w14:paraId="51474FCA" w14:textId="77777777" w:rsidR="00160CEE" w:rsidRPr="00C63568" w:rsidRDefault="00160CEE" w:rsidP="00740735">
            <w:pPr>
              <w:spacing w:after="0" w:line="360" w:lineRule="auto"/>
              <w:jc w:val="center"/>
              <w:rPr>
                <w:rFonts w:ascii="Arial" w:eastAsia="Times New Roman" w:hAnsi="Arial" w:cs="Arial"/>
                <w:b/>
                <w:bCs/>
                <w:color w:val="000000" w:themeColor="text1"/>
                <w:sz w:val="24"/>
                <w:szCs w:val="24"/>
              </w:rPr>
            </w:pPr>
            <w:r w:rsidRPr="00C63568">
              <w:rPr>
                <w:rFonts w:ascii="Arial" w:eastAsia="Times New Roman" w:hAnsi="Arial" w:cs="Arial"/>
                <w:b/>
                <w:bCs/>
                <w:color w:val="000000" w:themeColor="text1"/>
                <w:sz w:val="24"/>
                <w:szCs w:val="24"/>
              </w:rPr>
              <w:t>2022</w:t>
            </w:r>
          </w:p>
        </w:tc>
        <w:tc>
          <w:tcPr>
            <w:tcW w:w="0" w:type="auto"/>
            <w:tcBorders>
              <w:top w:val="nil"/>
              <w:left w:val="nil"/>
              <w:bottom w:val="nil"/>
              <w:right w:val="nil"/>
            </w:tcBorders>
            <w:shd w:val="clear" w:color="000000" w:fill="D9EAF7"/>
            <w:vAlign w:val="center"/>
            <w:hideMark/>
          </w:tcPr>
          <w:p w14:paraId="37CCD3A5" w14:textId="77777777" w:rsidR="00160CEE" w:rsidRPr="00C63568" w:rsidRDefault="00160CEE" w:rsidP="00740735">
            <w:pPr>
              <w:spacing w:after="0" w:line="360" w:lineRule="auto"/>
              <w:jc w:val="center"/>
              <w:rPr>
                <w:rFonts w:ascii="Arial" w:eastAsia="Times New Roman" w:hAnsi="Arial" w:cs="Arial"/>
                <w:b/>
                <w:bCs/>
                <w:color w:val="000000" w:themeColor="text1"/>
                <w:sz w:val="24"/>
                <w:szCs w:val="24"/>
              </w:rPr>
            </w:pPr>
            <w:r w:rsidRPr="00C63568">
              <w:rPr>
                <w:rFonts w:ascii="Arial" w:eastAsia="Times New Roman" w:hAnsi="Arial" w:cs="Arial"/>
                <w:b/>
                <w:bCs/>
                <w:color w:val="000000" w:themeColor="text1"/>
                <w:sz w:val="24"/>
                <w:szCs w:val="24"/>
              </w:rPr>
              <w:t>2023</w:t>
            </w:r>
          </w:p>
        </w:tc>
        <w:tc>
          <w:tcPr>
            <w:tcW w:w="0" w:type="auto"/>
            <w:tcBorders>
              <w:top w:val="nil"/>
              <w:left w:val="nil"/>
              <w:bottom w:val="nil"/>
              <w:right w:val="nil"/>
            </w:tcBorders>
            <w:shd w:val="clear" w:color="000000" w:fill="D9EAF7"/>
            <w:vAlign w:val="center"/>
            <w:hideMark/>
          </w:tcPr>
          <w:p w14:paraId="47E043EC" w14:textId="77777777" w:rsidR="00160CEE" w:rsidRPr="00C63568" w:rsidRDefault="00160CEE" w:rsidP="00740735">
            <w:pPr>
              <w:spacing w:after="0" w:line="360" w:lineRule="auto"/>
              <w:jc w:val="center"/>
              <w:rPr>
                <w:rFonts w:ascii="Arial" w:eastAsia="Times New Roman" w:hAnsi="Arial" w:cs="Arial"/>
                <w:b/>
                <w:bCs/>
                <w:color w:val="000000" w:themeColor="text1"/>
                <w:sz w:val="24"/>
                <w:szCs w:val="24"/>
              </w:rPr>
            </w:pPr>
            <w:r w:rsidRPr="00C63568">
              <w:rPr>
                <w:rFonts w:ascii="Arial" w:eastAsia="Times New Roman" w:hAnsi="Arial" w:cs="Arial"/>
                <w:b/>
                <w:bCs/>
                <w:color w:val="000000" w:themeColor="text1"/>
                <w:sz w:val="24"/>
                <w:szCs w:val="24"/>
              </w:rPr>
              <w:t>2024</w:t>
            </w:r>
          </w:p>
        </w:tc>
        <w:tc>
          <w:tcPr>
            <w:tcW w:w="0" w:type="auto"/>
            <w:tcBorders>
              <w:top w:val="nil"/>
              <w:left w:val="nil"/>
              <w:bottom w:val="nil"/>
              <w:right w:val="nil"/>
            </w:tcBorders>
            <w:shd w:val="clear" w:color="000000" w:fill="D9EAF7"/>
            <w:vAlign w:val="center"/>
            <w:hideMark/>
          </w:tcPr>
          <w:p w14:paraId="019A8C8E" w14:textId="77777777" w:rsidR="00160CEE" w:rsidRPr="00C63568" w:rsidRDefault="00160CEE" w:rsidP="00740735">
            <w:pPr>
              <w:spacing w:after="0" w:line="360" w:lineRule="auto"/>
              <w:jc w:val="center"/>
              <w:rPr>
                <w:rFonts w:ascii="Arial" w:eastAsia="Times New Roman" w:hAnsi="Arial" w:cs="Arial"/>
                <w:b/>
                <w:bCs/>
                <w:color w:val="000000" w:themeColor="text1"/>
                <w:sz w:val="24"/>
                <w:szCs w:val="24"/>
              </w:rPr>
            </w:pPr>
            <w:r w:rsidRPr="00C63568">
              <w:rPr>
                <w:rFonts w:ascii="Arial" w:eastAsia="Times New Roman" w:hAnsi="Arial" w:cs="Arial"/>
                <w:b/>
                <w:bCs/>
                <w:color w:val="000000" w:themeColor="text1"/>
                <w:sz w:val="24"/>
                <w:szCs w:val="24"/>
              </w:rPr>
              <w:t>2025</w:t>
            </w:r>
          </w:p>
        </w:tc>
      </w:tr>
      <w:tr w:rsidR="00160CEE" w:rsidRPr="00C63568" w14:paraId="3150F207" w14:textId="77777777" w:rsidTr="00160CEE">
        <w:trPr>
          <w:gridAfter w:val="1"/>
          <w:trHeight w:val="290"/>
        </w:trPr>
        <w:tc>
          <w:tcPr>
            <w:tcW w:w="0" w:type="auto"/>
            <w:tcBorders>
              <w:top w:val="nil"/>
              <w:left w:val="nil"/>
              <w:bottom w:val="nil"/>
              <w:right w:val="nil"/>
            </w:tcBorders>
            <w:noWrap/>
            <w:vAlign w:val="center"/>
            <w:hideMark/>
          </w:tcPr>
          <w:p w14:paraId="1180C6C7"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Net revenue</w:t>
            </w:r>
          </w:p>
        </w:tc>
        <w:tc>
          <w:tcPr>
            <w:tcW w:w="0" w:type="auto"/>
            <w:tcBorders>
              <w:top w:val="nil"/>
              <w:left w:val="nil"/>
              <w:bottom w:val="nil"/>
              <w:right w:val="nil"/>
            </w:tcBorders>
            <w:noWrap/>
            <w:vAlign w:val="center"/>
            <w:hideMark/>
          </w:tcPr>
          <w:p w14:paraId="14566C81"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528D4AC8"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$1,565</w:t>
            </w:r>
          </w:p>
        </w:tc>
        <w:tc>
          <w:tcPr>
            <w:tcW w:w="0" w:type="auto"/>
            <w:tcBorders>
              <w:top w:val="nil"/>
              <w:left w:val="nil"/>
              <w:bottom w:val="nil"/>
              <w:right w:val="nil"/>
            </w:tcBorders>
            <w:noWrap/>
            <w:vAlign w:val="center"/>
            <w:hideMark/>
          </w:tcPr>
          <w:p w14:paraId="117AC429"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$1,498</w:t>
            </w:r>
          </w:p>
        </w:tc>
        <w:tc>
          <w:tcPr>
            <w:tcW w:w="0" w:type="auto"/>
            <w:tcBorders>
              <w:top w:val="nil"/>
              <w:left w:val="nil"/>
              <w:bottom w:val="nil"/>
              <w:right w:val="nil"/>
            </w:tcBorders>
            <w:noWrap/>
            <w:vAlign w:val="center"/>
            <w:hideMark/>
          </w:tcPr>
          <w:p w14:paraId="2DC402C8"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$1,397</w:t>
            </w:r>
          </w:p>
        </w:tc>
        <w:tc>
          <w:tcPr>
            <w:tcW w:w="0" w:type="auto"/>
            <w:tcBorders>
              <w:top w:val="nil"/>
              <w:left w:val="nil"/>
              <w:bottom w:val="nil"/>
              <w:right w:val="nil"/>
            </w:tcBorders>
            <w:noWrap/>
            <w:vAlign w:val="center"/>
            <w:hideMark/>
          </w:tcPr>
          <w:p w14:paraId="53AB7AB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$1,408</w:t>
            </w:r>
          </w:p>
        </w:tc>
        <w:tc>
          <w:tcPr>
            <w:tcW w:w="0" w:type="auto"/>
            <w:tcBorders>
              <w:top w:val="nil"/>
              <w:left w:val="nil"/>
              <w:bottom w:val="nil"/>
              <w:right w:val="nil"/>
            </w:tcBorders>
            <w:noWrap/>
            <w:vAlign w:val="center"/>
            <w:hideMark/>
          </w:tcPr>
          <w:p w14:paraId="74907475"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$1,429</w:t>
            </w:r>
          </w:p>
        </w:tc>
      </w:tr>
      <w:tr w:rsidR="00160CEE" w:rsidRPr="00C63568" w14:paraId="460C367D" w14:textId="77777777" w:rsidTr="00160CEE">
        <w:trPr>
          <w:gridAfter w:val="1"/>
          <w:trHeight w:val="290"/>
        </w:trPr>
        <w:tc>
          <w:tcPr>
            <w:tcW w:w="0" w:type="auto"/>
            <w:tcBorders>
              <w:top w:val="nil"/>
              <w:left w:val="nil"/>
              <w:bottom w:val="nil"/>
              <w:right w:val="nil"/>
            </w:tcBorders>
            <w:noWrap/>
            <w:vAlign w:val="center"/>
            <w:hideMark/>
          </w:tcPr>
          <w:p w14:paraId="0961B8EF"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Operating income</w:t>
            </w:r>
          </w:p>
        </w:tc>
        <w:tc>
          <w:tcPr>
            <w:tcW w:w="0" w:type="auto"/>
            <w:tcBorders>
              <w:top w:val="nil"/>
              <w:left w:val="nil"/>
              <w:bottom w:val="nil"/>
              <w:right w:val="nil"/>
            </w:tcBorders>
            <w:noWrap/>
            <w:vAlign w:val="center"/>
            <w:hideMark/>
          </w:tcPr>
          <w:p w14:paraId="050059C2"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79800C0A"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$446</w:t>
            </w:r>
          </w:p>
        </w:tc>
        <w:tc>
          <w:tcPr>
            <w:tcW w:w="0" w:type="auto"/>
            <w:tcBorders>
              <w:top w:val="nil"/>
              <w:left w:val="nil"/>
              <w:bottom w:val="nil"/>
              <w:right w:val="nil"/>
            </w:tcBorders>
            <w:noWrap/>
            <w:vAlign w:val="center"/>
            <w:hideMark/>
          </w:tcPr>
          <w:p w14:paraId="405ACE0C"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$558</w:t>
            </w:r>
          </w:p>
        </w:tc>
        <w:tc>
          <w:tcPr>
            <w:tcW w:w="0" w:type="auto"/>
            <w:tcBorders>
              <w:top w:val="nil"/>
              <w:left w:val="nil"/>
              <w:bottom w:val="nil"/>
              <w:right w:val="nil"/>
            </w:tcBorders>
            <w:noWrap/>
            <w:vAlign w:val="center"/>
            <w:hideMark/>
          </w:tcPr>
          <w:p w14:paraId="769F8A48"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$503</w:t>
            </w:r>
          </w:p>
        </w:tc>
        <w:tc>
          <w:tcPr>
            <w:tcW w:w="0" w:type="auto"/>
            <w:tcBorders>
              <w:top w:val="nil"/>
              <w:left w:val="nil"/>
              <w:bottom w:val="nil"/>
              <w:right w:val="nil"/>
            </w:tcBorders>
            <w:noWrap/>
            <w:vAlign w:val="center"/>
            <w:hideMark/>
          </w:tcPr>
          <w:p w14:paraId="6188E9E2"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$495</w:t>
            </w:r>
          </w:p>
        </w:tc>
        <w:tc>
          <w:tcPr>
            <w:tcW w:w="0" w:type="auto"/>
            <w:tcBorders>
              <w:top w:val="nil"/>
              <w:left w:val="nil"/>
              <w:bottom w:val="nil"/>
              <w:right w:val="nil"/>
            </w:tcBorders>
            <w:noWrap/>
            <w:vAlign w:val="center"/>
            <w:hideMark/>
          </w:tcPr>
          <w:p w14:paraId="5C817B83"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$402</w:t>
            </w:r>
          </w:p>
        </w:tc>
      </w:tr>
      <w:tr w:rsidR="00160CEE" w:rsidRPr="00C63568" w14:paraId="69B8D755" w14:textId="77777777" w:rsidTr="00160CEE">
        <w:trPr>
          <w:gridAfter w:val="1"/>
          <w:trHeight w:val="290"/>
        </w:trPr>
        <w:tc>
          <w:tcPr>
            <w:tcW w:w="0" w:type="auto"/>
            <w:tcBorders>
              <w:top w:val="nil"/>
              <w:left w:val="nil"/>
              <w:bottom w:val="nil"/>
              <w:right w:val="nil"/>
            </w:tcBorders>
            <w:noWrap/>
            <w:vAlign w:val="center"/>
            <w:hideMark/>
          </w:tcPr>
          <w:p w14:paraId="5D93271C"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Interest expense, net</w:t>
            </w:r>
          </w:p>
        </w:tc>
        <w:tc>
          <w:tcPr>
            <w:tcW w:w="0" w:type="auto"/>
            <w:tcBorders>
              <w:top w:val="nil"/>
              <w:left w:val="nil"/>
              <w:bottom w:val="nil"/>
              <w:right w:val="nil"/>
            </w:tcBorders>
            <w:noWrap/>
            <w:vAlign w:val="center"/>
            <w:hideMark/>
          </w:tcPr>
          <w:p w14:paraId="715044DF"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2F6F07D6"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$93</w:t>
            </w:r>
          </w:p>
        </w:tc>
        <w:tc>
          <w:tcPr>
            <w:tcW w:w="0" w:type="auto"/>
            <w:tcBorders>
              <w:top w:val="nil"/>
              <w:left w:val="nil"/>
              <w:bottom w:val="nil"/>
              <w:right w:val="nil"/>
            </w:tcBorders>
            <w:noWrap/>
            <w:vAlign w:val="center"/>
            <w:hideMark/>
          </w:tcPr>
          <w:p w14:paraId="518C7B13"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$80</w:t>
            </w:r>
          </w:p>
        </w:tc>
        <w:tc>
          <w:tcPr>
            <w:tcW w:w="0" w:type="auto"/>
            <w:tcBorders>
              <w:top w:val="nil"/>
              <w:left w:val="nil"/>
              <w:bottom w:val="nil"/>
              <w:right w:val="nil"/>
            </w:tcBorders>
            <w:noWrap/>
            <w:vAlign w:val="center"/>
            <w:hideMark/>
          </w:tcPr>
          <w:p w14:paraId="155A7C0B"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$102</w:t>
            </w:r>
          </w:p>
        </w:tc>
        <w:tc>
          <w:tcPr>
            <w:tcW w:w="0" w:type="auto"/>
            <w:tcBorders>
              <w:top w:val="nil"/>
              <w:left w:val="nil"/>
              <w:bottom w:val="nil"/>
              <w:right w:val="nil"/>
            </w:tcBorders>
            <w:noWrap/>
            <w:vAlign w:val="center"/>
            <w:hideMark/>
          </w:tcPr>
          <w:p w14:paraId="4B557A4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$124</w:t>
            </w:r>
          </w:p>
        </w:tc>
        <w:tc>
          <w:tcPr>
            <w:tcW w:w="0" w:type="auto"/>
            <w:tcBorders>
              <w:top w:val="nil"/>
              <w:left w:val="nil"/>
              <w:bottom w:val="nil"/>
              <w:right w:val="nil"/>
            </w:tcBorders>
            <w:noWrap/>
            <w:vAlign w:val="center"/>
            <w:hideMark/>
          </w:tcPr>
          <w:p w14:paraId="2941C0AE"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$139</w:t>
            </w:r>
          </w:p>
        </w:tc>
      </w:tr>
      <w:tr w:rsidR="00160CEE" w:rsidRPr="00C63568" w14:paraId="5DABD5D9" w14:textId="77777777" w:rsidTr="00160CEE">
        <w:trPr>
          <w:gridAfter w:val="1"/>
          <w:trHeight w:val="290"/>
        </w:trPr>
        <w:tc>
          <w:tcPr>
            <w:tcW w:w="0" w:type="auto"/>
            <w:tcBorders>
              <w:top w:val="nil"/>
              <w:left w:val="nil"/>
              <w:bottom w:val="nil"/>
              <w:right w:val="nil"/>
            </w:tcBorders>
            <w:noWrap/>
            <w:vAlign w:val="center"/>
            <w:hideMark/>
          </w:tcPr>
          <w:p w14:paraId="7329B610"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Net income</w:t>
            </w:r>
          </w:p>
        </w:tc>
        <w:tc>
          <w:tcPr>
            <w:tcW w:w="0" w:type="auto"/>
            <w:tcBorders>
              <w:top w:val="nil"/>
              <w:left w:val="nil"/>
              <w:bottom w:val="nil"/>
              <w:right w:val="nil"/>
            </w:tcBorders>
            <w:noWrap/>
            <w:vAlign w:val="center"/>
            <w:hideMark/>
          </w:tcPr>
          <w:p w14:paraId="223A6A04"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3601EC01"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$244</w:t>
            </w:r>
          </w:p>
        </w:tc>
        <w:tc>
          <w:tcPr>
            <w:tcW w:w="0" w:type="auto"/>
            <w:tcBorders>
              <w:top w:val="nil"/>
              <w:left w:val="nil"/>
              <w:bottom w:val="nil"/>
              <w:right w:val="nil"/>
            </w:tcBorders>
            <w:noWrap/>
            <w:vAlign w:val="center"/>
            <w:hideMark/>
          </w:tcPr>
          <w:p w14:paraId="02C79FF5"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$355</w:t>
            </w:r>
          </w:p>
        </w:tc>
        <w:tc>
          <w:tcPr>
            <w:tcW w:w="0" w:type="auto"/>
            <w:tcBorders>
              <w:top w:val="nil"/>
              <w:left w:val="nil"/>
              <w:bottom w:val="nil"/>
              <w:right w:val="nil"/>
            </w:tcBorders>
            <w:noWrap/>
            <w:vAlign w:val="center"/>
            <w:hideMark/>
          </w:tcPr>
          <w:p w14:paraId="3F503952"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$289</w:t>
            </w:r>
          </w:p>
        </w:tc>
        <w:tc>
          <w:tcPr>
            <w:tcW w:w="0" w:type="auto"/>
            <w:tcBorders>
              <w:top w:val="nil"/>
              <w:left w:val="nil"/>
              <w:bottom w:val="nil"/>
              <w:right w:val="nil"/>
            </w:tcBorders>
            <w:noWrap/>
            <w:vAlign w:val="center"/>
            <w:hideMark/>
          </w:tcPr>
          <w:p w14:paraId="03B3C4EE"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$289</w:t>
            </w:r>
          </w:p>
        </w:tc>
        <w:tc>
          <w:tcPr>
            <w:tcW w:w="0" w:type="auto"/>
            <w:tcBorders>
              <w:top w:val="nil"/>
              <w:left w:val="nil"/>
              <w:bottom w:val="nil"/>
              <w:right w:val="nil"/>
            </w:tcBorders>
            <w:noWrap/>
            <w:vAlign w:val="center"/>
            <w:hideMark/>
          </w:tcPr>
          <w:p w14:paraId="2296832E"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$193</w:t>
            </w:r>
          </w:p>
        </w:tc>
      </w:tr>
      <w:tr w:rsidR="00160CEE" w:rsidRPr="00C63568" w14:paraId="6FB7E755" w14:textId="77777777" w:rsidTr="00160CEE">
        <w:trPr>
          <w:gridAfter w:val="1"/>
          <w:trHeight w:val="290"/>
        </w:trPr>
        <w:tc>
          <w:tcPr>
            <w:tcW w:w="0" w:type="auto"/>
            <w:tcBorders>
              <w:top w:val="nil"/>
              <w:left w:val="nil"/>
              <w:bottom w:val="nil"/>
              <w:right w:val="nil"/>
            </w:tcBorders>
            <w:noWrap/>
            <w:vAlign w:val="center"/>
            <w:hideMark/>
          </w:tcPr>
          <w:p w14:paraId="2437DD59"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Adjusted EBITDA</w:t>
            </w:r>
          </w:p>
        </w:tc>
        <w:tc>
          <w:tcPr>
            <w:tcW w:w="0" w:type="auto"/>
            <w:tcBorders>
              <w:top w:val="nil"/>
              <w:left w:val="nil"/>
              <w:bottom w:val="nil"/>
              <w:right w:val="nil"/>
            </w:tcBorders>
            <w:noWrap/>
            <w:vAlign w:val="center"/>
            <w:hideMark/>
          </w:tcPr>
          <w:p w14:paraId="0E335EF3"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63CE4BEB"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$590</w:t>
            </w:r>
          </w:p>
        </w:tc>
        <w:tc>
          <w:tcPr>
            <w:tcW w:w="0" w:type="auto"/>
            <w:tcBorders>
              <w:top w:val="nil"/>
              <w:left w:val="nil"/>
              <w:bottom w:val="nil"/>
              <w:right w:val="nil"/>
            </w:tcBorders>
            <w:noWrap/>
            <w:vAlign w:val="center"/>
            <w:hideMark/>
          </w:tcPr>
          <w:p w14:paraId="7C4366AF"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$650</w:t>
            </w:r>
          </w:p>
        </w:tc>
        <w:tc>
          <w:tcPr>
            <w:tcW w:w="0" w:type="auto"/>
            <w:tcBorders>
              <w:top w:val="nil"/>
              <w:left w:val="nil"/>
              <w:bottom w:val="nil"/>
              <w:right w:val="nil"/>
            </w:tcBorders>
            <w:noWrap/>
            <w:vAlign w:val="center"/>
            <w:hideMark/>
          </w:tcPr>
          <w:p w14:paraId="40C7527E"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$659</w:t>
            </w:r>
          </w:p>
        </w:tc>
        <w:tc>
          <w:tcPr>
            <w:tcW w:w="0" w:type="auto"/>
            <w:tcBorders>
              <w:top w:val="nil"/>
              <w:left w:val="nil"/>
              <w:bottom w:val="nil"/>
              <w:right w:val="nil"/>
            </w:tcBorders>
            <w:noWrap/>
            <w:vAlign w:val="center"/>
            <w:hideMark/>
          </w:tcPr>
          <w:p w14:paraId="39B47C9F"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$694</w:t>
            </w:r>
          </w:p>
        </w:tc>
        <w:tc>
          <w:tcPr>
            <w:tcW w:w="0" w:type="auto"/>
            <w:tcBorders>
              <w:top w:val="nil"/>
              <w:left w:val="nil"/>
              <w:bottom w:val="nil"/>
              <w:right w:val="nil"/>
            </w:tcBorders>
            <w:noWrap/>
            <w:vAlign w:val="center"/>
            <w:hideMark/>
          </w:tcPr>
          <w:p w14:paraId="5C1DB93A"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$718</w:t>
            </w:r>
          </w:p>
        </w:tc>
      </w:tr>
      <w:tr w:rsidR="00160CEE" w:rsidRPr="00C63568" w14:paraId="0B245B4E" w14:textId="77777777" w:rsidTr="00160CEE">
        <w:trPr>
          <w:gridAfter w:val="1"/>
          <w:trHeight w:val="290"/>
        </w:trPr>
        <w:tc>
          <w:tcPr>
            <w:tcW w:w="0" w:type="auto"/>
            <w:tcBorders>
              <w:top w:val="nil"/>
              <w:left w:val="nil"/>
              <w:bottom w:val="nil"/>
              <w:right w:val="nil"/>
            </w:tcBorders>
            <w:noWrap/>
            <w:vAlign w:val="center"/>
            <w:hideMark/>
          </w:tcPr>
          <w:p w14:paraId="7D329A97"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Diluted EPS</w:t>
            </w:r>
          </w:p>
        </w:tc>
        <w:tc>
          <w:tcPr>
            <w:tcW w:w="0" w:type="auto"/>
            <w:tcBorders>
              <w:top w:val="nil"/>
              <w:left w:val="nil"/>
              <w:bottom w:val="nil"/>
              <w:right w:val="nil"/>
            </w:tcBorders>
            <w:noWrap/>
            <w:vAlign w:val="center"/>
            <w:hideMark/>
          </w:tcPr>
          <w:p w14:paraId="196196A8"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4FDD71F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$2.60</w:t>
            </w:r>
          </w:p>
        </w:tc>
        <w:tc>
          <w:tcPr>
            <w:tcW w:w="0" w:type="auto"/>
            <w:tcBorders>
              <w:top w:val="nil"/>
              <w:left w:val="nil"/>
              <w:bottom w:val="nil"/>
              <w:right w:val="nil"/>
            </w:tcBorders>
            <w:noWrap/>
            <w:vAlign w:val="center"/>
            <w:hideMark/>
          </w:tcPr>
          <w:p w14:paraId="7D6AD145"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$3.91</w:t>
            </w:r>
          </w:p>
        </w:tc>
        <w:tc>
          <w:tcPr>
            <w:tcW w:w="0" w:type="auto"/>
            <w:tcBorders>
              <w:top w:val="nil"/>
              <w:left w:val="nil"/>
              <w:bottom w:val="nil"/>
              <w:right w:val="nil"/>
            </w:tcBorders>
            <w:noWrap/>
            <w:vAlign w:val="center"/>
            <w:hideMark/>
          </w:tcPr>
          <w:p w14:paraId="05EB4685"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$3.41</w:t>
            </w:r>
          </w:p>
        </w:tc>
        <w:tc>
          <w:tcPr>
            <w:tcW w:w="0" w:type="auto"/>
            <w:tcBorders>
              <w:top w:val="nil"/>
              <w:left w:val="nil"/>
              <w:bottom w:val="nil"/>
              <w:right w:val="nil"/>
            </w:tcBorders>
            <w:noWrap/>
            <w:vAlign w:val="center"/>
            <w:hideMark/>
          </w:tcPr>
          <w:p w14:paraId="2DFD18EF"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$3.61</w:t>
            </w:r>
          </w:p>
        </w:tc>
        <w:tc>
          <w:tcPr>
            <w:tcW w:w="0" w:type="auto"/>
            <w:tcBorders>
              <w:top w:val="nil"/>
              <w:left w:val="nil"/>
              <w:bottom w:val="nil"/>
              <w:right w:val="nil"/>
            </w:tcBorders>
            <w:noWrap/>
            <w:vAlign w:val="center"/>
            <w:hideMark/>
          </w:tcPr>
          <w:p w14:paraId="61B260A3"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$2.50</w:t>
            </w:r>
          </w:p>
        </w:tc>
      </w:tr>
      <w:tr w:rsidR="00160CEE" w:rsidRPr="00C63568" w14:paraId="4040C05B" w14:textId="77777777" w:rsidTr="00160CEE">
        <w:trPr>
          <w:gridAfter w:val="1"/>
          <w:trHeight w:val="290"/>
        </w:trPr>
        <w:tc>
          <w:tcPr>
            <w:tcW w:w="0" w:type="auto"/>
            <w:tcBorders>
              <w:top w:val="nil"/>
              <w:left w:val="nil"/>
              <w:bottom w:val="nil"/>
              <w:right w:val="nil"/>
            </w:tcBorders>
            <w:noWrap/>
            <w:vAlign w:val="center"/>
            <w:hideMark/>
          </w:tcPr>
          <w:p w14:paraId="0CCF8373"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Dividend declared per share</w:t>
            </w:r>
          </w:p>
        </w:tc>
        <w:tc>
          <w:tcPr>
            <w:tcW w:w="0" w:type="auto"/>
            <w:tcBorders>
              <w:top w:val="nil"/>
              <w:left w:val="nil"/>
              <w:bottom w:val="nil"/>
              <w:right w:val="nil"/>
            </w:tcBorders>
            <w:noWrap/>
            <w:vAlign w:val="center"/>
            <w:hideMark/>
          </w:tcPr>
          <w:p w14:paraId="0FF28A87"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66B915E9"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$0.88</w:t>
            </w:r>
          </w:p>
        </w:tc>
        <w:tc>
          <w:tcPr>
            <w:tcW w:w="0" w:type="auto"/>
            <w:tcBorders>
              <w:top w:val="nil"/>
              <w:left w:val="nil"/>
              <w:bottom w:val="nil"/>
              <w:right w:val="nil"/>
            </w:tcBorders>
            <w:noWrap/>
            <w:vAlign w:val="center"/>
            <w:hideMark/>
          </w:tcPr>
          <w:p w14:paraId="658A86A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$1.28</w:t>
            </w:r>
          </w:p>
        </w:tc>
        <w:tc>
          <w:tcPr>
            <w:tcW w:w="0" w:type="auto"/>
            <w:tcBorders>
              <w:top w:val="nil"/>
              <w:left w:val="nil"/>
              <w:bottom w:val="nil"/>
              <w:right w:val="nil"/>
            </w:tcBorders>
            <w:noWrap/>
            <w:vAlign w:val="center"/>
            <w:hideMark/>
          </w:tcPr>
          <w:p w14:paraId="0E5D7E6E"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$1.40</w:t>
            </w:r>
          </w:p>
        </w:tc>
        <w:tc>
          <w:tcPr>
            <w:tcW w:w="0" w:type="auto"/>
            <w:tcBorders>
              <w:top w:val="nil"/>
              <w:left w:val="nil"/>
              <w:bottom w:val="nil"/>
              <w:right w:val="nil"/>
            </w:tcBorders>
            <w:noWrap/>
            <w:vAlign w:val="center"/>
            <w:hideMark/>
          </w:tcPr>
          <w:p w14:paraId="33C804CC"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$1.52</w:t>
            </w:r>
          </w:p>
        </w:tc>
        <w:tc>
          <w:tcPr>
            <w:tcW w:w="0" w:type="auto"/>
            <w:tcBorders>
              <w:top w:val="nil"/>
              <w:left w:val="nil"/>
              <w:bottom w:val="nil"/>
              <w:right w:val="nil"/>
            </w:tcBorders>
            <w:noWrap/>
            <w:vAlign w:val="center"/>
            <w:hideMark/>
          </w:tcPr>
          <w:p w14:paraId="1B6CE0DA"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$1.64</w:t>
            </w:r>
          </w:p>
        </w:tc>
      </w:tr>
      <w:tr w:rsidR="00160CEE" w:rsidRPr="00C63568" w14:paraId="20359A06" w14:textId="77777777" w:rsidTr="00160CEE">
        <w:trPr>
          <w:gridAfter w:val="1"/>
          <w:trHeight w:val="290"/>
        </w:trPr>
        <w:tc>
          <w:tcPr>
            <w:tcW w:w="0" w:type="auto"/>
            <w:tcBorders>
              <w:top w:val="nil"/>
              <w:left w:val="nil"/>
              <w:bottom w:val="nil"/>
              <w:right w:val="nil"/>
            </w:tcBorders>
            <w:noWrap/>
            <w:vAlign w:val="center"/>
            <w:hideMark/>
          </w:tcPr>
          <w:p w14:paraId="0F2035C8"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center"/>
            <w:hideMark/>
          </w:tcPr>
          <w:p w14:paraId="61BC0183"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0492DFDA"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11A258D5"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1C36A46B"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774E69D2"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163E8C09"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r>
      <w:tr w:rsidR="00160CEE" w:rsidRPr="00C63568" w14:paraId="18089769" w14:textId="77777777" w:rsidTr="00160CEE">
        <w:trPr>
          <w:gridAfter w:val="1"/>
          <w:trHeight w:val="369"/>
        </w:trPr>
        <w:tc>
          <w:tcPr>
            <w:tcW w:w="0" w:type="auto"/>
            <w:tcBorders>
              <w:top w:val="nil"/>
              <w:left w:val="nil"/>
              <w:bottom w:val="nil"/>
              <w:right w:val="nil"/>
            </w:tcBorders>
            <w:shd w:val="clear" w:color="000000" w:fill="17365D"/>
            <w:noWrap/>
            <w:vAlign w:val="center"/>
            <w:hideMark/>
          </w:tcPr>
          <w:p w14:paraId="7F5BE7F8" w14:textId="77777777" w:rsidR="00160CEE" w:rsidRPr="00C63568" w:rsidRDefault="00160CEE" w:rsidP="00740735">
            <w:pPr>
              <w:spacing w:after="0" w:line="360" w:lineRule="auto"/>
              <w:rPr>
                <w:rFonts w:ascii="Arial" w:eastAsia="Times New Roman" w:hAnsi="Arial" w:cs="Arial"/>
                <w:b/>
                <w:bCs/>
                <w:color w:val="FFFFFF"/>
                <w:sz w:val="24"/>
                <w:szCs w:val="24"/>
              </w:rPr>
            </w:pPr>
            <w:r w:rsidRPr="00C63568">
              <w:rPr>
                <w:rFonts w:ascii="Arial" w:eastAsia="Times New Roman" w:hAnsi="Arial" w:cs="Arial"/>
                <w:b/>
                <w:bCs/>
                <w:color w:val="FFFFFF"/>
                <w:sz w:val="24"/>
                <w:szCs w:val="24"/>
              </w:rPr>
              <w:t>Cash and cash equivalents</w:t>
            </w:r>
          </w:p>
        </w:tc>
        <w:tc>
          <w:tcPr>
            <w:tcW w:w="0" w:type="auto"/>
            <w:tcBorders>
              <w:top w:val="nil"/>
              <w:left w:val="nil"/>
              <w:bottom w:val="nil"/>
              <w:right w:val="nil"/>
            </w:tcBorders>
            <w:shd w:val="clear" w:color="000000" w:fill="17365D"/>
            <w:noWrap/>
            <w:vAlign w:val="center"/>
            <w:hideMark/>
          </w:tcPr>
          <w:p w14:paraId="03DF0BC9"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$493</w:t>
            </w:r>
          </w:p>
        </w:tc>
        <w:tc>
          <w:tcPr>
            <w:tcW w:w="0" w:type="auto"/>
            <w:tcBorders>
              <w:top w:val="nil"/>
              <w:left w:val="nil"/>
              <w:bottom w:val="nil"/>
              <w:right w:val="nil"/>
            </w:tcBorders>
            <w:shd w:val="clear" w:color="000000" w:fill="17365D"/>
            <w:noWrap/>
            <w:vAlign w:val="center"/>
            <w:hideMark/>
          </w:tcPr>
          <w:p w14:paraId="1ED3C6B5"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$171</w:t>
            </w:r>
          </w:p>
        </w:tc>
        <w:tc>
          <w:tcPr>
            <w:tcW w:w="0" w:type="auto"/>
            <w:tcBorders>
              <w:top w:val="nil"/>
              <w:left w:val="nil"/>
              <w:bottom w:val="nil"/>
              <w:right w:val="nil"/>
            </w:tcBorders>
            <w:shd w:val="clear" w:color="000000" w:fill="17365D"/>
            <w:noWrap/>
            <w:vAlign w:val="center"/>
            <w:hideMark/>
          </w:tcPr>
          <w:p w14:paraId="3D7AD96F"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$161</w:t>
            </w:r>
          </w:p>
        </w:tc>
        <w:tc>
          <w:tcPr>
            <w:tcW w:w="0" w:type="auto"/>
            <w:tcBorders>
              <w:top w:val="nil"/>
              <w:left w:val="nil"/>
              <w:bottom w:val="nil"/>
              <w:right w:val="nil"/>
            </w:tcBorders>
            <w:shd w:val="clear" w:color="000000" w:fill="17365D"/>
            <w:noWrap/>
            <w:vAlign w:val="center"/>
            <w:hideMark/>
          </w:tcPr>
          <w:p w14:paraId="2CF43C56"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$66</w:t>
            </w:r>
          </w:p>
        </w:tc>
        <w:tc>
          <w:tcPr>
            <w:tcW w:w="0" w:type="auto"/>
            <w:tcBorders>
              <w:top w:val="nil"/>
              <w:left w:val="nil"/>
              <w:bottom w:val="nil"/>
              <w:right w:val="nil"/>
            </w:tcBorders>
            <w:shd w:val="clear" w:color="000000" w:fill="17365D"/>
            <w:noWrap/>
            <w:vAlign w:val="center"/>
            <w:hideMark/>
          </w:tcPr>
          <w:p w14:paraId="30BB6DE2"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$103</w:t>
            </w:r>
          </w:p>
        </w:tc>
        <w:tc>
          <w:tcPr>
            <w:tcW w:w="0" w:type="auto"/>
            <w:tcBorders>
              <w:top w:val="nil"/>
              <w:left w:val="nil"/>
              <w:bottom w:val="nil"/>
              <w:right w:val="nil"/>
            </w:tcBorders>
            <w:shd w:val="clear" w:color="000000" w:fill="17365D"/>
            <w:noWrap/>
            <w:vAlign w:val="center"/>
            <w:hideMark/>
          </w:tcPr>
          <w:p w14:paraId="21734B40"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$64</w:t>
            </w:r>
          </w:p>
        </w:tc>
      </w:tr>
      <w:tr w:rsidR="00160CEE" w:rsidRPr="00C63568" w14:paraId="59299EF6" w14:textId="77777777" w:rsidTr="00160CEE">
        <w:trPr>
          <w:gridAfter w:val="1"/>
          <w:trHeight w:val="290"/>
        </w:trPr>
        <w:tc>
          <w:tcPr>
            <w:tcW w:w="0" w:type="auto"/>
            <w:tcBorders>
              <w:top w:val="nil"/>
              <w:left w:val="nil"/>
              <w:bottom w:val="nil"/>
              <w:right w:val="nil"/>
            </w:tcBorders>
            <w:noWrap/>
            <w:vAlign w:val="center"/>
            <w:hideMark/>
          </w:tcPr>
          <w:p w14:paraId="1CA548E6"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Trade receivables, net</w:t>
            </w:r>
          </w:p>
        </w:tc>
        <w:tc>
          <w:tcPr>
            <w:tcW w:w="0" w:type="auto"/>
            <w:tcBorders>
              <w:top w:val="nil"/>
              <w:left w:val="nil"/>
              <w:bottom w:val="nil"/>
              <w:right w:val="nil"/>
            </w:tcBorders>
            <w:noWrap/>
            <w:vAlign w:val="center"/>
            <w:hideMark/>
          </w:tcPr>
          <w:p w14:paraId="0BEA6A69"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$295</w:t>
            </w:r>
          </w:p>
        </w:tc>
        <w:tc>
          <w:tcPr>
            <w:tcW w:w="0" w:type="auto"/>
            <w:tcBorders>
              <w:top w:val="nil"/>
              <w:left w:val="nil"/>
              <w:bottom w:val="nil"/>
              <w:right w:val="nil"/>
            </w:tcBorders>
            <w:noWrap/>
            <w:vAlign w:val="center"/>
            <w:hideMark/>
          </w:tcPr>
          <w:p w14:paraId="3B01033B"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$246</w:t>
            </w:r>
          </w:p>
        </w:tc>
        <w:tc>
          <w:tcPr>
            <w:tcW w:w="0" w:type="auto"/>
            <w:tcBorders>
              <w:top w:val="nil"/>
              <w:left w:val="nil"/>
              <w:bottom w:val="nil"/>
              <w:right w:val="nil"/>
            </w:tcBorders>
            <w:noWrap/>
            <w:vAlign w:val="center"/>
            <w:hideMark/>
          </w:tcPr>
          <w:p w14:paraId="30E5B40B"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$234</w:t>
            </w:r>
          </w:p>
        </w:tc>
        <w:tc>
          <w:tcPr>
            <w:tcW w:w="0" w:type="auto"/>
            <w:tcBorders>
              <w:top w:val="nil"/>
              <w:left w:val="nil"/>
              <w:bottom w:val="nil"/>
              <w:right w:val="nil"/>
            </w:tcBorders>
            <w:noWrap/>
            <w:vAlign w:val="center"/>
            <w:hideMark/>
          </w:tcPr>
          <w:p w14:paraId="7738DA04"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$241</w:t>
            </w:r>
          </w:p>
        </w:tc>
        <w:tc>
          <w:tcPr>
            <w:tcW w:w="0" w:type="auto"/>
            <w:tcBorders>
              <w:top w:val="nil"/>
              <w:left w:val="nil"/>
              <w:bottom w:val="nil"/>
              <w:right w:val="nil"/>
            </w:tcBorders>
            <w:noWrap/>
            <w:vAlign w:val="center"/>
            <w:hideMark/>
          </w:tcPr>
          <w:p w14:paraId="5B10CB5B"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$271</w:t>
            </w:r>
          </w:p>
        </w:tc>
        <w:tc>
          <w:tcPr>
            <w:tcW w:w="0" w:type="auto"/>
            <w:tcBorders>
              <w:top w:val="nil"/>
              <w:left w:val="nil"/>
              <w:bottom w:val="nil"/>
              <w:right w:val="nil"/>
            </w:tcBorders>
            <w:noWrap/>
            <w:vAlign w:val="center"/>
            <w:hideMark/>
          </w:tcPr>
          <w:p w14:paraId="2E563E4C"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$291</w:t>
            </w:r>
          </w:p>
        </w:tc>
      </w:tr>
      <w:tr w:rsidR="00160CEE" w:rsidRPr="00C63568" w14:paraId="19564774" w14:textId="77777777" w:rsidTr="00160CEE">
        <w:trPr>
          <w:gridAfter w:val="1"/>
          <w:trHeight w:val="290"/>
        </w:trPr>
        <w:tc>
          <w:tcPr>
            <w:tcW w:w="0" w:type="auto"/>
            <w:tcBorders>
              <w:top w:val="nil"/>
              <w:left w:val="nil"/>
              <w:bottom w:val="nil"/>
              <w:right w:val="nil"/>
            </w:tcBorders>
            <w:noWrap/>
            <w:vAlign w:val="center"/>
            <w:hideMark/>
          </w:tcPr>
          <w:p w14:paraId="2CC41D95"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Total current assets</w:t>
            </w:r>
          </w:p>
        </w:tc>
        <w:tc>
          <w:tcPr>
            <w:tcW w:w="0" w:type="auto"/>
            <w:tcBorders>
              <w:top w:val="nil"/>
              <w:left w:val="nil"/>
              <w:bottom w:val="nil"/>
              <w:right w:val="nil"/>
            </w:tcBorders>
            <w:noWrap/>
            <w:vAlign w:val="center"/>
            <w:hideMark/>
          </w:tcPr>
          <w:p w14:paraId="7AAFAB47"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$900</w:t>
            </w:r>
          </w:p>
        </w:tc>
        <w:tc>
          <w:tcPr>
            <w:tcW w:w="0" w:type="auto"/>
            <w:tcBorders>
              <w:top w:val="nil"/>
              <w:left w:val="nil"/>
              <w:bottom w:val="nil"/>
              <w:right w:val="nil"/>
            </w:tcBorders>
            <w:noWrap/>
            <w:vAlign w:val="center"/>
            <w:hideMark/>
          </w:tcPr>
          <w:p w14:paraId="404AADF1"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$720</w:t>
            </w:r>
          </w:p>
        </w:tc>
        <w:tc>
          <w:tcPr>
            <w:tcW w:w="0" w:type="auto"/>
            <w:tcBorders>
              <w:top w:val="nil"/>
              <w:left w:val="nil"/>
              <w:bottom w:val="nil"/>
              <w:right w:val="nil"/>
            </w:tcBorders>
            <w:noWrap/>
            <w:vAlign w:val="center"/>
            <w:hideMark/>
          </w:tcPr>
          <w:p w14:paraId="0BFFC6C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$545</w:t>
            </w:r>
          </w:p>
        </w:tc>
        <w:tc>
          <w:tcPr>
            <w:tcW w:w="0" w:type="auto"/>
            <w:tcBorders>
              <w:top w:val="nil"/>
              <w:left w:val="nil"/>
              <w:bottom w:val="nil"/>
              <w:right w:val="nil"/>
            </w:tcBorders>
            <w:noWrap/>
            <w:vAlign w:val="center"/>
            <w:hideMark/>
          </w:tcPr>
          <w:p w14:paraId="6E7A6E8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$373</w:t>
            </w:r>
          </w:p>
        </w:tc>
        <w:tc>
          <w:tcPr>
            <w:tcW w:w="0" w:type="auto"/>
            <w:tcBorders>
              <w:top w:val="nil"/>
              <w:left w:val="nil"/>
              <w:bottom w:val="nil"/>
              <w:right w:val="nil"/>
            </w:tcBorders>
            <w:noWrap/>
            <w:vAlign w:val="center"/>
            <w:hideMark/>
          </w:tcPr>
          <w:p w14:paraId="69F00D62"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$467</w:t>
            </w:r>
          </w:p>
        </w:tc>
        <w:tc>
          <w:tcPr>
            <w:tcW w:w="0" w:type="auto"/>
            <w:tcBorders>
              <w:top w:val="nil"/>
              <w:left w:val="nil"/>
              <w:bottom w:val="nil"/>
              <w:right w:val="nil"/>
            </w:tcBorders>
            <w:noWrap/>
            <w:vAlign w:val="center"/>
            <w:hideMark/>
          </w:tcPr>
          <w:p w14:paraId="393E53A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$435</w:t>
            </w:r>
          </w:p>
        </w:tc>
      </w:tr>
      <w:tr w:rsidR="00160CEE" w:rsidRPr="00C63568" w14:paraId="31D1773A" w14:textId="77777777" w:rsidTr="00160CEE">
        <w:trPr>
          <w:gridAfter w:val="1"/>
          <w:trHeight w:val="290"/>
        </w:trPr>
        <w:tc>
          <w:tcPr>
            <w:tcW w:w="0" w:type="auto"/>
            <w:tcBorders>
              <w:top w:val="nil"/>
              <w:left w:val="nil"/>
              <w:bottom w:val="nil"/>
              <w:right w:val="nil"/>
            </w:tcBorders>
            <w:noWrap/>
            <w:vAlign w:val="center"/>
            <w:hideMark/>
          </w:tcPr>
          <w:p w14:paraId="1DFFDE72"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Total current liabilities</w:t>
            </w:r>
          </w:p>
        </w:tc>
        <w:tc>
          <w:tcPr>
            <w:tcW w:w="0" w:type="auto"/>
            <w:tcBorders>
              <w:top w:val="nil"/>
              <w:left w:val="nil"/>
              <w:bottom w:val="nil"/>
              <w:right w:val="nil"/>
            </w:tcBorders>
            <w:noWrap/>
            <w:vAlign w:val="center"/>
            <w:hideMark/>
          </w:tcPr>
          <w:p w14:paraId="7C0582D1"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$346</w:t>
            </w:r>
          </w:p>
        </w:tc>
        <w:tc>
          <w:tcPr>
            <w:tcW w:w="0" w:type="auto"/>
            <w:tcBorders>
              <w:top w:val="nil"/>
              <w:left w:val="nil"/>
              <w:bottom w:val="nil"/>
              <w:right w:val="nil"/>
            </w:tcBorders>
            <w:noWrap/>
            <w:vAlign w:val="center"/>
            <w:hideMark/>
          </w:tcPr>
          <w:p w14:paraId="7A789019"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$397</w:t>
            </w:r>
          </w:p>
        </w:tc>
        <w:tc>
          <w:tcPr>
            <w:tcW w:w="0" w:type="auto"/>
            <w:tcBorders>
              <w:top w:val="nil"/>
              <w:left w:val="nil"/>
              <w:bottom w:val="nil"/>
              <w:right w:val="nil"/>
            </w:tcBorders>
            <w:noWrap/>
            <w:vAlign w:val="center"/>
            <w:hideMark/>
          </w:tcPr>
          <w:p w14:paraId="7E3CF8C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$406</w:t>
            </w:r>
          </w:p>
        </w:tc>
        <w:tc>
          <w:tcPr>
            <w:tcW w:w="0" w:type="auto"/>
            <w:tcBorders>
              <w:top w:val="nil"/>
              <w:left w:val="nil"/>
              <w:bottom w:val="nil"/>
              <w:right w:val="nil"/>
            </w:tcBorders>
            <w:noWrap/>
            <w:vAlign w:val="center"/>
            <w:hideMark/>
          </w:tcPr>
          <w:p w14:paraId="0421DC11"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$459</w:t>
            </w:r>
          </w:p>
        </w:tc>
        <w:tc>
          <w:tcPr>
            <w:tcW w:w="0" w:type="auto"/>
            <w:tcBorders>
              <w:top w:val="nil"/>
              <w:left w:val="nil"/>
              <w:bottom w:val="nil"/>
              <w:right w:val="nil"/>
            </w:tcBorders>
            <w:noWrap/>
            <w:vAlign w:val="center"/>
            <w:hideMark/>
          </w:tcPr>
          <w:p w14:paraId="22043AF0"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$466</w:t>
            </w:r>
          </w:p>
        </w:tc>
        <w:tc>
          <w:tcPr>
            <w:tcW w:w="0" w:type="auto"/>
            <w:tcBorders>
              <w:top w:val="nil"/>
              <w:left w:val="nil"/>
              <w:bottom w:val="nil"/>
              <w:right w:val="nil"/>
            </w:tcBorders>
            <w:noWrap/>
            <w:vAlign w:val="center"/>
            <w:hideMark/>
          </w:tcPr>
          <w:p w14:paraId="1755DCF6"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$507</w:t>
            </w:r>
          </w:p>
        </w:tc>
      </w:tr>
      <w:tr w:rsidR="00160CEE" w:rsidRPr="00C63568" w14:paraId="2350BDAA" w14:textId="77777777" w:rsidTr="00160CEE">
        <w:trPr>
          <w:gridAfter w:val="1"/>
          <w:trHeight w:val="290"/>
        </w:trPr>
        <w:tc>
          <w:tcPr>
            <w:tcW w:w="0" w:type="auto"/>
            <w:tcBorders>
              <w:top w:val="nil"/>
              <w:left w:val="nil"/>
              <w:bottom w:val="nil"/>
              <w:right w:val="nil"/>
            </w:tcBorders>
            <w:noWrap/>
            <w:vAlign w:val="center"/>
            <w:hideMark/>
          </w:tcPr>
          <w:p w14:paraId="4BD7C250"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Property and equipment, net</w:t>
            </w:r>
          </w:p>
        </w:tc>
        <w:tc>
          <w:tcPr>
            <w:tcW w:w="0" w:type="auto"/>
            <w:tcBorders>
              <w:top w:val="nil"/>
              <w:left w:val="nil"/>
              <w:bottom w:val="nil"/>
              <w:right w:val="nil"/>
            </w:tcBorders>
            <w:noWrap/>
            <w:vAlign w:val="center"/>
            <w:hideMark/>
          </w:tcPr>
          <w:p w14:paraId="2F465386"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$278</w:t>
            </w:r>
          </w:p>
        </w:tc>
        <w:tc>
          <w:tcPr>
            <w:tcW w:w="0" w:type="auto"/>
            <w:tcBorders>
              <w:top w:val="nil"/>
              <w:left w:val="nil"/>
              <w:bottom w:val="nil"/>
              <w:right w:val="nil"/>
            </w:tcBorders>
            <w:noWrap/>
            <w:vAlign w:val="center"/>
            <w:hideMark/>
          </w:tcPr>
          <w:p w14:paraId="37FF1B10"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$106</w:t>
            </w:r>
          </w:p>
        </w:tc>
        <w:tc>
          <w:tcPr>
            <w:tcW w:w="0" w:type="auto"/>
            <w:tcBorders>
              <w:top w:val="nil"/>
              <w:left w:val="nil"/>
              <w:bottom w:val="nil"/>
              <w:right w:val="nil"/>
            </w:tcBorders>
            <w:noWrap/>
            <w:vAlign w:val="center"/>
            <w:hideMark/>
          </w:tcPr>
          <w:p w14:paraId="50BE176B"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$99</w:t>
            </w:r>
          </w:p>
        </w:tc>
        <w:tc>
          <w:tcPr>
            <w:tcW w:w="0" w:type="auto"/>
            <w:tcBorders>
              <w:top w:val="nil"/>
              <w:left w:val="nil"/>
              <w:bottom w:val="nil"/>
              <w:right w:val="nil"/>
            </w:tcBorders>
            <w:noWrap/>
            <w:vAlign w:val="center"/>
            <w:hideMark/>
          </w:tcPr>
          <w:p w14:paraId="27953F36"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$88</w:t>
            </w:r>
          </w:p>
        </w:tc>
        <w:tc>
          <w:tcPr>
            <w:tcW w:w="0" w:type="auto"/>
            <w:tcBorders>
              <w:top w:val="nil"/>
              <w:left w:val="nil"/>
              <w:bottom w:val="nil"/>
              <w:right w:val="nil"/>
            </w:tcBorders>
            <w:noWrap/>
            <w:vAlign w:val="center"/>
            <w:hideMark/>
          </w:tcPr>
          <w:p w14:paraId="23A6BE34"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$94</w:t>
            </w:r>
          </w:p>
        </w:tc>
        <w:tc>
          <w:tcPr>
            <w:tcW w:w="0" w:type="auto"/>
            <w:tcBorders>
              <w:top w:val="nil"/>
              <w:left w:val="nil"/>
              <w:bottom w:val="nil"/>
              <w:right w:val="nil"/>
            </w:tcBorders>
            <w:noWrap/>
            <w:vAlign w:val="center"/>
            <w:hideMark/>
          </w:tcPr>
          <w:p w14:paraId="4EDBA496"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$104</w:t>
            </w:r>
          </w:p>
        </w:tc>
      </w:tr>
      <w:tr w:rsidR="00160CEE" w:rsidRPr="00C63568" w14:paraId="45A27737" w14:textId="77777777" w:rsidTr="00160CEE">
        <w:trPr>
          <w:gridAfter w:val="1"/>
          <w:trHeight w:val="290"/>
        </w:trPr>
        <w:tc>
          <w:tcPr>
            <w:tcW w:w="0" w:type="auto"/>
            <w:tcBorders>
              <w:top w:val="nil"/>
              <w:left w:val="nil"/>
              <w:bottom w:val="nil"/>
              <w:right w:val="nil"/>
            </w:tcBorders>
            <w:noWrap/>
            <w:vAlign w:val="center"/>
            <w:hideMark/>
          </w:tcPr>
          <w:p w14:paraId="6B88F8A0"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Total assets</w:t>
            </w:r>
          </w:p>
        </w:tc>
        <w:tc>
          <w:tcPr>
            <w:tcW w:w="0" w:type="auto"/>
            <w:tcBorders>
              <w:top w:val="nil"/>
              <w:left w:val="nil"/>
              <w:bottom w:val="nil"/>
              <w:right w:val="nil"/>
            </w:tcBorders>
            <w:noWrap/>
            <w:vAlign w:val="center"/>
            <w:hideMark/>
          </w:tcPr>
          <w:p w14:paraId="00B6F21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$4,644</w:t>
            </w:r>
          </w:p>
        </w:tc>
        <w:tc>
          <w:tcPr>
            <w:tcW w:w="0" w:type="auto"/>
            <w:tcBorders>
              <w:top w:val="nil"/>
              <w:left w:val="nil"/>
              <w:bottom w:val="nil"/>
              <w:right w:val="nil"/>
            </w:tcBorders>
            <w:noWrap/>
            <w:vAlign w:val="center"/>
            <w:hideMark/>
          </w:tcPr>
          <w:p w14:paraId="0572E9E0"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$4,269</w:t>
            </w:r>
          </w:p>
        </w:tc>
        <w:tc>
          <w:tcPr>
            <w:tcW w:w="0" w:type="auto"/>
            <w:tcBorders>
              <w:top w:val="nil"/>
              <w:left w:val="nil"/>
              <w:bottom w:val="nil"/>
              <w:right w:val="nil"/>
            </w:tcBorders>
            <w:noWrap/>
            <w:vAlign w:val="center"/>
            <w:hideMark/>
          </w:tcPr>
          <w:p w14:paraId="2482F7B7"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$4,123</w:t>
            </w:r>
          </w:p>
        </w:tc>
        <w:tc>
          <w:tcPr>
            <w:tcW w:w="0" w:type="auto"/>
            <w:tcBorders>
              <w:top w:val="nil"/>
              <w:left w:val="nil"/>
              <w:bottom w:val="nil"/>
              <w:right w:val="nil"/>
            </w:tcBorders>
            <w:noWrap/>
            <w:vAlign w:val="center"/>
            <w:hideMark/>
          </w:tcPr>
          <w:p w14:paraId="4F65F570"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$4,033</w:t>
            </w:r>
          </w:p>
        </w:tc>
        <w:tc>
          <w:tcPr>
            <w:tcW w:w="0" w:type="auto"/>
            <w:tcBorders>
              <w:top w:val="nil"/>
              <w:left w:val="nil"/>
              <w:bottom w:val="nil"/>
              <w:right w:val="nil"/>
            </w:tcBorders>
            <w:noWrap/>
            <w:vAlign w:val="center"/>
            <w:hideMark/>
          </w:tcPr>
          <w:p w14:paraId="1585AEF5"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$4,223</w:t>
            </w:r>
          </w:p>
        </w:tc>
        <w:tc>
          <w:tcPr>
            <w:tcW w:w="0" w:type="auto"/>
            <w:tcBorders>
              <w:top w:val="nil"/>
              <w:left w:val="nil"/>
              <w:bottom w:val="nil"/>
              <w:right w:val="nil"/>
            </w:tcBorders>
            <w:noWrap/>
            <w:vAlign w:val="center"/>
            <w:hideMark/>
          </w:tcPr>
          <w:p w14:paraId="44959FF5"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$4,182</w:t>
            </w:r>
          </w:p>
        </w:tc>
      </w:tr>
      <w:tr w:rsidR="00160CEE" w:rsidRPr="00C63568" w14:paraId="06726039" w14:textId="77777777" w:rsidTr="00160CEE">
        <w:trPr>
          <w:gridAfter w:val="1"/>
          <w:trHeight w:val="290"/>
        </w:trPr>
        <w:tc>
          <w:tcPr>
            <w:tcW w:w="0" w:type="auto"/>
            <w:tcBorders>
              <w:top w:val="nil"/>
              <w:left w:val="nil"/>
              <w:bottom w:val="nil"/>
              <w:right w:val="nil"/>
            </w:tcBorders>
            <w:noWrap/>
            <w:vAlign w:val="center"/>
            <w:hideMark/>
          </w:tcPr>
          <w:p w14:paraId="04C44496"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Total debt</w:t>
            </w:r>
          </w:p>
        </w:tc>
        <w:tc>
          <w:tcPr>
            <w:tcW w:w="0" w:type="auto"/>
            <w:tcBorders>
              <w:top w:val="nil"/>
              <w:left w:val="nil"/>
              <w:bottom w:val="nil"/>
              <w:right w:val="nil"/>
            </w:tcBorders>
            <w:noWrap/>
            <w:vAlign w:val="center"/>
            <w:hideMark/>
          </w:tcPr>
          <w:p w14:paraId="7887EC88"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$2,597</w:t>
            </w:r>
          </w:p>
        </w:tc>
        <w:tc>
          <w:tcPr>
            <w:tcW w:w="0" w:type="auto"/>
            <w:tcBorders>
              <w:top w:val="nil"/>
              <w:left w:val="nil"/>
              <w:bottom w:val="nil"/>
              <w:right w:val="nil"/>
            </w:tcBorders>
            <w:noWrap/>
            <w:vAlign w:val="center"/>
            <w:hideMark/>
          </w:tcPr>
          <w:p w14:paraId="118A0689"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$2,084</w:t>
            </w:r>
          </w:p>
        </w:tc>
        <w:tc>
          <w:tcPr>
            <w:tcW w:w="0" w:type="auto"/>
            <w:tcBorders>
              <w:top w:val="nil"/>
              <w:left w:val="nil"/>
              <w:bottom w:val="nil"/>
              <w:right w:val="nil"/>
            </w:tcBorders>
            <w:noWrap/>
            <w:vAlign w:val="center"/>
            <w:hideMark/>
          </w:tcPr>
          <w:p w14:paraId="7729633F"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$2,077</w:t>
            </w:r>
          </w:p>
        </w:tc>
        <w:tc>
          <w:tcPr>
            <w:tcW w:w="0" w:type="auto"/>
            <w:tcBorders>
              <w:top w:val="nil"/>
              <w:left w:val="nil"/>
              <w:bottom w:val="nil"/>
              <w:right w:val="nil"/>
            </w:tcBorders>
            <w:noWrap/>
            <w:vAlign w:val="center"/>
            <w:hideMark/>
          </w:tcPr>
          <w:p w14:paraId="09D171E9"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$2,201</w:t>
            </w:r>
          </w:p>
        </w:tc>
        <w:tc>
          <w:tcPr>
            <w:tcW w:w="0" w:type="auto"/>
            <w:tcBorders>
              <w:top w:val="nil"/>
              <w:left w:val="nil"/>
              <w:bottom w:val="nil"/>
              <w:right w:val="nil"/>
            </w:tcBorders>
            <w:noWrap/>
            <w:vAlign w:val="center"/>
            <w:hideMark/>
          </w:tcPr>
          <w:p w14:paraId="430B9B3C"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$2,463</w:t>
            </w:r>
          </w:p>
        </w:tc>
        <w:tc>
          <w:tcPr>
            <w:tcW w:w="0" w:type="auto"/>
            <w:tcBorders>
              <w:top w:val="nil"/>
              <w:left w:val="nil"/>
              <w:bottom w:val="nil"/>
              <w:right w:val="nil"/>
            </w:tcBorders>
            <w:noWrap/>
            <w:vAlign w:val="center"/>
            <w:hideMark/>
          </w:tcPr>
          <w:p w14:paraId="2F4F315A"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$2,560</w:t>
            </w:r>
          </w:p>
        </w:tc>
      </w:tr>
      <w:tr w:rsidR="00160CEE" w:rsidRPr="00C63568" w14:paraId="68A2FE96" w14:textId="77777777" w:rsidTr="00160CEE">
        <w:trPr>
          <w:gridAfter w:val="1"/>
          <w:trHeight w:val="290"/>
        </w:trPr>
        <w:tc>
          <w:tcPr>
            <w:tcW w:w="0" w:type="auto"/>
            <w:tcBorders>
              <w:top w:val="nil"/>
              <w:left w:val="nil"/>
              <w:bottom w:val="nil"/>
              <w:right w:val="nil"/>
            </w:tcBorders>
            <w:noWrap/>
            <w:vAlign w:val="center"/>
            <w:hideMark/>
          </w:tcPr>
          <w:p w14:paraId="6CE221C7"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Total liabilities</w:t>
            </w:r>
          </w:p>
        </w:tc>
        <w:tc>
          <w:tcPr>
            <w:tcW w:w="0" w:type="auto"/>
            <w:tcBorders>
              <w:top w:val="nil"/>
              <w:left w:val="nil"/>
              <w:bottom w:val="nil"/>
              <w:right w:val="nil"/>
            </w:tcBorders>
            <w:noWrap/>
            <w:vAlign w:val="center"/>
            <w:hideMark/>
          </w:tcPr>
          <w:p w14:paraId="3A36BC8A"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$3,681</w:t>
            </w:r>
          </w:p>
        </w:tc>
        <w:tc>
          <w:tcPr>
            <w:tcW w:w="0" w:type="auto"/>
            <w:tcBorders>
              <w:top w:val="nil"/>
              <w:left w:val="nil"/>
              <w:bottom w:val="nil"/>
              <w:right w:val="nil"/>
            </w:tcBorders>
            <w:noWrap/>
            <w:vAlign w:val="center"/>
            <w:hideMark/>
          </w:tcPr>
          <w:p w14:paraId="60EBCDA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$3,180</w:t>
            </w:r>
          </w:p>
        </w:tc>
        <w:tc>
          <w:tcPr>
            <w:tcW w:w="0" w:type="auto"/>
            <w:tcBorders>
              <w:top w:val="nil"/>
              <w:left w:val="nil"/>
              <w:bottom w:val="nil"/>
              <w:right w:val="nil"/>
            </w:tcBorders>
            <w:noWrap/>
            <w:vAlign w:val="center"/>
            <w:hideMark/>
          </w:tcPr>
          <w:p w14:paraId="513E53FE"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$3,161</w:t>
            </w:r>
          </w:p>
        </w:tc>
        <w:tc>
          <w:tcPr>
            <w:tcW w:w="0" w:type="auto"/>
            <w:tcBorders>
              <w:top w:val="nil"/>
              <w:left w:val="nil"/>
              <w:bottom w:val="nil"/>
              <w:right w:val="nil"/>
            </w:tcBorders>
            <w:noWrap/>
            <w:vAlign w:val="center"/>
            <w:hideMark/>
          </w:tcPr>
          <w:p w14:paraId="5F29118F"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$3,287</w:t>
            </w:r>
          </w:p>
        </w:tc>
        <w:tc>
          <w:tcPr>
            <w:tcW w:w="0" w:type="auto"/>
            <w:tcBorders>
              <w:top w:val="nil"/>
              <w:left w:val="nil"/>
              <w:bottom w:val="nil"/>
              <w:right w:val="nil"/>
            </w:tcBorders>
            <w:noWrap/>
            <w:vAlign w:val="center"/>
            <w:hideMark/>
          </w:tcPr>
          <w:p w14:paraId="4593966E"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$3,573</w:t>
            </w:r>
          </w:p>
        </w:tc>
        <w:tc>
          <w:tcPr>
            <w:tcW w:w="0" w:type="auto"/>
            <w:tcBorders>
              <w:top w:val="nil"/>
              <w:left w:val="nil"/>
              <w:bottom w:val="nil"/>
              <w:right w:val="nil"/>
            </w:tcBorders>
            <w:noWrap/>
            <w:vAlign w:val="center"/>
            <w:hideMark/>
          </w:tcPr>
          <w:p w14:paraId="49FEE0F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$3,714</w:t>
            </w:r>
          </w:p>
        </w:tc>
      </w:tr>
      <w:tr w:rsidR="00160CEE" w:rsidRPr="00C63568" w14:paraId="78A8BED1" w14:textId="77777777" w:rsidTr="00160CEE">
        <w:trPr>
          <w:gridAfter w:val="1"/>
          <w:trHeight w:val="290"/>
        </w:trPr>
        <w:tc>
          <w:tcPr>
            <w:tcW w:w="0" w:type="auto"/>
            <w:tcBorders>
              <w:top w:val="nil"/>
              <w:left w:val="nil"/>
              <w:bottom w:val="nil"/>
              <w:right w:val="nil"/>
            </w:tcBorders>
            <w:noWrap/>
            <w:vAlign w:val="center"/>
            <w:hideMark/>
          </w:tcPr>
          <w:p w14:paraId="500DAA4A"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Stockholders' equity</w:t>
            </w:r>
          </w:p>
        </w:tc>
        <w:tc>
          <w:tcPr>
            <w:tcW w:w="0" w:type="auto"/>
            <w:tcBorders>
              <w:top w:val="nil"/>
              <w:left w:val="nil"/>
              <w:bottom w:val="nil"/>
              <w:right w:val="nil"/>
            </w:tcBorders>
            <w:noWrap/>
            <w:vAlign w:val="center"/>
            <w:hideMark/>
          </w:tcPr>
          <w:p w14:paraId="374AC501"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$963</w:t>
            </w:r>
          </w:p>
        </w:tc>
        <w:tc>
          <w:tcPr>
            <w:tcW w:w="0" w:type="auto"/>
            <w:tcBorders>
              <w:top w:val="nil"/>
              <w:left w:val="nil"/>
              <w:bottom w:val="nil"/>
              <w:right w:val="nil"/>
            </w:tcBorders>
            <w:noWrap/>
            <w:vAlign w:val="center"/>
            <w:hideMark/>
          </w:tcPr>
          <w:p w14:paraId="4A749553"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$1,089</w:t>
            </w:r>
          </w:p>
        </w:tc>
        <w:tc>
          <w:tcPr>
            <w:tcW w:w="0" w:type="auto"/>
            <w:tcBorders>
              <w:top w:val="nil"/>
              <w:left w:val="nil"/>
              <w:bottom w:val="nil"/>
              <w:right w:val="nil"/>
            </w:tcBorders>
            <w:noWrap/>
            <w:vAlign w:val="center"/>
            <w:hideMark/>
          </w:tcPr>
          <w:p w14:paraId="75916272"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$962</w:t>
            </w:r>
          </w:p>
        </w:tc>
        <w:tc>
          <w:tcPr>
            <w:tcW w:w="0" w:type="auto"/>
            <w:tcBorders>
              <w:top w:val="nil"/>
              <w:left w:val="nil"/>
              <w:bottom w:val="nil"/>
              <w:right w:val="nil"/>
            </w:tcBorders>
            <w:noWrap/>
            <w:vAlign w:val="center"/>
            <w:hideMark/>
          </w:tcPr>
          <w:p w14:paraId="657AB2B0"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$746</w:t>
            </w:r>
          </w:p>
        </w:tc>
        <w:tc>
          <w:tcPr>
            <w:tcW w:w="0" w:type="auto"/>
            <w:tcBorders>
              <w:top w:val="nil"/>
              <w:left w:val="nil"/>
              <w:bottom w:val="nil"/>
              <w:right w:val="nil"/>
            </w:tcBorders>
            <w:noWrap/>
            <w:vAlign w:val="center"/>
            <w:hideMark/>
          </w:tcPr>
          <w:p w14:paraId="2F25ECC5"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$650</w:t>
            </w:r>
          </w:p>
        </w:tc>
        <w:tc>
          <w:tcPr>
            <w:tcW w:w="0" w:type="auto"/>
            <w:tcBorders>
              <w:top w:val="nil"/>
              <w:left w:val="nil"/>
              <w:bottom w:val="nil"/>
              <w:right w:val="nil"/>
            </w:tcBorders>
            <w:noWrap/>
            <w:vAlign w:val="center"/>
            <w:hideMark/>
          </w:tcPr>
          <w:p w14:paraId="5CF90B72"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$468</w:t>
            </w:r>
          </w:p>
        </w:tc>
      </w:tr>
      <w:tr w:rsidR="00160CEE" w:rsidRPr="00C63568" w14:paraId="5AEB65C0" w14:textId="77777777" w:rsidTr="00160CEE">
        <w:trPr>
          <w:gridAfter w:val="1"/>
          <w:trHeight w:val="290"/>
        </w:trPr>
        <w:tc>
          <w:tcPr>
            <w:tcW w:w="0" w:type="auto"/>
            <w:tcBorders>
              <w:top w:val="nil"/>
              <w:left w:val="nil"/>
              <w:bottom w:val="nil"/>
              <w:right w:val="nil"/>
            </w:tcBorders>
            <w:noWrap/>
            <w:vAlign w:val="center"/>
            <w:hideMark/>
          </w:tcPr>
          <w:p w14:paraId="7CAD4970"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center"/>
            <w:hideMark/>
          </w:tcPr>
          <w:p w14:paraId="1EE75516"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2BB7E929"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49789E43"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335C5E69"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799EB576"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58A46F78"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r>
      <w:tr w:rsidR="00160CEE" w:rsidRPr="00C63568" w14:paraId="43A2DFA8" w14:textId="77777777" w:rsidTr="00160CEE">
        <w:trPr>
          <w:gridAfter w:val="1"/>
          <w:trHeight w:val="369"/>
        </w:trPr>
        <w:tc>
          <w:tcPr>
            <w:tcW w:w="0" w:type="auto"/>
            <w:tcBorders>
              <w:top w:val="nil"/>
              <w:left w:val="nil"/>
              <w:bottom w:val="nil"/>
              <w:right w:val="nil"/>
            </w:tcBorders>
            <w:shd w:val="clear" w:color="000000" w:fill="17365D"/>
            <w:noWrap/>
            <w:vAlign w:val="center"/>
            <w:hideMark/>
          </w:tcPr>
          <w:p w14:paraId="318FADCA" w14:textId="77777777" w:rsidR="00160CEE" w:rsidRPr="00C63568" w:rsidRDefault="00160CEE" w:rsidP="00740735">
            <w:pPr>
              <w:spacing w:after="0" w:line="360" w:lineRule="auto"/>
              <w:rPr>
                <w:rFonts w:ascii="Arial" w:eastAsia="Times New Roman" w:hAnsi="Arial" w:cs="Arial"/>
                <w:b/>
                <w:bCs/>
                <w:color w:val="FFFFFF"/>
                <w:sz w:val="24"/>
                <w:szCs w:val="24"/>
              </w:rPr>
            </w:pPr>
            <w:r w:rsidRPr="00C63568">
              <w:rPr>
                <w:rFonts w:ascii="Arial" w:eastAsia="Times New Roman" w:hAnsi="Arial" w:cs="Arial"/>
                <w:b/>
                <w:bCs/>
                <w:color w:val="FFFFFF"/>
                <w:sz w:val="24"/>
                <w:szCs w:val="24"/>
              </w:rPr>
              <w:t>Net cash from operating activities</w:t>
            </w:r>
          </w:p>
        </w:tc>
        <w:tc>
          <w:tcPr>
            <w:tcW w:w="0" w:type="auto"/>
            <w:tcBorders>
              <w:top w:val="nil"/>
              <w:left w:val="nil"/>
              <w:bottom w:val="nil"/>
              <w:right w:val="nil"/>
            </w:tcBorders>
            <w:shd w:val="clear" w:color="000000" w:fill="17365D"/>
            <w:noWrap/>
            <w:vAlign w:val="center"/>
            <w:hideMark/>
          </w:tcPr>
          <w:p w14:paraId="700ADBAC" w14:textId="77777777" w:rsidR="00160CEE" w:rsidRPr="00C63568" w:rsidRDefault="00160CEE" w:rsidP="00740735">
            <w:pPr>
              <w:spacing w:after="0" w:line="360" w:lineRule="auto"/>
              <w:rPr>
                <w:rFonts w:ascii="Arial" w:eastAsia="Times New Roman" w:hAnsi="Arial" w:cs="Arial"/>
                <w:b/>
                <w:bCs/>
                <w:color w:val="000000" w:themeColor="text1"/>
                <w:sz w:val="24"/>
                <w:szCs w:val="24"/>
              </w:rPr>
            </w:pPr>
            <w:r w:rsidRPr="00C63568">
              <w:rPr>
                <w:rFonts w:ascii="Arial" w:eastAsia="Times New Roman" w:hAnsi="Arial" w:cs="Arial"/>
                <w:b/>
                <w:bCs/>
                <w:color w:val="000000" w:themeColor="text1"/>
                <w:sz w:val="24"/>
                <w:szCs w:val="24"/>
              </w:rPr>
              <w:t> </w:t>
            </w:r>
          </w:p>
        </w:tc>
        <w:tc>
          <w:tcPr>
            <w:tcW w:w="0" w:type="auto"/>
            <w:tcBorders>
              <w:top w:val="nil"/>
              <w:left w:val="nil"/>
              <w:bottom w:val="nil"/>
              <w:right w:val="nil"/>
            </w:tcBorders>
            <w:shd w:val="clear" w:color="000000" w:fill="17365D"/>
            <w:noWrap/>
            <w:vAlign w:val="center"/>
            <w:hideMark/>
          </w:tcPr>
          <w:p w14:paraId="6B9A45A6"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$426</w:t>
            </w:r>
          </w:p>
        </w:tc>
        <w:tc>
          <w:tcPr>
            <w:tcW w:w="0" w:type="auto"/>
            <w:tcBorders>
              <w:top w:val="nil"/>
              <w:left w:val="nil"/>
              <w:bottom w:val="nil"/>
              <w:right w:val="nil"/>
            </w:tcBorders>
            <w:shd w:val="clear" w:color="000000" w:fill="17365D"/>
            <w:noWrap/>
            <w:vAlign w:val="center"/>
            <w:hideMark/>
          </w:tcPr>
          <w:p w14:paraId="186EEE5D"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$399</w:t>
            </w:r>
          </w:p>
        </w:tc>
        <w:tc>
          <w:tcPr>
            <w:tcW w:w="0" w:type="auto"/>
            <w:tcBorders>
              <w:top w:val="nil"/>
              <w:left w:val="nil"/>
              <w:bottom w:val="nil"/>
              <w:right w:val="nil"/>
            </w:tcBorders>
            <w:shd w:val="clear" w:color="000000" w:fill="17365D"/>
            <w:noWrap/>
            <w:vAlign w:val="center"/>
            <w:hideMark/>
          </w:tcPr>
          <w:p w14:paraId="72BB1F67"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$376</w:t>
            </w:r>
          </w:p>
        </w:tc>
        <w:tc>
          <w:tcPr>
            <w:tcW w:w="0" w:type="auto"/>
            <w:tcBorders>
              <w:top w:val="nil"/>
              <w:left w:val="nil"/>
              <w:bottom w:val="nil"/>
              <w:right w:val="nil"/>
            </w:tcBorders>
            <w:shd w:val="clear" w:color="000000" w:fill="17365D"/>
            <w:noWrap/>
            <w:vAlign w:val="center"/>
            <w:hideMark/>
          </w:tcPr>
          <w:p w14:paraId="0FB0A669"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$290</w:t>
            </w:r>
          </w:p>
        </w:tc>
        <w:tc>
          <w:tcPr>
            <w:tcW w:w="0" w:type="auto"/>
            <w:tcBorders>
              <w:top w:val="nil"/>
              <w:left w:val="nil"/>
              <w:bottom w:val="nil"/>
              <w:right w:val="nil"/>
            </w:tcBorders>
            <w:shd w:val="clear" w:color="000000" w:fill="17365D"/>
            <w:noWrap/>
            <w:vAlign w:val="center"/>
            <w:hideMark/>
          </w:tcPr>
          <w:p w14:paraId="06ECC484"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$367</w:t>
            </w:r>
          </w:p>
        </w:tc>
      </w:tr>
      <w:tr w:rsidR="00160CEE" w:rsidRPr="00C63568" w14:paraId="581F1143" w14:textId="77777777" w:rsidTr="00160CEE">
        <w:trPr>
          <w:gridAfter w:val="1"/>
          <w:trHeight w:val="290"/>
        </w:trPr>
        <w:tc>
          <w:tcPr>
            <w:tcW w:w="0" w:type="auto"/>
            <w:tcBorders>
              <w:top w:val="nil"/>
              <w:left w:val="nil"/>
              <w:bottom w:val="nil"/>
              <w:right w:val="nil"/>
            </w:tcBorders>
            <w:noWrap/>
            <w:vAlign w:val="center"/>
            <w:hideMark/>
          </w:tcPr>
          <w:p w14:paraId="5A6AFA5C"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Capital expenditure</w:t>
            </w:r>
          </w:p>
        </w:tc>
        <w:tc>
          <w:tcPr>
            <w:tcW w:w="0" w:type="auto"/>
            <w:tcBorders>
              <w:top w:val="nil"/>
              <w:left w:val="nil"/>
              <w:bottom w:val="nil"/>
              <w:right w:val="nil"/>
            </w:tcBorders>
            <w:noWrap/>
            <w:vAlign w:val="center"/>
            <w:hideMark/>
          </w:tcPr>
          <w:p w14:paraId="55137C74"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679A5098"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$37</w:t>
            </w:r>
          </w:p>
        </w:tc>
        <w:tc>
          <w:tcPr>
            <w:tcW w:w="0" w:type="auto"/>
            <w:tcBorders>
              <w:top w:val="nil"/>
              <w:left w:val="nil"/>
              <w:bottom w:val="nil"/>
              <w:right w:val="nil"/>
            </w:tcBorders>
            <w:noWrap/>
            <w:vAlign w:val="center"/>
            <w:hideMark/>
          </w:tcPr>
          <w:p w14:paraId="2612CAFC"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$39</w:t>
            </w:r>
          </w:p>
        </w:tc>
        <w:tc>
          <w:tcPr>
            <w:tcW w:w="0" w:type="auto"/>
            <w:tcBorders>
              <w:top w:val="nil"/>
              <w:left w:val="nil"/>
              <w:bottom w:val="nil"/>
              <w:right w:val="nil"/>
            </w:tcBorders>
            <w:noWrap/>
            <w:vAlign w:val="center"/>
            <w:hideMark/>
          </w:tcPr>
          <w:p w14:paraId="3A01F160"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$37</w:t>
            </w:r>
          </w:p>
        </w:tc>
        <w:tc>
          <w:tcPr>
            <w:tcW w:w="0" w:type="auto"/>
            <w:tcBorders>
              <w:top w:val="nil"/>
              <w:left w:val="nil"/>
              <w:bottom w:val="nil"/>
              <w:right w:val="nil"/>
            </w:tcBorders>
            <w:noWrap/>
            <w:vAlign w:val="center"/>
            <w:hideMark/>
          </w:tcPr>
          <w:p w14:paraId="7795C2D1"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$49</w:t>
            </w:r>
          </w:p>
        </w:tc>
        <w:tc>
          <w:tcPr>
            <w:tcW w:w="0" w:type="auto"/>
            <w:tcBorders>
              <w:top w:val="nil"/>
              <w:left w:val="nil"/>
              <w:bottom w:val="nil"/>
              <w:right w:val="nil"/>
            </w:tcBorders>
            <w:noWrap/>
            <w:vAlign w:val="center"/>
            <w:hideMark/>
          </w:tcPr>
          <w:p w14:paraId="475FCF0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$46</w:t>
            </w:r>
          </w:p>
        </w:tc>
      </w:tr>
      <w:tr w:rsidR="00160CEE" w:rsidRPr="00C63568" w14:paraId="06133B3F" w14:textId="77777777" w:rsidTr="00160CEE">
        <w:trPr>
          <w:gridAfter w:val="1"/>
          <w:trHeight w:val="290"/>
        </w:trPr>
        <w:tc>
          <w:tcPr>
            <w:tcW w:w="0" w:type="auto"/>
            <w:tcBorders>
              <w:top w:val="nil"/>
              <w:left w:val="nil"/>
              <w:bottom w:val="nil"/>
              <w:right w:val="nil"/>
            </w:tcBorders>
            <w:noWrap/>
            <w:vAlign w:val="center"/>
            <w:hideMark/>
          </w:tcPr>
          <w:p w14:paraId="3AE60BEF"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Free cash flow</w:t>
            </w:r>
          </w:p>
        </w:tc>
        <w:tc>
          <w:tcPr>
            <w:tcW w:w="0" w:type="auto"/>
            <w:tcBorders>
              <w:top w:val="nil"/>
              <w:left w:val="nil"/>
              <w:bottom w:val="nil"/>
              <w:right w:val="nil"/>
            </w:tcBorders>
            <w:noWrap/>
            <w:vAlign w:val="center"/>
            <w:hideMark/>
          </w:tcPr>
          <w:p w14:paraId="2664AC70"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7F380BA4"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$389</w:t>
            </w:r>
          </w:p>
        </w:tc>
        <w:tc>
          <w:tcPr>
            <w:tcW w:w="0" w:type="auto"/>
            <w:tcBorders>
              <w:top w:val="nil"/>
              <w:left w:val="nil"/>
              <w:bottom w:val="nil"/>
              <w:right w:val="nil"/>
            </w:tcBorders>
            <w:noWrap/>
            <w:vAlign w:val="center"/>
            <w:hideMark/>
          </w:tcPr>
          <w:p w14:paraId="2423934F"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$360</w:t>
            </w:r>
          </w:p>
        </w:tc>
        <w:tc>
          <w:tcPr>
            <w:tcW w:w="0" w:type="auto"/>
            <w:tcBorders>
              <w:top w:val="nil"/>
              <w:left w:val="nil"/>
              <w:bottom w:val="nil"/>
              <w:right w:val="nil"/>
            </w:tcBorders>
            <w:noWrap/>
            <w:vAlign w:val="center"/>
            <w:hideMark/>
          </w:tcPr>
          <w:p w14:paraId="03D6F394"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$339</w:t>
            </w:r>
          </w:p>
        </w:tc>
        <w:tc>
          <w:tcPr>
            <w:tcW w:w="0" w:type="auto"/>
            <w:tcBorders>
              <w:top w:val="nil"/>
              <w:left w:val="nil"/>
              <w:bottom w:val="nil"/>
              <w:right w:val="nil"/>
            </w:tcBorders>
            <w:noWrap/>
            <w:vAlign w:val="center"/>
            <w:hideMark/>
          </w:tcPr>
          <w:p w14:paraId="684B18E1"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$241</w:t>
            </w:r>
          </w:p>
        </w:tc>
        <w:tc>
          <w:tcPr>
            <w:tcW w:w="0" w:type="auto"/>
            <w:tcBorders>
              <w:top w:val="nil"/>
              <w:left w:val="nil"/>
              <w:bottom w:val="nil"/>
              <w:right w:val="nil"/>
            </w:tcBorders>
            <w:noWrap/>
            <w:vAlign w:val="center"/>
            <w:hideMark/>
          </w:tcPr>
          <w:p w14:paraId="24065EB6"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$321</w:t>
            </w:r>
          </w:p>
        </w:tc>
      </w:tr>
      <w:tr w:rsidR="00160CEE" w:rsidRPr="00C63568" w14:paraId="2280AF1B" w14:textId="77777777" w:rsidTr="00160CEE">
        <w:trPr>
          <w:gridAfter w:val="1"/>
          <w:trHeight w:val="290"/>
        </w:trPr>
        <w:tc>
          <w:tcPr>
            <w:tcW w:w="0" w:type="auto"/>
            <w:tcBorders>
              <w:top w:val="nil"/>
              <w:left w:val="nil"/>
              <w:bottom w:val="nil"/>
              <w:right w:val="nil"/>
            </w:tcBorders>
            <w:noWrap/>
            <w:vAlign w:val="center"/>
            <w:hideMark/>
          </w:tcPr>
          <w:p w14:paraId="2AD4A4AC"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center"/>
            <w:hideMark/>
          </w:tcPr>
          <w:p w14:paraId="3ABE2A95"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2C7476A3"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0AF82342"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6C6D5EDC"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3ADD0D7E"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4D5B6015"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p>
        </w:tc>
      </w:tr>
      <w:tr w:rsidR="00160CEE" w:rsidRPr="00C63568" w14:paraId="0B13AEA9" w14:textId="77777777" w:rsidTr="00160CEE">
        <w:trPr>
          <w:gridAfter w:val="1"/>
          <w:trHeight w:val="369"/>
        </w:trPr>
        <w:tc>
          <w:tcPr>
            <w:tcW w:w="0" w:type="auto"/>
            <w:tcBorders>
              <w:top w:val="nil"/>
              <w:left w:val="nil"/>
              <w:bottom w:val="nil"/>
              <w:right w:val="nil"/>
            </w:tcBorders>
            <w:shd w:val="clear" w:color="000000" w:fill="17365D"/>
            <w:noWrap/>
            <w:vAlign w:val="center"/>
            <w:hideMark/>
          </w:tcPr>
          <w:p w14:paraId="46EC99FD" w14:textId="77777777" w:rsidR="00160CEE" w:rsidRPr="00C63568" w:rsidRDefault="00160CEE" w:rsidP="00740735">
            <w:pPr>
              <w:spacing w:after="0" w:line="360" w:lineRule="auto"/>
              <w:rPr>
                <w:rFonts w:ascii="Arial" w:eastAsia="Times New Roman" w:hAnsi="Arial" w:cs="Arial"/>
                <w:b/>
                <w:bCs/>
                <w:color w:val="FFFFFF"/>
                <w:sz w:val="24"/>
                <w:szCs w:val="24"/>
              </w:rPr>
            </w:pPr>
            <w:r w:rsidRPr="00C63568">
              <w:rPr>
                <w:rFonts w:ascii="Arial" w:eastAsia="Times New Roman" w:hAnsi="Arial" w:cs="Arial"/>
                <w:b/>
                <w:bCs/>
                <w:color w:val="FFFFFF"/>
                <w:sz w:val="24"/>
                <w:szCs w:val="24"/>
              </w:rPr>
              <w:t>Number of properties</w:t>
            </w:r>
          </w:p>
        </w:tc>
        <w:tc>
          <w:tcPr>
            <w:tcW w:w="0" w:type="auto"/>
            <w:tcBorders>
              <w:top w:val="nil"/>
              <w:left w:val="nil"/>
              <w:bottom w:val="nil"/>
              <w:right w:val="nil"/>
            </w:tcBorders>
            <w:shd w:val="clear" w:color="000000" w:fill="17365D"/>
            <w:noWrap/>
            <w:vAlign w:val="center"/>
            <w:hideMark/>
          </w:tcPr>
          <w:p w14:paraId="7DDC5141" w14:textId="77777777" w:rsidR="00160CEE" w:rsidRPr="00C63568" w:rsidRDefault="00160CEE" w:rsidP="00740735">
            <w:pPr>
              <w:spacing w:after="0" w:line="360" w:lineRule="auto"/>
              <w:rPr>
                <w:rFonts w:ascii="Arial" w:eastAsia="Times New Roman" w:hAnsi="Arial" w:cs="Arial"/>
                <w:b/>
                <w:bCs/>
                <w:color w:val="000000" w:themeColor="text1"/>
                <w:sz w:val="24"/>
                <w:szCs w:val="24"/>
              </w:rPr>
            </w:pPr>
            <w:r w:rsidRPr="00C63568">
              <w:rPr>
                <w:rFonts w:ascii="Arial" w:eastAsia="Times New Roman" w:hAnsi="Arial" w:cs="Arial"/>
                <w:b/>
                <w:bCs/>
                <w:color w:val="000000" w:themeColor="text1"/>
                <w:sz w:val="24"/>
                <w:szCs w:val="24"/>
              </w:rPr>
              <w:t> </w:t>
            </w:r>
          </w:p>
        </w:tc>
        <w:tc>
          <w:tcPr>
            <w:tcW w:w="0" w:type="auto"/>
            <w:tcBorders>
              <w:top w:val="nil"/>
              <w:left w:val="nil"/>
              <w:bottom w:val="nil"/>
              <w:right w:val="nil"/>
            </w:tcBorders>
            <w:shd w:val="clear" w:color="000000" w:fill="17365D"/>
            <w:noWrap/>
            <w:vAlign w:val="center"/>
            <w:hideMark/>
          </w:tcPr>
          <w:p w14:paraId="08261C5C"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7,873</w:t>
            </w:r>
          </w:p>
        </w:tc>
        <w:tc>
          <w:tcPr>
            <w:tcW w:w="0" w:type="auto"/>
            <w:tcBorders>
              <w:top w:val="nil"/>
              <w:left w:val="nil"/>
              <w:bottom w:val="nil"/>
              <w:right w:val="nil"/>
            </w:tcBorders>
            <w:shd w:val="clear" w:color="000000" w:fill="17365D"/>
            <w:noWrap/>
            <w:vAlign w:val="center"/>
            <w:hideMark/>
          </w:tcPr>
          <w:p w14:paraId="391A9EB5"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7,972</w:t>
            </w:r>
          </w:p>
        </w:tc>
        <w:tc>
          <w:tcPr>
            <w:tcW w:w="0" w:type="auto"/>
            <w:tcBorders>
              <w:top w:val="nil"/>
              <w:left w:val="nil"/>
              <w:bottom w:val="nil"/>
              <w:right w:val="nil"/>
            </w:tcBorders>
            <w:shd w:val="clear" w:color="000000" w:fill="17365D"/>
            <w:noWrap/>
            <w:vAlign w:val="center"/>
            <w:hideMark/>
          </w:tcPr>
          <w:p w14:paraId="4D4762D0"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8,068</w:t>
            </w:r>
          </w:p>
        </w:tc>
        <w:tc>
          <w:tcPr>
            <w:tcW w:w="0" w:type="auto"/>
            <w:tcBorders>
              <w:top w:val="nil"/>
              <w:left w:val="nil"/>
              <w:bottom w:val="nil"/>
              <w:right w:val="nil"/>
            </w:tcBorders>
            <w:shd w:val="clear" w:color="000000" w:fill="17365D"/>
            <w:noWrap/>
            <w:vAlign w:val="center"/>
            <w:hideMark/>
          </w:tcPr>
          <w:p w14:paraId="46A6B654"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8,178</w:t>
            </w:r>
          </w:p>
        </w:tc>
        <w:tc>
          <w:tcPr>
            <w:tcW w:w="0" w:type="auto"/>
            <w:tcBorders>
              <w:top w:val="nil"/>
              <w:left w:val="nil"/>
              <w:bottom w:val="nil"/>
              <w:right w:val="nil"/>
            </w:tcBorders>
            <w:shd w:val="clear" w:color="000000" w:fill="17365D"/>
            <w:noWrap/>
            <w:vAlign w:val="center"/>
            <w:hideMark/>
          </w:tcPr>
          <w:p w14:paraId="04AD9C85" w14:textId="77777777" w:rsidR="00160CEE" w:rsidRPr="00C63568" w:rsidRDefault="00160CEE" w:rsidP="00740735">
            <w:pPr>
              <w:spacing w:after="0" w:line="360" w:lineRule="auto"/>
              <w:rPr>
                <w:rFonts w:ascii="Arial" w:eastAsia="Times New Roman" w:hAnsi="Arial" w:cs="Arial"/>
                <w:b/>
                <w:bCs/>
                <w:color w:val="FFFFFF" w:themeColor="background1"/>
                <w:sz w:val="24"/>
                <w:szCs w:val="24"/>
              </w:rPr>
            </w:pPr>
            <w:r w:rsidRPr="00C63568">
              <w:rPr>
                <w:rFonts w:ascii="Arial" w:eastAsia="Times New Roman" w:hAnsi="Arial" w:cs="Arial"/>
                <w:b/>
                <w:bCs/>
                <w:color w:val="FFFFFF" w:themeColor="background1"/>
                <w:sz w:val="24"/>
                <w:szCs w:val="24"/>
              </w:rPr>
              <w:t>8,389</w:t>
            </w:r>
          </w:p>
        </w:tc>
      </w:tr>
      <w:tr w:rsidR="00160CEE" w:rsidRPr="00C63568" w14:paraId="00EA2974" w14:textId="77777777" w:rsidTr="00160CEE">
        <w:trPr>
          <w:gridAfter w:val="1"/>
          <w:trHeight w:val="290"/>
        </w:trPr>
        <w:tc>
          <w:tcPr>
            <w:tcW w:w="0" w:type="auto"/>
            <w:tcBorders>
              <w:top w:val="nil"/>
              <w:left w:val="nil"/>
              <w:bottom w:val="nil"/>
              <w:right w:val="nil"/>
            </w:tcBorders>
            <w:noWrap/>
            <w:vAlign w:val="center"/>
            <w:hideMark/>
          </w:tcPr>
          <w:p w14:paraId="0D2051B4"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Number of rooms</w:t>
            </w:r>
          </w:p>
        </w:tc>
        <w:tc>
          <w:tcPr>
            <w:tcW w:w="0" w:type="auto"/>
            <w:tcBorders>
              <w:top w:val="nil"/>
              <w:left w:val="nil"/>
              <w:bottom w:val="nil"/>
              <w:right w:val="nil"/>
            </w:tcBorders>
            <w:noWrap/>
            <w:vAlign w:val="center"/>
            <w:hideMark/>
          </w:tcPr>
          <w:p w14:paraId="2BEB24BC"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76ECF891"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744,700</w:t>
            </w:r>
          </w:p>
        </w:tc>
        <w:tc>
          <w:tcPr>
            <w:tcW w:w="0" w:type="auto"/>
            <w:tcBorders>
              <w:top w:val="nil"/>
              <w:left w:val="nil"/>
              <w:bottom w:val="nil"/>
              <w:right w:val="nil"/>
            </w:tcBorders>
            <w:noWrap/>
            <w:vAlign w:val="center"/>
            <w:hideMark/>
          </w:tcPr>
          <w:p w14:paraId="7C08BC52"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775,900</w:t>
            </w:r>
          </w:p>
        </w:tc>
        <w:tc>
          <w:tcPr>
            <w:tcW w:w="0" w:type="auto"/>
            <w:tcBorders>
              <w:top w:val="nil"/>
              <w:left w:val="nil"/>
              <w:bottom w:val="nil"/>
              <w:right w:val="nil"/>
            </w:tcBorders>
            <w:noWrap/>
            <w:vAlign w:val="center"/>
            <w:hideMark/>
          </w:tcPr>
          <w:p w14:paraId="762D9A7C"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803,700</w:t>
            </w:r>
          </w:p>
        </w:tc>
        <w:tc>
          <w:tcPr>
            <w:tcW w:w="0" w:type="auto"/>
            <w:tcBorders>
              <w:top w:val="nil"/>
              <w:left w:val="nil"/>
              <w:bottom w:val="nil"/>
              <w:right w:val="nil"/>
            </w:tcBorders>
            <w:noWrap/>
            <w:vAlign w:val="center"/>
            <w:hideMark/>
          </w:tcPr>
          <w:p w14:paraId="4E8C7B43"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835,700</w:t>
            </w:r>
          </w:p>
        </w:tc>
        <w:tc>
          <w:tcPr>
            <w:tcW w:w="0" w:type="auto"/>
            <w:tcBorders>
              <w:top w:val="nil"/>
              <w:left w:val="nil"/>
              <w:bottom w:val="nil"/>
              <w:right w:val="nil"/>
            </w:tcBorders>
            <w:noWrap/>
            <w:vAlign w:val="center"/>
            <w:hideMark/>
          </w:tcPr>
          <w:p w14:paraId="7E6188AF"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868,900</w:t>
            </w:r>
          </w:p>
        </w:tc>
      </w:tr>
      <w:tr w:rsidR="00160CEE" w:rsidRPr="00C63568" w14:paraId="2D4815FC" w14:textId="77777777" w:rsidTr="00160CEE">
        <w:trPr>
          <w:gridAfter w:val="1"/>
          <w:trHeight w:val="290"/>
        </w:trPr>
        <w:tc>
          <w:tcPr>
            <w:tcW w:w="0" w:type="auto"/>
            <w:tcBorders>
              <w:top w:val="nil"/>
              <w:left w:val="nil"/>
              <w:bottom w:val="nil"/>
              <w:right w:val="nil"/>
            </w:tcBorders>
            <w:noWrap/>
            <w:vAlign w:val="center"/>
            <w:hideMark/>
          </w:tcPr>
          <w:p w14:paraId="3244EEEE" w14:textId="77777777" w:rsidR="00160CEE" w:rsidRPr="00C63568" w:rsidRDefault="00160CEE" w:rsidP="00740735">
            <w:pPr>
              <w:spacing w:after="0" w:line="360" w:lineRule="auto"/>
              <w:rPr>
                <w:rFonts w:ascii="Arial" w:eastAsia="Times New Roman" w:hAnsi="Arial" w:cs="Arial"/>
                <w:color w:val="000000"/>
                <w:sz w:val="24"/>
                <w:szCs w:val="24"/>
              </w:rPr>
            </w:pPr>
            <w:r w:rsidRPr="00C63568">
              <w:rPr>
                <w:rFonts w:ascii="Arial" w:eastAsia="Times New Roman" w:hAnsi="Arial" w:cs="Arial"/>
                <w:color w:val="000000"/>
                <w:sz w:val="24"/>
                <w:szCs w:val="24"/>
              </w:rPr>
              <w:t>RevPAR</w:t>
            </w:r>
          </w:p>
        </w:tc>
        <w:tc>
          <w:tcPr>
            <w:tcW w:w="0" w:type="auto"/>
            <w:tcBorders>
              <w:top w:val="nil"/>
              <w:left w:val="nil"/>
              <w:bottom w:val="nil"/>
              <w:right w:val="nil"/>
            </w:tcBorders>
            <w:noWrap/>
            <w:vAlign w:val="center"/>
            <w:hideMark/>
          </w:tcPr>
          <w:p w14:paraId="198EE540" w14:textId="77777777" w:rsidR="00160CEE" w:rsidRPr="00C63568" w:rsidRDefault="00160CEE" w:rsidP="00740735">
            <w:pPr>
              <w:spacing w:after="0" w:line="360" w:lineRule="auto"/>
              <w:rPr>
                <w:rFonts w:ascii="Arial" w:eastAsia="Times New Roman" w:hAnsi="Arial" w:cs="Arial"/>
                <w:color w:val="000000" w:themeColor="text1"/>
                <w:sz w:val="24"/>
                <w:szCs w:val="24"/>
              </w:rPr>
            </w:pPr>
          </w:p>
        </w:tc>
        <w:tc>
          <w:tcPr>
            <w:tcW w:w="0" w:type="auto"/>
            <w:tcBorders>
              <w:top w:val="nil"/>
              <w:left w:val="nil"/>
              <w:bottom w:val="nil"/>
              <w:right w:val="nil"/>
            </w:tcBorders>
            <w:noWrap/>
            <w:vAlign w:val="center"/>
            <w:hideMark/>
          </w:tcPr>
          <w:p w14:paraId="19FD7D7D"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$37.97</w:t>
            </w:r>
          </w:p>
        </w:tc>
        <w:tc>
          <w:tcPr>
            <w:tcW w:w="0" w:type="auto"/>
            <w:tcBorders>
              <w:top w:val="nil"/>
              <w:left w:val="nil"/>
              <w:bottom w:val="nil"/>
              <w:right w:val="nil"/>
            </w:tcBorders>
            <w:noWrap/>
            <w:vAlign w:val="center"/>
            <w:hideMark/>
          </w:tcPr>
          <w:p w14:paraId="2CC3ED34"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$44.77</w:t>
            </w:r>
          </w:p>
        </w:tc>
        <w:tc>
          <w:tcPr>
            <w:tcW w:w="0" w:type="auto"/>
            <w:tcBorders>
              <w:top w:val="nil"/>
              <w:left w:val="nil"/>
              <w:bottom w:val="nil"/>
              <w:right w:val="nil"/>
            </w:tcBorders>
            <w:noWrap/>
            <w:vAlign w:val="center"/>
            <w:hideMark/>
          </w:tcPr>
          <w:p w14:paraId="736FBC57"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$45.90</w:t>
            </w:r>
          </w:p>
        </w:tc>
        <w:tc>
          <w:tcPr>
            <w:tcW w:w="0" w:type="auto"/>
            <w:tcBorders>
              <w:top w:val="nil"/>
              <w:left w:val="nil"/>
              <w:bottom w:val="nil"/>
              <w:right w:val="nil"/>
            </w:tcBorders>
            <w:noWrap/>
            <w:vAlign w:val="center"/>
            <w:hideMark/>
          </w:tcPr>
          <w:p w14:paraId="20995300"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$45.69</w:t>
            </w:r>
          </w:p>
        </w:tc>
        <w:tc>
          <w:tcPr>
            <w:tcW w:w="0" w:type="auto"/>
            <w:tcBorders>
              <w:top w:val="nil"/>
              <w:left w:val="nil"/>
              <w:bottom w:val="nil"/>
              <w:right w:val="nil"/>
            </w:tcBorders>
            <w:noWrap/>
            <w:vAlign w:val="center"/>
            <w:hideMark/>
          </w:tcPr>
          <w:p w14:paraId="3511ECC2" w14:textId="77777777" w:rsidR="00160CEE" w:rsidRPr="00C63568" w:rsidRDefault="00160CEE" w:rsidP="00740735">
            <w:pPr>
              <w:spacing w:after="0" w:line="360" w:lineRule="auto"/>
              <w:jc w:val="right"/>
              <w:rPr>
                <w:rFonts w:ascii="Arial" w:eastAsia="Times New Roman" w:hAnsi="Arial" w:cs="Arial"/>
                <w:color w:val="000000" w:themeColor="text1"/>
                <w:sz w:val="24"/>
                <w:szCs w:val="24"/>
              </w:rPr>
            </w:pPr>
            <w:r w:rsidRPr="00C63568">
              <w:rPr>
                <w:rFonts w:ascii="Arial" w:eastAsia="Times New Roman" w:hAnsi="Arial" w:cs="Arial"/>
                <w:color w:val="000000" w:themeColor="text1"/>
                <w:sz w:val="24"/>
                <w:szCs w:val="24"/>
              </w:rPr>
              <w:t>$44.12</w:t>
            </w:r>
          </w:p>
        </w:tc>
      </w:tr>
    </w:tbl>
    <w:p w14:paraId="0328CABF" w14:textId="77777777" w:rsidR="00160CEE" w:rsidRPr="00C63568" w:rsidRDefault="00160CEE" w:rsidP="00740735">
      <w:pPr>
        <w:pStyle w:val="Heading2"/>
        <w:spacing w:line="360" w:lineRule="auto"/>
        <w:rPr>
          <w:rFonts w:ascii="Arial" w:hAnsi="Arial" w:cs="Arial"/>
          <w:sz w:val="24"/>
          <w:szCs w:val="24"/>
        </w:rPr>
      </w:pPr>
      <w:bookmarkStart w:id="29" w:name="_Toc235706425"/>
      <w:r w:rsidRPr="00C63568">
        <w:rPr>
          <w:rFonts w:ascii="Arial" w:hAnsi="Arial" w:cs="Arial"/>
          <w:sz w:val="24"/>
          <w:szCs w:val="24"/>
        </w:rPr>
        <w:t>Appendix B: Comprehensive Ratio Summary</w:t>
      </w:r>
      <w:bookmarkEnd w:id="29"/>
    </w:p>
    <w:tbl>
      <w:tblPr>
        <w:tblW w:w="9503" w:type="dxa"/>
        <w:tblLook w:val="04A0" w:firstRow="1" w:lastRow="0" w:firstColumn="1" w:lastColumn="0" w:noHBand="0" w:noVBand="1"/>
      </w:tblPr>
      <w:tblGrid>
        <w:gridCol w:w="3183"/>
        <w:gridCol w:w="1264"/>
        <w:gridCol w:w="1264"/>
        <w:gridCol w:w="1264"/>
        <w:gridCol w:w="1264"/>
        <w:gridCol w:w="1264"/>
      </w:tblGrid>
      <w:tr w:rsidR="00160CEE" w:rsidRPr="00C63568" w14:paraId="6B1C977E" w14:textId="77777777" w:rsidTr="00160CEE">
        <w:trPr>
          <w:trHeight w:val="492"/>
        </w:trPr>
        <w:tc>
          <w:tcPr>
            <w:tcW w:w="0" w:type="auto"/>
            <w:gridSpan w:val="6"/>
            <w:tcBorders>
              <w:top w:val="nil"/>
              <w:left w:val="nil"/>
              <w:bottom w:val="nil"/>
              <w:right w:val="nil"/>
            </w:tcBorders>
            <w:shd w:val="clear" w:color="000000" w:fill="17365D"/>
            <w:noWrap/>
            <w:vAlign w:val="center"/>
            <w:hideMark/>
          </w:tcPr>
          <w:p w14:paraId="26CEEB10" w14:textId="77777777" w:rsidR="00160CEE" w:rsidRPr="00C63568" w:rsidRDefault="00160CEE" w:rsidP="00740735">
            <w:pPr>
              <w:spacing w:after="0" w:line="360" w:lineRule="auto"/>
              <w:rPr>
                <w:rFonts w:ascii="Arial" w:eastAsia="Times New Roman" w:hAnsi="Arial" w:cs="Arial"/>
                <w:b/>
                <w:bCs/>
                <w:color w:val="FFFFFF"/>
                <w:sz w:val="24"/>
                <w:szCs w:val="24"/>
              </w:rPr>
            </w:pPr>
            <w:r w:rsidRPr="00C63568">
              <w:rPr>
                <w:rFonts w:ascii="Arial" w:eastAsia="Times New Roman" w:hAnsi="Arial" w:cs="Arial"/>
                <w:b/>
                <w:bCs/>
                <w:color w:val="FFFFFF"/>
                <w:sz w:val="24"/>
                <w:szCs w:val="24"/>
              </w:rPr>
              <w:t>Comprehensive Ratio Analysis — 2021–2025</w:t>
            </w:r>
          </w:p>
        </w:tc>
      </w:tr>
      <w:tr w:rsidR="00160CEE" w:rsidRPr="00C63568" w14:paraId="36FF1C4F" w14:textId="77777777" w:rsidTr="00160CEE">
        <w:trPr>
          <w:trHeight w:val="304"/>
        </w:trPr>
        <w:tc>
          <w:tcPr>
            <w:tcW w:w="0" w:type="auto"/>
            <w:tcBorders>
              <w:top w:val="nil"/>
              <w:left w:val="nil"/>
              <w:bottom w:val="nil"/>
              <w:right w:val="nil"/>
            </w:tcBorders>
            <w:noWrap/>
            <w:vAlign w:val="bottom"/>
            <w:hideMark/>
          </w:tcPr>
          <w:p w14:paraId="42ECBAB1" w14:textId="77777777" w:rsidR="00160CEE" w:rsidRPr="00C63568" w:rsidRDefault="00160CEE" w:rsidP="00740735">
            <w:pPr>
              <w:spacing w:after="0" w:line="360" w:lineRule="auto"/>
              <w:rPr>
                <w:rFonts w:ascii="Arial" w:eastAsia="Times New Roman" w:hAnsi="Arial" w:cs="Arial"/>
                <w:b/>
                <w:bCs/>
                <w:color w:val="FFFFFF"/>
                <w:sz w:val="24"/>
                <w:szCs w:val="24"/>
              </w:rPr>
            </w:pPr>
          </w:p>
        </w:tc>
        <w:tc>
          <w:tcPr>
            <w:tcW w:w="0" w:type="auto"/>
            <w:tcBorders>
              <w:top w:val="nil"/>
              <w:left w:val="nil"/>
              <w:bottom w:val="nil"/>
              <w:right w:val="nil"/>
            </w:tcBorders>
            <w:noWrap/>
            <w:vAlign w:val="bottom"/>
            <w:hideMark/>
          </w:tcPr>
          <w:p w14:paraId="0EC2E88D"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bottom"/>
            <w:hideMark/>
          </w:tcPr>
          <w:p w14:paraId="6660314D"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bottom"/>
            <w:hideMark/>
          </w:tcPr>
          <w:p w14:paraId="13504D23"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bottom"/>
            <w:hideMark/>
          </w:tcPr>
          <w:p w14:paraId="0AABFC5A"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noWrap/>
            <w:vAlign w:val="bottom"/>
            <w:hideMark/>
          </w:tcPr>
          <w:p w14:paraId="02FCCADC" w14:textId="77777777" w:rsidR="00160CEE" w:rsidRPr="00C63568" w:rsidRDefault="00160CEE" w:rsidP="00740735">
            <w:pPr>
              <w:spacing w:after="0" w:line="360" w:lineRule="auto"/>
              <w:rPr>
                <w:rFonts w:ascii="Arial" w:eastAsia="Times New Roman" w:hAnsi="Arial" w:cs="Arial"/>
                <w:sz w:val="24"/>
                <w:szCs w:val="24"/>
              </w:rPr>
            </w:pPr>
          </w:p>
        </w:tc>
      </w:tr>
      <w:tr w:rsidR="00160CEE" w:rsidRPr="00C63568" w14:paraId="4D741FFD" w14:textId="77777777" w:rsidTr="00160CEE">
        <w:trPr>
          <w:trHeight w:val="304"/>
        </w:trPr>
        <w:tc>
          <w:tcPr>
            <w:tcW w:w="0" w:type="auto"/>
            <w:tcBorders>
              <w:top w:val="nil"/>
              <w:left w:val="nil"/>
              <w:bottom w:val="nil"/>
              <w:right w:val="nil"/>
            </w:tcBorders>
            <w:shd w:val="clear" w:color="000000" w:fill="D9EAF7"/>
            <w:vAlign w:val="center"/>
            <w:hideMark/>
          </w:tcPr>
          <w:p w14:paraId="73EDD9FD"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Category / Ratio</w:t>
            </w:r>
          </w:p>
        </w:tc>
        <w:tc>
          <w:tcPr>
            <w:tcW w:w="0" w:type="auto"/>
            <w:tcBorders>
              <w:top w:val="nil"/>
              <w:left w:val="nil"/>
              <w:bottom w:val="nil"/>
              <w:right w:val="nil"/>
            </w:tcBorders>
            <w:shd w:val="clear" w:color="000000" w:fill="D9EAF7"/>
            <w:vAlign w:val="center"/>
            <w:hideMark/>
          </w:tcPr>
          <w:p w14:paraId="06D0C735"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2021</w:t>
            </w:r>
          </w:p>
        </w:tc>
        <w:tc>
          <w:tcPr>
            <w:tcW w:w="0" w:type="auto"/>
            <w:tcBorders>
              <w:top w:val="nil"/>
              <w:left w:val="nil"/>
              <w:bottom w:val="nil"/>
              <w:right w:val="nil"/>
            </w:tcBorders>
            <w:shd w:val="clear" w:color="000000" w:fill="D9EAF7"/>
            <w:vAlign w:val="center"/>
            <w:hideMark/>
          </w:tcPr>
          <w:p w14:paraId="1276FF51"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2022</w:t>
            </w:r>
          </w:p>
        </w:tc>
        <w:tc>
          <w:tcPr>
            <w:tcW w:w="0" w:type="auto"/>
            <w:tcBorders>
              <w:top w:val="nil"/>
              <w:left w:val="nil"/>
              <w:bottom w:val="nil"/>
              <w:right w:val="nil"/>
            </w:tcBorders>
            <w:shd w:val="clear" w:color="000000" w:fill="D9EAF7"/>
            <w:vAlign w:val="center"/>
            <w:hideMark/>
          </w:tcPr>
          <w:p w14:paraId="7A2D8FB4"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2023</w:t>
            </w:r>
          </w:p>
        </w:tc>
        <w:tc>
          <w:tcPr>
            <w:tcW w:w="0" w:type="auto"/>
            <w:tcBorders>
              <w:top w:val="nil"/>
              <w:left w:val="nil"/>
              <w:bottom w:val="nil"/>
              <w:right w:val="nil"/>
            </w:tcBorders>
            <w:shd w:val="clear" w:color="000000" w:fill="D9EAF7"/>
            <w:vAlign w:val="center"/>
            <w:hideMark/>
          </w:tcPr>
          <w:p w14:paraId="40EEDEF5"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2024</w:t>
            </w:r>
          </w:p>
        </w:tc>
        <w:tc>
          <w:tcPr>
            <w:tcW w:w="0" w:type="auto"/>
            <w:tcBorders>
              <w:top w:val="nil"/>
              <w:left w:val="nil"/>
              <w:bottom w:val="nil"/>
              <w:right w:val="nil"/>
            </w:tcBorders>
            <w:shd w:val="clear" w:color="000000" w:fill="D9EAF7"/>
            <w:vAlign w:val="center"/>
            <w:hideMark/>
          </w:tcPr>
          <w:p w14:paraId="26EC2C81"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2025</w:t>
            </w:r>
          </w:p>
        </w:tc>
      </w:tr>
      <w:tr w:rsidR="00160CEE" w:rsidRPr="00C63568" w14:paraId="3087D1D7" w14:textId="77777777" w:rsidTr="00160CEE">
        <w:trPr>
          <w:trHeight w:val="387"/>
        </w:trPr>
        <w:tc>
          <w:tcPr>
            <w:tcW w:w="0" w:type="auto"/>
            <w:gridSpan w:val="6"/>
            <w:tcBorders>
              <w:top w:val="nil"/>
              <w:left w:val="nil"/>
              <w:bottom w:val="nil"/>
              <w:right w:val="nil"/>
            </w:tcBorders>
            <w:shd w:val="clear" w:color="000000" w:fill="17365D"/>
            <w:vAlign w:val="center"/>
            <w:hideMark/>
          </w:tcPr>
          <w:p w14:paraId="7AFBFF8E" w14:textId="77777777" w:rsidR="00160CEE" w:rsidRPr="00C63568" w:rsidRDefault="00160CEE" w:rsidP="00740735">
            <w:pPr>
              <w:spacing w:after="0" w:line="360" w:lineRule="auto"/>
              <w:rPr>
                <w:rFonts w:ascii="Arial" w:eastAsia="Times New Roman" w:hAnsi="Arial" w:cs="Arial"/>
                <w:b/>
                <w:bCs/>
                <w:color w:val="FFFFFF"/>
                <w:sz w:val="24"/>
                <w:szCs w:val="24"/>
              </w:rPr>
            </w:pPr>
            <w:r w:rsidRPr="00C63568">
              <w:rPr>
                <w:rFonts w:ascii="Arial" w:eastAsia="Times New Roman" w:hAnsi="Arial" w:cs="Arial"/>
                <w:b/>
                <w:bCs/>
                <w:color w:val="FFFFFF"/>
                <w:sz w:val="24"/>
                <w:szCs w:val="24"/>
              </w:rPr>
              <w:t>PROFITABILITY</w:t>
            </w:r>
          </w:p>
        </w:tc>
      </w:tr>
      <w:tr w:rsidR="00160CEE" w:rsidRPr="00C63568" w14:paraId="5B9CA718" w14:textId="77777777" w:rsidTr="00160CEE">
        <w:trPr>
          <w:trHeight w:val="304"/>
        </w:trPr>
        <w:tc>
          <w:tcPr>
            <w:tcW w:w="0" w:type="auto"/>
            <w:tcBorders>
              <w:top w:val="nil"/>
              <w:left w:val="nil"/>
              <w:bottom w:val="nil"/>
              <w:right w:val="nil"/>
            </w:tcBorders>
            <w:vAlign w:val="center"/>
            <w:hideMark/>
          </w:tcPr>
          <w:p w14:paraId="6589E445"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Operating margin</w:t>
            </w:r>
          </w:p>
        </w:tc>
        <w:tc>
          <w:tcPr>
            <w:tcW w:w="0" w:type="auto"/>
            <w:tcBorders>
              <w:top w:val="nil"/>
              <w:left w:val="nil"/>
              <w:bottom w:val="nil"/>
              <w:right w:val="nil"/>
            </w:tcBorders>
            <w:vAlign w:val="center"/>
            <w:hideMark/>
          </w:tcPr>
          <w:p w14:paraId="7607099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28.5%</w:t>
            </w:r>
          </w:p>
        </w:tc>
        <w:tc>
          <w:tcPr>
            <w:tcW w:w="0" w:type="auto"/>
            <w:tcBorders>
              <w:top w:val="nil"/>
              <w:left w:val="nil"/>
              <w:bottom w:val="nil"/>
              <w:right w:val="nil"/>
            </w:tcBorders>
            <w:vAlign w:val="center"/>
            <w:hideMark/>
          </w:tcPr>
          <w:p w14:paraId="070921C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37.2%</w:t>
            </w:r>
          </w:p>
        </w:tc>
        <w:tc>
          <w:tcPr>
            <w:tcW w:w="0" w:type="auto"/>
            <w:tcBorders>
              <w:top w:val="nil"/>
              <w:left w:val="nil"/>
              <w:bottom w:val="nil"/>
              <w:right w:val="nil"/>
            </w:tcBorders>
            <w:vAlign w:val="center"/>
            <w:hideMark/>
          </w:tcPr>
          <w:p w14:paraId="0462BE3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36.0%</w:t>
            </w:r>
          </w:p>
        </w:tc>
        <w:tc>
          <w:tcPr>
            <w:tcW w:w="0" w:type="auto"/>
            <w:tcBorders>
              <w:top w:val="nil"/>
              <w:left w:val="nil"/>
              <w:bottom w:val="nil"/>
              <w:right w:val="nil"/>
            </w:tcBorders>
            <w:vAlign w:val="center"/>
            <w:hideMark/>
          </w:tcPr>
          <w:p w14:paraId="5B2830C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35.2%</w:t>
            </w:r>
          </w:p>
        </w:tc>
        <w:tc>
          <w:tcPr>
            <w:tcW w:w="0" w:type="auto"/>
            <w:tcBorders>
              <w:top w:val="nil"/>
              <w:left w:val="nil"/>
              <w:bottom w:val="nil"/>
              <w:right w:val="nil"/>
            </w:tcBorders>
            <w:vAlign w:val="center"/>
            <w:hideMark/>
          </w:tcPr>
          <w:p w14:paraId="2FE4123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28.1%</w:t>
            </w:r>
          </w:p>
        </w:tc>
      </w:tr>
      <w:tr w:rsidR="00160CEE" w:rsidRPr="00C63568" w14:paraId="5A28A87E" w14:textId="77777777" w:rsidTr="00160CEE">
        <w:trPr>
          <w:trHeight w:val="304"/>
        </w:trPr>
        <w:tc>
          <w:tcPr>
            <w:tcW w:w="0" w:type="auto"/>
            <w:tcBorders>
              <w:top w:val="nil"/>
              <w:left w:val="nil"/>
              <w:bottom w:val="nil"/>
              <w:right w:val="nil"/>
            </w:tcBorders>
            <w:vAlign w:val="center"/>
            <w:hideMark/>
          </w:tcPr>
          <w:p w14:paraId="23C32401"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Net profit margin</w:t>
            </w:r>
          </w:p>
        </w:tc>
        <w:tc>
          <w:tcPr>
            <w:tcW w:w="0" w:type="auto"/>
            <w:tcBorders>
              <w:top w:val="nil"/>
              <w:left w:val="nil"/>
              <w:bottom w:val="nil"/>
              <w:right w:val="nil"/>
            </w:tcBorders>
            <w:vAlign w:val="center"/>
            <w:hideMark/>
          </w:tcPr>
          <w:p w14:paraId="1048FD81"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15.6%</w:t>
            </w:r>
          </w:p>
        </w:tc>
        <w:tc>
          <w:tcPr>
            <w:tcW w:w="0" w:type="auto"/>
            <w:tcBorders>
              <w:top w:val="nil"/>
              <w:left w:val="nil"/>
              <w:bottom w:val="nil"/>
              <w:right w:val="nil"/>
            </w:tcBorders>
            <w:vAlign w:val="center"/>
            <w:hideMark/>
          </w:tcPr>
          <w:p w14:paraId="5B31E7B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23.7%</w:t>
            </w:r>
          </w:p>
        </w:tc>
        <w:tc>
          <w:tcPr>
            <w:tcW w:w="0" w:type="auto"/>
            <w:tcBorders>
              <w:top w:val="nil"/>
              <w:left w:val="nil"/>
              <w:bottom w:val="nil"/>
              <w:right w:val="nil"/>
            </w:tcBorders>
            <w:vAlign w:val="center"/>
            <w:hideMark/>
          </w:tcPr>
          <w:p w14:paraId="249478D5"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20.7%</w:t>
            </w:r>
          </w:p>
        </w:tc>
        <w:tc>
          <w:tcPr>
            <w:tcW w:w="0" w:type="auto"/>
            <w:tcBorders>
              <w:top w:val="nil"/>
              <w:left w:val="nil"/>
              <w:bottom w:val="nil"/>
              <w:right w:val="nil"/>
            </w:tcBorders>
            <w:vAlign w:val="center"/>
            <w:hideMark/>
          </w:tcPr>
          <w:p w14:paraId="6EEC532D"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20.5%</w:t>
            </w:r>
          </w:p>
        </w:tc>
        <w:tc>
          <w:tcPr>
            <w:tcW w:w="0" w:type="auto"/>
            <w:tcBorders>
              <w:top w:val="nil"/>
              <w:left w:val="nil"/>
              <w:bottom w:val="nil"/>
              <w:right w:val="nil"/>
            </w:tcBorders>
            <w:vAlign w:val="center"/>
            <w:hideMark/>
          </w:tcPr>
          <w:p w14:paraId="7B3FD058"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13.5%</w:t>
            </w:r>
          </w:p>
        </w:tc>
      </w:tr>
      <w:tr w:rsidR="00160CEE" w:rsidRPr="00C63568" w14:paraId="4850D178" w14:textId="77777777" w:rsidTr="00160CEE">
        <w:trPr>
          <w:trHeight w:val="304"/>
        </w:trPr>
        <w:tc>
          <w:tcPr>
            <w:tcW w:w="0" w:type="auto"/>
            <w:tcBorders>
              <w:top w:val="nil"/>
              <w:left w:val="nil"/>
              <w:bottom w:val="nil"/>
              <w:right w:val="nil"/>
            </w:tcBorders>
            <w:vAlign w:val="center"/>
            <w:hideMark/>
          </w:tcPr>
          <w:p w14:paraId="64D4D299"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Adjusted EBITDA margin</w:t>
            </w:r>
          </w:p>
        </w:tc>
        <w:tc>
          <w:tcPr>
            <w:tcW w:w="0" w:type="auto"/>
            <w:tcBorders>
              <w:top w:val="nil"/>
              <w:left w:val="nil"/>
              <w:bottom w:val="nil"/>
              <w:right w:val="nil"/>
            </w:tcBorders>
            <w:vAlign w:val="center"/>
            <w:hideMark/>
          </w:tcPr>
          <w:p w14:paraId="53A015D7"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37.7%</w:t>
            </w:r>
          </w:p>
        </w:tc>
        <w:tc>
          <w:tcPr>
            <w:tcW w:w="0" w:type="auto"/>
            <w:tcBorders>
              <w:top w:val="nil"/>
              <w:left w:val="nil"/>
              <w:bottom w:val="nil"/>
              <w:right w:val="nil"/>
            </w:tcBorders>
            <w:vAlign w:val="center"/>
            <w:hideMark/>
          </w:tcPr>
          <w:p w14:paraId="3F72C647"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43.4%</w:t>
            </w:r>
          </w:p>
        </w:tc>
        <w:tc>
          <w:tcPr>
            <w:tcW w:w="0" w:type="auto"/>
            <w:tcBorders>
              <w:top w:val="nil"/>
              <w:left w:val="nil"/>
              <w:bottom w:val="nil"/>
              <w:right w:val="nil"/>
            </w:tcBorders>
            <w:vAlign w:val="center"/>
            <w:hideMark/>
          </w:tcPr>
          <w:p w14:paraId="312D5E3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47.2%</w:t>
            </w:r>
          </w:p>
        </w:tc>
        <w:tc>
          <w:tcPr>
            <w:tcW w:w="0" w:type="auto"/>
            <w:tcBorders>
              <w:top w:val="nil"/>
              <w:left w:val="nil"/>
              <w:bottom w:val="nil"/>
              <w:right w:val="nil"/>
            </w:tcBorders>
            <w:vAlign w:val="center"/>
            <w:hideMark/>
          </w:tcPr>
          <w:p w14:paraId="34846EAC"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49.3%</w:t>
            </w:r>
          </w:p>
        </w:tc>
        <w:tc>
          <w:tcPr>
            <w:tcW w:w="0" w:type="auto"/>
            <w:tcBorders>
              <w:top w:val="nil"/>
              <w:left w:val="nil"/>
              <w:bottom w:val="nil"/>
              <w:right w:val="nil"/>
            </w:tcBorders>
            <w:vAlign w:val="center"/>
            <w:hideMark/>
          </w:tcPr>
          <w:p w14:paraId="57969EA4"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50.2%</w:t>
            </w:r>
          </w:p>
        </w:tc>
      </w:tr>
      <w:tr w:rsidR="00160CEE" w:rsidRPr="00C63568" w14:paraId="72B7FA2E" w14:textId="77777777" w:rsidTr="00160CEE">
        <w:trPr>
          <w:trHeight w:val="304"/>
        </w:trPr>
        <w:tc>
          <w:tcPr>
            <w:tcW w:w="0" w:type="auto"/>
            <w:tcBorders>
              <w:top w:val="nil"/>
              <w:left w:val="nil"/>
              <w:bottom w:val="nil"/>
              <w:right w:val="nil"/>
            </w:tcBorders>
            <w:vAlign w:val="center"/>
            <w:hideMark/>
          </w:tcPr>
          <w:p w14:paraId="5F80C4E7"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Return on assets (ROA)</w:t>
            </w:r>
          </w:p>
        </w:tc>
        <w:tc>
          <w:tcPr>
            <w:tcW w:w="0" w:type="auto"/>
            <w:tcBorders>
              <w:top w:val="nil"/>
              <w:left w:val="nil"/>
              <w:bottom w:val="nil"/>
              <w:right w:val="nil"/>
            </w:tcBorders>
            <w:vAlign w:val="center"/>
            <w:hideMark/>
          </w:tcPr>
          <w:p w14:paraId="6A0EC9BA"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5.5%</w:t>
            </w:r>
          </w:p>
        </w:tc>
        <w:tc>
          <w:tcPr>
            <w:tcW w:w="0" w:type="auto"/>
            <w:tcBorders>
              <w:top w:val="nil"/>
              <w:left w:val="nil"/>
              <w:bottom w:val="nil"/>
              <w:right w:val="nil"/>
            </w:tcBorders>
            <w:vAlign w:val="center"/>
            <w:hideMark/>
          </w:tcPr>
          <w:p w14:paraId="545DCF6B"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8.5%</w:t>
            </w:r>
          </w:p>
        </w:tc>
        <w:tc>
          <w:tcPr>
            <w:tcW w:w="0" w:type="auto"/>
            <w:tcBorders>
              <w:top w:val="nil"/>
              <w:left w:val="nil"/>
              <w:bottom w:val="nil"/>
              <w:right w:val="nil"/>
            </w:tcBorders>
            <w:vAlign w:val="center"/>
            <w:hideMark/>
          </w:tcPr>
          <w:p w14:paraId="2DEB167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7.1%</w:t>
            </w:r>
          </w:p>
        </w:tc>
        <w:tc>
          <w:tcPr>
            <w:tcW w:w="0" w:type="auto"/>
            <w:tcBorders>
              <w:top w:val="nil"/>
              <w:left w:val="nil"/>
              <w:bottom w:val="nil"/>
              <w:right w:val="nil"/>
            </w:tcBorders>
            <w:vAlign w:val="center"/>
            <w:hideMark/>
          </w:tcPr>
          <w:p w14:paraId="2EC9777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7.0%</w:t>
            </w:r>
          </w:p>
        </w:tc>
        <w:tc>
          <w:tcPr>
            <w:tcW w:w="0" w:type="auto"/>
            <w:tcBorders>
              <w:top w:val="nil"/>
              <w:left w:val="nil"/>
              <w:bottom w:val="nil"/>
              <w:right w:val="nil"/>
            </w:tcBorders>
            <w:vAlign w:val="center"/>
            <w:hideMark/>
          </w:tcPr>
          <w:p w14:paraId="01FA19A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4.6%</w:t>
            </w:r>
          </w:p>
        </w:tc>
      </w:tr>
      <w:tr w:rsidR="00160CEE" w:rsidRPr="00C63568" w14:paraId="305EAAD3" w14:textId="77777777" w:rsidTr="00160CEE">
        <w:trPr>
          <w:trHeight w:val="304"/>
        </w:trPr>
        <w:tc>
          <w:tcPr>
            <w:tcW w:w="0" w:type="auto"/>
            <w:tcBorders>
              <w:top w:val="nil"/>
              <w:left w:val="nil"/>
              <w:bottom w:val="nil"/>
              <w:right w:val="nil"/>
            </w:tcBorders>
            <w:vAlign w:val="center"/>
            <w:hideMark/>
          </w:tcPr>
          <w:p w14:paraId="1705ABFB"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Return on equity (ROE)</w:t>
            </w:r>
          </w:p>
        </w:tc>
        <w:tc>
          <w:tcPr>
            <w:tcW w:w="0" w:type="auto"/>
            <w:tcBorders>
              <w:top w:val="nil"/>
              <w:left w:val="nil"/>
              <w:bottom w:val="nil"/>
              <w:right w:val="nil"/>
            </w:tcBorders>
            <w:vAlign w:val="center"/>
            <w:hideMark/>
          </w:tcPr>
          <w:p w14:paraId="4FA36A90"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23.8%</w:t>
            </w:r>
          </w:p>
        </w:tc>
        <w:tc>
          <w:tcPr>
            <w:tcW w:w="0" w:type="auto"/>
            <w:tcBorders>
              <w:top w:val="nil"/>
              <w:left w:val="nil"/>
              <w:bottom w:val="nil"/>
              <w:right w:val="nil"/>
            </w:tcBorders>
            <w:vAlign w:val="center"/>
            <w:hideMark/>
          </w:tcPr>
          <w:p w14:paraId="4B3C00DC"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34.6%</w:t>
            </w:r>
          </w:p>
        </w:tc>
        <w:tc>
          <w:tcPr>
            <w:tcW w:w="0" w:type="auto"/>
            <w:tcBorders>
              <w:top w:val="nil"/>
              <w:left w:val="nil"/>
              <w:bottom w:val="nil"/>
              <w:right w:val="nil"/>
            </w:tcBorders>
            <w:vAlign w:val="center"/>
            <w:hideMark/>
          </w:tcPr>
          <w:p w14:paraId="57F9DD00"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33.8%</w:t>
            </w:r>
          </w:p>
        </w:tc>
        <w:tc>
          <w:tcPr>
            <w:tcW w:w="0" w:type="auto"/>
            <w:tcBorders>
              <w:top w:val="nil"/>
              <w:left w:val="nil"/>
              <w:bottom w:val="nil"/>
              <w:right w:val="nil"/>
            </w:tcBorders>
            <w:vAlign w:val="center"/>
            <w:hideMark/>
          </w:tcPr>
          <w:p w14:paraId="27A0241D"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41.4%</w:t>
            </w:r>
          </w:p>
        </w:tc>
        <w:tc>
          <w:tcPr>
            <w:tcW w:w="0" w:type="auto"/>
            <w:tcBorders>
              <w:top w:val="nil"/>
              <w:left w:val="nil"/>
              <w:bottom w:val="nil"/>
              <w:right w:val="nil"/>
            </w:tcBorders>
            <w:vAlign w:val="center"/>
            <w:hideMark/>
          </w:tcPr>
          <w:p w14:paraId="45964194"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34.5%</w:t>
            </w:r>
          </w:p>
        </w:tc>
      </w:tr>
      <w:tr w:rsidR="00160CEE" w:rsidRPr="00C63568" w14:paraId="7D1493BC" w14:textId="77777777" w:rsidTr="00160CEE">
        <w:trPr>
          <w:trHeight w:val="304"/>
        </w:trPr>
        <w:tc>
          <w:tcPr>
            <w:tcW w:w="0" w:type="auto"/>
            <w:tcBorders>
              <w:top w:val="nil"/>
              <w:left w:val="nil"/>
              <w:bottom w:val="nil"/>
              <w:right w:val="nil"/>
            </w:tcBorders>
            <w:vAlign w:val="center"/>
            <w:hideMark/>
          </w:tcPr>
          <w:p w14:paraId="3ACC353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47238E7F"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3A1E8B75"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40D8E1DE"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5B5DDDBC"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3B105834"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r>
      <w:tr w:rsidR="00160CEE" w:rsidRPr="00C63568" w14:paraId="2AF234CA" w14:textId="77777777" w:rsidTr="00160CEE">
        <w:trPr>
          <w:trHeight w:val="387"/>
        </w:trPr>
        <w:tc>
          <w:tcPr>
            <w:tcW w:w="0" w:type="auto"/>
            <w:tcBorders>
              <w:top w:val="nil"/>
              <w:left w:val="nil"/>
              <w:bottom w:val="nil"/>
              <w:right w:val="nil"/>
            </w:tcBorders>
            <w:noWrap/>
            <w:vAlign w:val="bottom"/>
            <w:hideMark/>
          </w:tcPr>
          <w:p w14:paraId="19749321"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noWrap/>
            <w:vAlign w:val="bottom"/>
            <w:hideMark/>
          </w:tcPr>
          <w:p w14:paraId="283D07F8"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noWrap/>
            <w:vAlign w:val="bottom"/>
            <w:hideMark/>
          </w:tcPr>
          <w:p w14:paraId="48678AA9"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noWrap/>
            <w:vAlign w:val="bottom"/>
            <w:hideMark/>
          </w:tcPr>
          <w:p w14:paraId="473F5FDE"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noWrap/>
            <w:vAlign w:val="bottom"/>
            <w:hideMark/>
          </w:tcPr>
          <w:p w14:paraId="654DA5C2"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noWrap/>
            <w:vAlign w:val="bottom"/>
            <w:hideMark/>
          </w:tcPr>
          <w:p w14:paraId="6EDCE2B5"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r>
      <w:tr w:rsidR="00160CEE" w:rsidRPr="00C63568" w14:paraId="12216E1F" w14:textId="77777777" w:rsidTr="00160CEE">
        <w:trPr>
          <w:trHeight w:val="304"/>
        </w:trPr>
        <w:tc>
          <w:tcPr>
            <w:tcW w:w="0" w:type="auto"/>
            <w:tcBorders>
              <w:top w:val="nil"/>
              <w:left w:val="nil"/>
              <w:bottom w:val="nil"/>
              <w:right w:val="nil"/>
            </w:tcBorders>
            <w:vAlign w:val="center"/>
            <w:hideMark/>
          </w:tcPr>
          <w:p w14:paraId="28DFE6C0"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Current ratio</w:t>
            </w:r>
          </w:p>
        </w:tc>
        <w:tc>
          <w:tcPr>
            <w:tcW w:w="0" w:type="auto"/>
            <w:tcBorders>
              <w:top w:val="nil"/>
              <w:left w:val="nil"/>
              <w:bottom w:val="nil"/>
              <w:right w:val="nil"/>
            </w:tcBorders>
            <w:vAlign w:val="center"/>
            <w:hideMark/>
          </w:tcPr>
          <w:p w14:paraId="30A4248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1.81x</w:t>
            </w:r>
          </w:p>
        </w:tc>
        <w:tc>
          <w:tcPr>
            <w:tcW w:w="0" w:type="auto"/>
            <w:tcBorders>
              <w:top w:val="nil"/>
              <w:left w:val="nil"/>
              <w:bottom w:val="nil"/>
              <w:right w:val="nil"/>
            </w:tcBorders>
            <w:vAlign w:val="center"/>
            <w:hideMark/>
          </w:tcPr>
          <w:p w14:paraId="2419FB2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1.34x</w:t>
            </w:r>
          </w:p>
        </w:tc>
        <w:tc>
          <w:tcPr>
            <w:tcW w:w="0" w:type="auto"/>
            <w:tcBorders>
              <w:top w:val="nil"/>
              <w:left w:val="nil"/>
              <w:bottom w:val="nil"/>
              <w:right w:val="nil"/>
            </w:tcBorders>
            <w:shd w:val="clear" w:color="000000" w:fill="FCE4D6"/>
            <w:vAlign w:val="center"/>
            <w:hideMark/>
          </w:tcPr>
          <w:p w14:paraId="13C5C6AA"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0.81x</w:t>
            </w:r>
          </w:p>
        </w:tc>
        <w:tc>
          <w:tcPr>
            <w:tcW w:w="0" w:type="auto"/>
            <w:tcBorders>
              <w:top w:val="nil"/>
              <w:left w:val="nil"/>
              <w:bottom w:val="nil"/>
              <w:right w:val="nil"/>
            </w:tcBorders>
            <w:vAlign w:val="center"/>
            <w:hideMark/>
          </w:tcPr>
          <w:p w14:paraId="25632F04"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1.00x</w:t>
            </w:r>
          </w:p>
        </w:tc>
        <w:tc>
          <w:tcPr>
            <w:tcW w:w="0" w:type="auto"/>
            <w:tcBorders>
              <w:top w:val="nil"/>
              <w:left w:val="nil"/>
              <w:bottom w:val="nil"/>
              <w:right w:val="nil"/>
            </w:tcBorders>
            <w:shd w:val="clear" w:color="000000" w:fill="FCE4D6"/>
            <w:vAlign w:val="center"/>
            <w:hideMark/>
          </w:tcPr>
          <w:p w14:paraId="690F7C5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0.86x</w:t>
            </w:r>
          </w:p>
        </w:tc>
      </w:tr>
      <w:tr w:rsidR="00160CEE" w:rsidRPr="00C63568" w14:paraId="56242CC3" w14:textId="77777777" w:rsidTr="00160CEE">
        <w:trPr>
          <w:trHeight w:val="304"/>
        </w:trPr>
        <w:tc>
          <w:tcPr>
            <w:tcW w:w="0" w:type="auto"/>
            <w:tcBorders>
              <w:top w:val="nil"/>
              <w:left w:val="nil"/>
              <w:bottom w:val="nil"/>
              <w:right w:val="nil"/>
            </w:tcBorders>
            <w:vAlign w:val="center"/>
            <w:hideMark/>
          </w:tcPr>
          <w:p w14:paraId="278A594E"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Quick ratio</w:t>
            </w:r>
          </w:p>
        </w:tc>
        <w:tc>
          <w:tcPr>
            <w:tcW w:w="0" w:type="auto"/>
            <w:tcBorders>
              <w:top w:val="nil"/>
              <w:left w:val="nil"/>
              <w:bottom w:val="nil"/>
              <w:right w:val="nil"/>
            </w:tcBorders>
            <w:vAlign w:val="center"/>
            <w:hideMark/>
          </w:tcPr>
          <w:p w14:paraId="0190C81A"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1.05x</w:t>
            </w:r>
          </w:p>
        </w:tc>
        <w:tc>
          <w:tcPr>
            <w:tcW w:w="0" w:type="auto"/>
            <w:tcBorders>
              <w:top w:val="nil"/>
              <w:left w:val="nil"/>
              <w:bottom w:val="nil"/>
              <w:right w:val="nil"/>
            </w:tcBorders>
            <w:vAlign w:val="center"/>
            <w:hideMark/>
          </w:tcPr>
          <w:p w14:paraId="2A593ADA"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0.97x</w:t>
            </w:r>
          </w:p>
        </w:tc>
        <w:tc>
          <w:tcPr>
            <w:tcW w:w="0" w:type="auto"/>
            <w:tcBorders>
              <w:top w:val="nil"/>
              <w:left w:val="nil"/>
              <w:bottom w:val="nil"/>
              <w:right w:val="nil"/>
            </w:tcBorders>
            <w:vAlign w:val="center"/>
            <w:hideMark/>
          </w:tcPr>
          <w:p w14:paraId="3C3399E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0.67x</w:t>
            </w:r>
          </w:p>
        </w:tc>
        <w:tc>
          <w:tcPr>
            <w:tcW w:w="0" w:type="auto"/>
            <w:tcBorders>
              <w:top w:val="nil"/>
              <w:left w:val="nil"/>
              <w:bottom w:val="nil"/>
              <w:right w:val="nil"/>
            </w:tcBorders>
            <w:vAlign w:val="center"/>
            <w:hideMark/>
          </w:tcPr>
          <w:p w14:paraId="22A34C88"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0.80x</w:t>
            </w:r>
          </w:p>
        </w:tc>
        <w:tc>
          <w:tcPr>
            <w:tcW w:w="0" w:type="auto"/>
            <w:tcBorders>
              <w:top w:val="nil"/>
              <w:left w:val="nil"/>
              <w:bottom w:val="nil"/>
              <w:right w:val="nil"/>
            </w:tcBorders>
            <w:vAlign w:val="center"/>
            <w:hideMark/>
          </w:tcPr>
          <w:p w14:paraId="6DBBBBE5"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0.70x</w:t>
            </w:r>
          </w:p>
        </w:tc>
      </w:tr>
      <w:tr w:rsidR="00160CEE" w:rsidRPr="00C63568" w14:paraId="235546DD" w14:textId="77777777" w:rsidTr="00160CEE">
        <w:trPr>
          <w:trHeight w:val="304"/>
        </w:trPr>
        <w:tc>
          <w:tcPr>
            <w:tcW w:w="0" w:type="auto"/>
            <w:tcBorders>
              <w:top w:val="nil"/>
              <w:left w:val="nil"/>
              <w:bottom w:val="nil"/>
              <w:right w:val="nil"/>
            </w:tcBorders>
            <w:vAlign w:val="center"/>
            <w:hideMark/>
          </w:tcPr>
          <w:p w14:paraId="44D61652"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Cash ratio</w:t>
            </w:r>
          </w:p>
        </w:tc>
        <w:tc>
          <w:tcPr>
            <w:tcW w:w="0" w:type="auto"/>
            <w:tcBorders>
              <w:top w:val="nil"/>
              <w:left w:val="nil"/>
              <w:bottom w:val="nil"/>
              <w:right w:val="nil"/>
            </w:tcBorders>
            <w:vAlign w:val="center"/>
            <w:hideMark/>
          </w:tcPr>
          <w:p w14:paraId="64232DB1"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0.43x</w:t>
            </w:r>
          </w:p>
        </w:tc>
        <w:tc>
          <w:tcPr>
            <w:tcW w:w="0" w:type="auto"/>
            <w:tcBorders>
              <w:top w:val="nil"/>
              <w:left w:val="nil"/>
              <w:bottom w:val="nil"/>
              <w:right w:val="nil"/>
            </w:tcBorders>
            <w:vAlign w:val="center"/>
            <w:hideMark/>
          </w:tcPr>
          <w:p w14:paraId="349CBA57"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0.40x</w:t>
            </w:r>
          </w:p>
        </w:tc>
        <w:tc>
          <w:tcPr>
            <w:tcW w:w="0" w:type="auto"/>
            <w:tcBorders>
              <w:top w:val="nil"/>
              <w:left w:val="nil"/>
              <w:bottom w:val="nil"/>
              <w:right w:val="nil"/>
            </w:tcBorders>
            <w:vAlign w:val="center"/>
            <w:hideMark/>
          </w:tcPr>
          <w:p w14:paraId="7BA569AD"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0.14x</w:t>
            </w:r>
          </w:p>
        </w:tc>
        <w:tc>
          <w:tcPr>
            <w:tcW w:w="0" w:type="auto"/>
            <w:tcBorders>
              <w:top w:val="nil"/>
              <w:left w:val="nil"/>
              <w:bottom w:val="nil"/>
              <w:right w:val="nil"/>
            </w:tcBorders>
            <w:vAlign w:val="center"/>
            <w:hideMark/>
          </w:tcPr>
          <w:p w14:paraId="13D41C65"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0.22x</w:t>
            </w:r>
          </w:p>
        </w:tc>
        <w:tc>
          <w:tcPr>
            <w:tcW w:w="0" w:type="auto"/>
            <w:tcBorders>
              <w:top w:val="nil"/>
              <w:left w:val="nil"/>
              <w:bottom w:val="nil"/>
              <w:right w:val="nil"/>
            </w:tcBorders>
            <w:vAlign w:val="center"/>
            <w:hideMark/>
          </w:tcPr>
          <w:p w14:paraId="4B51FC9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0.13x</w:t>
            </w:r>
          </w:p>
        </w:tc>
      </w:tr>
      <w:tr w:rsidR="00160CEE" w:rsidRPr="00C63568" w14:paraId="698AFC93" w14:textId="77777777" w:rsidTr="00160CEE">
        <w:trPr>
          <w:trHeight w:val="304"/>
        </w:trPr>
        <w:tc>
          <w:tcPr>
            <w:tcW w:w="0" w:type="auto"/>
            <w:tcBorders>
              <w:top w:val="nil"/>
              <w:left w:val="nil"/>
              <w:bottom w:val="nil"/>
              <w:right w:val="nil"/>
            </w:tcBorders>
            <w:vAlign w:val="center"/>
            <w:hideMark/>
          </w:tcPr>
          <w:p w14:paraId="198C63BB"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Net working capital</w:t>
            </w:r>
          </w:p>
        </w:tc>
        <w:tc>
          <w:tcPr>
            <w:tcW w:w="0" w:type="auto"/>
            <w:tcBorders>
              <w:top w:val="nil"/>
              <w:left w:val="nil"/>
              <w:bottom w:val="nil"/>
              <w:right w:val="nil"/>
            </w:tcBorders>
            <w:vAlign w:val="center"/>
            <w:hideMark/>
          </w:tcPr>
          <w:p w14:paraId="39DAAF70"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$323</w:t>
            </w:r>
          </w:p>
        </w:tc>
        <w:tc>
          <w:tcPr>
            <w:tcW w:w="0" w:type="auto"/>
            <w:tcBorders>
              <w:top w:val="nil"/>
              <w:left w:val="nil"/>
              <w:bottom w:val="nil"/>
              <w:right w:val="nil"/>
            </w:tcBorders>
            <w:vAlign w:val="center"/>
            <w:hideMark/>
          </w:tcPr>
          <w:p w14:paraId="15891F80"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$139</w:t>
            </w:r>
          </w:p>
        </w:tc>
        <w:tc>
          <w:tcPr>
            <w:tcW w:w="0" w:type="auto"/>
            <w:tcBorders>
              <w:top w:val="nil"/>
              <w:left w:val="nil"/>
              <w:bottom w:val="nil"/>
              <w:right w:val="nil"/>
            </w:tcBorders>
            <w:vAlign w:val="center"/>
            <w:hideMark/>
          </w:tcPr>
          <w:p w14:paraId="488A33BD"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($86)</w:t>
            </w:r>
          </w:p>
        </w:tc>
        <w:tc>
          <w:tcPr>
            <w:tcW w:w="0" w:type="auto"/>
            <w:tcBorders>
              <w:top w:val="nil"/>
              <w:left w:val="nil"/>
              <w:bottom w:val="nil"/>
              <w:right w:val="nil"/>
            </w:tcBorders>
            <w:vAlign w:val="center"/>
            <w:hideMark/>
          </w:tcPr>
          <w:p w14:paraId="78EFA30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w:t>
            </w:r>
          </w:p>
        </w:tc>
        <w:tc>
          <w:tcPr>
            <w:tcW w:w="0" w:type="auto"/>
            <w:tcBorders>
              <w:top w:val="nil"/>
              <w:left w:val="nil"/>
              <w:bottom w:val="nil"/>
              <w:right w:val="nil"/>
            </w:tcBorders>
            <w:vAlign w:val="center"/>
            <w:hideMark/>
          </w:tcPr>
          <w:p w14:paraId="1C4DA3A0"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($72)</w:t>
            </w:r>
          </w:p>
        </w:tc>
      </w:tr>
      <w:tr w:rsidR="00160CEE" w:rsidRPr="00C63568" w14:paraId="29789B6F" w14:textId="77777777" w:rsidTr="00160CEE">
        <w:trPr>
          <w:trHeight w:val="304"/>
        </w:trPr>
        <w:tc>
          <w:tcPr>
            <w:tcW w:w="0" w:type="auto"/>
            <w:tcBorders>
              <w:top w:val="nil"/>
              <w:left w:val="nil"/>
              <w:bottom w:val="nil"/>
              <w:right w:val="nil"/>
            </w:tcBorders>
            <w:vAlign w:val="center"/>
            <w:hideMark/>
          </w:tcPr>
          <w:p w14:paraId="1408903C" w14:textId="77777777" w:rsidR="00160CEE" w:rsidRPr="00C63568" w:rsidRDefault="00160CEE" w:rsidP="00740735">
            <w:pPr>
              <w:spacing w:after="0" w:line="360" w:lineRule="auto"/>
              <w:jc w:val="right"/>
              <w:rPr>
                <w:rFonts w:ascii="Arial" w:eastAsia="Times New Roman" w:hAnsi="Arial" w:cs="Arial"/>
                <w:color w:val="008000"/>
                <w:sz w:val="24"/>
                <w:szCs w:val="24"/>
              </w:rPr>
            </w:pPr>
          </w:p>
        </w:tc>
        <w:tc>
          <w:tcPr>
            <w:tcW w:w="0" w:type="auto"/>
            <w:tcBorders>
              <w:top w:val="nil"/>
              <w:left w:val="nil"/>
              <w:bottom w:val="nil"/>
              <w:right w:val="nil"/>
            </w:tcBorders>
            <w:vAlign w:val="bottom"/>
            <w:hideMark/>
          </w:tcPr>
          <w:p w14:paraId="279218CD"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2ACE437F"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46001C81"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0D5251A4"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2A12ACB6" w14:textId="77777777" w:rsidR="00160CEE" w:rsidRPr="00C63568" w:rsidRDefault="00160CEE" w:rsidP="00740735">
            <w:pPr>
              <w:spacing w:after="0" w:line="360" w:lineRule="auto"/>
              <w:rPr>
                <w:rFonts w:ascii="Arial" w:eastAsia="Times New Roman" w:hAnsi="Arial" w:cs="Arial"/>
                <w:sz w:val="24"/>
                <w:szCs w:val="24"/>
              </w:rPr>
            </w:pPr>
          </w:p>
        </w:tc>
      </w:tr>
      <w:tr w:rsidR="00160CEE" w:rsidRPr="00C63568" w14:paraId="1188FC01" w14:textId="77777777" w:rsidTr="00160CEE">
        <w:trPr>
          <w:trHeight w:val="387"/>
        </w:trPr>
        <w:tc>
          <w:tcPr>
            <w:tcW w:w="0" w:type="auto"/>
            <w:gridSpan w:val="6"/>
            <w:tcBorders>
              <w:top w:val="nil"/>
              <w:left w:val="nil"/>
              <w:bottom w:val="nil"/>
              <w:right w:val="nil"/>
            </w:tcBorders>
            <w:shd w:val="clear" w:color="000000" w:fill="17365D"/>
            <w:vAlign w:val="center"/>
            <w:hideMark/>
          </w:tcPr>
          <w:p w14:paraId="12EFB896" w14:textId="77777777" w:rsidR="00160CEE" w:rsidRPr="00C63568" w:rsidRDefault="00160CEE" w:rsidP="00740735">
            <w:pPr>
              <w:spacing w:after="0" w:line="360" w:lineRule="auto"/>
              <w:rPr>
                <w:rFonts w:ascii="Arial" w:eastAsia="Times New Roman" w:hAnsi="Arial" w:cs="Arial"/>
                <w:b/>
                <w:bCs/>
                <w:color w:val="FFFFFF"/>
                <w:sz w:val="24"/>
                <w:szCs w:val="24"/>
              </w:rPr>
            </w:pPr>
            <w:r w:rsidRPr="00C63568">
              <w:rPr>
                <w:rFonts w:ascii="Arial" w:eastAsia="Times New Roman" w:hAnsi="Arial" w:cs="Arial"/>
                <w:b/>
                <w:bCs/>
                <w:color w:val="FFFFFF"/>
                <w:sz w:val="24"/>
                <w:szCs w:val="24"/>
              </w:rPr>
              <w:t>EFFICIENCY</w:t>
            </w:r>
          </w:p>
        </w:tc>
      </w:tr>
      <w:tr w:rsidR="00160CEE" w:rsidRPr="00C63568" w14:paraId="47E05BFA" w14:textId="77777777" w:rsidTr="00160CEE">
        <w:trPr>
          <w:trHeight w:val="304"/>
        </w:trPr>
        <w:tc>
          <w:tcPr>
            <w:tcW w:w="0" w:type="auto"/>
            <w:tcBorders>
              <w:top w:val="nil"/>
              <w:left w:val="nil"/>
              <w:bottom w:val="nil"/>
              <w:right w:val="nil"/>
            </w:tcBorders>
            <w:vAlign w:val="center"/>
            <w:hideMark/>
          </w:tcPr>
          <w:p w14:paraId="4F387DF7"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Total asset turnover</w:t>
            </w:r>
          </w:p>
        </w:tc>
        <w:tc>
          <w:tcPr>
            <w:tcW w:w="0" w:type="auto"/>
            <w:tcBorders>
              <w:top w:val="nil"/>
              <w:left w:val="nil"/>
              <w:bottom w:val="nil"/>
              <w:right w:val="nil"/>
            </w:tcBorders>
            <w:vAlign w:val="center"/>
            <w:hideMark/>
          </w:tcPr>
          <w:p w14:paraId="4545512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0.35x</w:t>
            </w:r>
          </w:p>
        </w:tc>
        <w:tc>
          <w:tcPr>
            <w:tcW w:w="0" w:type="auto"/>
            <w:tcBorders>
              <w:top w:val="nil"/>
              <w:left w:val="nil"/>
              <w:bottom w:val="nil"/>
              <w:right w:val="nil"/>
            </w:tcBorders>
            <w:vAlign w:val="center"/>
            <w:hideMark/>
          </w:tcPr>
          <w:p w14:paraId="0F466E7B"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0.36x</w:t>
            </w:r>
          </w:p>
        </w:tc>
        <w:tc>
          <w:tcPr>
            <w:tcW w:w="0" w:type="auto"/>
            <w:tcBorders>
              <w:top w:val="nil"/>
              <w:left w:val="nil"/>
              <w:bottom w:val="nil"/>
              <w:right w:val="nil"/>
            </w:tcBorders>
            <w:vAlign w:val="center"/>
            <w:hideMark/>
          </w:tcPr>
          <w:p w14:paraId="1C091218"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0.34x</w:t>
            </w:r>
          </w:p>
        </w:tc>
        <w:tc>
          <w:tcPr>
            <w:tcW w:w="0" w:type="auto"/>
            <w:tcBorders>
              <w:top w:val="nil"/>
              <w:left w:val="nil"/>
              <w:bottom w:val="nil"/>
              <w:right w:val="nil"/>
            </w:tcBorders>
            <w:vAlign w:val="center"/>
            <w:hideMark/>
          </w:tcPr>
          <w:p w14:paraId="2307D90B"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0.34x</w:t>
            </w:r>
          </w:p>
        </w:tc>
        <w:tc>
          <w:tcPr>
            <w:tcW w:w="0" w:type="auto"/>
            <w:tcBorders>
              <w:top w:val="nil"/>
              <w:left w:val="nil"/>
              <w:bottom w:val="nil"/>
              <w:right w:val="nil"/>
            </w:tcBorders>
            <w:vAlign w:val="center"/>
            <w:hideMark/>
          </w:tcPr>
          <w:p w14:paraId="7F1E48EB"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0.34x</w:t>
            </w:r>
          </w:p>
        </w:tc>
      </w:tr>
      <w:tr w:rsidR="00160CEE" w:rsidRPr="00C63568" w14:paraId="40397DCF" w14:textId="77777777" w:rsidTr="00160CEE">
        <w:trPr>
          <w:trHeight w:val="304"/>
        </w:trPr>
        <w:tc>
          <w:tcPr>
            <w:tcW w:w="0" w:type="auto"/>
            <w:tcBorders>
              <w:top w:val="nil"/>
              <w:left w:val="nil"/>
              <w:bottom w:val="nil"/>
              <w:right w:val="nil"/>
            </w:tcBorders>
            <w:vAlign w:val="center"/>
            <w:hideMark/>
          </w:tcPr>
          <w:p w14:paraId="0535625C"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Receivables turnover</w:t>
            </w:r>
          </w:p>
        </w:tc>
        <w:tc>
          <w:tcPr>
            <w:tcW w:w="0" w:type="auto"/>
            <w:tcBorders>
              <w:top w:val="nil"/>
              <w:left w:val="nil"/>
              <w:bottom w:val="nil"/>
              <w:right w:val="nil"/>
            </w:tcBorders>
            <w:vAlign w:val="center"/>
            <w:hideMark/>
          </w:tcPr>
          <w:p w14:paraId="6C0B236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5.79x</w:t>
            </w:r>
          </w:p>
        </w:tc>
        <w:tc>
          <w:tcPr>
            <w:tcW w:w="0" w:type="auto"/>
            <w:tcBorders>
              <w:top w:val="nil"/>
              <w:left w:val="nil"/>
              <w:bottom w:val="nil"/>
              <w:right w:val="nil"/>
            </w:tcBorders>
            <w:vAlign w:val="center"/>
            <w:hideMark/>
          </w:tcPr>
          <w:p w14:paraId="025A51A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6.24x</w:t>
            </w:r>
          </w:p>
        </w:tc>
        <w:tc>
          <w:tcPr>
            <w:tcW w:w="0" w:type="auto"/>
            <w:tcBorders>
              <w:top w:val="nil"/>
              <w:left w:val="nil"/>
              <w:bottom w:val="nil"/>
              <w:right w:val="nil"/>
            </w:tcBorders>
            <w:vAlign w:val="center"/>
            <w:hideMark/>
          </w:tcPr>
          <w:p w14:paraId="5DFA694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5.88x</w:t>
            </w:r>
          </w:p>
        </w:tc>
        <w:tc>
          <w:tcPr>
            <w:tcW w:w="0" w:type="auto"/>
            <w:tcBorders>
              <w:top w:val="nil"/>
              <w:left w:val="nil"/>
              <w:bottom w:val="nil"/>
              <w:right w:val="nil"/>
            </w:tcBorders>
            <w:vAlign w:val="center"/>
            <w:hideMark/>
          </w:tcPr>
          <w:p w14:paraId="6AA58FD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5.50x</w:t>
            </w:r>
          </w:p>
        </w:tc>
        <w:tc>
          <w:tcPr>
            <w:tcW w:w="0" w:type="auto"/>
            <w:tcBorders>
              <w:top w:val="nil"/>
              <w:left w:val="nil"/>
              <w:bottom w:val="nil"/>
              <w:right w:val="nil"/>
            </w:tcBorders>
            <w:vAlign w:val="center"/>
            <w:hideMark/>
          </w:tcPr>
          <w:p w14:paraId="6C8B89FC"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5.09x</w:t>
            </w:r>
          </w:p>
        </w:tc>
      </w:tr>
      <w:tr w:rsidR="00160CEE" w:rsidRPr="00C63568" w14:paraId="2BFFC68B" w14:textId="77777777" w:rsidTr="00160CEE">
        <w:trPr>
          <w:trHeight w:val="304"/>
        </w:trPr>
        <w:tc>
          <w:tcPr>
            <w:tcW w:w="0" w:type="auto"/>
            <w:tcBorders>
              <w:top w:val="nil"/>
              <w:left w:val="nil"/>
              <w:bottom w:val="nil"/>
              <w:right w:val="nil"/>
            </w:tcBorders>
            <w:vAlign w:val="center"/>
            <w:hideMark/>
          </w:tcPr>
          <w:p w14:paraId="789C5260"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Days sales outstanding</w:t>
            </w:r>
          </w:p>
        </w:tc>
        <w:tc>
          <w:tcPr>
            <w:tcW w:w="0" w:type="auto"/>
            <w:tcBorders>
              <w:top w:val="nil"/>
              <w:left w:val="nil"/>
              <w:bottom w:val="nil"/>
              <w:right w:val="nil"/>
            </w:tcBorders>
            <w:vAlign w:val="center"/>
            <w:hideMark/>
          </w:tcPr>
          <w:p w14:paraId="2011277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63.1 days</w:t>
            </w:r>
          </w:p>
        </w:tc>
        <w:tc>
          <w:tcPr>
            <w:tcW w:w="0" w:type="auto"/>
            <w:tcBorders>
              <w:top w:val="nil"/>
              <w:left w:val="nil"/>
              <w:bottom w:val="nil"/>
              <w:right w:val="nil"/>
            </w:tcBorders>
            <w:vAlign w:val="center"/>
            <w:hideMark/>
          </w:tcPr>
          <w:p w14:paraId="4D2393A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58.5 days</w:t>
            </w:r>
          </w:p>
        </w:tc>
        <w:tc>
          <w:tcPr>
            <w:tcW w:w="0" w:type="auto"/>
            <w:tcBorders>
              <w:top w:val="nil"/>
              <w:left w:val="nil"/>
              <w:bottom w:val="nil"/>
              <w:right w:val="nil"/>
            </w:tcBorders>
            <w:vAlign w:val="center"/>
            <w:hideMark/>
          </w:tcPr>
          <w:p w14:paraId="68E3AFC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62.1 days</w:t>
            </w:r>
          </w:p>
        </w:tc>
        <w:tc>
          <w:tcPr>
            <w:tcW w:w="0" w:type="auto"/>
            <w:tcBorders>
              <w:top w:val="nil"/>
              <w:left w:val="nil"/>
              <w:bottom w:val="nil"/>
              <w:right w:val="nil"/>
            </w:tcBorders>
            <w:vAlign w:val="center"/>
            <w:hideMark/>
          </w:tcPr>
          <w:p w14:paraId="01DB3DCA"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66.4 days</w:t>
            </w:r>
          </w:p>
        </w:tc>
        <w:tc>
          <w:tcPr>
            <w:tcW w:w="0" w:type="auto"/>
            <w:tcBorders>
              <w:top w:val="nil"/>
              <w:left w:val="nil"/>
              <w:bottom w:val="nil"/>
              <w:right w:val="nil"/>
            </w:tcBorders>
            <w:vAlign w:val="center"/>
            <w:hideMark/>
          </w:tcPr>
          <w:p w14:paraId="52DE0F5A"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71.8 days</w:t>
            </w:r>
          </w:p>
        </w:tc>
      </w:tr>
      <w:tr w:rsidR="00160CEE" w:rsidRPr="00C63568" w14:paraId="7A0C6723" w14:textId="77777777" w:rsidTr="00160CEE">
        <w:trPr>
          <w:trHeight w:val="304"/>
        </w:trPr>
        <w:tc>
          <w:tcPr>
            <w:tcW w:w="0" w:type="auto"/>
            <w:tcBorders>
              <w:top w:val="nil"/>
              <w:left w:val="nil"/>
              <w:bottom w:val="nil"/>
              <w:right w:val="nil"/>
            </w:tcBorders>
            <w:vAlign w:val="center"/>
            <w:hideMark/>
          </w:tcPr>
          <w:p w14:paraId="0E707A9F"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Fixed-asset turnover</w:t>
            </w:r>
          </w:p>
        </w:tc>
        <w:tc>
          <w:tcPr>
            <w:tcW w:w="0" w:type="auto"/>
            <w:tcBorders>
              <w:top w:val="nil"/>
              <w:left w:val="nil"/>
              <w:bottom w:val="nil"/>
              <w:right w:val="nil"/>
            </w:tcBorders>
            <w:vAlign w:val="center"/>
            <w:hideMark/>
          </w:tcPr>
          <w:p w14:paraId="0C1CDB1D"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8.15x</w:t>
            </w:r>
          </w:p>
        </w:tc>
        <w:tc>
          <w:tcPr>
            <w:tcW w:w="0" w:type="auto"/>
            <w:tcBorders>
              <w:top w:val="nil"/>
              <w:left w:val="nil"/>
              <w:bottom w:val="nil"/>
              <w:right w:val="nil"/>
            </w:tcBorders>
            <w:vAlign w:val="center"/>
            <w:hideMark/>
          </w:tcPr>
          <w:p w14:paraId="4A0EA79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14.61x</w:t>
            </w:r>
          </w:p>
        </w:tc>
        <w:tc>
          <w:tcPr>
            <w:tcW w:w="0" w:type="auto"/>
            <w:tcBorders>
              <w:top w:val="nil"/>
              <w:left w:val="nil"/>
              <w:bottom w:val="nil"/>
              <w:right w:val="nil"/>
            </w:tcBorders>
            <w:vAlign w:val="center"/>
            <w:hideMark/>
          </w:tcPr>
          <w:p w14:paraId="2F407E0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14.94x</w:t>
            </w:r>
          </w:p>
        </w:tc>
        <w:tc>
          <w:tcPr>
            <w:tcW w:w="0" w:type="auto"/>
            <w:tcBorders>
              <w:top w:val="nil"/>
              <w:left w:val="nil"/>
              <w:bottom w:val="nil"/>
              <w:right w:val="nil"/>
            </w:tcBorders>
            <w:vAlign w:val="center"/>
            <w:hideMark/>
          </w:tcPr>
          <w:p w14:paraId="582FF6DC"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15.47x</w:t>
            </w:r>
          </w:p>
        </w:tc>
        <w:tc>
          <w:tcPr>
            <w:tcW w:w="0" w:type="auto"/>
            <w:tcBorders>
              <w:top w:val="nil"/>
              <w:left w:val="nil"/>
              <w:bottom w:val="nil"/>
              <w:right w:val="nil"/>
            </w:tcBorders>
            <w:vAlign w:val="center"/>
            <w:hideMark/>
          </w:tcPr>
          <w:p w14:paraId="431E3CB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14.43x</w:t>
            </w:r>
          </w:p>
        </w:tc>
      </w:tr>
      <w:tr w:rsidR="00160CEE" w:rsidRPr="00C63568" w14:paraId="6250870B" w14:textId="77777777" w:rsidTr="00160CEE">
        <w:trPr>
          <w:trHeight w:val="304"/>
        </w:trPr>
        <w:tc>
          <w:tcPr>
            <w:tcW w:w="0" w:type="auto"/>
            <w:tcBorders>
              <w:top w:val="nil"/>
              <w:left w:val="nil"/>
              <w:bottom w:val="nil"/>
              <w:right w:val="nil"/>
            </w:tcBorders>
            <w:vAlign w:val="center"/>
            <w:hideMark/>
          </w:tcPr>
          <w:p w14:paraId="48DD9310" w14:textId="77777777" w:rsidR="00160CEE" w:rsidRPr="00C63568" w:rsidRDefault="00160CEE" w:rsidP="00740735">
            <w:pPr>
              <w:spacing w:after="0" w:line="360" w:lineRule="auto"/>
              <w:jc w:val="right"/>
              <w:rPr>
                <w:rFonts w:ascii="Arial" w:eastAsia="Times New Roman" w:hAnsi="Arial" w:cs="Arial"/>
                <w:color w:val="008000"/>
                <w:sz w:val="24"/>
                <w:szCs w:val="24"/>
              </w:rPr>
            </w:pPr>
          </w:p>
        </w:tc>
        <w:tc>
          <w:tcPr>
            <w:tcW w:w="0" w:type="auto"/>
            <w:tcBorders>
              <w:top w:val="nil"/>
              <w:left w:val="nil"/>
              <w:bottom w:val="nil"/>
              <w:right w:val="nil"/>
            </w:tcBorders>
            <w:vAlign w:val="bottom"/>
            <w:hideMark/>
          </w:tcPr>
          <w:p w14:paraId="775FB5A2"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2DC80C7A"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6E936B46"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28875D29"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6C0DA3C4" w14:textId="77777777" w:rsidR="00160CEE" w:rsidRPr="00C63568" w:rsidRDefault="00160CEE" w:rsidP="00740735">
            <w:pPr>
              <w:spacing w:after="0" w:line="360" w:lineRule="auto"/>
              <w:rPr>
                <w:rFonts w:ascii="Arial" w:eastAsia="Times New Roman" w:hAnsi="Arial" w:cs="Arial"/>
                <w:sz w:val="24"/>
                <w:szCs w:val="24"/>
              </w:rPr>
            </w:pPr>
          </w:p>
        </w:tc>
      </w:tr>
      <w:tr w:rsidR="00160CEE" w:rsidRPr="00C63568" w14:paraId="776060AF" w14:textId="77777777" w:rsidTr="00160CEE">
        <w:trPr>
          <w:trHeight w:val="387"/>
        </w:trPr>
        <w:tc>
          <w:tcPr>
            <w:tcW w:w="0" w:type="auto"/>
            <w:gridSpan w:val="6"/>
            <w:tcBorders>
              <w:top w:val="nil"/>
              <w:left w:val="nil"/>
              <w:bottom w:val="nil"/>
              <w:right w:val="nil"/>
            </w:tcBorders>
            <w:shd w:val="clear" w:color="000000" w:fill="17365D"/>
            <w:vAlign w:val="center"/>
            <w:hideMark/>
          </w:tcPr>
          <w:p w14:paraId="4659A01D" w14:textId="77777777" w:rsidR="00160CEE" w:rsidRPr="00C63568" w:rsidRDefault="00160CEE" w:rsidP="00740735">
            <w:pPr>
              <w:spacing w:after="0" w:line="360" w:lineRule="auto"/>
              <w:rPr>
                <w:rFonts w:ascii="Arial" w:eastAsia="Times New Roman" w:hAnsi="Arial" w:cs="Arial"/>
                <w:b/>
                <w:bCs/>
                <w:color w:val="FFFFFF"/>
                <w:sz w:val="24"/>
                <w:szCs w:val="24"/>
              </w:rPr>
            </w:pPr>
            <w:r w:rsidRPr="00C63568">
              <w:rPr>
                <w:rFonts w:ascii="Arial" w:eastAsia="Times New Roman" w:hAnsi="Arial" w:cs="Arial"/>
                <w:b/>
                <w:bCs/>
                <w:color w:val="FFFFFF"/>
                <w:sz w:val="24"/>
                <w:szCs w:val="24"/>
              </w:rPr>
              <w:t>GEARING / SOLVENCY</w:t>
            </w:r>
          </w:p>
        </w:tc>
      </w:tr>
      <w:tr w:rsidR="00160CEE" w:rsidRPr="00C63568" w14:paraId="375AD681" w14:textId="77777777" w:rsidTr="00160CEE">
        <w:trPr>
          <w:trHeight w:val="304"/>
        </w:trPr>
        <w:tc>
          <w:tcPr>
            <w:tcW w:w="0" w:type="auto"/>
            <w:tcBorders>
              <w:top w:val="nil"/>
              <w:left w:val="nil"/>
              <w:bottom w:val="nil"/>
              <w:right w:val="nil"/>
            </w:tcBorders>
            <w:vAlign w:val="center"/>
            <w:hideMark/>
          </w:tcPr>
          <w:p w14:paraId="476A05D8"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Debt-to-equity</w:t>
            </w:r>
          </w:p>
        </w:tc>
        <w:tc>
          <w:tcPr>
            <w:tcW w:w="0" w:type="auto"/>
            <w:tcBorders>
              <w:top w:val="nil"/>
              <w:left w:val="nil"/>
              <w:bottom w:val="nil"/>
              <w:right w:val="nil"/>
            </w:tcBorders>
            <w:vAlign w:val="center"/>
            <w:hideMark/>
          </w:tcPr>
          <w:p w14:paraId="496F1B71"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1.91x</w:t>
            </w:r>
          </w:p>
        </w:tc>
        <w:tc>
          <w:tcPr>
            <w:tcW w:w="0" w:type="auto"/>
            <w:tcBorders>
              <w:top w:val="nil"/>
              <w:left w:val="nil"/>
              <w:bottom w:val="nil"/>
              <w:right w:val="nil"/>
            </w:tcBorders>
            <w:vAlign w:val="center"/>
            <w:hideMark/>
          </w:tcPr>
          <w:p w14:paraId="467C8E1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2.16x</w:t>
            </w:r>
          </w:p>
        </w:tc>
        <w:tc>
          <w:tcPr>
            <w:tcW w:w="0" w:type="auto"/>
            <w:tcBorders>
              <w:top w:val="nil"/>
              <w:left w:val="nil"/>
              <w:bottom w:val="nil"/>
              <w:right w:val="nil"/>
            </w:tcBorders>
            <w:vAlign w:val="center"/>
            <w:hideMark/>
          </w:tcPr>
          <w:p w14:paraId="33634871"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2.95x</w:t>
            </w:r>
          </w:p>
        </w:tc>
        <w:tc>
          <w:tcPr>
            <w:tcW w:w="0" w:type="auto"/>
            <w:tcBorders>
              <w:top w:val="nil"/>
              <w:left w:val="nil"/>
              <w:bottom w:val="nil"/>
              <w:right w:val="nil"/>
            </w:tcBorders>
            <w:vAlign w:val="center"/>
            <w:hideMark/>
          </w:tcPr>
          <w:p w14:paraId="02DEF337"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3.79x</w:t>
            </w:r>
          </w:p>
        </w:tc>
        <w:tc>
          <w:tcPr>
            <w:tcW w:w="0" w:type="auto"/>
            <w:tcBorders>
              <w:top w:val="nil"/>
              <w:left w:val="nil"/>
              <w:bottom w:val="nil"/>
              <w:right w:val="nil"/>
            </w:tcBorders>
            <w:shd w:val="clear" w:color="000000" w:fill="FCE4D6"/>
            <w:vAlign w:val="center"/>
            <w:hideMark/>
          </w:tcPr>
          <w:p w14:paraId="3E25487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5.47x</w:t>
            </w:r>
          </w:p>
        </w:tc>
      </w:tr>
      <w:tr w:rsidR="00160CEE" w:rsidRPr="00C63568" w14:paraId="2E4D8629" w14:textId="77777777" w:rsidTr="00160CEE">
        <w:trPr>
          <w:trHeight w:val="304"/>
        </w:trPr>
        <w:tc>
          <w:tcPr>
            <w:tcW w:w="0" w:type="auto"/>
            <w:tcBorders>
              <w:top w:val="nil"/>
              <w:left w:val="nil"/>
              <w:bottom w:val="nil"/>
              <w:right w:val="nil"/>
            </w:tcBorders>
            <w:vAlign w:val="center"/>
            <w:hideMark/>
          </w:tcPr>
          <w:p w14:paraId="32E3DD58"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Debt-to-assets</w:t>
            </w:r>
          </w:p>
        </w:tc>
        <w:tc>
          <w:tcPr>
            <w:tcW w:w="0" w:type="auto"/>
            <w:tcBorders>
              <w:top w:val="nil"/>
              <w:left w:val="nil"/>
              <w:bottom w:val="nil"/>
              <w:right w:val="nil"/>
            </w:tcBorders>
            <w:vAlign w:val="center"/>
            <w:hideMark/>
          </w:tcPr>
          <w:p w14:paraId="6AAF419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48.8%</w:t>
            </w:r>
          </w:p>
        </w:tc>
        <w:tc>
          <w:tcPr>
            <w:tcW w:w="0" w:type="auto"/>
            <w:tcBorders>
              <w:top w:val="nil"/>
              <w:left w:val="nil"/>
              <w:bottom w:val="nil"/>
              <w:right w:val="nil"/>
            </w:tcBorders>
            <w:vAlign w:val="center"/>
            <w:hideMark/>
          </w:tcPr>
          <w:p w14:paraId="60737E9D"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50.4%</w:t>
            </w:r>
          </w:p>
        </w:tc>
        <w:tc>
          <w:tcPr>
            <w:tcW w:w="0" w:type="auto"/>
            <w:tcBorders>
              <w:top w:val="nil"/>
              <w:left w:val="nil"/>
              <w:bottom w:val="nil"/>
              <w:right w:val="nil"/>
            </w:tcBorders>
            <w:vAlign w:val="center"/>
            <w:hideMark/>
          </w:tcPr>
          <w:p w14:paraId="49CD418C"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54.6%</w:t>
            </w:r>
          </w:p>
        </w:tc>
        <w:tc>
          <w:tcPr>
            <w:tcW w:w="0" w:type="auto"/>
            <w:tcBorders>
              <w:top w:val="nil"/>
              <w:left w:val="nil"/>
              <w:bottom w:val="nil"/>
              <w:right w:val="nil"/>
            </w:tcBorders>
            <w:vAlign w:val="center"/>
            <w:hideMark/>
          </w:tcPr>
          <w:p w14:paraId="62588301"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58.3%</w:t>
            </w:r>
          </w:p>
        </w:tc>
        <w:tc>
          <w:tcPr>
            <w:tcW w:w="0" w:type="auto"/>
            <w:tcBorders>
              <w:top w:val="nil"/>
              <w:left w:val="nil"/>
              <w:bottom w:val="nil"/>
              <w:right w:val="nil"/>
            </w:tcBorders>
            <w:vAlign w:val="center"/>
            <w:hideMark/>
          </w:tcPr>
          <w:p w14:paraId="78A6B3D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61.2%</w:t>
            </w:r>
          </w:p>
        </w:tc>
      </w:tr>
      <w:tr w:rsidR="00160CEE" w:rsidRPr="00C63568" w14:paraId="7FE5256A" w14:textId="77777777" w:rsidTr="00160CEE">
        <w:trPr>
          <w:trHeight w:val="304"/>
        </w:trPr>
        <w:tc>
          <w:tcPr>
            <w:tcW w:w="0" w:type="auto"/>
            <w:tcBorders>
              <w:top w:val="nil"/>
              <w:left w:val="nil"/>
              <w:bottom w:val="nil"/>
              <w:right w:val="nil"/>
            </w:tcBorders>
            <w:vAlign w:val="center"/>
            <w:hideMark/>
          </w:tcPr>
          <w:p w14:paraId="6F20AAEF"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Interest coverage</w:t>
            </w:r>
          </w:p>
        </w:tc>
        <w:tc>
          <w:tcPr>
            <w:tcW w:w="0" w:type="auto"/>
            <w:tcBorders>
              <w:top w:val="nil"/>
              <w:left w:val="nil"/>
              <w:bottom w:val="nil"/>
              <w:right w:val="nil"/>
            </w:tcBorders>
            <w:vAlign w:val="center"/>
            <w:hideMark/>
          </w:tcPr>
          <w:p w14:paraId="534A7D1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4.80x</w:t>
            </w:r>
          </w:p>
        </w:tc>
        <w:tc>
          <w:tcPr>
            <w:tcW w:w="0" w:type="auto"/>
            <w:tcBorders>
              <w:top w:val="nil"/>
              <w:left w:val="nil"/>
              <w:bottom w:val="nil"/>
              <w:right w:val="nil"/>
            </w:tcBorders>
            <w:vAlign w:val="center"/>
            <w:hideMark/>
          </w:tcPr>
          <w:p w14:paraId="6BAD0B41"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6.98x</w:t>
            </w:r>
          </w:p>
        </w:tc>
        <w:tc>
          <w:tcPr>
            <w:tcW w:w="0" w:type="auto"/>
            <w:tcBorders>
              <w:top w:val="nil"/>
              <w:left w:val="nil"/>
              <w:bottom w:val="nil"/>
              <w:right w:val="nil"/>
            </w:tcBorders>
            <w:vAlign w:val="center"/>
            <w:hideMark/>
          </w:tcPr>
          <w:p w14:paraId="6895B625"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4.93x</w:t>
            </w:r>
          </w:p>
        </w:tc>
        <w:tc>
          <w:tcPr>
            <w:tcW w:w="0" w:type="auto"/>
            <w:tcBorders>
              <w:top w:val="nil"/>
              <w:left w:val="nil"/>
              <w:bottom w:val="nil"/>
              <w:right w:val="nil"/>
            </w:tcBorders>
            <w:vAlign w:val="center"/>
            <w:hideMark/>
          </w:tcPr>
          <w:p w14:paraId="52799B4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3.99x</w:t>
            </w:r>
          </w:p>
        </w:tc>
        <w:tc>
          <w:tcPr>
            <w:tcW w:w="0" w:type="auto"/>
            <w:tcBorders>
              <w:top w:val="nil"/>
              <w:left w:val="nil"/>
              <w:bottom w:val="nil"/>
              <w:right w:val="nil"/>
            </w:tcBorders>
            <w:shd w:val="clear" w:color="000000" w:fill="FCE4D6"/>
            <w:vAlign w:val="center"/>
            <w:hideMark/>
          </w:tcPr>
          <w:p w14:paraId="1E46097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2.89x</w:t>
            </w:r>
          </w:p>
        </w:tc>
      </w:tr>
      <w:tr w:rsidR="00160CEE" w:rsidRPr="00C63568" w14:paraId="031CD143" w14:textId="77777777" w:rsidTr="00160CEE">
        <w:trPr>
          <w:trHeight w:val="304"/>
        </w:trPr>
        <w:tc>
          <w:tcPr>
            <w:tcW w:w="0" w:type="auto"/>
            <w:tcBorders>
              <w:top w:val="nil"/>
              <w:left w:val="nil"/>
              <w:bottom w:val="nil"/>
              <w:right w:val="nil"/>
            </w:tcBorders>
            <w:vAlign w:val="center"/>
            <w:hideMark/>
          </w:tcPr>
          <w:p w14:paraId="14D94CE5"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Net debt / adjusted EBITDA</w:t>
            </w:r>
          </w:p>
        </w:tc>
        <w:tc>
          <w:tcPr>
            <w:tcW w:w="0" w:type="auto"/>
            <w:tcBorders>
              <w:top w:val="nil"/>
              <w:left w:val="nil"/>
              <w:bottom w:val="nil"/>
              <w:right w:val="nil"/>
            </w:tcBorders>
            <w:vAlign w:val="center"/>
            <w:hideMark/>
          </w:tcPr>
          <w:p w14:paraId="6F67AA8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3.24x</w:t>
            </w:r>
          </w:p>
        </w:tc>
        <w:tc>
          <w:tcPr>
            <w:tcW w:w="0" w:type="auto"/>
            <w:tcBorders>
              <w:top w:val="nil"/>
              <w:left w:val="nil"/>
              <w:bottom w:val="nil"/>
              <w:right w:val="nil"/>
            </w:tcBorders>
            <w:vAlign w:val="center"/>
            <w:hideMark/>
          </w:tcPr>
          <w:p w14:paraId="770700B8"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2.95x</w:t>
            </w:r>
          </w:p>
        </w:tc>
        <w:tc>
          <w:tcPr>
            <w:tcW w:w="0" w:type="auto"/>
            <w:tcBorders>
              <w:top w:val="nil"/>
              <w:left w:val="nil"/>
              <w:bottom w:val="nil"/>
              <w:right w:val="nil"/>
            </w:tcBorders>
            <w:vAlign w:val="center"/>
            <w:hideMark/>
          </w:tcPr>
          <w:p w14:paraId="62B38BDA"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3.24x</w:t>
            </w:r>
          </w:p>
        </w:tc>
        <w:tc>
          <w:tcPr>
            <w:tcW w:w="0" w:type="auto"/>
            <w:tcBorders>
              <w:top w:val="nil"/>
              <w:left w:val="nil"/>
              <w:bottom w:val="nil"/>
              <w:right w:val="nil"/>
            </w:tcBorders>
            <w:vAlign w:val="center"/>
            <w:hideMark/>
          </w:tcPr>
          <w:p w14:paraId="1D09118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3.40x</w:t>
            </w:r>
          </w:p>
        </w:tc>
        <w:tc>
          <w:tcPr>
            <w:tcW w:w="0" w:type="auto"/>
            <w:tcBorders>
              <w:top w:val="nil"/>
              <w:left w:val="nil"/>
              <w:bottom w:val="nil"/>
              <w:right w:val="nil"/>
            </w:tcBorders>
            <w:vAlign w:val="center"/>
            <w:hideMark/>
          </w:tcPr>
          <w:p w14:paraId="7FF207A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3.48x</w:t>
            </w:r>
          </w:p>
        </w:tc>
      </w:tr>
      <w:tr w:rsidR="00160CEE" w:rsidRPr="00C63568" w14:paraId="43185890" w14:textId="77777777" w:rsidTr="00160CEE">
        <w:trPr>
          <w:trHeight w:val="304"/>
        </w:trPr>
        <w:tc>
          <w:tcPr>
            <w:tcW w:w="0" w:type="auto"/>
            <w:tcBorders>
              <w:top w:val="nil"/>
              <w:left w:val="nil"/>
              <w:bottom w:val="nil"/>
              <w:right w:val="nil"/>
            </w:tcBorders>
            <w:vAlign w:val="center"/>
            <w:hideMark/>
          </w:tcPr>
          <w:p w14:paraId="0394BC5A" w14:textId="77777777" w:rsidR="00160CEE" w:rsidRPr="00C63568" w:rsidRDefault="00160CEE" w:rsidP="00740735">
            <w:pPr>
              <w:spacing w:after="0" w:line="360" w:lineRule="auto"/>
              <w:jc w:val="right"/>
              <w:rPr>
                <w:rFonts w:ascii="Arial" w:eastAsia="Times New Roman" w:hAnsi="Arial" w:cs="Arial"/>
                <w:color w:val="008000"/>
                <w:sz w:val="24"/>
                <w:szCs w:val="24"/>
              </w:rPr>
            </w:pPr>
          </w:p>
        </w:tc>
        <w:tc>
          <w:tcPr>
            <w:tcW w:w="0" w:type="auto"/>
            <w:tcBorders>
              <w:top w:val="nil"/>
              <w:left w:val="nil"/>
              <w:bottom w:val="nil"/>
              <w:right w:val="nil"/>
            </w:tcBorders>
            <w:vAlign w:val="bottom"/>
            <w:hideMark/>
          </w:tcPr>
          <w:p w14:paraId="7C0A8756"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3AF6D962"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2AFE4591"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77BF91A8"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0B43CCE6" w14:textId="77777777" w:rsidR="00160CEE" w:rsidRPr="00C63568" w:rsidRDefault="00160CEE" w:rsidP="00740735">
            <w:pPr>
              <w:spacing w:after="0" w:line="360" w:lineRule="auto"/>
              <w:rPr>
                <w:rFonts w:ascii="Arial" w:eastAsia="Times New Roman" w:hAnsi="Arial" w:cs="Arial"/>
                <w:sz w:val="24"/>
                <w:szCs w:val="24"/>
              </w:rPr>
            </w:pPr>
          </w:p>
        </w:tc>
      </w:tr>
      <w:tr w:rsidR="00160CEE" w:rsidRPr="00C63568" w14:paraId="63AA0492" w14:textId="77777777" w:rsidTr="00160CEE">
        <w:trPr>
          <w:trHeight w:val="387"/>
        </w:trPr>
        <w:tc>
          <w:tcPr>
            <w:tcW w:w="0" w:type="auto"/>
            <w:gridSpan w:val="6"/>
            <w:tcBorders>
              <w:top w:val="nil"/>
              <w:left w:val="nil"/>
              <w:bottom w:val="nil"/>
              <w:right w:val="nil"/>
            </w:tcBorders>
            <w:shd w:val="clear" w:color="000000" w:fill="17365D"/>
            <w:vAlign w:val="center"/>
            <w:hideMark/>
          </w:tcPr>
          <w:p w14:paraId="180A7152" w14:textId="77777777" w:rsidR="00160CEE" w:rsidRPr="00C63568" w:rsidRDefault="00160CEE" w:rsidP="00740735">
            <w:pPr>
              <w:spacing w:after="0" w:line="360" w:lineRule="auto"/>
              <w:rPr>
                <w:rFonts w:ascii="Arial" w:eastAsia="Times New Roman" w:hAnsi="Arial" w:cs="Arial"/>
                <w:b/>
                <w:bCs/>
                <w:color w:val="FFFFFF"/>
                <w:sz w:val="24"/>
                <w:szCs w:val="24"/>
              </w:rPr>
            </w:pPr>
            <w:r w:rsidRPr="00C63568">
              <w:rPr>
                <w:rFonts w:ascii="Arial" w:eastAsia="Times New Roman" w:hAnsi="Arial" w:cs="Arial"/>
                <w:b/>
                <w:bCs/>
                <w:color w:val="FFFFFF"/>
                <w:sz w:val="24"/>
                <w:szCs w:val="24"/>
              </w:rPr>
              <w:t>INVESTMENT</w:t>
            </w:r>
          </w:p>
        </w:tc>
      </w:tr>
      <w:tr w:rsidR="00160CEE" w:rsidRPr="00C63568" w14:paraId="3D66AAD4" w14:textId="77777777" w:rsidTr="00160CEE">
        <w:trPr>
          <w:trHeight w:val="304"/>
        </w:trPr>
        <w:tc>
          <w:tcPr>
            <w:tcW w:w="0" w:type="auto"/>
            <w:tcBorders>
              <w:top w:val="nil"/>
              <w:left w:val="nil"/>
              <w:bottom w:val="nil"/>
              <w:right w:val="nil"/>
            </w:tcBorders>
            <w:vAlign w:val="center"/>
            <w:hideMark/>
          </w:tcPr>
          <w:p w14:paraId="0C7E2E35"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Diluted EPS</w:t>
            </w:r>
          </w:p>
        </w:tc>
        <w:tc>
          <w:tcPr>
            <w:tcW w:w="0" w:type="auto"/>
            <w:tcBorders>
              <w:top w:val="nil"/>
              <w:left w:val="nil"/>
              <w:bottom w:val="nil"/>
              <w:right w:val="nil"/>
            </w:tcBorders>
            <w:vAlign w:val="center"/>
            <w:hideMark/>
          </w:tcPr>
          <w:p w14:paraId="5FBF609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$2.60</w:t>
            </w:r>
          </w:p>
        </w:tc>
        <w:tc>
          <w:tcPr>
            <w:tcW w:w="0" w:type="auto"/>
            <w:tcBorders>
              <w:top w:val="nil"/>
              <w:left w:val="nil"/>
              <w:bottom w:val="nil"/>
              <w:right w:val="nil"/>
            </w:tcBorders>
            <w:vAlign w:val="center"/>
            <w:hideMark/>
          </w:tcPr>
          <w:p w14:paraId="4BE8BF85"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$3.91</w:t>
            </w:r>
          </w:p>
        </w:tc>
        <w:tc>
          <w:tcPr>
            <w:tcW w:w="0" w:type="auto"/>
            <w:tcBorders>
              <w:top w:val="nil"/>
              <w:left w:val="nil"/>
              <w:bottom w:val="nil"/>
              <w:right w:val="nil"/>
            </w:tcBorders>
            <w:vAlign w:val="center"/>
            <w:hideMark/>
          </w:tcPr>
          <w:p w14:paraId="3B081C2C"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$3.41</w:t>
            </w:r>
          </w:p>
        </w:tc>
        <w:tc>
          <w:tcPr>
            <w:tcW w:w="0" w:type="auto"/>
            <w:tcBorders>
              <w:top w:val="nil"/>
              <w:left w:val="nil"/>
              <w:bottom w:val="nil"/>
              <w:right w:val="nil"/>
            </w:tcBorders>
            <w:vAlign w:val="center"/>
            <w:hideMark/>
          </w:tcPr>
          <w:p w14:paraId="412D891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$3.61</w:t>
            </w:r>
          </w:p>
        </w:tc>
        <w:tc>
          <w:tcPr>
            <w:tcW w:w="0" w:type="auto"/>
            <w:tcBorders>
              <w:top w:val="nil"/>
              <w:left w:val="nil"/>
              <w:bottom w:val="nil"/>
              <w:right w:val="nil"/>
            </w:tcBorders>
            <w:vAlign w:val="center"/>
            <w:hideMark/>
          </w:tcPr>
          <w:p w14:paraId="0AF03D27"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$2.50</w:t>
            </w:r>
          </w:p>
        </w:tc>
      </w:tr>
      <w:tr w:rsidR="00160CEE" w:rsidRPr="00C63568" w14:paraId="6EE2BD37" w14:textId="77777777" w:rsidTr="00160CEE">
        <w:trPr>
          <w:trHeight w:val="304"/>
        </w:trPr>
        <w:tc>
          <w:tcPr>
            <w:tcW w:w="0" w:type="auto"/>
            <w:tcBorders>
              <w:top w:val="nil"/>
              <w:left w:val="nil"/>
              <w:bottom w:val="nil"/>
              <w:right w:val="nil"/>
            </w:tcBorders>
            <w:vAlign w:val="center"/>
            <w:hideMark/>
          </w:tcPr>
          <w:p w14:paraId="26B4608F"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EPS growth</w:t>
            </w:r>
          </w:p>
        </w:tc>
        <w:tc>
          <w:tcPr>
            <w:tcW w:w="0" w:type="auto"/>
            <w:tcBorders>
              <w:top w:val="nil"/>
              <w:left w:val="nil"/>
              <w:bottom w:val="nil"/>
              <w:right w:val="nil"/>
            </w:tcBorders>
            <w:vAlign w:val="center"/>
            <w:hideMark/>
          </w:tcPr>
          <w:p w14:paraId="70E903B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n/a</w:t>
            </w:r>
          </w:p>
        </w:tc>
        <w:tc>
          <w:tcPr>
            <w:tcW w:w="0" w:type="auto"/>
            <w:tcBorders>
              <w:top w:val="nil"/>
              <w:left w:val="nil"/>
              <w:bottom w:val="nil"/>
              <w:right w:val="nil"/>
            </w:tcBorders>
            <w:vAlign w:val="center"/>
            <w:hideMark/>
          </w:tcPr>
          <w:p w14:paraId="3641A04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50.4%</w:t>
            </w:r>
          </w:p>
        </w:tc>
        <w:tc>
          <w:tcPr>
            <w:tcW w:w="0" w:type="auto"/>
            <w:tcBorders>
              <w:top w:val="nil"/>
              <w:left w:val="nil"/>
              <w:bottom w:val="nil"/>
              <w:right w:val="nil"/>
            </w:tcBorders>
            <w:vAlign w:val="center"/>
            <w:hideMark/>
          </w:tcPr>
          <w:p w14:paraId="0EADF725"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(12.8%)</w:t>
            </w:r>
          </w:p>
        </w:tc>
        <w:tc>
          <w:tcPr>
            <w:tcW w:w="0" w:type="auto"/>
            <w:tcBorders>
              <w:top w:val="nil"/>
              <w:left w:val="nil"/>
              <w:bottom w:val="nil"/>
              <w:right w:val="nil"/>
            </w:tcBorders>
            <w:vAlign w:val="center"/>
            <w:hideMark/>
          </w:tcPr>
          <w:p w14:paraId="42EF00E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5.9%</w:t>
            </w:r>
          </w:p>
        </w:tc>
        <w:tc>
          <w:tcPr>
            <w:tcW w:w="0" w:type="auto"/>
            <w:tcBorders>
              <w:top w:val="nil"/>
              <w:left w:val="nil"/>
              <w:bottom w:val="nil"/>
              <w:right w:val="nil"/>
            </w:tcBorders>
            <w:vAlign w:val="center"/>
            <w:hideMark/>
          </w:tcPr>
          <w:p w14:paraId="6601D20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(30.7%)</w:t>
            </w:r>
          </w:p>
        </w:tc>
      </w:tr>
      <w:tr w:rsidR="00160CEE" w:rsidRPr="00C63568" w14:paraId="10CA6F9F" w14:textId="77777777" w:rsidTr="00160CEE">
        <w:trPr>
          <w:trHeight w:val="304"/>
        </w:trPr>
        <w:tc>
          <w:tcPr>
            <w:tcW w:w="0" w:type="auto"/>
            <w:tcBorders>
              <w:top w:val="nil"/>
              <w:left w:val="nil"/>
              <w:bottom w:val="nil"/>
              <w:right w:val="nil"/>
            </w:tcBorders>
            <w:vAlign w:val="center"/>
            <w:hideMark/>
          </w:tcPr>
          <w:p w14:paraId="0B81D80D"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Dividend per share</w:t>
            </w:r>
          </w:p>
        </w:tc>
        <w:tc>
          <w:tcPr>
            <w:tcW w:w="0" w:type="auto"/>
            <w:tcBorders>
              <w:top w:val="nil"/>
              <w:left w:val="nil"/>
              <w:bottom w:val="nil"/>
              <w:right w:val="nil"/>
            </w:tcBorders>
            <w:vAlign w:val="center"/>
            <w:hideMark/>
          </w:tcPr>
          <w:p w14:paraId="0F4A21F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$0.88</w:t>
            </w:r>
          </w:p>
        </w:tc>
        <w:tc>
          <w:tcPr>
            <w:tcW w:w="0" w:type="auto"/>
            <w:tcBorders>
              <w:top w:val="nil"/>
              <w:left w:val="nil"/>
              <w:bottom w:val="nil"/>
              <w:right w:val="nil"/>
            </w:tcBorders>
            <w:vAlign w:val="center"/>
            <w:hideMark/>
          </w:tcPr>
          <w:p w14:paraId="2A0515BC"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$1.28</w:t>
            </w:r>
          </w:p>
        </w:tc>
        <w:tc>
          <w:tcPr>
            <w:tcW w:w="0" w:type="auto"/>
            <w:tcBorders>
              <w:top w:val="nil"/>
              <w:left w:val="nil"/>
              <w:bottom w:val="nil"/>
              <w:right w:val="nil"/>
            </w:tcBorders>
            <w:vAlign w:val="center"/>
            <w:hideMark/>
          </w:tcPr>
          <w:p w14:paraId="201F9874"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$1.40</w:t>
            </w:r>
          </w:p>
        </w:tc>
        <w:tc>
          <w:tcPr>
            <w:tcW w:w="0" w:type="auto"/>
            <w:tcBorders>
              <w:top w:val="nil"/>
              <w:left w:val="nil"/>
              <w:bottom w:val="nil"/>
              <w:right w:val="nil"/>
            </w:tcBorders>
            <w:vAlign w:val="center"/>
            <w:hideMark/>
          </w:tcPr>
          <w:p w14:paraId="772854BB"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$1.52</w:t>
            </w:r>
          </w:p>
        </w:tc>
        <w:tc>
          <w:tcPr>
            <w:tcW w:w="0" w:type="auto"/>
            <w:tcBorders>
              <w:top w:val="nil"/>
              <w:left w:val="nil"/>
              <w:bottom w:val="nil"/>
              <w:right w:val="nil"/>
            </w:tcBorders>
            <w:vAlign w:val="center"/>
            <w:hideMark/>
          </w:tcPr>
          <w:p w14:paraId="61478BC8"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$1.64</w:t>
            </w:r>
          </w:p>
        </w:tc>
      </w:tr>
      <w:tr w:rsidR="00160CEE" w:rsidRPr="00C63568" w14:paraId="1ECC98EA" w14:textId="77777777" w:rsidTr="00160CEE">
        <w:trPr>
          <w:trHeight w:val="304"/>
        </w:trPr>
        <w:tc>
          <w:tcPr>
            <w:tcW w:w="0" w:type="auto"/>
            <w:tcBorders>
              <w:top w:val="nil"/>
              <w:left w:val="nil"/>
              <w:bottom w:val="nil"/>
              <w:right w:val="nil"/>
            </w:tcBorders>
            <w:vAlign w:val="center"/>
            <w:hideMark/>
          </w:tcPr>
          <w:p w14:paraId="4128D2D2"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Dividend payout ratio</w:t>
            </w:r>
          </w:p>
        </w:tc>
        <w:tc>
          <w:tcPr>
            <w:tcW w:w="0" w:type="auto"/>
            <w:tcBorders>
              <w:top w:val="nil"/>
              <w:left w:val="nil"/>
              <w:bottom w:val="nil"/>
              <w:right w:val="nil"/>
            </w:tcBorders>
            <w:vAlign w:val="center"/>
            <w:hideMark/>
          </w:tcPr>
          <w:p w14:paraId="562C94A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33.8%</w:t>
            </w:r>
          </w:p>
        </w:tc>
        <w:tc>
          <w:tcPr>
            <w:tcW w:w="0" w:type="auto"/>
            <w:tcBorders>
              <w:top w:val="nil"/>
              <w:left w:val="nil"/>
              <w:bottom w:val="nil"/>
              <w:right w:val="nil"/>
            </w:tcBorders>
            <w:vAlign w:val="center"/>
            <w:hideMark/>
          </w:tcPr>
          <w:p w14:paraId="074EFC9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32.7%</w:t>
            </w:r>
          </w:p>
        </w:tc>
        <w:tc>
          <w:tcPr>
            <w:tcW w:w="0" w:type="auto"/>
            <w:tcBorders>
              <w:top w:val="nil"/>
              <w:left w:val="nil"/>
              <w:bottom w:val="nil"/>
              <w:right w:val="nil"/>
            </w:tcBorders>
            <w:vAlign w:val="center"/>
            <w:hideMark/>
          </w:tcPr>
          <w:p w14:paraId="7C3D22B7"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41.1%</w:t>
            </w:r>
          </w:p>
        </w:tc>
        <w:tc>
          <w:tcPr>
            <w:tcW w:w="0" w:type="auto"/>
            <w:tcBorders>
              <w:top w:val="nil"/>
              <w:left w:val="nil"/>
              <w:bottom w:val="nil"/>
              <w:right w:val="nil"/>
            </w:tcBorders>
            <w:vAlign w:val="center"/>
            <w:hideMark/>
          </w:tcPr>
          <w:p w14:paraId="5069BBF8"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42.1%</w:t>
            </w:r>
          </w:p>
        </w:tc>
        <w:tc>
          <w:tcPr>
            <w:tcW w:w="0" w:type="auto"/>
            <w:tcBorders>
              <w:top w:val="nil"/>
              <w:left w:val="nil"/>
              <w:bottom w:val="nil"/>
              <w:right w:val="nil"/>
            </w:tcBorders>
            <w:vAlign w:val="center"/>
            <w:hideMark/>
          </w:tcPr>
          <w:p w14:paraId="035CEBB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65.6%</w:t>
            </w:r>
          </w:p>
        </w:tc>
      </w:tr>
      <w:tr w:rsidR="00160CEE" w:rsidRPr="00C63568" w14:paraId="3BBA0824" w14:textId="77777777" w:rsidTr="00160CEE">
        <w:trPr>
          <w:trHeight w:val="304"/>
        </w:trPr>
        <w:tc>
          <w:tcPr>
            <w:tcW w:w="0" w:type="auto"/>
            <w:tcBorders>
              <w:top w:val="nil"/>
              <w:left w:val="nil"/>
              <w:bottom w:val="nil"/>
              <w:right w:val="nil"/>
            </w:tcBorders>
            <w:vAlign w:val="center"/>
            <w:hideMark/>
          </w:tcPr>
          <w:p w14:paraId="2A130806"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Dividend cover</w:t>
            </w:r>
          </w:p>
        </w:tc>
        <w:tc>
          <w:tcPr>
            <w:tcW w:w="0" w:type="auto"/>
            <w:tcBorders>
              <w:top w:val="nil"/>
              <w:left w:val="nil"/>
              <w:bottom w:val="nil"/>
              <w:right w:val="nil"/>
            </w:tcBorders>
            <w:vAlign w:val="center"/>
            <w:hideMark/>
          </w:tcPr>
          <w:p w14:paraId="37279EC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2.95x</w:t>
            </w:r>
          </w:p>
        </w:tc>
        <w:tc>
          <w:tcPr>
            <w:tcW w:w="0" w:type="auto"/>
            <w:tcBorders>
              <w:top w:val="nil"/>
              <w:left w:val="nil"/>
              <w:bottom w:val="nil"/>
              <w:right w:val="nil"/>
            </w:tcBorders>
            <w:vAlign w:val="center"/>
            <w:hideMark/>
          </w:tcPr>
          <w:p w14:paraId="0604096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3.05x</w:t>
            </w:r>
          </w:p>
        </w:tc>
        <w:tc>
          <w:tcPr>
            <w:tcW w:w="0" w:type="auto"/>
            <w:tcBorders>
              <w:top w:val="nil"/>
              <w:left w:val="nil"/>
              <w:bottom w:val="nil"/>
              <w:right w:val="nil"/>
            </w:tcBorders>
            <w:vAlign w:val="center"/>
            <w:hideMark/>
          </w:tcPr>
          <w:p w14:paraId="63E9493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2.44x</w:t>
            </w:r>
          </w:p>
        </w:tc>
        <w:tc>
          <w:tcPr>
            <w:tcW w:w="0" w:type="auto"/>
            <w:tcBorders>
              <w:top w:val="nil"/>
              <w:left w:val="nil"/>
              <w:bottom w:val="nil"/>
              <w:right w:val="nil"/>
            </w:tcBorders>
            <w:vAlign w:val="center"/>
            <w:hideMark/>
          </w:tcPr>
          <w:p w14:paraId="07ABE2C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2.38x</w:t>
            </w:r>
          </w:p>
        </w:tc>
        <w:tc>
          <w:tcPr>
            <w:tcW w:w="0" w:type="auto"/>
            <w:tcBorders>
              <w:top w:val="nil"/>
              <w:left w:val="nil"/>
              <w:bottom w:val="nil"/>
              <w:right w:val="nil"/>
            </w:tcBorders>
            <w:vAlign w:val="center"/>
            <w:hideMark/>
          </w:tcPr>
          <w:p w14:paraId="68270364"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1.52x</w:t>
            </w:r>
          </w:p>
        </w:tc>
      </w:tr>
      <w:tr w:rsidR="00160CEE" w:rsidRPr="00C63568" w14:paraId="2D8CEA9F" w14:textId="77777777" w:rsidTr="00160CEE">
        <w:trPr>
          <w:trHeight w:val="304"/>
        </w:trPr>
        <w:tc>
          <w:tcPr>
            <w:tcW w:w="0" w:type="auto"/>
            <w:tcBorders>
              <w:top w:val="nil"/>
              <w:left w:val="nil"/>
              <w:bottom w:val="nil"/>
              <w:right w:val="nil"/>
            </w:tcBorders>
            <w:vAlign w:val="center"/>
            <w:hideMark/>
          </w:tcPr>
          <w:p w14:paraId="6AD72DBC" w14:textId="77777777" w:rsidR="00160CEE" w:rsidRPr="00C63568" w:rsidRDefault="00160CEE" w:rsidP="00740735">
            <w:pPr>
              <w:spacing w:after="0" w:line="360" w:lineRule="auto"/>
              <w:jc w:val="right"/>
              <w:rPr>
                <w:rFonts w:ascii="Arial" w:eastAsia="Times New Roman" w:hAnsi="Arial" w:cs="Arial"/>
                <w:color w:val="008000"/>
                <w:sz w:val="24"/>
                <w:szCs w:val="24"/>
              </w:rPr>
            </w:pPr>
          </w:p>
        </w:tc>
        <w:tc>
          <w:tcPr>
            <w:tcW w:w="0" w:type="auto"/>
            <w:tcBorders>
              <w:top w:val="nil"/>
              <w:left w:val="nil"/>
              <w:bottom w:val="nil"/>
              <w:right w:val="nil"/>
            </w:tcBorders>
            <w:vAlign w:val="bottom"/>
            <w:hideMark/>
          </w:tcPr>
          <w:p w14:paraId="5C026B46"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63DA3E82"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469CF883"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0EF69A07" w14:textId="77777777" w:rsidR="00160CEE" w:rsidRPr="00C63568" w:rsidRDefault="00160CEE" w:rsidP="00740735">
            <w:pPr>
              <w:spacing w:after="0" w:line="360" w:lineRule="auto"/>
              <w:rPr>
                <w:rFonts w:ascii="Arial" w:eastAsia="Times New Roman" w:hAnsi="Arial" w:cs="Arial"/>
                <w:sz w:val="24"/>
                <w:szCs w:val="24"/>
              </w:rPr>
            </w:pPr>
          </w:p>
        </w:tc>
        <w:tc>
          <w:tcPr>
            <w:tcW w:w="0" w:type="auto"/>
            <w:tcBorders>
              <w:top w:val="nil"/>
              <w:left w:val="nil"/>
              <w:bottom w:val="nil"/>
              <w:right w:val="nil"/>
            </w:tcBorders>
            <w:vAlign w:val="bottom"/>
            <w:hideMark/>
          </w:tcPr>
          <w:p w14:paraId="257FA941" w14:textId="77777777" w:rsidR="00160CEE" w:rsidRPr="00C63568" w:rsidRDefault="00160CEE" w:rsidP="00740735">
            <w:pPr>
              <w:spacing w:after="0" w:line="360" w:lineRule="auto"/>
              <w:rPr>
                <w:rFonts w:ascii="Arial" w:eastAsia="Times New Roman" w:hAnsi="Arial" w:cs="Arial"/>
                <w:sz w:val="24"/>
                <w:szCs w:val="24"/>
              </w:rPr>
            </w:pPr>
          </w:p>
        </w:tc>
      </w:tr>
      <w:tr w:rsidR="00160CEE" w:rsidRPr="00C63568" w14:paraId="48FDF5F9" w14:textId="77777777" w:rsidTr="00160CEE">
        <w:trPr>
          <w:trHeight w:val="387"/>
        </w:trPr>
        <w:tc>
          <w:tcPr>
            <w:tcW w:w="0" w:type="auto"/>
            <w:gridSpan w:val="6"/>
            <w:tcBorders>
              <w:top w:val="nil"/>
              <w:left w:val="nil"/>
              <w:bottom w:val="nil"/>
              <w:right w:val="nil"/>
            </w:tcBorders>
            <w:shd w:val="clear" w:color="000000" w:fill="17365D"/>
            <w:vAlign w:val="center"/>
            <w:hideMark/>
          </w:tcPr>
          <w:p w14:paraId="12119E98" w14:textId="77777777" w:rsidR="00160CEE" w:rsidRPr="00C63568" w:rsidRDefault="00160CEE" w:rsidP="00740735">
            <w:pPr>
              <w:spacing w:after="0" w:line="360" w:lineRule="auto"/>
              <w:rPr>
                <w:rFonts w:ascii="Arial" w:eastAsia="Times New Roman" w:hAnsi="Arial" w:cs="Arial"/>
                <w:b/>
                <w:bCs/>
                <w:color w:val="FFFFFF"/>
                <w:sz w:val="24"/>
                <w:szCs w:val="24"/>
              </w:rPr>
            </w:pPr>
            <w:r w:rsidRPr="00C63568">
              <w:rPr>
                <w:rFonts w:ascii="Arial" w:eastAsia="Times New Roman" w:hAnsi="Arial" w:cs="Arial"/>
                <w:b/>
                <w:bCs/>
                <w:color w:val="FFFFFF"/>
                <w:sz w:val="24"/>
                <w:szCs w:val="24"/>
              </w:rPr>
              <w:t>CASH FLOW</w:t>
            </w:r>
          </w:p>
        </w:tc>
      </w:tr>
      <w:tr w:rsidR="00160CEE" w:rsidRPr="00C63568" w14:paraId="4F7E602B" w14:textId="77777777" w:rsidTr="00160CEE">
        <w:trPr>
          <w:trHeight w:val="304"/>
        </w:trPr>
        <w:tc>
          <w:tcPr>
            <w:tcW w:w="0" w:type="auto"/>
            <w:tcBorders>
              <w:top w:val="nil"/>
              <w:left w:val="nil"/>
              <w:bottom w:val="nil"/>
              <w:right w:val="nil"/>
            </w:tcBorders>
            <w:vAlign w:val="center"/>
            <w:hideMark/>
          </w:tcPr>
          <w:p w14:paraId="51D2399B"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Operating cash-flow margin</w:t>
            </w:r>
          </w:p>
        </w:tc>
        <w:tc>
          <w:tcPr>
            <w:tcW w:w="0" w:type="auto"/>
            <w:tcBorders>
              <w:top w:val="nil"/>
              <w:left w:val="nil"/>
              <w:bottom w:val="nil"/>
              <w:right w:val="nil"/>
            </w:tcBorders>
            <w:vAlign w:val="center"/>
            <w:hideMark/>
          </w:tcPr>
          <w:p w14:paraId="08F8DB95"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27.2%</w:t>
            </w:r>
          </w:p>
        </w:tc>
        <w:tc>
          <w:tcPr>
            <w:tcW w:w="0" w:type="auto"/>
            <w:tcBorders>
              <w:top w:val="nil"/>
              <w:left w:val="nil"/>
              <w:bottom w:val="nil"/>
              <w:right w:val="nil"/>
            </w:tcBorders>
            <w:vAlign w:val="center"/>
            <w:hideMark/>
          </w:tcPr>
          <w:p w14:paraId="4E0CA8A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26.6%</w:t>
            </w:r>
          </w:p>
        </w:tc>
        <w:tc>
          <w:tcPr>
            <w:tcW w:w="0" w:type="auto"/>
            <w:tcBorders>
              <w:top w:val="nil"/>
              <w:left w:val="nil"/>
              <w:bottom w:val="nil"/>
              <w:right w:val="nil"/>
            </w:tcBorders>
            <w:vAlign w:val="center"/>
            <w:hideMark/>
          </w:tcPr>
          <w:p w14:paraId="56AF4AD0"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26.9%</w:t>
            </w:r>
          </w:p>
        </w:tc>
        <w:tc>
          <w:tcPr>
            <w:tcW w:w="0" w:type="auto"/>
            <w:tcBorders>
              <w:top w:val="nil"/>
              <w:left w:val="nil"/>
              <w:bottom w:val="nil"/>
              <w:right w:val="nil"/>
            </w:tcBorders>
            <w:vAlign w:val="center"/>
            <w:hideMark/>
          </w:tcPr>
          <w:p w14:paraId="1DD5EB3A"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20.6%</w:t>
            </w:r>
          </w:p>
        </w:tc>
        <w:tc>
          <w:tcPr>
            <w:tcW w:w="0" w:type="auto"/>
            <w:tcBorders>
              <w:top w:val="nil"/>
              <w:left w:val="nil"/>
              <w:bottom w:val="nil"/>
              <w:right w:val="nil"/>
            </w:tcBorders>
            <w:vAlign w:val="center"/>
            <w:hideMark/>
          </w:tcPr>
          <w:p w14:paraId="32ADC57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25.7%</w:t>
            </w:r>
          </w:p>
        </w:tc>
      </w:tr>
      <w:tr w:rsidR="00160CEE" w:rsidRPr="00C63568" w14:paraId="536C365D" w14:textId="77777777" w:rsidTr="00160CEE">
        <w:trPr>
          <w:trHeight w:val="304"/>
        </w:trPr>
        <w:tc>
          <w:tcPr>
            <w:tcW w:w="0" w:type="auto"/>
            <w:tcBorders>
              <w:top w:val="nil"/>
              <w:left w:val="nil"/>
              <w:bottom w:val="nil"/>
              <w:right w:val="nil"/>
            </w:tcBorders>
            <w:vAlign w:val="center"/>
            <w:hideMark/>
          </w:tcPr>
          <w:p w14:paraId="3E3C32F4"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Cash conversion</w:t>
            </w:r>
          </w:p>
        </w:tc>
        <w:tc>
          <w:tcPr>
            <w:tcW w:w="0" w:type="auto"/>
            <w:tcBorders>
              <w:top w:val="nil"/>
              <w:left w:val="nil"/>
              <w:bottom w:val="nil"/>
              <w:right w:val="nil"/>
            </w:tcBorders>
            <w:vAlign w:val="center"/>
            <w:hideMark/>
          </w:tcPr>
          <w:p w14:paraId="267B929C"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1.75x</w:t>
            </w:r>
          </w:p>
        </w:tc>
        <w:tc>
          <w:tcPr>
            <w:tcW w:w="0" w:type="auto"/>
            <w:tcBorders>
              <w:top w:val="nil"/>
              <w:left w:val="nil"/>
              <w:bottom w:val="nil"/>
              <w:right w:val="nil"/>
            </w:tcBorders>
            <w:vAlign w:val="center"/>
            <w:hideMark/>
          </w:tcPr>
          <w:p w14:paraId="6DB4279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1.12x</w:t>
            </w:r>
          </w:p>
        </w:tc>
        <w:tc>
          <w:tcPr>
            <w:tcW w:w="0" w:type="auto"/>
            <w:tcBorders>
              <w:top w:val="nil"/>
              <w:left w:val="nil"/>
              <w:bottom w:val="nil"/>
              <w:right w:val="nil"/>
            </w:tcBorders>
            <w:vAlign w:val="center"/>
            <w:hideMark/>
          </w:tcPr>
          <w:p w14:paraId="335F992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1.30x</w:t>
            </w:r>
          </w:p>
        </w:tc>
        <w:tc>
          <w:tcPr>
            <w:tcW w:w="0" w:type="auto"/>
            <w:tcBorders>
              <w:top w:val="nil"/>
              <w:left w:val="nil"/>
              <w:bottom w:val="nil"/>
              <w:right w:val="nil"/>
            </w:tcBorders>
            <w:vAlign w:val="center"/>
            <w:hideMark/>
          </w:tcPr>
          <w:p w14:paraId="758464E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1.00x</w:t>
            </w:r>
          </w:p>
        </w:tc>
        <w:tc>
          <w:tcPr>
            <w:tcW w:w="0" w:type="auto"/>
            <w:tcBorders>
              <w:top w:val="nil"/>
              <w:left w:val="nil"/>
              <w:bottom w:val="nil"/>
              <w:right w:val="nil"/>
            </w:tcBorders>
            <w:vAlign w:val="center"/>
            <w:hideMark/>
          </w:tcPr>
          <w:p w14:paraId="7320FBE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1.90x</w:t>
            </w:r>
          </w:p>
        </w:tc>
      </w:tr>
      <w:tr w:rsidR="00160CEE" w:rsidRPr="00C63568" w14:paraId="4159C357" w14:textId="77777777" w:rsidTr="00160CEE">
        <w:trPr>
          <w:trHeight w:val="304"/>
        </w:trPr>
        <w:tc>
          <w:tcPr>
            <w:tcW w:w="0" w:type="auto"/>
            <w:tcBorders>
              <w:top w:val="nil"/>
              <w:left w:val="nil"/>
              <w:bottom w:val="nil"/>
              <w:right w:val="nil"/>
            </w:tcBorders>
            <w:vAlign w:val="center"/>
            <w:hideMark/>
          </w:tcPr>
          <w:p w14:paraId="796E7435"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Free cash flow</w:t>
            </w:r>
          </w:p>
        </w:tc>
        <w:tc>
          <w:tcPr>
            <w:tcW w:w="0" w:type="auto"/>
            <w:tcBorders>
              <w:top w:val="nil"/>
              <w:left w:val="nil"/>
              <w:bottom w:val="nil"/>
              <w:right w:val="nil"/>
            </w:tcBorders>
            <w:vAlign w:val="center"/>
            <w:hideMark/>
          </w:tcPr>
          <w:p w14:paraId="1D6D211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$389</w:t>
            </w:r>
          </w:p>
        </w:tc>
        <w:tc>
          <w:tcPr>
            <w:tcW w:w="0" w:type="auto"/>
            <w:tcBorders>
              <w:top w:val="nil"/>
              <w:left w:val="nil"/>
              <w:bottom w:val="nil"/>
              <w:right w:val="nil"/>
            </w:tcBorders>
            <w:vAlign w:val="center"/>
            <w:hideMark/>
          </w:tcPr>
          <w:p w14:paraId="7E9A8747"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$360</w:t>
            </w:r>
          </w:p>
        </w:tc>
        <w:tc>
          <w:tcPr>
            <w:tcW w:w="0" w:type="auto"/>
            <w:tcBorders>
              <w:top w:val="nil"/>
              <w:left w:val="nil"/>
              <w:bottom w:val="nil"/>
              <w:right w:val="nil"/>
            </w:tcBorders>
            <w:vAlign w:val="center"/>
            <w:hideMark/>
          </w:tcPr>
          <w:p w14:paraId="0944A38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$339</w:t>
            </w:r>
          </w:p>
        </w:tc>
        <w:tc>
          <w:tcPr>
            <w:tcW w:w="0" w:type="auto"/>
            <w:tcBorders>
              <w:top w:val="nil"/>
              <w:left w:val="nil"/>
              <w:bottom w:val="nil"/>
              <w:right w:val="nil"/>
            </w:tcBorders>
            <w:vAlign w:val="center"/>
            <w:hideMark/>
          </w:tcPr>
          <w:p w14:paraId="2942723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$241</w:t>
            </w:r>
          </w:p>
        </w:tc>
        <w:tc>
          <w:tcPr>
            <w:tcW w:w="0" w:type="auto"/>
            <w:tcBorders>
              <w:top w:val="nil"/>
              <w:left w:val="nil"/>
              <w:bottom w:val="nil"/>
              <w:right w:val="nil"/>
            </w:tcBorders>
            <w:vAlign w:val="center"/>
            <w:hideMark/>
          </w:tcPr>
          <w:p w14:paraId="7525AC8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$321</w:t>
            </w:r>
          </w:p>
        </w:tc>
      </w:tr>
      <w:tr w:rsidR="00160CEE" w:rsidRPr="00C63568" w14:paraId="3DFC1986" w14:textId="77777777" w:rsidTr="00160CEE">
        <w:trPr>
          <w:trHeight w:val="304"/>
        </w:trPr>
        <w:tc>
          <w:tcPr>
            <w:tcW w:w="0" w:type="auto"/>
            <w:tcBorders>
              <w:top w:val="nil"/>
              <w:left w:val="nil"/>
              <w:bottom w:val="nil"/>
              <w:right w:val="nil"/>
            </w:tcBorders>
            <w:vAlign w:val="center"/>
            <w:hideMark/>
          </w:tcPr>
          <w:p w14:paraId="2BA7AEE8"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Free cash-flow margin</w:t>
            </w:r>
          </w:p>
        </w:tc>
        <w:tc>
          <w:tcPr>
            <w:tcW w:w="0" w:type="auto"/>
            <w:tcBorders>
              <w:top w:val="nil"/>
              <w:left w:val="nil"/>
              <w:bottom w:val="nil"/>
              <w:right w:val="nil"/>
            </w:tcBorders>
            <w:vAlign w:val="center"/>
            <w:hideMark/>
          </w:tcPr>
          <w:p w14:paraId="5AEDCD00"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24.9%</w:t>
            </w:r>
          </w:p>
        </w:tc>
        <w:tc>
          <w:tcPr>
            <w:tcW w:w="0" w:type="auto"/>
            <w:tcBorders>
              <w:top w:val="nil"/>
              <w:left w:val="nil"/>
              <w:bottom w:val="nil"/>
              <w:right w:val="nil"/>
            </w:tcBorders>
            <w:vAlign w:val="center"/>
            <w:hideMark/>
          </w:tcPr>
          <w:p w14:paraId="6FDE6738"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24.0%</w:t>
            </w:r>
          </w:p>
        </w:tc>
        <w:tc>
          <w:tcPr>
            <w:tcW w:w="0" w:type="auto"/>
            <w:tcBorders>
              <w:top w:val="nil"/>
              <w:left w:val="nil"/>
              <w:bottom w:val="nil"/>
              <w:right w:val="nil"/>
            </w:tcBorders>
            <w:vAlign w:val="center"/>
            <w:hideMark/>
          </w:tcPr>
          <w:p w14:paraId="422AB09A"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24.3%</w:t>
            </w:r>
          </w:p>
        </w:tc>
        <w:tc>
          <w:tcPr>
            <w:tcW w:w="0" w:type="auto"/>
            <w:tcBorders>
              <w:top w:val="nil"/>
              <w:left w:val="nil"/>
              <w:bottom w:val="nil"/>
              <w:right w:val="nil"/>
            </w:tcBorders>
            <w:vAlign w:val="center"/>
            <w:hideMark/>
          </w:tcPr>
          <w:p w14:paraId="7AC5D517"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17.1%</w:t>
            </w:r>
          </w:p>
        </w:tc>
        <w:tc>
          <w:tcPr>
            <w:tcW w:w="0" w:type="auto"/>
            <w:tcBorders>
              <w:top w:val="nil"/>
              <w:left w:val="nil"/>
              <w:bottom w:val="nil"/>
              <w:right w:val="nil"/>
            </w:tcBorders>
            <w:vAlign w:val="center"/>
            <w:hideMark/>
          </w:tcPr>
          <w:p w14:paraId="128CC8B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22.5%</w:t>
            </w:r>
          </w:p>
        </w:tc>
      </w:tr>
      <w:tr w:rsidR="00160CEE" w:rsidRPr="00C63568" w14:paraId="1254AA86" w14:textId="77777777" w:rsidTr="00160CEE">
        <w:trPr>
          <w:trHeight w:val="304"/>
        </w:trPr>
        <w:tc>
          <w:tcPr>
            <w:tcW w:w="0" w:type="auto"/>
            <w:tcBorders>
              <w:top w:val="nil"/>
              <w:left w:val="nil"/>
              <w:bottom w:val="nil"/>
              <w:right w:val="nil"/>
            </w:tcBorders>
            <w:vAlign w:val="center"/>
            <w:hideMark/>
          </w:tcPr>
          <w:p w14:paraId="0B6C00C0"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Cash return on assets</w:t>
            </w:r>
          </w:p>
        </w:tc>
        <w:tc>
          <w:tcPr>
            <w:tcW w:w="0" w:type="auto"/>
            <w:tcBorders>
              <w:top w:val="nil"/>
              <w:left w:val="nil"/>
              <w:bottom w:val="nil"/>
              <w:right w:val="nil"/>
            </w:tcBorders>
            <w:vAlign w:val="center"/>
            <w:hideMark/>
          </w:tcPr>
          <w:p w14:paraId="49657BC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9.6%</w:t>
            </w:r>
          </w:p>
        </w:tc>
        <w:tc>
          <w:tcPr>
            <w:tcW w:w="0" w:type="auto"/>
            <w:tcBorders>
              <w:top w:val="nil"/>
              <w:left w:val="nil"/>
              <w:bottom w:val="nil"/>
              <w:right w:val="nil"/>
            </w:tcBorders>
            <w:vAlign w:val="center"/>
            <w:hideMark/>
          </w:tcPr>
          <w:p w14:paraId="554A3358"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9.5%</w:t>
            </w:r>
          </w:p>
        </w:tc>
        <w:tc>
          <w:tcPr>
            <w:tcW w:w="0" w:type="auto"/>
            <w:tcBorders>
              <w:top w:val="nil"/>
              <w:left w:val="nil"/>
              <w:bottom w:val="nil"/>
              <w:right w:val="nil"/>
            </w:tcBorders>
            <w:vAlign w:val="center"/>
            <w:hideMark/>
          </w:tcPr>
          <w:p w14:paraId="1AA09DB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9.2%</w:t>
            </w:r>
          </w:p>
        </w:tc>
        <w:tc>
          <w:tcPr>
            <w:tcW w:w="0" w:type="auto"/>
            <w:tcBorders>
              <w:top w:val="nil"/>
              <w:left w:val="nil"/>
              <w:bottom w:val="nil"/>
              <w:right w:val="nil"/>
            </w:tcBorders>
            <w:vAlign w:val="center"/>
            <w:hideMark/>
          </w:tcPr>
          <w:p w14:paraId="1ECE90A1"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7.0%</w:t>
            </w:r>
          </w:p>
        </w:tc>
        <w:tc>
          <w:tcPr>
            <w:tcW w:w="0" w:type="auto"/>
            <w:tcBorders>
              <w:top w:val="nil"/>
              <w:left w:val="nil"/>
              <w:bottom w:val="nil"/>
              <w:right w:val="nil"/>
            </w:tcBorders>
            <w:vAlign w:val="center"/>
            <w:hideMark/>
          </w:tcPr>
          <w:p w14:paraId="758F3798"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8.7%</w:t>
            </w:r>
          </w:p>
        </w:tc>
      </w:tr>
    </w:tbl>
    <w:p w14:paraId="55E1F69F" w14:textId="77777777" w:rsidR="00160CEE" w:rsidRPr="00C63568" w:rsidRDefault="00160CEE" w:rsidP="00740735">
      <w:pPr>
        <w:spacing w:line="360" w:lineRule="auto"/>
        <w:rPr>
          <w:rFonts w:ascii="Arial" w:hAnsi="Arial" w:cs="Arial"/>
          <w:sz w:val="24"/>
          <w:szCs w:val="24"/>
        </w:rPr>
      </w:pPr>
    </w:p>
    <w:p w14:paraId="4986A89D" w14:textId="77777777" w:rsidR="00160CEE" w:rsidRPr="00C63568" w:rsidRDefault="00160CEE" w:rsidP="00740735">
      <w:pPr>
        <w:pStyle w:val="Heading2"/>
        <w:spacing w:line="360" w:lineRule="auto"/>
        <w:rPr>
          <w:rFonts w:ascii="Arial" w:hAnsi="Arial" w:cs="Arial"/>
          <w:sz w:val="24"/>
          <w:szCs w:val="24"/>
        </w:rPr>
      </w:pPr>
      <w:bookmarkStart w:id="30" w:name="_Toc235706426"/>
      <w:r w:rsidRPr="00C63568">
        <w:rPr>
          <w:rFonts w:ascii="Arial" w:hAnsi="Arial" w:cs="Arial"/>
          <w:sz w:val="24"/>
          <w:szCs w:val="24"/>
        </w:rPr>
        <w:t>Appendix C: Liquidity Benchmark Comparison</w:t>
      </w:r>
      <w:bookmarkEnd w:id="30"/>
    </w:p>
    <w:tbl>
      <w:tblPr>
        <w:tblW w:w="9417" w:type="dxa"/>
        <w:tblLook w:val="04A0" w:firstRow="1" w:lastRow="0" w:firstColumn="1" w:lastColumn="0" w:noHBand="0" w:noVBand="1"/>
      </w:tblPr>
      <w:tblGrid>
        <w:gridCol w:w="3917"/>
        <w:gridCol w:w="1178"/>
        <w:gridCol w:w="1178"/>
        <w:gridCol w:w="1178"/>
        <w:gridCol w:w="983"/>
        <w:gridCol w:w="983"/>
      </w:tblGrid>
      <w:tr w:rsidR="00160CEE" w:rsidRPr="00C63568" w14:paraId="304D7720" w14:textId="77777777" w:rsidTr="00160CEE">
        <w:trPr>
          <w:trHeight w:val="382"/>
        </w:trPr>
        <w:tc>
          <w:tcPr>
            <w:tcW w:w="0" w:type="auto"/>
            <w:tcBorders>
              <w:top w:val="nil"/>
              <w:left w:val="nil"/>
              <w:bottom w:val="nil"/>
              <w:right w:val="nil"/>
            </w:tcBorders>
            <w:shd w:val="clear" w:color="000000" w:fill="D9EAF7"/>
            <w:vAlign w:val="center"/>
            <w:hideMark/>
          </w:tcPr>
          <w:p w14:paraId="2B3D27FB"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Metric</w:t>
            </w:r>
          </w:p>
        </w:tc>
        <w:tc>
          <w:tcPr>
            <w:tcW w:w="0" w:type="auto"/>
            <w:tcBorders>
              <w:top w:val="nil"/>
              <w:left w:val="nil"/>
              <w:bottom w:val="nil"/>
              <w:right w:val="nil"/>
            </w:tcBorders>
            <w:shd w:val="clear" w:color="000000" w:fill="D9EAF7"/>
            <w:vAlign w:val="center"/>
            <w:hideMark/>
          </w:tcPr>
          <w:p w14:paraId="64339728"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2021</w:t>
            </w:r>
          </w:p>
        </w:tc>
        <w:tc>
          <w:tcPr>
            <w:tcW w:w="0" w:type="auto"/>
            <w:tcBorders>
              <w:top w:val="nil"/>
              <w:left w:val="nil"/>
              <w:bottom w:val="nil"/>
              <w:right w:val="nil"/>
            </w:tcBorders>
            <w:shd w:val="clear" w:color="000000" w:fill="D9EAF7"/>
            <w:vAlign w:val="center"/>
            <w:hideMark/>
          </w:tcPr>
          <w:p w14:paraId="2A3AC49B"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2022</w:t>
            </w:r>
          </w:p>
        </w:tc>
        <w:tc>
          <w:tcPr>
            <w:tcW w:w="0" w:type="auto"/>
            <w:tcBorders>
              <w:top w:val="nil"/>
              <w:left w:val="nil"/>
              <w:bottom w:val="nil"/>
              <w:right w:val="nil"/>
            </w:tcBorders>
            <w:shd w:val="clear" w:color="000000" w:fill="D9EAF7"/>
            <w:vAlign w:val="center"/>
            <w:hideMark/>
          </w:tcPr>
          <w:p w14:paraId="2B953771"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2023</w:t>
            </w:r>
          </w:p>
        </w:tc>
        <w:tc>
          <w:tcPr>
            <w:tcW w:w="0" w:type="auto"/>
            <w:tcBorders>
              <w:top w:val="nil"/>
              <w:left w:val="nil"/>
              <w:bottom w:val="nil"/>
              <w:right w:val="nil"/>
            </w:tcBorders>
            <w:shd w:val="clear" w:color="000000" w:fill="D9EAF7"/>
            <w:vAlign w:val="center"/>
            <w:hideMark/>
          </w:tcPr>
          <w:p w14:paraId="167CA852"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2024</w:t>
            </w:r>
          </w:p>
        </w:tc>
        <w:tc>
          <w:tcPr>
            <w:tcW w:w="0" w:type="auto"/>
            <w:tcBorders>
              <w:top w:val="nil"/>
              <w:left w:val="nil"/>
              <w:bottom w:val="nil"/>
              <w:right w:val="nil"/>
            </w:tcBorders>
            <w:shd w:val="clear" w:color="000000" w:fill="D9EAF7"/>
            <w:vAlign w:val="center"/>
            <w:hideMark/>
          </w:tcPr>
          <w:p w14:paraId="47520317" w14:textId="77777777" w:rsidR="00160CEE" w:rsidRPr="00C63568" w:rsidRDefault="00160CEE" w:rsidP="00740735">
            <w:pPr>
              <w:spacing w:after="0" w:line="360" w:lineRule="auto"/>
              <w:jc w:val="center"/>
              <w:rPr>
                <w:rFonts w:ascii="Arial" w:eastAsia="Times New Roman" w:hAnsi="Arial" w:cs="Arial"/>
                <w:b/>
                <w:bCs/>
                <w:color w:val="000000"/>
                <w:sz w:val="24"/>
                <w:szCs w:val="24"/>
              </w:rPr>
            </w:pPr>
            <w:r w:rsidRPr="00C63568">
              <w:rPr>
                <w:rFonts w:ascii="Arial" w:eastAsia="Times New Roman" w:hAnsi="Arial" w:cs="Arial"/>
                <w:b/>
                <w:bCs/>
                <w:color w:val="000000"/>
                <w:sz w:val="24"/>
                <w:szCs w:val="24"/>
              </w:rPr>
              <w:t>2025</w:t>
            </w:r>
          </w:p>
        </w:tc>
      </w:tr>
      <w:tr w:rsidR="00160CEE" w:rsidRPr="00C63568" w14:paraId="51C80C75" w14:textId="77777777" w:rsidTr="00160CEE">
        <w:trPr>
          <w:trHeight w:val="382"/>
        </w:trPr>
        <w:tc>
          <w:tcPr>
            <w:tcW w:w="0" w:type="auto"/>
            <w:tcBorders>
              <w:top w:val="nil"/>
              <w:left w:val="nil"/>
              <w:bottom w:val="nil"/>
              <w:right w:val="nil"/>
            </w:tcBorders>
            <w:vAlign w:val="bottom"/>
            <w:hideMark/>
          </w:tcPr>
          <w:p w14:paraId="26DFE470"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Wyndham current ratio</w:t>
            </w:r>
          </w:p>
        </w:tc>
        <w:tc>
          <w:tcPr>
            <w:tcW w:w="0" w:type="auto"/>
            <w:tcBorders>
              <w:top w:val="nil"/>
              <w:left w:val="nil"/>
              <w:bottom w:val="nil"/>
              <w:right w:val="nil"/>
            </w:tcBorders>
            <w:vAlign w:val="center"/>
            <w:hideMark/>
          </w:tcPr>
          <w:p w14:paraId="764B600C"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1.81x</w:t>
            </w:r>
          </w:p>
        </w:tc>
        <w:tc>
          <w:tcPr>
            <w:tcW w:w="0" w:type="auto"/>
            <w:tcBorders>
              <w:top w:val="nil"/>
              <w:left w:val="nil"/>
              <w:bottom w:val="nil"/>
              <w:right w:val="nil"/>
            </w:tcBorders>
            <w:vAlign w:val="center"/>
            <w:hideMark/>
          </w:tcPr>
          <w:p w14:paraId="44B0918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1.34x</w:t>
            </w:r>
          </w:p>
        </w:tc>
        <w:tc>
          <w:tcPr>
            <w:tcW w:w="0" w:type="auto"/>
            <w:tcBorders>
              <w:top w:val="nil"/>
              <w:left w:val="nil"/>
              <w:bottom w:val="nil"/>
              <w:right w:val="nil"/>
            </w:tcBorders>
            <w:vAlign w:val="center"/>
            <w:hideMark/>
          </w:tcPr>
          <w:p w14:paraId="44CB30D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0.81x</w:t>
            </w:r>
          </w:p>
        </w:tc>
        <w:tc>
          <w:tcPr>
            <w:tcW w:w="0" w:type="auto"/>
            <w:tcBorders>
              <w:top w:val="nil"/>
              <w:left w:val="nil"/>
              <w:bottom w:val="nil"/>
              <w:right w:val="nil"/>
            </w:tcBorders>
            <w:vAlign w:val="center"/>
            <w:hideMark/>
          </w:tcPr>
          <w:p w14:paraId="421CC72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1.00x</w:t>
            </w:r>
          </w:p>
        </w:tc>
        <w:tc>
          <w:tcPr>
            <w:tcW w:w="0" w:type="auto"/>
            <w:tcBorders>
              <w:top w:val="nil"/>
              <w:left w:val="nil"/>
              <w:bottom w:val="nil"/>
              <w:right w:val="nil"/>
            </w:tcBorders>
            <w:vAlign w:val="center"/>
            <w:hideMark/>
          </w:tcPr>
          <w:p w14:paraId="6510D4F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0.86x</w:t>
            </w:r>
          </w:p>
        </w:tc>
      </w:tr>
      <w:tr w:rsidR="00160CEE" w:rsidRPr="00C63568" w14:paraId="17E8D2C9" w14:textId="77777777" w:rsidTr="00160CEE">
        <w:trPr>
          <w:trHeight w:val="382"/>
        </w:trPr>
        <w:tc>
          <w:tcPr>
            <w:tcW w:w="0" w:type="auto"/>
            <w:tcBorders>
              <w:top w:val="nil"/>
              <w:left w:val="nil"/>
              <w:bottom w:val="nil"/>
              <w:right w:val="nil"/>
            </w:tcBorders>
            <w:vAlign w:val="bottom"/>
            <w:hideMark/>
          </w:tcPr>
          <w:p w14:paraId="0292CBD6"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Industry current ratio</w:t>
            </w:r>
          </w:p>
        </w:tc>
        <w:tc>
          <w:tcPr>
            <w:tcW w:w="0" w:type="auto"/>
            <w:tcBorders>
              <w:top w:val="nil"/>
              <w:left w:val="nil"/>
              <w:bottom w:val="nil"/>
              <w:right w:val="nil"/>
            </w:tcBorders>
            <w:vAlign w:val="center"/>
            <w:hideMark/>
          </w:tcPr>
          <w:p w14:paraId="54A2705C"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1.92x</w:t>
            </w:r>
          </w:p>
        </w:tc>
        <w:tc>
          <w:tcPr>
            <w:tcW w:w="0" w:type="auto"/>
            <w:tcBorders>
              <w:top w:val="nil"/>
              <w:left w:val="nil"/>
              <w:bottom w:val="nil"/>
              <w:right w:val="nil"/>
            </w:tcBorders>
            <w:vAlign w:val="center"/>
            <w:hideMark/>
          </w:tcPr>
          <w:p w14:paraId="76BD6C4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1.47x</w:t>
            </w:r>
          </w:p>
        </w:tc>
        <w:tc>
          <w:tcPr>
            <w:tcW w:w="0" w:type="auto"/>
            <w:tcBorders>
              <w:top w:val="nil"/>
              <w:left w:val="nil"/>
              <w:bottom w:val="nil"/>
              <w:right w:val="nil"/>
            </w:tcBorders>
            <w:vAlign w:val="center"/>
            <w:hideMark/>
          </w:tcPr>
          <w:p w14:paraId="5BF02ED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0.89x</w:t>
            </w:r>
          </w:p>
        </w:tc>
        <w:tc>
          <w:tcPr>
            <w:tcW w:w="0" w:type="auto"/>
            <w:tcBorders>
              <w:top w:val="nil"/>
              <w:left w:val="nil"/>
              <w:bottom w:val="nil"/>
              <w:right w:val="nil"/>
            </w:tcBorders>
            <w:vAlign w:val="center"/>
            <w:hideMark/>
          </w:tcPr>
          <w:p w14:paraId="2841035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0.85x</w:t>
            </w:r>
          </w:p>
        </w:tc>
        <w:tc>
          <w:tcPr>
            <w:tcW w:w="0" w:type="auto"/>
            <w:tcBorders>
              <w:top w:val="nil"/>
              <w:left w:val="nil"/>
              <w:bottom w:val="nil"/>
              <w:right w:val="nil"/>
            </w:tcBorders>
            <w:vAlign w:val="center"/>
            <w:hideMark/>
          </w:tcPr>
          <w:p w14:paraId="6129B3E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0.82x</w:t>
            </w:r>
          </w:p>
        </w:tc>
      </w:tr>
      <w:tr w:rsidR="00160CEE" w:rsidRPr="00C63568" w14:paraId="46EAC65D" w14:textId="77777777" w:rsidTr="00160CEE">
        <w:trPr>
          <w:trHeight w:val="382"/>
        </w:trPr>
        <w:tc>
          <w:tcPr>
            <w:tcW w:w="0" w:type="auto"/>
            <w:tcBorders>
              <w:top w:val="nil"/>
              <w:left w:val="nil"/>
              <w:bottom w:val="nil"/>
              <w:right w:val="nil"/>
            </w:tcBorders>
            <w:vAlign w:val="bottom"/>
            <w:hideMark/>
          </w:tcPr>
          <w:p w14:paraId="59EB1F44"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Variance</w:t>
            </w:r>
          </w:p>
        </w:tc>
        <w:tc>
          <w:tcPr>
            <w:tcW w:w="0" w:type="auto"/>
            <w:tcBorders>
              <w:top w:val="nil"/>
              <w:left w:val="nil"/>
              <w:bottom w:val="nil"/>
              <w:right w:val="nil"/>
            </w:tcBorders>
            <w:shd w:val="clear" w:color="000000" w:fill="FA9F75"/>
            <w:vAlign w:val="center"/>
            <w:hideMark/>
          </w:tcPr>
          <w:p w14:paraId="2C1B610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(0.11x)</w:t>
            </w:r>
          </w:p>
        </w:tc>
        <w:tc>
          <w:tcPr>
            <w:tcW w:w="0" w:type="auto"/>
            <w:tcBorders>
              <w:top w:val="nil"/>
              <w:left w:val="nil"/>
              <w:bottom w:val="nil"/>
              <w:right w:val="nil"/>
            </w:tcBorders>
            <w:shd w:val="clear" w:color="000000" w:fill="F8696B"/>
            <w:vAlign w:val="center"/>
            <w:hideMark/>
          </w:tcPr>
          <w:p w14:paraId="3165FD8B"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(0.13x)</w:t>
            </w:r>
          </w:p>
        </w:tc>
        <w:tc>
          <w:tcPr>
            <w:tcW w:w="0" w:type="auto"/>
            <w:tcBorders>
              <w:top w:val="nil"/>
              <w:left w:val="nil"/>
              <w:bottom w:val="nil"/>
              <w:right w:val="nil"/>
            </w:tcBorders>
            <w:shd w:val="clear" w:color="000000" w:fill="FFEB84"/>
            <w:vAlign w:val="center"/>
            <w:hideMark/>
          </w:tcPr>
          <w:p w14:paraId="30BC999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(0.08x)</w:t>
            </w:r>
          </w:p>
        </w:tc>
        <w:tc>
          <w:tcPr>
            <w:tcW w:w="0" w:type="auto"/>
            <w:tcBorders>
              <w:top w:val="nil"/>
              <w:left w:val="nil"/>
              <w:bottom w:val="nil"/>
              <w:right w:val="nil"/>
            </w:tcBorders>
            <w:shd w:val="clear" w:color="000000" w:fill="63BE7B"/>
            <w:vAlign w:val="center"/>
            <w:hideMark/>
          </w:tcPr>
          <w:p w14:paraId="4E5CCC0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0.15x</w:t>
            </w:r>
          </w:p>
        </w:tc>
        <w:tc>
          <w:tcPr>
            <w:tcW w:w="0" w:type="auto"/>
            <w:tcBorders>
              <w:top w:val="nil"/>
              <w:left w:val="nil"/>
              <w:bottom w:val="nil"/>
              <w:right w:val="nil"/>
            </w:tcBorders>
            <w:shd w:val="clear" w:color="000000" w:fill="B1D580"/>
            <w:vAlign w:val="center"/>
            <w:hideMark/>
          </w:tcPr>
          <w:p w14:paraId="590C461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0.04x</w:t>
            </w:r>
          </w:p>
        </w:tc>
      </w:tr>
      <w:tr w:rsidR="00160CEE" w:rsidRPr="00C63568" w14:paraId="4AB86D4B" w14:textId="77777777" w:rsidTr="00160CEE">
        <w:trPr>
          <w:trHeight w:val="382"/>
        </w:trPr>
        <w:tc>
          <w:tcPr>
            <w:tcW w:w="0" w:type="auto"/>
            <w:tcBorders>
              <w:top w:val="nil"/>
              <w:left w:val="nil"/>
              <w:bottom w:val="nil"/>
              <w:right w:val="nil"/>
            </w:tcBorders>
            <w:vAlign w:val="bottom"/>
            <w:hideMark/>
          </w:tcPr>
          <w:p w14:paraId="37C8B2FB" w14:textId="77777777" w:rsidR="00160CEE" w:rsidRPr="00C63568" w:rsidRDefault="00160CEE" w:rsidP="00740735">
            <w:pPr>
              <w:spacing w:after="0" w:line="360" w:lineRule="auto"/>
              <w:jc w:val="right"/>
              <w:rPr>
                <w:rFonts w:ascii="Arial" w:eastAsia="Times New Roman" w:hAnsi="Arial" w:cs="Arial"/>
                <w:color w:val="000000"/>
                <w:sz w:val="24"/>
                <w:szCs w:val="24"/>
              </w:rPr>
            </w:pPr>
          </w:p>
        </w:tc>
        <w:tc>
          <w:tcPr>
            <w:tcW w:w="0" w:type="auto"/>
            <w:tcBorders>
              <w:top w:val="nil"/>
              <w:left w:val="nil"/>
              <w:bottom w:val="nil"/>
              <w:right w:val="nil"/>
            </w:tcBorders>
            <w:vAlign w:val="bottom"/>
            <w:hideMark/>
          </w:tcPr>
          <w:p w14:paraId="29870ED1"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3D503447"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48F26527"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161F6F73"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4F033FEE"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r>
      <w:tr w:rsidR="00160CEE" w:rsidRPr="00C63568" w14:paraId="53577392" w14:textId="77777777" w:rsidTr="00160CEE">
        <w:trPr>
          <w:trHeight w:val="382"/>
        </w:trPr>
        <w:tc>
          <w:tcPr>
            <w:tcW w:w="0" w:type="auto"/>
            <w:tcBorders>
              <w:top w:val="nil"/>
              <w:left w:val="nil"/>
              <w:bottom w:val="nil"/>
              <w:right w:val="nil"/>
            </w:tcBorders>
            <w:vAlign w:val="bottom"/>
            <w:hideMark/>
          </w:tcPr>
          <w:p w14:paraId="2045BC4D"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Wyndham quick ratio</w:t>
            </w:r>
          </w:p>
        </w:tc>
        <w:tc>
          <w:tcPr>
            <w:tcW w:w="0" w:type="auto"/>
            <w:tcBorders>
              <w:top w:val="nil"/>
              <w:left w:val="nil"/>
              <w:bottom w:val="nil"/>
              <w:right w:val="nil"/>
            </w:tcBorders>
            <w:vAlign w:val="center"/>
            <w:hideMark/>
          </w:tcPr>
          <w:p w14:paraId="2E55989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1.05x</w:t>
            </w:r>
          </w:p>
        </w:tc>
        <w:tc>
          <w:tcPr>
            <w:tcW w:w="0" w:type="auto"/>
            <w:tcBorders>
              <w:top w:val="nil"/>
              <w:left w:val="nil"/>
              <w:bottom w:val="nil"/>
              <w:right w:val="nil"/>
            </w:tcBorders>
            <w:vAlign w:val="center"/>
            <w:hideMark/>
          </w:tcPr>
          <w:p w14:paraId="24CB7854"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0.97x</w:t>
            </w:r>
          </w:p>
        </w:tc>
        <w:tc>
          <w:tcPr>
            <w:tcW w:w="0" w:type="auto"/>
            <w:tcBorders>
              <w:top w:val="nil"/>
              <w:left w:val="nil"/>
              <w:bottom w:val="nil"/>
              <w:right w:val="nil"/>
            </w:tcBorders>
            <w:vAlign w:val="center"/>
            <w:hideMark/>
          </w:tcPr>
          <w:p w14:paraId="2CD3ED15"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0.67x</w:t>
            </w:r>
          </w:p>
        </w:tc>
        <w:tc>
          <w:tcPr>
            <w:tcW w:w="0" w:type="auto"/>
            <w:tcBorders>
              <w:top w:val="nil"/>
              <w:left w:val="nil"/>
              <w:bottom w:val="nil"/>
              <w:right w:val="nil"/>
            </w:tcBorders>
            <w:vAlign w:val="center"/>
            <w:hideMark/>
          </w:tcPr>
          <w:p w14:paraId="593B0BC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0.80x</w:t>
            </w:r>
          </w:p>
        </w:tc>
        <w:tc>
          <w:tcPr>
            <w:tcW w:w="0" w:type="auto"/>
            <w:tcBorders>
              <w:top w:val="nil"/>
              <w:left w:val="nil"/>
              <w:bottom w:val="nil"/>
              <w:right w:val="nil"/>
            </w:tcBorders>
            <w:vAlign w:val="center"/>
            <w:hideMark/>
          </w:tcPr>
          <w:p w14:paraId="4940BB1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0.70x</w:t>
            </w:r>
          </w:p>
        </w:tc>
      </w:tr>
      <w:tr w:rsidR="00160CEE" w:rsidRPr="00C63568" w14:paraId="4CDADB21" w14:textId="77777777" w:rsidTr="00160CEE">
        <w:trPr>
          <w:trHeight w:val="382"/>
        </w:trPr>
        <w:tc>
          <w:tcPr>
            <w:tcW w:w="0" w:type="auto"/>
            <w:tcBorders>
              <w:top w:val="nil"/>
              <w:left w:val="nil"/>
              <w:bottom w:val="nil"/>
              <w:right w:val="nil"/>
            </w:tcBorders>
            <w:vAlign w:val="bottom"/>
            <w:hideMark/>
          </w:tcPr>
          <w:p w14:paraId="5CF983AD"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Industry quick ratio</w:t>
            </w:r>
          </w:p>
        </w:tc>
        <w:tc>
          <w:tcPr>
            <w:tcW w:w="0" w:type="auto"/>
            <w:tcBorders>
              <w:top w:val="nil"/>
              <w:left w:val="nil"/>
              <w:bottom w:val="nil"/>
              <w:right w:val="nil"/>
            </w:tcBorders>
            <w:vAlign w:val="center"/>
            <w:hideMark/>
          </w:tcPr>
          <w:p w14:paraId="6B3D634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1.42x</w:t>
            </w:r>
          </w:p>
        </w:tc>
        <w:tc>
          <w:tcPr>
            <w:tcW w:w="0" w:type="auto"/>
            <w:tcBorders>
              <w:top w:val="nil"/>
              <w:left w:val="nil"/>
              <w:bottom w:val="nil"/>
              <w:right w:val="nil"/>
            </w:tcBorders>
            <w:vAlign w:val="center"/>
            <w:hideMark/>
          </w:tcPr>
          <w:p w14:paraId="2D1790E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0.85x</w:t>
            </w:r>
          </w:p>
        </w:tc>
        <w:tc>
          <w:tcPr>
            <w:tcW w:w="0" w:type="auto"/>
            <w:tcBorders>
              <w:top w:val="nil"/>
              <w:left w:val="nil"/>
              <w:bottom w:val="nil"/>
              <w:right w:val="nil"/>
            </w:tcBorders>
            <w:vAlign w:val="center"/>
            <w:hideMark/>
          </w:tcPr>
          <w:p w14:paraId="7C1F11E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0.72x</w:t>
            </w:r>
          </w:p>
        </w:tc>
        <w:tc>
          <w:tcPr>
            <w:tcW w:w="0" w:type="auto"/>
            <w:tcBorders>
              <w:top w:val="nil"/>
              <w:left w:val="nil"/>
              <w:bottom w:val="nil"/>
              <w:right w:val="nil"/>
            </w:tcBorders>
            <w:vAlign w:val="center"/>
            <w:hideMark/>
          </w:tcPr>
          <w:p w14:paraId="4EFFEF1D"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0.63x</w:t>
            </w:r>
          </w:p>
        </w:tc>
        <w:tc>
          <w:tcPr>
            <w:tcW w:w="0" w:type="auto"/>
            <w:tcBorders>
              <w:top w:val="nil"/>
              <w:left w:val="nil"/>
              <w:bottom w:val="nil"/>
              <w:right w:val="nil"/>
            </w:tcBorders>
            <w:vAlign w:val="center"/>
            <w:hideMark/>
          </w:tcPr>
          <w:p w14:paraId="4B851DF3"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0.69x</w:t>
            </w:r>
          </w:p>
        </w:tc>
      </w:tr>
      <w:tr w:rsidR="00160CEE" w:rsidRPr="00C63568" w14:paraId="5326C1BC" w14:textId="77777777" w:rsidTr="00160CEE">
        <w:trPr>
          <w:trHeight w:val="382"/>
        </w:trPr>
        <w:tc>
          <w:tcPr>
            <w:tcW w:w="0" w:type="auto"/>
            <w:tcBorders>
              <w:top w:val="nil"/>
              <w:left w:val="nil"/>
              <w:bottom w:val="nil"/>
              <w:right w:val="nil"/>
            </w:tcBorders>
            <w:vAlign w:val="bottom"/>
            <w:hideMark/>
          </w:tcPr>
          <w:p w14:paraId="03155164"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Variance</w:t>
            </w:r>
          </w:p>
        </w:tc>
        <w:tc>
          <w:tcPr>
            <w:tcW w:w="0" w:type="auto"/>
            <w:tcBorders>
              <w:top w:val="nil"/>
              <w:left w:val="nil"/>
              <w:bottom w:val="nil"/>
              <w:right w:val="nil"/>
            </w:tcBorders>
            <w:shd w:val="clear" w:color="000000" w:fill="F8696B"/>
            <w:vAlign w:val="center"/>
            <w:hideMark/>
          </w:tcPr>
          <w:p w14:paraId="63E018FB"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(0.37x)</w:t>
            </w:r>
          </w:p>
        </w:tc>
        <w:tc>
          <w:tcPr>
            <w:tcW w:w="0" w:type="auto"/>
            <w:tcBorders>
              <w:top w:val="nil"/>
              <w:left w:val="nil"/>
              <w:bottom w:val="nil"/>
              <w:right w:val="nil"/>
            </w:tcBorders>
            <w:shd w:val="clear" w:color="000000" w:fill="93CC7E"/>
            <w:vAlign w:val="center"/>
            <w:hideMark/>
          </w:tcPr>
          <w:p w14:paraId="272B431C"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0.12x</w:t>
            </w:r>
          </w:p>
        </w:tc>
        <w:tc>
          <w:tcPr>
            <w:tcW w:w="0" w:type="auto"/>
            <w:tcBorders>
              <w:top w:val="nil"/>
              <w:left w:val="nil"/>
              <w:bottom w:val="nil"/>
              <w:right w:val="nil"/>
            </w:tcBorders>
            <w:shd w:val="clear" w:color="000000" w:fill="FDD67F"/>
            <w:vAlign w:val="center"/>
            <w:hideMark/>
          </w:tcPr>
          <w:p w14:paraId="41BA3F3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(0.05x)</w:t>
            </w:r>
          </w:p>
        </w:tc>
        <w:tc>
          <w:tcPr>
            <w:tcW w:w="0" w:type="auto"/>
            <w:tcBorders>
              <w:top w:val="nil"/>
              <w:left w:val="nil"/>
              <w:bottom w:val="nil"/>
              <w:right w:val="nil"/>
            </w:tcBorders>
            <w:shd w:val="clear" w:color="000000" w:fill="63BE7B"/>
            <w:vAlign w:val="center"/>
            <w:hideMark/>
          </w:tcPr>
          <w:p w14:paraId="21173995"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0.17x</w:t>
            </w:r>
          </w:p>
        </w:tc>
        <w:tc>
          <w:tcPr>
            <w:tcW w:w="0" w:type="auto"/>
            <w:tcBorders>
              <w:top w:val="nil"/>
              <w:left w:val="nil"/>
              <w:bottom w:val="nil"/>
              <w:right w:val="nil"/>
            </w:tcBorders>
            <w:shd w:val="clear" w:color="000000" w:fill="FFEB84"/>
            <w:vAlign w:val="center"/>
            <w:hideMark/>
          </w:tcPr>
          <w:p w14:paraId="1308C97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0.01x</w:t>
            </w:r>
          </w:p>
        </w:tc>
      </w:tr>
      <w:tr w:rsidR="00160CEE" w:rsidRPr="00C63568" w14:paraId="7E45DF55" w14:textId="77777777" w:rsidTr="00160CEE">
        <w:trPr>
          <w:trHeight w:val="382"/>
        </w:trPr>
        <w:tc>
          <w:tcPr>
            <w:tcW w:w="0" w:type="auto"/>
            <w:tcBorders>
              <w:top w:val="nil"/>
              <w:left w:val="nil"/>
              <w:bottom w:val="nil"/>
              <w:right w:val="nil"/>
            </w:tcBorders>
            <w:vAlign w:val="bottom"/>
            <w:hideMark/>
          </w:tcPr>
          <w:p w14:paraId="10E336C5" w14:textId="77777777" w:rsidR="00160CEE" w:rsidRPr="00C63568" w:rsidRDefault="00160CEE" w:rsidP="00740735">
            <w:pPr>
              <w:spacing w:after="0" w:line="360" w:lineRule="auto"/>
              <w:jc w:val="right"/>
              <w:rPr>
                <w:rFonts w:ascii="Arial" w:eastAsia="Times New Roman" w:hAnsi="Arial" w:cs="Arial"/>
                <w:color w:val="000000"/>
                <w:sz w:val="24"/>
                <w:szCs w:val="24"/>
              </w:rPr>
            </w:pPr>
          </w:p>
        </w:tc>
        <w:tc>
          <w:tcPr>
            <w:tcW w:w="0" w:type="auto"/>
            <w:tcBorders>
              <w:top w:val="nil"/>
              <w:left w:val="nil"/>
              <w:bottom w:val="nil"/>
              <w:right w:val="nil"/>
            </w:tcBorders>
            <w:vAlign w:val="bottom"/>
            <w:hideMark/>
          </w:tcPr>
          <w:p w14:paraId="77B8E580"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0B4959B6"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1803587C"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53665DD2"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c>
          <w:tcPr>
            <w:tcW w:w="0" w:type="auto"/>
            <w:tcBorders>
              <w:top w:val="nil"/>
              <w:left w:val="nil"/>
              <w:bottom w:val="nil"/>
              <w:right w:val="nil"/>
            </w:tcBorders>
            <w:vAlign w:val="bottom"/>
            <w:hideMark/>
          </w:tcPr>
          <w:p w14:paraId="192A13CA" w14:textId="77777777" w:rsidR="00160CEE" w:rsidRPr="00C63568" w:rsidRDefault="00160CEE" w:rsidP="00740735">
            <w:pPr>
              <w:spacing w:after="0" w:line="360" w:lineRule="auto"/>
              <w:rPr>
                <w:rFonts w:ascii="Arial" w:eastAsia="Times New Roman" w:hAnsi="Arial" w:cs="Arial"/>
                <w:color w:val="0D0D0D" w:themeColor="text1" w:themeTint="F2"/>
                <w:sz w:val="24"/>
                <w:szCs w:val="24"/>
              </w:rPr>
            </w:pPr>
          </w:p>
        </w:tc>
      </w:tr>
      <w:tr w:rsidR="00160CEE" w:rsidRPr="00C63568" w14:paraId="2AB8F6E6" w14:textId="77777777" w:rsidTr="00160CEE">
        <w:trPr>
          <w:trHeight w:val="382"/>
        </w:trPr>
        <w:tc>
          <w:tcPr>
            <w:tcW w:w="0" w:type="auto"/>
            <w:tcBorders>
              <w:top w:val="nil"/>
              <w:left w:val="nil"/>
              <w:bottom w:val="nil"/>
              <w:right w:val="nil"/>
            </w:tcBorders>
            <w:vAlign w:val="bottom"/>
            <w:hideMark/>
          </w:tcPr>
          <w:p w14:paraId="5995AD7F"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Wyndham cash ratio</w:t>
            </w:r>
          </w:p>
        </w:tc>
        <w:tc>
          <w:tcPr>
            <w:tcW w:w="0" w:type="auto"/>
            <w:tcBorders>
              <w:top w:val="nil"/>
              <w:left w:val="nil"/>
              <w:bottom w:val="nil"/>
              <w:right w:val="nil"/>
            </w:tcBorders>
            <w:vAlign w:val="center"/>
            <w:hideMark/>
          </w:tcPr>
          <w:p w14:paraId="5E2DD77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0.43x</w:t>
            </w:r>
          </w:p>
        </w:tc>
        <w:tc>
          <w:tcPr>
            <w:tcW w:w="0" w:type="auto"/>
            <w:tcBorders>
              <w:top w:val="nil"/>
              <w:left w:val="nil"/>
              <w:bottom w:val="nil"/>
              <w:right w:val="nil"/>
            </w:tcBorders>
            <w:vAlign w:val="center"/>
            <w:hideMark/>
          </w:tcPr>
          <w:p w14:paraId="1FAF295A"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0.40x</w:t>
            </w:r>
          </w:p>
        </w:tc>
        <w:tc>
          <w:tcPr>
            <w:tcW w:w="0" w:type="auto"/>
            <w:tcBorders>
              <w:top w:val="nil"/>
              <w:left w:val="nil"/>
              <w:bottom w:val="nil"/>
              <w:right w:val="nil"/>
            </w:tcBorders>
            <w:vAlign w:val="center"/>
            <w:hideMark/>
          </w:tcPr>
          <w:p w14:paraId="1DD21B9E"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0.14x</w:t>
            </w:r>
          </w:p>
        </w:tc>
        <w:tc>
          <w:tcPr>
            <w:tcW w:w="0" w:type="auto"/>
            <w:tcBorders>
              <w:top w:val="nil"/>
              <w:left w:val="nil"/>
              <w:bottom w:val="nil"/>
              <w:right w:val="nil"/>
            </w:tcBorders>
            <w:vAlign w:val="center"/>
            <w:hideMark/>
          </w:tcPr>
          <w:p w14:paraId="207A3F89"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0.22x</w:t>
            </w:r>
          </w:p>
        </w:tc>
        <w:tc>
          <w:tcPr>
            <w:tcW w:w="0" w:type="auto"/>
            <w:tcBorders>
              <w:top w:val="nil"/>
              <w:left w:val="nil"/>
              <w:bottom w:val="nil"/>
              <w:right w:val="nil"/>
            </w:tcBorders>
            <w:vAlign w:val="center"/>
            <w:hideMark/>
          </w:tcPr>
          <w:p w14:paraId="0CE43B05"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0.13x</w:t>
            </w:r>
          </w:p>
        </w:tc>
      </w:tr>
      <w:tr w:rsidR="00160CEE" w:rsidRPr="00C63568" w14:paraId="33498449" w14:textId="77777777" w:rsidTr="00160CEE">
        <w:trPr>
          <w:trHeight w:val="382"/>
        </w:trPr>
        <w:tc>
          <w:tcPr>
            <w:tcW w:w="0" w:type="auto"/>
            <w:tcBorders>
              <w:top w:val="nil"/>
              <w:left w:val="nil"/>
              <w:bottom w:val="nil"/>
              <w:right w:val="nil"/>
            </w:tcBorders>
            <w:vAlign w:val="bottom"/>
            <w:hideMark/>
          </w:tcPr>
          <w:p w14:paraId="14E4A55B" w14:textId="77777777" w:rsidR="00160CEE" w:rsidRPr="00C63568" w:rsidRDefault="00160CEE" w:rsidP="00740735">
            <w:pPr>
              <w:spacing w:after="0" w:line="360" w:lineRule="auto"/>
              <w:rPr>
                <w:rFonts w:ascii="Arial" w:eastAsia="Times New Roman" w:hAnsi="Arial" w:cs="Arial"/>
                <w:sz w:val="24"/>
                <w:szCs w:val="24"/>
              </w:rPr>
            </w:pPr>
            <w:r w:rsidRPr="00C63568">
              <w:rPr>
                <w:rFonts w:ascii="Arial" w:eastAsia="Times New Roman" w:hAnsi="Arial" w:cs="Arial"/>
                <w:sz w:val="24"/>
                <w:szCs w:val="24"/>
              </w:rPr>
              <w:t>Net working capital (US$ m)</w:t>
            </w:r>
          </w:p>
        </w:tc>
        <w:tc>
          <w:tcPr>
            <w:tcW w:w="0" w:type="auto"/>
            <w:tcBorders>
              <w:top w:val="nil"/>
              <w:left w:val="nil"/>
              <w:bottom w:val="nil"/>
              <w:right w:val="nil"/>
            </w:tcBorders>
            <w:vAlign w:val="center"/>
            <w:hideMark/>
          </w:tcPr>
          <w:p w14:paraId="22A858B2"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$323</w:t>
            </w:r>
          </w:p>
        </w:tc>
        <w:tc>
          <w:tcPr>
            <w:tcW w:w="0" w:type="auto"/>
            <w:tcBorders>
              <w:top w:val="nil"/>
              <w:left w:val="nil"/>
              <w:bottom w:val="nil"/>
              <w:right w:val="nil"/>
            </w:tcBorders>
            <w:vAlign w:val="center"/>
            <w:hideMark/>
          </w:tcPr>
          <w:p w14:paraId="2F5F66D4"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$139</w:t>
            </w:r>
          </w:p>
        </w:tc>
        <w:tc>
          <w:tcPr>
            <w:tcW w:w="0" w:type="auto"/>
            <w:tcBorders>
              <w:top w:val="nil"/>
              <w:left w:val="nil"/>
              <w:bottom w:val="nil"/>
              <w:right w:val="nil"/>
            </w:tcBorders>
            <w:vAlign w:val="center"/>
            <w:hideMark/>
          </w:tcPr>
          <w:p w14:paraId="79F89566"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($86)</w:t>
            </w:r>
          </w:p>
        </w:tc>
        <w:tc>
          <w:tcPr>
            <w:tcW w:w="0" w:type="auto"/>
            <w:tcBorders>
              <w:top w:val="nil"/>
              <w:left w:val="nil"/>
              <w:bottom w:val="nil"/>
              <w:right w:val="nil"/>
            </w:tcBorders>
            <w:vAlign w:val="center"/>
            <w:hideMark/>
          </w:tcPr>
          <w:p w14:paraId="508867B5"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$1</w:t>
            </w:r>
          </w:p>
        </w:tc>
        <w:tc>
          <w:tcPr>
            <w:tcW w:w="0" w:type="auto"/>
            <w:tcBorders>
              <w:top w:val="nil"/>
              <w:left w:val="nil"/>
              <w:bottom w:val="nil"/>
              <w:right w:val="nil"/>
            </w:tcBorders>
            <w:vAlign w:val="center"/>
            <w:hideMark/>
          </w:tcPr>
          <w:p w14:paraId="1BFF7C1F" w14:textId="77777777" w:rsidR="00160CEE" w:rsidRPr="00C63568" w:rsidRDefault="00160CEE" w:rsidP="00740735">
            <w:pPr>
              <w:spacing w:after="0" w:line="360" w:lineRule="auto"/>
              <w:jc w:val="right"/>
              <w:rPr>
                <w:rFonts w:ascii="Arial" w:eastAsia="Times New Roman" w:hAnsi="Arial" w:cs="Arial"/>
                <w:color w:val="0D0D0D" w:themeColor="text1" w:themeTint="F2"/>
                <w:sz w:val="24"/>
                <w:szCs w:val="24"/>
              </w:rPr>
            </w:pPr>
            <w:r w:rsidRPr="00C63568">
              <w:rPr>
                <w:rFonts w:ascii="Arial" w:eastAsia="Times New Roman" w:hAnsi="Arial" w:cs="Arial"/>
                <w:color w:val="0D0D0D" w:themeColor="text1" w:themeTint="F2"/>
                <w:sz w:val="24"/>
                <w:szCs w:val="24"/>
              </w:rPr>
              <w:t>($72)</w:t>
            </w:r>
          </w:p>
        </w:tc>
      </w:tr>
    </w:tbl>
    <w:p w14:paraId="024675CF" w14:textId="3016F0C4" w:rsidR="001A773C" w:rsidRPr="00C63568" w:rsidRDefault="00160CEE" w:rsidP="00740735">
      <w:pPr>
        <w:pStyle w:val="Heading2"/>
        <w:spacing w:line="360" w:lineRule="auto"/>
        <w:rPr>
          <w:rFonts w:ascii="Arial" w:hAnsi="Arial" w:cs="Arial"/>
          <w:sz w:val="24"/>
          <w:szCs w:val="24"/>
        </w:rPr>
      </w:pPr>
      <w:bookmarkStart w:id="31" w:name="_Toc235706427"/>
      <w:r w:rsidRPr="00C63568">
        <w:rPr>
          <w:rFonts w:ascii="Arial" w:hAnsi="Arial" w:cs="Arial"/>
          <w:sz w:val="24"/>
          <w:szCs w:val="24"/>
        </w:rPr>
        <w:lastRenderedPageBreak/>
        <w:t>Appendix D: Graphs of All Ratios</w:t>
      </w:r>
      <w:bookmarkEnd w:id="31"/>
    </w:p>
    <w:p w14:paraId="7E97C1F8" w14:textId="329F5DF3" w:rsidR="00160CEE" w:rsidRPr="00C63568" w:rsidRDefault="00806DF8" w:rsidP="00160CEE">
      <w:pPr>
        <w:spacing w:line="360" w:lineRule="auto"/>
        <w:jc w:val="both"/>
        <w:rPr>
          <w:rFonts w:ascii="Arial" w:hAnsi="Arial" w:cs="Arial"/>
          <w:sz w:val="24"/>
          <w:szCs w:val="24"/>
        </w:rPr>
      </w:pPr>
      <w:r w:rsidRPr="00C63568">
        <w:rPr>
          <w:noProof/>
        </w:rPr>
        <w:drawing>
          <wp:inline distT="0" distB="0" distL="0" distR="0" wp14:anchorId="26E40A7F" wp14:editId="24622D08">
            <wp:extent cx="5711125" cy="3394129"/>
            <wp:effectExtent l="0" t="0" r="4445" b="15875"/>
            <wp:docPr id="202294379"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5AB23C6" w14:textId="64C9D2F3" w:rsidR="00806DF8" w:rsidRPr="00C63568" w:rsidRDefault="00806DF8" w:rsidP="00160CEE">
      <w:pPr>
        <w:spacing w:line="360" w:lineRule="auto"/>
        <w:jc w:val="both"/>
        <w:rPr>
          <w:rFonts w:ascii="Arial" w:hAnsi="Arial" w:cs="Arial"/>
          <w:sz w:val="24"/>
          <w:szCs w:val="24"/>
        </w:rPr>
      </w:pPr>
      <w:r w:rsidRPr="00C63568">
        <w:rPr>
          <w:noProof/>
        </w:rPr>
        <w:drawing>
          <wp:inline distT="0" distB="0" distL="0" distR="0" wp14:anchorId="2DAEA6D8" wp14:editId="59BEE706">
            <wp:extent cx="5889356" cy="3456122"/>
            <wp:effectExtent l="0" t="0" r="16510" b="11430"/>
            <wp:docPr id="793368744" name="Chart 1">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7AF3FCA" w14:textId="3E6185C6" w:rsidR="00806DF8" w:rsidRPr="00C63568" w:rsidRDefault="00806DF8" w:rsidP="00160CEE">
      <w:pPr>
        <w:spacing w:line="360" w:lineRule="auto"/>
        <w:jc w:val="both"/>
        <w:rPr>
          <w:rFonts w:ascii="Arial" w:hAnsi="Arial" w:cs="Arial"/>
          <w:sz w:val="24"/>
          <w:szCs w:val="24"/>
        </w:rPr>
      </w:pPr>
      <w:r w:rsidRPr="00C63568">
        <w:rPr>
          <w:noProof/>
        </w:rPr>
        <w:lastRenderedPageBreak/>
        <w:drawing>
          <wp:inline distT="0" distB="0" distL="0" distR="0" wp14:anchorId="3E55CBC1" wp14:editId="0520A8ED">
            <wp:extent cx="5780868" cy="4161295"/>
            <wp:effectExtent l="0" t="0" r="10795" b="10795"/>
            <wp:docPr id="5843317" name="Chart 1">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05312A4" w14:textId="0D5B7EA4" w:rsidR="00806DF8" w:rsidRPr="00C63568" w:rsidRDefault="00806DF8" w:rsidP="00160CEE">
      <w:pPr>
        <w:spacing w:line="360" w:lineRule="auto"/>
        <w:jc w:val="both"/>
        <w:rPr>
          <w:rFonts w:ascii="Arial" w:hAnsi="Arial" w:cs="Arial"/>
          <w:sz w:val="24"/>
          <w:szCs w:val="24"/>
        </w:rPr>
      </w:pPr>
      <w:r w:rsidRPr="00C63568">
        <w:rPr>
          <w:noProof/>
        </w:rPr>
        <w:drawing>
          <wp:inline distT="0" distB="0" distL="0" distR="0" wp14:anchorId="0A161719" wp14:editId="009B0F2F">
            <wp:extent cx="5850610" cy="3704095"/>
            <wp:effectExtent l="0" t="0" r="17145" b="10795"/>
            <wp:docPr id="1740695274" name="Chart 1">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C79AAF7" w14:textId="77777777" w:rsidR="003F50C8" w:rsidRPr="00C63568" w:rsidRDefault="003F50C8" w:rsidP="00160CEE">
      <w:pPr>
        <w:spacing w:line="360" w:lineRule="auto"/>
        <w:jc w:val="both"/>
        <w:rPr>
          <w:rFonts w:ascii="Arial" w:hAnsi="Arial" w:cs="Arial"/>
          <w:sz w:val="24"/>
          <w:szCs w:val="24"/>
        </w:rPr>
      </w:pPr>
    </w:p>
    <w:sectPr w:rsidR="003F50C8" w:rsidRPr="00C63568" w:rsidSect="009C76C9">
      <w:footerReference w:type="default" r:id="rId2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5CE64" w14:textId="77777777" w:rsidR="00392E19" w:rsidRDefault="00392E19" w:rsidP="00160CEE">
      <w:pPr>
        <w:spacing w:after="0" w:line="240" w:lineRule="auto"/>
      </w:pPr>
      <w:r>
        <w:separator/>
      </w:r>
    </w:p>
  </w:endnote>
  <w:endnote w:type="continuationSeparator" w:id="0">
    <w:p w14:paraId="67ECE9D9" w14:textId="77777777" w:rsidR="00392E19" w:rsidRDefault="00392E19" w:rsidP="00160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sz w:val="24"/>
        <w:szCs w:val="24"/>
      </w:rPr>
      <w:id w:val="1168752887"/>
      <w:docPartObj>
        <w:docPartGallery w:val="Page Numbers (Bottom of Page)"/>
        <w:docPartUnique/>
      </w:docPartObj>
    </w:sdtPr>
    <w:sdtEndPr>
      <w:rPr>
        <w:color w:val="7F7F7F" w:themeColor="background1" w:themeShade="7F"/>
        <w:spacing w:val="60"/>
      </w:rPr>
    </w:sdtEndPr>
    <w:sdtContent>
      <w:p w14:paraId="639304CF" w14:textId="19A9D174" w:rsidR="00160CEE" w:rsidRPr="00160CEE" w:rsidRDefault="00160CEE">
        <w:pPr>
          <w:pStyle w:val="Footer"/>
          <w:pBdr>
            <w:top w:val="single" w:sz="4" w:space="1" w:color="D9D9D9" w:themeColor="background1" w:themeShade="D9"/>
          </w:pBdr>
          <w:rPr>
            <w:b/>
            <w:bCs/>
            <w:sz w:val="24"/>
            <w:szCs w:val="24"/>
          </w:rPr>
        </w:pPr>
        <w:r w:rsidRPr="00160CEE">
          <w:rPr>
            <w:b/>
            <w:sz w:val="24"/>
            <w:szCs w:val="24"/>
          </w:rPr>
          <w:fldChar w:fldCharType="begin"/>
        </w:r>
        <w:r w:rsidRPr="00160CEE">
          <w:rPr>
            <w:b/>
            <w:sz w:val="24"/>
            <w:szCs w:val="24"/>
          </w:rPr>
          <w:instrText xml:space="preserve"> PAGE   \* MERGEFORMAT </w:instrText>
        </w:r>
        <w:r w:rsidRPr="00160CEE">
          <w:rPr>
            <w:b/>
            <w:sz w:val="24"/>
            <w:szCs w:val="24"/>
          </w:rPr>
          <w:fldChar w:fldCharType="separate"/>
        </w:r>
        <w:r w:rsidRPr="00160CEE">
          <w:rPr>
            <w:b/>
            <w:bCs/>
            <w:noProof/>
            <w:sz w:val="24"/>
            <w:szCs w:val="24"/>
          </w:rPr>
          <w:t>2</w:t>
        </w:r>
        <w:r w:rsidRPr="00160CEE">
          <w:rPr>
            <w:b/>
            <w:bCs/>
            <w:noProof/>
            <w:sz w:val="24"/>
            <w:szCs w:val="24"/>
          </w:rPr>
          <w:fldChar w:fldCharType="end"/>
        </w:r>
        <w:r w:rsidRPr="00160CEE">
          <w:rPr>
            <w:b/>
            <w:bCs/>
            <w:sz w:val="24"/>
            <w:szCs w:val="24"/>
          </w:rPr>
          <w:t xml:space="preserve"> | </w:t>
        </w:r>
        <w:r w:rsidRPr="00160CEE">
          <w:rPr>
            <w:b/>
            <w:color w:val="7F7F7F" w:themeColor="background1" w:themeShade="7F"/>
            <w:spacing w:val="60"/>
            <w:sz w:val="24"/>
            <w:szCs w:val="24"/>
          </w:rPr>
          <w:t>Page</w:t>
        </w:r>
      </w:p>
    </w:sdtContent>
  </w:sdt>
  <w:p w14:paraId="701B4D1A" w14:textId="77777777" w:rsidR="00160CEE" w:rsidRPr="00160CEE" w:rsidRDefault="00160CEE">
    <w:pPr>
      <w:pStyle w:val="Footer"/>
      <w:rPr>
        <w:b/>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4B053" w14:textId="77777777" w:rsidR="00392E19" w:rsidRDefault="00392E19" w:rsidP="00160CEE">
      <w:pPr>
        <w:spacing w:after="0" w:line="240" w:lineRule="auto"/>
      </w:pPr>
      <w:r>
        <w:separator/>
      </w:r>
    </w:p>
  </w:footnote>
  <w:footnote w:type="continuationSeparator" w:id="0">
    <w:p w14:paraId="0A552C37" w14:textId="77777777" w:rsidR="00392E19" w:rsidRDefault="00392E19" w:rsidP="00160C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95120531">
    <w:abstractNumId w:val="0"/>
  </w:num>
  <w:num w:numId="2" w16cid:durableId="1407261961">
    <w:abstractNumId w:val="0"/>
  </w:num>
  <w:num w:numId="3" w16cid:durableId="1753503003">
    <w:abstractNumId w:val="0"/>
  </w:num>
  <w:num w:numId="4" w16cid:durableId="2006664930">
    <w:abstractNumId w:val="0"/>
  </w:num>
  <w:num w:numId="5" w16cid:durableId="348146492">
    <w:abstractNumId w:val="0"/>
  </w:num>
  <w:num w:numId="6" w16cid:durableId="232592158">
    <w:abstractNumId w:val="0"/>
  </w:num>
  <w:num w:numId="7" w16cid:durableId="1587961208">
    <w:abstractNumId w:val="0"/>
  </w:num>
  <w:num w:numId="8" w16cid:durableId="1448889142">
    <w:abstractNumId w:val="0"/>
  </w:num>
  <w:num w:numId="9" w16cid:durableId="760955361">
    <w:abstractNumId w:val="0"/>
  </w:num>
  <w:num w:numId="10" w16cid:durableId="693455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CEE"/>
    <w:rsid w:val="000031AD"/>
    <w:rsid w:val="00024EE4"/>
    <w:rsid w:val="000277D4"/>
    <w:rsid w:val="00030531"/>
    <w:rsid w:val="00034E19"/>
    <w:rsid w:val="00036690"/>
    <w:rsid w:val="00037AEA"/>
    <w:rsid w:val="0004224B"/>
    <w:rsid w:val="0005678F"/>
    <w:rsid w:val="00084584"/>
    <w:rsid w:val="0008650E"/>
    <w:rsid w:val="000C7840"/>
    <w:rsid w:val="000D5E2E"/>
    <w:rsid w:val="000E7262"/>
    <w:rsid w:val="000F07A6"/>
    <w:rsid w:val="000F60D6"/>
    <w:rsid w:val="0011370F"/>
    <w:rsid w:val="00115F8C"/>
    <w:rsid w:val="00116694"/>
    <w:rsid w:val="00135B9B"/>
    <w:rsid w:val="00154C69"/>
    <w:rsid w:val="00160CEE"/>
    <w:rsid w:val="00161A79"/>
    <w:rsid w:val="00167DA8"/>
    <w:rsid w:val="00181F91"/>
    <w:rsid w:val="0019109B"/>
    <w:rsid w:val="0019719F"/>
    <w:rsid w:val="001A2FE1"/>
    <w:rsid w:val="001A3B50"/>
    <w:rsid w:val="001A69E6"/>
    <w:rsid w:val="001A773C"/>
    <w:rsid w:val="001C5307"/>
    <w:rsid w:val="001F6F26"/>
    <w:rsid w:val="00211183"/>
    <w:rsid w:val="00232F3A"/>
    <w:rsid w:val="0023716A"/>
    <w:rsid w:val="00253ED1"/>
    <w:rsid w:val="00267580"/>
    <w:rsid w:val="00276C18"/>
    <w:rsid w:val="00291B25"/>
    <w:rsid w:val="00296002"/>
    <w:rsid w:val="002B395F"/>
    <w:rsid w:val="002C1331"/>
    <w:rsid w:val="002F02AD"/>
    <w:rsid w:val="0030188F"/>
    <w:rsid w:val="00310099"/>
    <w:rsid w:val="00310A56"/>
    <w:rsid w:val="00316D45"/>
    <w:rsid w:val="00334710"/>
    <w:rsid w:val="003519D6"/>
    <w:rsid w:val="00352079"/>
    <w:rsid w:val="00362B7B"/>
    <w:rsid w:val="00364C03"/>
    <w:rsid w:val="0038458E"/>
    <w:rsid w:val="00390B11"/>
    <w:rsid w:val="0039272B"/>
    <w:rsid w:val="00392E19"/>
    <w:rsid w:val="003947ED"/>
    <w:rsid w:val="003A1796"/>
    <w:rsid w:val="003B472D"/>
    <w:rsid w:val="003B4A19"/>
    <w:rsid w:val="003B55F8"/>
    <w:rsid w:val="003C5A05"/>
    <w:rsid w:val="003D313C"/>
    <w:rsid w:val="003D4D7C"/>
    <w:rsid w:val="003D52FD"/>
    <w:rsid w:val="003D6265"/>
    <w:rsid w:val="003F50C8"/>
    <w:rsid w:val="004236E7"/>
    <w:rsid w:val="004332C3"/>
    <w:rsid w:val="00437947"/>
    <w:rsid w:val="004520FD"/>
    <w:rsid w:val="00464387"/>
    <w:rsid w:val="004703B0"/>
    <w:rsid w:val="00494A5F"/>
    <w:rsid w:val="00497FDA"/>
    <w:rsid w:val="004A2BD5"/>
    <w:rsid w:val="004A4F48"/>
    <w:rsid w:val="004D3AC8"/>
    <w:rsid w:val="004E2CDA"/>
    <w:rsid w:val="004E64B8"/>
    <w:rsid w:val="004F252E"/>
    <w:rsid w:val="00511612"/>
    <w:rsid w:val="00515DDE"/>
    <w:rsid w:val="005465CD"/>
    <w:rsid w:val="00552BEA"/>
    <w:rsid w:val="005539CF"/>
    <w:rsid w:val="00554807"/>
    <w:rsid w:val="0056183E"/>
    <w:rsid w:val="005628FD"/>
    <w:rsid w:val="0057113B"/>
    <w:rsid w:val="00571CFB"/>
    <w:rsid w:val="005A26B8"/>
    <w:rsid w:val="005C5E7B"/>
    <w:rsid w:val="005E4332"/>
    <w:rsid w:val="005F2FEB"/>
    <w:rsid w:val="005F5B83"/>
    <w:rsid w:val="006134BE"/>
    <w:rsid w:val="00615AD8"/>
    <w:rsid w:val="00616691"/>
    <w:rsid w:val="006176C2"/>
    <w:rsid w:val="006565EC"/>
    <w:rsid w:val="00660EE5"/>
    <w:rsid w:val="00662D8F"/>
    <w:rsid w:val="00667659"/>
    <w:rsid w:val="006722B1"/>
    <w:rsid w:val="0067409A"/>
    <w:rsid w:val="00691558"/>
    <w:rsid w:val="00693C90"/>
    <w:rsid w:val="006959F8"/>
    <w:rsid w:val="006A7FA3"/>
    <w:rsid w:val="006C1FE0"/>
    <w:rsid w:val="006C42D7"/>
    <w:rsid w:val="006D4E35"/>
    <w:rsid w:val="006E06A7"/>
    <w:rsid w:val="006E6109"/>
    <w:rsid w:val="006F67B5"/>
    <w:rsid w:val="006F7930"/>
    <w:rsid w:val="0070183F"/>
    <w:rsid w:val="00706794"/>
    <w:rsid w:val="007219AC"/>
    <w:rsid w:val="00721AE5"/>
    <w:rsid w:val="00740735"/>
    <w:rsid w:val="0074553A"/>
    <w:rsid w:val="00770998"/>
    <w:rsid w:val="00772DEA"/>
    <w:rsid w:val="00781D1E"/>
    <w:rsid w:val="00794771"/>
    <w:rsid w:val="007F0F41"/>
    <w:rsid w:val="00806DF8"/>
    <w:rsid w:val="008177FC"/>
    <w:rsid w:val="0082291E"/>
    <w:rsid w:val="00824776"/>
    <w:rsid w:val="00824B2C"/>
    <w:rsid w:val="00831416"/>
    <w:rsid w:val="00835E01"/>
    <w:rsid w:val="0084601B"/>
    <w:rsid w:val="008526F0"/>
    <w:rsid w:val="00854698"/>
    <w:rsid w:val="00857EBC"/>
    <w:rsid w:val="00880A6F"/>
    <w:rsid w:val="00882950"/>
    <w:rsid w:val="00895831"/>
    <w:rsid w:val="008A5FEB"/>
    <w:rsid w:val="008B4A2B"/>
    <w:rsid w:val="008F1119"/>
    <w:rsid w:val="0090708A"/>
    <w:rsid w:val="009203FB"/>
    <w:rsid w:val="00923F41"/>
    <w:rsid w:val="00936921"/>
    <w:rsid w:val="00937C00"/>
    <w:rsid w:val="00951297"/>
    <w:rsid w:val="009606A5"/>
    <w:rsid w:val="009735F3"/>
    <w:rsid w:val="009861EE"/>
    <w:rsid w:val="009B66EE"/>
    <w:rsid w:val="009C70B7"/>
    <w:rsid w:val="009C76C9"/>
    <w:rsid w:val="009D76BD"/>
    <w:rsid w:val="009E0E9E"/>
    <w:rsid w:val="00A15243"/>
    <w:rsid w:val="00A17AAF"/>
    <w:rsid w:val="00A21B50"/>
    <w:rsid w:val="00A2480D"/>
    <w:rsid w:val="00A30600"/>
    <w:rsid w:val="00A3357D"/>
    <w:rsid w:val="00A54746"/>
    <w:rsid w:val="00A61DB2"/>
    <w:rsid w:val="00A778B4"/>
    <w:rsid w:val="00AA110C"/>
    <w:rsid w:val="00AA189C"/>
    <w:rsid w:val="00AD3ABE"/>
    <w:rsid w:val="00AD6656"/>
    <w:rsid w:val="00AE7BBA"/>
    <w:rsid w:val="00B00A3F"/>
    <w:rsid w:val="00B0765F"/>
    <w:rsid w:val="00B12920"/>
    <w:rsid w:val="00B1676B"/>
    <w:rsid w:val="00B3788A"/>
    <w:rsid w:val="00B46083"/>
    <w:rsid w:val="00B54088"/>
    <w:rsid w:val="00B65937"/>
    <w:rsid w:val="00B77158"/>
    <w:rsid w:val="00B85966"/>
    <w:rsid w:val="00B93A17"/>
    <w:rsid w:val="00B96358"/>
    <w:rsid w:val="00BA30EC"/>
    <w:rsid w:val="00BB0381"/>
    <w:rsid w:val="00BD48E6"/>
    <w:rsid w:val="00BD6B51"/>
    <w:rsid w:val="00BF5ABF"/>
    <w:rsid w:val="00C04AB6"/>
    <w:rsid w:val="00C206DF"/>
    <w:rsid w:val="00C25481"/>
    <w:rsid w:val="00C31697"/>
    <w:rsid w:val="00C40A46"/>
    <w:rsid w:val="00C43385"/>
    <w:rsid w:val="00C45823"/>
    <w:rsid w:val="00C60A77"/>
    <w:rsid w:val="00C63568"/>
    <w:rsid w:val="00C671D5"/>
    <w:rsid w:val="00C86A82"/>
    <w:rsid w:val="00C907F0"/>
    <w:rsid w:val="00C97543"/>
    <w:rsid w:val="00CC4C9E"/>
    <w:rsid w:val="00CC6C69"/>
    <w:rsid w:val="00CD265D"/>
    <w:rsid w:val="00CD4C0D"/>
    <w:rsid w:val="00CF0DCB"/>
    <w:rsid w:val="00D03201"/>
    <w:rsid w:val="00D05C71"/>
    <w:rsid w:val="00D249B5"/>
    <w:rsid w:val="00D57589"/>
    <w:rsid w:val="00D61F4A"/>
    <w:rsid w:val="00D621DA"/>
    <w:rsid w:val="00D639D8"/>
    <w:rsid w:val="00D852CA"/>
    <w:rsid w:val="00DA0DDB"/>
    <w:rsid w:val="00DB55BA"/>
    <w:rsid w:val="00DD2901"/>
    <w:rsid w:val="00DD5798"/>
    <w:rsid w:val="00E03229"/>
    <w:rsid w:val="00E06081"/>
    <w:rsid w:val="00E31CA3"/>
    <w:rsid w:val="00E35567"/>
    <w:rsid w:val="00E551E7"/>
    <w:rsid w:val="00E55859"/>
    <w:rsid w:val="00E57D91"/>
    <w:rsid w:val="00E73DC0"/>
    <w:rsid w:val="00E97FE1"/>
    <w:rsid w:val="00EE5BE6"/>
    <w:rsid w:val="00F03691"/>
    <w:rsid w:val="00F067B2"/>
    <w:rsid w:val="00F1055B"/>
    <w:rsid w:val="00F14466"/>
    <w:rsid w:val="00F14A4E"/>
    <w:rsid w:val="00F20700"/>
    <w:rsid w:val="00F21835"/>
    <w:rsid w:val="00F26CAD"/>
    <w:rsid w:val="00F31670"/>
    <w:rsid w:val="00F33110"/>
    <w:rsid w:val="00F42937"/>
    <w:rsid w:val="00F51ABE"/>
    <w:rsid w:val="00F63BE5"/>
    <w:rsid w:val="00F7080E"/>
    <w:rsid w:val="00F95178"/>
    <w:rsid w:val="00FA3557"/>
    <w:rsid w:val="00FB4AC9"/>
    <w:rsid w:val="00FB50A7"/>
    <w:rsid w:val="00FB5514"/>
    <w:rsid w:val="00FC0E56"/>
    <w:rsid w:val="00FC1743"/>
    <w:rsid w:val="00FC41E7"/>
    <w:rsid w:val="00FD125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041EC"/>
  <w15:chartTrackingRefBased/>
  <w15:docId w15:val="{4E2AB74C-B1AB-461D-8A7D-09362D08C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CEE"/>
  </w:style>
  <w:style w:type="paragraph" w:styleId="Heading1">
    <w:name w:val="heading 1"/>
    <w:basedOn w:val="Normal"/>
    <w:next w:val="Normal"/>
    <w:link w:val="Heading1Char"/>
    <w:uiPriority w:val="9"/>
    <w:qFormat/>
    <w:rsid w:val="00160CEE"/>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160CEE"/>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160CEE"/>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160CEE"/>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160CEE"/>
    <w:pPr>
      <w:keepNext/>
      <w:keepLines/>
      <w:numPr>
        <w:ilvl w:val="4"/>
        <w:numId w:val="10"/>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160CEE"/>
    <w:pPr>
      <w:keepNext/>
      <w:keepLines/>
      <w:numPr>
        <w:ilvl w:val="5"/>
        <w:numId w:val="10"/>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160CEE"/>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60CEE"/>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60CEE"/>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CEE"/>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160CEE"/>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160CEE"/>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160CEE"/>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160CEE"/>
    <w:rPr>
      <w:rFonts w:asciiTheme="majorHAnsi" w:eastAsiaTheme="majorEastAsia" w:hAnsiTheme="majorHAnsi" w:cstheme="majorBidi"/>
      <w:color w:val="17365D" w:themeColor="text2" w:themeShade="BF"/>
    </w:rPr>
  </w:style>
  <w:style w:type="character" w:customStyle="1" w:styleId="Heading6Char">
    <w:name w:val="Heading 6 Char"/>
    <w:basedOn w:val="DefaultParagraphFont"/>
    <w:link w:val="Heading6"/>
    <w:uiPriority w:val="9"/>
    <w:semiHidden/>
    <w:rsid w:val="00160CEE"/>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160CE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60CEE"/>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60CEE"/>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160CEE"/>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160CEE"/>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160CEE"/>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160CEE"/>
    <w:rPr>
      <w:color w:val="5A5A5A" w:themeColor="text1" w:themeTint="A5"/>
      <w:spacing w:val="10"/>
    </w:rPr>
  </w:style>
  <w:style w:type="paragraph" w:styleId="Quote">
    <w:name w:val="Quote"/>
    <w:basedOn w:val="Normal"/>
    <w:next w:val="Normal"/>
    <w:link w:val="QuoteChar"/>
    <w:uiPriority w:val="29"/>
    <w:qFormat/>
    <w:rsid w:val="00160CEE"/>
    <w:pPr>
      <w:spacing w:before="160"/>
      <w:ind w:left="720" w:right="720"/>
    </w:pPr>
    <w:rPr>
      <w:i/>
      <w:iCs/>
      <w:color w:val="000000" w:themeColor="text1"/>
    </w:rPr>
  </w:style>
  <w:style w:type="character" w:customStyle="1" w:styleId="QuoteChar">
    <w:name w:val="Quote Char"/>
    <w:basedOn w:val="DefaultParagraphFont"/>
    <w:link w:val="Quote"/>
    <w:uiPriority w:val="29"/>
    <w:rsid w:val="00160CEE"/>
    <w:rPr>
      <w:i/>
      <w:iCs/>
      <w:color w:val="000000" w:themeColor="text1"/>
    </w:rPr>
  </w:style>
  <w:style w:type="paragraph" w:styleId="ListParagraph">
    <w:name w:val="List Paragraph"/>
    <w:basedOn w:val="Normal"/>
    <w:uiPriority w:val="34"/>
    <w:qFormat/>
    <w:rsid w:val="00160CEE"/>
    <w:pPr>
      <w:ind w:left="720"/>
      <w:contextualSpacing/>
    </w:pPr>
  </w:style>
  <w:style w:type="character" w:styleId="IntenseEmphasis">
    <w:name w:val="Intense Emphasis"/>
    <w:basedOn w:val="DefaultParagraphFont"/>
    <w:uiPriority w:val="21"/>
    <w:qFormat/>
    <w:rsid w:val="00160CEE"/>
    <w:rPr>
      <w:b/>
      <w:bCs/>
      <w:i/>
      <w:iCs/>
      <w:caps/>
    </w:rPr>
  </w:style>
  <w:style w:type="paragraph" w:styleId="IntenseQuote">
    <w:name w:val="Intense Quote"/>
    <w:basedOn w:val="Normal"/>
    <w:next w:val="Normal"/>
    <w:link w:val="IntenseQuoteChar"/>
    <w:uiPriority w:val="30"/>
    <w:qFormat/>
    <w:rsid w:val="00160CEE"/>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160CEE"/>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160CEE"/>
    <w:rPr>
      <w:b/>
      <w:bCs/>
      <w:smallCaps/>
      <w:u w:val="single"/>
    </w:rPr>
  </w:style>
  <w:style w:type="paragraph" w:styleId="Caption">
    <w:name w:val="caption"/>
    <w:basedOn w:val="Normal"/>
    <w:next w:val="Normal"/>
    <w:uiPriority w:val="35"/>
    <w:semiHidden/>
    <w:unhideWhenUsed/>
    <w:qFormat/>
    <w:rsid w:val="00160CEE"/>
    <w:pPr>
      <w:spacing w:after="200" w:line="240" w:lineRule="auto"/>
    </w:pPr>
    <w:rPr>
      <w:i/>
      <w:iCs/>
      <w:color w:val="1F497D" w:themeColor="text2"/>
      <w:sz w:val="18"/>
      <w:szCs w:val="18"/>
    </w:rPr>
  </w:style>
  <w:style w:type="character" w:styleId="Strong">
    <w:name w:val="Strong"/>
    <w:basedOn w:val="DefaultParagraphFont"/>
    <w:uiPriority w:val="22"/>
    <w:qFormat/>
    <w:rsid w:val="00160CEE"/>
    <w:rPr>
      <w:b/>
      <w:bCs/>
      <w:color w:val="000000" w:themeColor="text1"/>
    </w:rPr>
  </w:style>
  <w:style w:type="character" w:styleId="Emphasis">
    <w:name w:val="Emphasis"/>
    <w:basedOn w:val="DefaultParagraphFont"/>
    <w:uiPriority w:val="20"/>
    <w:qFormat/>
    <w:rsid w:val="00160CEE"/>
    <w:rPr>
      <w:i/>
      <w:iCs/>
      <w:color w:val="auto"/>
    </w:rPr>
  </w:style>
  <w:style w:type="paragraph" w:styleId="NoSpacing">
    <w:name w:val="No Spacing"/>
    <w:uiPriority w:val="1"/>
    <w:qFormat/>
    <w:rsid w:val="00160CEE"/>
    <w:pPr>
      <w:spacing w:after="0" w:line="240" w:lineRule="auto"/>
    </w:pPr>
  </w:style>
  <w:style w:type="character" w:styleId="SubtleEmphasis">
    <w:name w:val="Subtle Emphasis"/>
    <w:basedOn w:val="DefaultParagraphFont"/>
    <w:uiPriority w:val="19"/>
    <w:qFormat/>
    <w:rsid w:val="00160CEE"/>
    <w:rPr>
      <w:i/>
      <w:iCs/>
      <w:color w:val="404040" w:themeColor="text1" w:themeTint="BF"/>
    </w:rPr>
  </w:style>
  <w:style w:type="character" w:styleId="SubtleReference">
    <w:name w:val="Subtle Reference"/>
    <w:basedOn w:val="DefaultParagraphFont"/>
    <w:uiPriority w:val="31"/>
    <w:qFormat/>
    <w:rsid w:val="00160CEE"/>
    <w:rPr>
      <w:smallCaps/>
      <w:color w:val="404040" w:themeColor="text1" w:themeTint="BF"/>
      <w:u w:val="single" w:color="7F7F7F" w:themeColor="text1" w:themeTint="80"/>
    </w:rPr>
  </w:style>
  <w:style w:type="character" w:styleId="BookTitle">
    <w:name w:val="Book Title"/>
    <w:basedOn w:val="DefaultParagraphFont"/>
    <w:uiPriority w:val="33"/>
    <w:qFormat/>
    <w:rsid w:val="00160CEE"/>
    <w:rPr>
      <w:b w:val="0"/>
      <w:bCs w:val="0"/>
      <w:smallCaps/>
      <w:spacing w:val="5"/>
    </w:rPr>
  </w:style>
  <w:style w:type="paragraph" w:styleId="TOCHeading">
    <w:name w:val="TOC Heading"/>
    <w:basedOn w:val="Heading1"/>
    <w:next w:val="Normal"/>
    <w:uiPriority w:val="39"/>
    <w:unhideWhenUsed/>
    <w:qFormat/>
    <w:rsid w:val="00160CEE"/>
    <w:pPr>
      <w:outlineLvl w:val="9"/>
    </w:pPr>
  </w:style>
  <w:style w:type="table" w:styleId="GridTable4-Accent4">
    <w:name w:val="Grid Table 4 Accent 4"/>
    <w:basedOn w:val="TableNormal"/>
    <w:uiPriority w:val="49"/>
    <w:rsid w:val="00160CEE"/>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Header">
    <w:name w:val="header"/>
    <w:basedOn w:val="Normal"/>
    <w:link w:val="HeaderChar"/>
    <w:uiPriority w:val="99"/>
    <w:unhideWhenUsed/>
    <w:rsid w:val="00160C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0CEE"/>
  </w:style>
  <w:style w:type="paragraph" w:styleId="Footer">
    <w:name w:val="footer"/>
    <w:basedOn w:val="Normal"/>
    <w:link w:val="FooterChar"/>
    <w:uiPriority w:val="99"/>
    <w:unhideWhenUsed/>
    <w:rsid w:val="00160C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0CEE"/>
  </w:style>
  <w:style w:type="paragraph" w:styleId="TOC1">
    <w:name w:val="toc 1"/>
    <w:basedOn w:val="Normal"/>
    <w:next w:val="Normal"/>
    <w:autoRedefine/>
    <w:uiPriority w:val="39"/>
    <w:unhideWhenUsed/>
    <w:rsid w:val="000E7262"/>
    <w:pPr>
      <w:spacing w:after="100"/>
    </w:pPr>
  </w:style>
  <w:style w:type="paragraph" w:styleId="TOC2">
    <w:name w:val="toc 2"/>
    <w:basedOn w:val="Normal"/>
    <w:next w:val="Normal"/>
    <w:autoRedefine/>
    <w:uiPriority w:val="39"/>
    <w:unhideWhenUsed/>
    <w:rsid w:val="000E7262"/>
    <w:pPr>
      <w:spacing w:after="100"/>
      <w:ind w:left="220"/>
    </w:pPr>
  </w:style>
  <w:style w:type="character" w:styleId="Hyperlink">
    <w:name w:val="Hyperlink"/>
    <w:basedOn w:val="DefaultParagraphFont"/>
    <w:uiPriority w:val="99"/>
    <w:unhideWhenUsed/>
    <w:rsid w:val="000E7262"/>
    <w:rPr>
      <w:color w:val="0000FF" w:themeColor="hyperlink"/>
      <w:u w:val="single"/>
    </w:rPr>
  </w:style>
  <w:style w:type="table" w:styleId="TableGrid">
    <w:name w:val="Table Grid"/>
    <w:basedOn w:val="TableNormal"/>
    <w:uiPriority w:val="59"/>
    <w:rsid w:val="00C40A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gureCaption">
    <w:name w:val="Figure Caption"/>
    <w:rsid w:val="00C40A46"/>
    <w:pPr>
      <w:jc w:val="center"/>
    </w:pPr>
    <w:rPr>
      <w:rFonts w:ascii="Arial" w:hAnsi="Arial"/>
      <w:i/>
      <w:color w:val="666666"/>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readyratios.com/sec/industry/7011/" TargetMode="External"/><Relationship Id="rId18" Type="http://schemas.openxmlformats.org/officeDocument/2006/relationships/hyperlink" Target="https://investor.wyndhamhotels.com/corporate-responsibility/corporate-responsibility-documents" TargetMode="External"/><Relationship Id="rId3" Type="http://schemas.openxmlformats.org/officeDocument/2006/relationships/settings" Target="settings.xml"/><Relationship Id="rId21" Type="http://schemas.openxmlformats.org/officeDocument/2006/relationships/chart" Target="charts/chart7.xml"/><Relationship Id="rId7" Type="http://schemas.openxmlformats.org/officeDocument/2006/relationships/image" Target="media/image1.png"/><Relationship Id="rId12" Type="http://schemas.openxmlformats.org/officeDocument/2006/relationships/hyperlink" Target="https://www.bdc.ca/en/articles-tools/money-finance/get-financing/what-is-the-difference-between-line-of-credit-and-working-capital-loan" TargetMode="External"/><Relationship Id="rId17" Type="http://schemas.openxmlformats.org/officeDocument/2006/relationships/hyperlink" Target="https://d1io3yog0oux5.cloudfront.net/_61658a7aadd9009fd0b37fcaebd2cbd5/wyndhamhotels/db/2300/20907/document/2026%2BWH%26R%2BCR%2BReport_Final_063026.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ec.gov/Archives/edgar/data/1722684/000172268426000052/a2025annualreport.pdf" TargetMode="External"/><Relationship Id="rId20" Type="http://schemas.openxmlformats.org/officeDocument/2006/relationships/chart" Target="charts/chart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ec.gov/Archives/edgar/data/1722684/000172268425000005/wh-20241231.htm" TargetMode="External"/><Relationship Id="rId23"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chart" Target="charts/chart5.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www.sec.gov/Archives/edgar/data/1722684/000172268422000005/wh-20211231.htm" TargetMode="External"/><Relationship Id="rId22" Type="http://schemas.openxmlformats.org/officeDocument/2006/relationships/chart" Target="charts/chart8.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HP\Desktop\FILE\Wyndham_Investment_Appraisal_and_Capital_Budgeting.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HP\Desktop\FILE\Wyndham_Investment_Appraisal_and_Capital_Budgeting.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HP\Desktop\FILE\Wyndham_Investment_Appraisal_and_Capital_Budgeting.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HP\Desktop\FILE\Wyndham_Investment_Appraisal_and_Capital_Budgeting.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HP\Desktop\FILE\Wyndham_Five_Year_Financial_Analysis_with_All_Graph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HP\Desktop\FILE\Wyndham_Five_Year_Financial_Analysis_with_All_Graph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HP\Desktop\FILE\Wyndham_Five_Year_Financial_Analysis_with_All_Graph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HP\Desktop\FILE\Wyndham_Five_Year_Financial_Analysis_with_All_Graph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a:t>Annual Net Cash Inflows by Project</a:t>
            </a:r>
          </a:p>
        </c:rich>
      </c:tx>
      <c:overlay val="0"/>
    </c:title>
    <c:autoTitleDeleted val="0"/>
    <c:plotArea>
      <c:layout/>
      <c:lineChart>
        <c:grouping val="standard"/>
        <c:varyColors val="1"/>
        <c:ser>
          <c:idx val="0"/>
          <c:order val="0"/>
          <c:tx>
            <c:v>Project A</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'Project Appraisal'!$K$8:$K$12</c:f>
              <c:strCache>
                <c:ptCount val="5"/>
                <c:pt idx="0">
                  <c:v>Year 1</c:v>
                </c:pt>
                <c:pt idx="1">
                  <c:v>Year 2</c:v>
                </c:pt>
                <c:pt idx="2">
                  <c:v>Year 3</c:v>
                </c:pt>
                <c:pt idx="3">
                  <c:v>Year 4</c:v>
                </c:pt>
                <c:pt idx="4">
                  <c:v>Year 5</c:v>
                </c:pt>
              </c:strCache>
            </c:strRef>
          </c:cat>
          <c:val>
            <c:numRef>
              <c:f>'Project Appraisal'!$B$8:$B$12</c:f>
              <c:numCache>
                <c:formatCode>\£#,##0.00;[Red]\(\£#,##0.00\);\-</c:formatCode>
                <c:ptCount val="5"/>
                <c:pt idx="0">
                  <c:v>10</c:v>
                </c:pt>
                <c:pt idx="1">
                  <c:v>12</c:v>
                </c:pt>
                <c:pt idx="2">
                  <c:v>14</c:v>
                </c:pt>
                <c:pt idx="3">
                  <c:v>10</c:v>
                </c:pt>
                <c:pt idx="4">
                  <c:v>8</c:v>
                </c:pt>
              </c:numCache>
            </c:numRef>
          </c:val>
          <c:smooth val="0"/>
          <c:extLst>
            <c:ext xmlns:c16="http://schemas.microsoft.com/office/drawing/2014/chart" uri="{C3380CC4-5D6E-409C-BE32-E72D297353CC}">
              <c16:uniqueId val="{00000000-B1FF-47E1-A5C2-A3F65838215B}"/>
            </c:ext>
          </c:extLst>
        </c:ser>
        <c:ser>
          <c:idx val="1"/>
          <c:order val="1"/>
          <c:tx>
            <c:v>Project B</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'Project Appraisal'!$K$8:$K$12</c:f>
              <c:strCache>
                <c:ptCount val="5"/>
                <c:pt idx="0">
                  <c:v>Year 1</c:v>
                </c:pt>
                <c:pt idx="1">
                  <c:v>Year 2</c:v>
                </c:pt>
                <c:pt idx="2">
                  <c:v>Year 3</c:v>
                </c:pt>
                <c:pt idx="3">
                  <c:v>Year 4</c:v>
                </c:pt>
                <c:pt idx="4">
                  <c:v>Year 5</c:v>
                </c:pt>
              </c:strCache>
            </c:strRef>
          </c:cat>
          <c:val>
            <c:numRef>
              <c:f>'Project Appraisal'!$E$8:$E$12</c:f>
              <c:numCache>
                <c:formatCode>\£#,##0.00;[Red]\(\£#,##0.00\);\-</c:formatCode>
                <c:ptCount val="5"/>
                <c:pt idx="0">
                  <c:v>11</c:v>
                </c:pt>
                <c:pt idx="1">
                  <c:v>11</c:v>
                </c:pt>
                <c:pt idx="2">
                  <c:v>11</c:v>
                </c:pt>
                <c:pt idx="3">
                  <c:v>11</c:v>
                </c:pt>
                <c:pt idx="4">
                  <c:v>11</c:v>
                </c:pt>
              </c:numCache>
            </c:numRef>
          </c:val>
          <c:smooth val="0"/>
          <c:extLst>
            <c:ext xmlns:c16="http://schemas.microsoft.com/office/drawing/2014/chart" uri="{C3380CC4-5D6E-409C-BE32-E72D297353CC}">
              <c16:uniqueId val="{00000001-B1FF-47E1-A5C2-A3F65838215B}"/>
            </c:ext>
          </c:extLst>
        </c:ser>
        <c:ser>
          <c:idx val="2"/>
          <c:order val="2"/>
          <c:tx>
            <c:v>Project C</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'Project Appraisal'!$K$8:$K$12</c:f>
              <c:strCache>
                <c:ptCount val="5"/>
                <c:pt idx="0">
                  <c:v>Year 1</c:v>
                </c:pt>
                <c:pt idx="1">
                  <c:v>Year 2</c:v>
                </c:pt>
                <c:pt idx="2">
                  <c:v>Year 3</c:v>
                </c:pt>
                <c:pt idx="3">
                  <c:v>Year 4</c:v>
                </c:pt>
                <c:pt idx="4">
                  <c:v>Year 5</c:v>
                </c:pt>
              </c:strCache>
            </c:strRef>
          </c:cat>
          <c:val>
            <c:numRef>
              <c:f>'Project Appraisal'!$H$8:$H$12</c:f>
              <c:numCache>
                <c:formatCode>\£#,##0.00;[Red]\(\£#,##0.00\);\-</c:formatCode>
                <c:ptCount val="5"/>
                <c:pt idx="0">
                  <c:v>5</c:v>
                </c:pt>
                <c:pt idx="1">
                  <c:v>10</c:v>
                </c:pt>
                <c:pt idx="2">
                  <c:v>20</c:v>
                </c:pt>
                <c:pt idx="3">
                  <c:v>25</c:v>
                </c:pt>
                <c:pt idx="4">
                  <c:v>5</c:v>
                </c:pt>
              </c:numCache>
            </c:numRef>
          </c:val>
          <c:smooth val="0"/>
          <c:extLst>
            <c:ext xmlns:c16="http://schemas.microsoft.com/office/drawing/2014/chart" uri="{C3380CC4-5D6E-409C-BE32-E72D297353CC}">
              <c16:uniqueId val="{00000002-B1FF-47E1-A5C2-A3F65838215B}"/>
            </c:ext>
          </c:extLst>
        </c:ser>
        <c:dLbls>
          <c:dLblPos val="t"/>
          <c:showLegendKey val="0"/>
          <c:showVal val="1"/>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title>
          <c:tx>
            <c:rich>
              <a:bodyPr/>
              <a:lstStyle/>
              <a:p>
                <a:r>
                  <a:rPr lang="en-US" sz="825" b="1"/>
                  <a:t>Year</a:t>
                </a:r>
              </a:p>
            </c:rich>
          </c:tx>
          <c:overlay val="0"/>
        </c:title>
        <c:numFmt formatCode="General" sourceLinked="1"/>
        <c:majorTickMark val="none"/>
        <c:minorTickMark val="none"/>
        <c:tickLblPos val="nextTo"/>
        <c:txPr>
          <a:bodyPr anchorCtr="1"/>
          <a:lstStyle/>
          <a:p>
            <a:pPr>
              <a:defRPr sz="675"/>
            </a:pPr>
            <a:endParaRPr lang="en-US"/>
          </a:p>
        </c:txPr>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title>
          <c:tx>
            <c:rich>
              <a:bodyPr/>
              <a:lstStyle/>
              <a:p>
                <a:r>
                  <a:rPr lang="en-US" sz="825" b="1"/>
                  <a:t>£ millions</a:t>
                </a:r>
              </a:p>
            </c:rich>
          </c:tx>
          <c:overlay val="0"/>
        </c:title>
        <c:numFmt formatCode="\£0.0" sourceLinked="0"/>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a:t>Net Present Value Comparison</a:t>
            </a:r>
          </a:p>
        </c:rich>
      </c:tx>
      <c:overlay val="0"/>
    </c:title>
    <c:autoTitleDeleted val="0"/>
    <c:plotArea>
      <c:layout/>
      <c:barChart>
        <c:barDir val="col"/>
        <c:grouping val="clustered"/>
        <c:varyColors val="0"/>
        <c:ser>
          <c:idx val="0"/>
          <c:order val="0"/>
          <c:tx>
            <c:v>NPV</c:v>
          </c:tx>
          <c:invertIfNegative val="1"/>
          <c:dLbls>
            <c:spPr>
              <a:noFill/>
              <a:ln>
                <a:noFill/>
              </a:ln>
              <a:effectLst/>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'Project Appraisal'!$B$24:$D$24</c:f>
              <c:strCache>
                <c:ptCount val="3"/>
                <c:pt idx="0">
                  <c:v>Project A</c:v>
                </c:pt>
                <c:pt idx="1">
                  <c:v>Project B</c:v>
                </c:pt>
                <c:pt idx="2">
                  <c:v>Project C</c:v>
                </c:pt>
              </c:strCache>
            </c:strRef>
          </c:cat>
          <c:val>
            <c:numRef>
              <c:f>'Project Appraisal'!$B$27:$D$27</c:f>
              <c:numCache>
                <c:formatCode>\£#,##0.00;[Red]\(\£#,##0.00\);\-</c:formatCode>
                <c:ptCount val="3"/>
                <c:pt idx="0">
                  <c:v>-6.5440594186024104</c:v>
                </c:pt>
                <c:pt idx="1">
                  <c:v>-6.0801895921410667</c:v>
                </c:pt>
                <c:pt idx="2">
                  <c:v>0.85832495813095111</c:v>
                </c:pt>
              </c:numCache>
            </c:numRef>
          </c:val>
          <c:extLst>
            <c:ext xmlns:c16="http://schemas.microsoft.com/office/drawing/2014/chart" uri="{C3380CC4-5D6E-409C-BE32-E72D297353CC}">
              <c16:uniqueId val="{00000000-4AFB-4000-B8FD-6F4EB0CEA890}"/>
            </c:ext>
          </c:extLst>
        </c:ser>
        <c:dLbls>
          <c:dLblPos val="outEnd"/>
          <c:showLegendKey val="0"/>
          <c:showVal val="1"/>
          <c:showCatName val="0"/>
          <c:showSerName val="0"/>
          <c:showPercent val="0"/>
          <c:showBubbleSize val="0"/>
        </c:dLbls>
        <c:gapWidth val="150"/>
        <c:axId val="48650112"/>
        <c:axId val="48672768"/>
      </c:barChart>
      <c:catAx>
        <c:axId val="48650112"/>
        <c:scaling>
          <c:orientation val="minMax"/>
        </c:scaling>
        <c:delete val="0"/>
        <c:axPos val="b"/>
        <c:majorGridlines>
          <c:spPr>
            <a:ln w="9525">
              <a:solidFill>
                <a:srgbClr val="CCCCCC"/>
              </a:solidFill>
              <a:prstDash val="dash"/>
            </a:ln>
          </c:spPr>
        </c:majorGridlines>
        <c:title>
          <c:tx>
            <c:rich>
              <a:bodyPr/>
              <a:lstStyle/>
              <a:p>
                <a:r>
                  <a:rPr lang="en-US" sz="825" b="1"/>
                  <a:t>Project / portfolio</a:t>
                </a:r>
              </a:p>
            </c:rich>
          </c:tx>
          <c:overlay val="0"/>
        </c:title>
        <c:numFmt formatCode="General" sourceLinked="1"/>
        <c:majorTickMark val="none"/>
        <c:minorTickMark val="none"/>
        <c:tickLblPos val="nextTo"/>
        <c:txPr>
          <a:bodyPr anchorCtr="1"/>
          <a:lstStyle/>
          <a:p>
            <a:pPr>
              <a:defRPr sz="675"/>
            </a:pPr>
            <a:endParaRPr lang="en-US"/>
          </a:p>
        </c:txPr>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title>
          <c:tx>
            <c:rich>
              <a:bodyPr/>
              <a:lstStyle/>
              <a:p>
                <a:r>
                  <a:rPr lang="en-US" sz="825" b="1"/>
                  <a:t>£ millions</a:t>
                </a:r>
              </a:p>
            </c:rich>
          </c:tx>
          <c:overlay val="0"/>
        </c:title>
        <c:numFmt formatCode="\£0.00" sourceLinked="0"/>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a:t>IRR Compared with the 8% Required Return</a:t>
            </a:r>
          </a:p>
        </c:rich>
      </c:tx>
      <c:overlay val="0"/>
    </c:title>
    <c:autoTitleDeleted val="0"/>
    <c:plotArea>
      <c:layout/>
      <c:barChart>
        <c:barDir val="col"/>
        <c:grouping val="clustered"/>
        <c:varyColors val="0"/>
        <c:ser>
          <c:idx val="0"/>
          <c:order val="0"/>
          <c:tx>
            <c:v>IRR</c:v>
          </c:tx>
          <c:invertIfNegative val="1"/>
          <c:dLbls>
            <c:spPr>
              <a:noFill/>
              <a:ln>
                <a:noFill/>
              </a:ln>
              <a:effectLst/>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'Project Appraisal'!$B$24:$D$24</c:f>
              <c:strCache>
                <c:ptCount val="3"/>
                <c:pt idx="0">
                  <c:v>Project A</c:v>
                </c:pt>
                <c:pt idx="1">
                  <c:v>Project B</c:v>
                </c:pt>
                <c:pt idx="2">
                  <c:v>Project C</c:v>
                </c:pt>
              </c:strCache>
            </c:strRef>
          </c:cat>
          <c:val>
            <c:numRef>
              <c:f>'Project Appraisal'!$B$29:$D$29</c:f>
              <c:numCache>
                <c:formatCode>0.00%;[Red]\(0.00%\);\-</c:formatCode>
                <c:ptCount val="3"/>
                <c:pt idx="0">
                  <c:v>2.7219684840601444E-2</c:v>
                </c:pt>
                <c:pt idx="1">
                  <c:v>3.2634958177834239E-2</c:v>
                </c:pt>
                <c:pt idx="2">
                  <c:v>8.5867557437232289E-2</c:v>
                </c:pt>
              </c:numCache>
            </c:numRef>
          </c:val>
          <c:extLst>
            <c:ext xmlns:c16="http://schemas.microsoft.com/office/drawing/2014/chart" uri="{C3380CC4-5D6E-409C-BE32-E72D297353CC}">
              <c16:uniqueId val="{00000000-7044-4E57-B36E-E2714B1024AA}"/>
            </c:ext>
          </c:extLst>
        </c:ser>
        <c:ser>
          <c:idx val="1"/>
          <c:order val="1"/>
          <c:tx>
            <c:v>Required return</c:v>
          </c:tx>
          <c:invertIfNegative val="1"/>
          <c:dLbls>
            <c:spPr>
              <a:noFill/>
              <a:ln>
                <a:noFill/>
              </a:ln>
              <a:effectLst/>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'Project Appraisal'!$B$24:$D$24</c:f>
              <c:strCache>
                <c:ptCount val="3"/>
                <c:pt idx="0">
                  <c:v>Project A</c:v>
                </c:pt>
                <c:pt idx="1">
                  <c:v>Project B</c:v>
                </c:pt>
                <c:pt idx="2">
                  <c:v>Project C</c:v>
                </c:pt>
              </c:strCache>
            </c:strRef>
          </c:cat>
          <c:val>
            <c:numRef>
              <c:f>Inputs!$B$17:$D$17</c:f>
              <c:numCache>
                <c:formatCode>0.00%;[Red]\(0.00%\);\-</c:formatCode>
                <c:ptCount val="3"/>
                <c:pt idx="0">
                  <c:v>0.08</c:v>
                </c:pt>
                <c:pt idx="1">
                  <c:v>0.08</c:v>
                </c:pt>
                <c:pt idx="2">
                  <c:v>0.08</c:v>
                </c:pt>
              </c:numCache>
            </c:numRef>
          </c:val>
          <c:extLst>
            <c:ext xmlns:c16="http://schemas.microsoft.com/office/drawing/2014/chart" uri="{C3380CC4-5D6E-409C-BE32-E72D297353CC}">
              <c16:uniqueId val="{00000001-7044-4E57-B36E-E2714B1024AA}"/>
            </c:ext>
          </c:extLst>
        </c:ser>
        <c:dLbls>
          <c:dLblPos val="outEnd"/>
          <c:showLegendKey val="0"/>
          <c:showVal val="1"/>
          <c:showCatName val="0"/>
          <c:showSerName val="0"/>
          <c:showPercent val="0"/>
          <c:showBubbleSize val="0"/>
        </c:dLbls>
        <c:gapWidth val="150"/>
        <c:axId val="48650112"/>
        <c:axId val="48672768"/>
      </c:barChart>
      <c:catAx>
        <c:axId val="48650112"/>
        <c:scaling>
          <c:orientation val="minMax"/>
        </c:scaling>
        <c:delete val="0"/>
        <c:axPos val="b"/>
        <c:majorGridlines>
          <c:spPr>
            <a:ln w="9525">
              <a:solidFill>
                <a:srgbClr val="CCCCCC"/>
              </a:solidFill>
              <a:prstDash val="dash"/>
            </a:ln>
          </c:spPr>
        </c:majorGridlines>
        <c:title>
          <c:tx>
            <c:rich>
              <a:bodyPr/>
              <a:lstStyle/>
              <a:p>
                <a:r>
                  <a:rPr lang="en-US" sz="825" b="1"/>
                  <a:t>Project / portfolio</a:t>
                </a:r>
              </a:p>
            </c:rich>
          </c:tx>
          <c:overlay val="0"/>
        </c:title>
        <c:numFmt formatCode="General" sourceLinked="1"/>
        <c:majorTickMark val="none"/>
        <c:minorTickMark val="none"/>
        <c:tickLblPos val="nextTo"/>
        <c:txPr>
          <a:bodyPr anchorCtr="1"/>
          <a:lstStyle/>
          <a:p>
            <a:pPr>
              <a:defRPr sz="675"/>
            </a:pPr>
            <a:endParaRPr lang="en-US"/>
          </a:p>
        </c:txPr>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title>
          <c:tx>
            <c:rich>
              <a:bodyPr/>
              <a:lstStyle/>
              <a:p>
                <a:r>
                  <a:rPr lang="en-US" sz="825" b="1"/>
                  <a:t>Percentage</a:t>
                </a:r>
              </a:p>
            </c:rich>
          </c:tx>
          <c:overlay val="0"/>
        </c:title>
        <c:numFmt formatCode="0%" sourceLinked="0"/>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r>
              <a:rPr lang="en-US"/>
              <a:t>Aggregate NPV of Feasible Portfolios</a:t>
            </a:r>
          </a:p>
        </c:rich>
      </c:tx>
      <c:overlay val="0"/>
      <c:spPr>
        <a:noFill/>
        <a:ln>
          <a:noFill/>
        </a:ln>
        <a:effectLst/>
      </c:spPr>
    </c:title>
    <c:autoTitleDeleted val="0"/>
    <c:plotArea>
      <c:layout/>
      <c:barChart>
        <c:barDir val="col"/>
        <c:grouping val="clustered"/>
        <c:varyColors val="0"/>
        <c:ser>
          <c:idx val="0"/>
          <c:order val="0"/>
          <c:tx>
            <c:v>Aggregate NPV</c:v>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'Capital Rationing'!$A$5:$A$10</c:f>
              <c:strCache>
                <c:ptCount val="6"/>
                <c:pt idx="0">
                  <c:v>Project A only</c:v>
                </c:pt>
                <c:pt idx="1">
                  <c:v>Project B only</c:v>
                </c:pt>
                <c:pt idx="2">
                  <c:v>Project C only</c:v>
                </c:pt>
                <c:pt idx="3">
                  <c:v>Projects A + B</c:v>
                </c:pt>
                <c:pt idx="4">
                  <c:v>Projects A + C</c:v>
                </c:pt>
                <c:pt idx="5">
                  <c:v>Projects B + C</c:v>
                </c:pt>
              </c:strCache>
            </c:strRef>
          </c:cat>
          <c:val>
            <c:numRef>
              <c:f>'Capital Rationing'!$F$5:$F$10</c:f>
              <c:numCache>
                <c:formatCode>\£#,##0.00;[Red]\(\£#,##0.00\);\-</c:formatCode>
                <c:ptCount val="6"/>
                <c:pt idx="0">
                  <c:v>-6.5440594186024104</c:v>
                </c:pt>
                <c:pt idx="1">
                  <c:v>-6.0801895921410667</c:v>
                </c:pt>
                <c:pt idx="2">
                  <c:v>0.85832495813095111</c:v>
                </c:pt>
                <c:pt idx="3">
                  <c:v>-12.624249010743476</c:v>
                </c:pt>
                <c:pt idx="4">
                  <c:v>-5.6857344604714593</c:v>
                </c:pt>
                <c:pt idx="5">
                  <c:v>-5.2218646340101156</c:v>
                </c:pt>
              </c:numCache>
            </c:numRef>
          </c:val>
          <c:extLst>
            <c:ext xmlns:c16="http://schemas.microsoft.com/office/drawing/2014/chart" uri="{C3380CC4-5D6E-409C-BE32-E72D297353CC}">
              <c16:uniqueId val="{00000000-097C-46C1-97D5-4D341F37CEE6}"/>
            </c:ext>
          </c:extLst>
        </c:ser>
        <c:dLbls>
          <c:dLblPos val="inEnd"/>
          <c:showLegendKey val="0"/>
          <c:showVal val="1"/>
          <c:showCatName val="0"/>
          <c:showSerName val="0"/>
          <c:showPercent val="0"/>
          <c:showBubbleSize val="0"/>
        </c:dLbls>
        <c:gapWidth val="41"/>
        <c:axId val="48650112"/>
        <c:axId val="48672768"/>
      </c:barChart>
      <c:catAx>
        <c:axId val="48650112"/>
        <c:scaling>
          <c:orientation val="minMax"/>
        </c:scaling>
        <c:delete val="0"/>
        <c:axPos val="b"/>
        <c:title>
          <c:tx>
            <c:rich>
              <a:bodyPr rot="0" spcFirstLastPara="1" vertOverflow="ellipsis" vert="horz" wrap="square" anchor="ctr" anchorCtr="1"/>
              <a:lstStyle/>
              <a:p>
                <a:r>
                  <a:rPr lang="en-US"/>
                  <a:t>Project / portfolio</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8672768"/>
        <c:crosses val="autoZero"/>
        <c:auto val="1"/>
        <c:lblAlgn val="ctr"/>
        <c:lblOffset val="100"/>
        <c:noMultiLvlLbl val="0"/>
      </c:catAx>
      <c:valAx>
        <c:axId val="48672768"/>
        <c:scaling>
          <c:orientation val="minMax"/>
        </c:scaling>
        <c:delete val="1"/>
        <c:axPos val="l"/>
        <c:title>
          <c:tx>
            <c:rich>
              <a:bodyPr rot="-5400000" spcFirstLastPara="1" vertOverflow="ellipsis" vert="horz" wrap="square" anchor="ctr" anchorCtr="1"/>
              <a:lstStyle/>
              <a:p>
                <a:r>
                  <a:rPr lang="en-US"/>
                  <a:t>£ millions</a:t>
                </a:r>
              </a:p>
            </c:rich>
          </c:tx>
          <c:overlay val="0"/>
          <c:spPr>
            <a:noFill/>
            <a:ln>
              <a:noFill/>
            </a:ln>
            <a:effectLst/>
          </c:spPr>
        </c:title>
        <c:numFmt formatCode="\£0.00" sourceLinked="0"/>
        <c:majorTickMark val="none"/>
        <c:minorTickMark val="none"/>
        <c:tickLblPos val="nextTo"/>
        <c:crossAx val="486501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1"/>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r>
              <a:rPr lang="en-US" b="1"/>
              <a:t>Financial Performance (US$ millions)</a:t>
            </a:r>
          </a:p>
        </c:rich>
      </c:tx>
      <c:overlay val="0"/>
      <c:spPr>
        <a:noFill/>
        <a:ln>
          <a:noFill/>
        </a:ln>
        <a:effectLst/>
      </c:spPr>
    </c:title>
    <c:autoTitleDeleted val="0"/>
    <c:plotArea>
      <c:layout/>
      <c:lineChart>
        <c:grouping val="standard"/>
        <c:varyColors val="1"/>
        <c:ser>
          <c:idx val="0"/>
          <c:order val="0"/>
          <c:tx>
            <c:v>Net revenue</c:v>
          </c:tx>
          <c:spPr>
            <a:ln w="38100" cap="rnd" cmpd="sng" algn="ctr">
              <a:solidFill>
                <a:schemeClr val="accent1"/>
              </a:solidFill>
              <a:prstDash val="solid"/>
              <a:round/>
            </a:ln>
            <a:effectLst/>
          </c:spPr>
          <c:marker>
            <c:spPr>
              <a:solidFill>
                <a:schemeClr val="accent1"/>
              </a:solidFill>
              <a:ln w="12700" cap="flat" cmpd="sng" algn="ctr">
                <a:solidFill>
                  <a:schemeClr val="accent1"/>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'Financial Data'!$C$4:$G$4</c:f>
              <c:numCache>
                <c:formatCode>General</c:formatCode>
                <c:ptCount val="5"/>
                <c:pt idx="0">
                  <c:v>2021</c:v>
                </c:pt>
                <c:pt idx="1">
                  <c:v>2022</c:v>
                </c:pt>
                <c:pt idx="2">
                  <c:v>2023</c:v>
                </c:pt>
                <c:pt idx="3">
                  <c:v>2024</c:v>
                </c:pt>
                <c:pt idx="4">
                  <c:v>2025</c:v>
                </c:pt>
              </c:numCache>
            </c:numRef>
          </c:cat>
          <c:val>
            <c:numRef>
              <c:f>'Financial Data'!$C$6:$G$6</c:f>
              <c:numCache>
                <c:formatCode>\$#,##0;[Red]\(\$#,##0\);\-</c:formatCode>
                <c:ptCount val="5"/>
                <c:pt idx="0">
                  <c:v>1565</c:v>
                </c:pt>
                <c:pt idx="1">
                  <c:v>1498</c:v>
                </c:pt>
                <c:pt idx="2">
                  <c:v>1397</c:v>
                </c:pt>
                <c:pt idx="3">
                  <c:v>1408</c:v>
                </c:pt>
                <c:pt idx="4">
                  <c:v>1429</c:v>
                </c:pt>
              </c:numCache>
            </c:numRef>
          </c:val>
          <c:smooth val="0"/>
          <c:extLst>
            <c:ext xmlns:c16="http://schemas.microsoft.com/office/drawing/2014/chart" uri="{C3380CC4-5D6E-409C-BE32-E72D297353CC}">
              <c16:uniqueId val="{00000000-AD45-40FF-9A3A-5C3658D03A12}"/>
            </c:ext>
          </c:extLst>
        </c:ser>
        <c:ser>
          <c:idx val="1"/>
          <c:order val="1"/>
          <c:tx>
            <c:v>Adjusted EBITDA</c:v>
          </c:tx>
          <c:spPr>
            <a:ln w="38100" cap="rnd" cmpd="sng" algn="ctr">
              <a:solidFill>
                <a:schemeClr val="accent3"/>
              </a:solidFill>
              <a:prstDash val="solid"/>
              <a:round/>
            </a:ln>
            <a:effectLst/>
          </c:spPr>
          <c:marker>
            <c:spPr>
              <a:solidFill>
                <a:schemeClr val="accent3"/>
              </a:solidFill>
              <a:ln w="12700" cap="flat" cmpd="sng" algn="ctr">
                <a:solidFill>
                  <a:schemeClr val="accent3"/>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'Financial Data'!$C$4:$G$4</c:f>
              <c:numCache>
                <c:formatCode>General</c:formatCode>
                <c:ptCount val="5"/>
                <c:pt idx="0">
                  <c:v>2021</c:v>
                </c:pt>
                <c:pt idx="1">
                  <c:v>2022</c:v>
                </c:pt>
                <c:pt idx="2">
                  <c:v>2023</c:v>
                </c:pt>
                <c:pt idx="3">
                  <c:v>2024</c:v>
                </c:pt>
                <c:pt idx="4">
                  <c:v>2025</c:v>
                </c:pt>
              </c:numCache>
            </c:numRef>
          </c:cat>
          <c:val>
            <c:numRef>
              <c:f>'Financial Data'!$C$10:$G$10</c:f>
              <c:numCache>
                <c:formatCode>\$#,##0;[Red]\(\$#,##0\);\-</c:formatCode>
                <c:ptCount val="5"/>
                <c:pt idx="0">
                  <c:v>590</c:v>
                </c:pt>
                <c:pt idx="1">
                  <c:v>650</c:v>
                </c:pt>
                <c:pt idx="2">
                  <c:v>659</c:v>
                </c:pt>
                <c:pt idx="3">
                  <c:v>694</c:v>
                </c:pt>
                <c:pt idx="4">
                  <c:v>718</c:v>
                </c:pt>
              </c:numCache>
            </c:numRef>
          </c:val>
          <c:smooth val="0"/>
          <c:extLst>
            <c:ext xmlns:c16="http://schemas.microsoft.com/office/drawing/2014/chart" uri="{C3380CC4-5D6E-409C-BE32-E72D297353CC}">
              <c16:uniqueId val="{00000001-AD45-40FF-9A3A-5C3658D03A12}"/>
            </c:ext>
          </c:extLst>
        </c:ser>
        <c:ser>
          <c:idx val="2"/>
          <c:order val="2"/>
          <c:tx>
            <c:v>Net income</c:v>
          </c:tx>
          <c:spPr>
            <a:ln w="38100" cap="rnd" cmpd="sng" algn="ctr">
              <a:solidFill>
                <a:schemeClr val="accent5"/>
              </a:solidFill>
              <a:prstDash val="solid"/>
              <a:round/>
            </a:ln>
            <a:effectLst/>
          </c:spPr>
          <c:marker>
            <c:spPr>
              <a:solidFill>
                <a:schemeClr val="accent5"/>
              </a:solidFill>
              <a:ln w="12700" cap="flat" cmpd="sng" algn="ctr">
                <a:solidFill>
                  <a:schemeClr val="accent5"/>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'Financial Data'!$C$4:$G$4</c:f>
              <c:numCache>
                <c:formatCode>General</c:formatCode>
                <c:ptCount val="5"/>
                <c:pt idx="0">
                  <c:v>2021</c:v>
                </c:pt>
                <c:pt idx="1">
                  <c:v>2022</c:v>
                </c:pt>
                <c:pt idx="2">
                  <c:v>2023</c:v>
                </c:pt>
                <c:pt idx="3">
                  <c:v>2024</c:v>
                </c:pt>
                <c:pt idx="4">
                  <c:v>2025</c:v>
                </c:pt>
              </c:numCache>
            </c:numRef>
          </c:cat>
          <c:val>
            <c:numRef>
              <c:f>'Financial Data'!$C$9:$G$9</c:f>
              <c:numCache>
                <c:formatCode>\$#,##0;[Red]\(\$#,##0\);\-</c:formatCode>
                <c:ptCount val="5"/>
                <c:pt idx="0">
                  <c:v>244</c:v>
                </c:pt>
                <c:pt idx="1">
                  <c:v>355</c:v>
                </c:pt>
                <c:pt idx="2">
                  <c:v>289</c:v>
                </c:pt>
                <c:pt idx="3">
                  <c:v>289</c:v>
                </c:pt>
                <c:pt idx="4">
                  <c:v>193</c:v>
                </c:pt>
              </c:numCache>
            </c:numRef>
          </c:val>
          <c:smooth val="0"/>
          <c:extLst>
            <c:ext xmlns:c16="http://schemas.microsoft.com/office/drawing/2014/chart" uri="{C3380CC4-5D6E-409C-BE32-E72D297353CC}">
              <c16:uniqueId val="{00000002-AD45-40FF-9A3A-5C3658D03A12}"/>
            </c:ext>
          </c:extLst>
        </c:ser>
        <c:dLbls>
          <c:dLblPos val="t"/>
          <c:showLegendKey val="0"/>
          <c:showVal val="1"/>
          <c:showCatName val="0"/>
          <c:showSerName val="0"/>
          <c:showPercent val="0"/>
          <c:showBubbleSize val="0"/>
        </c:dLbls>
        <c:marker val="1"/>
        <c:smooth val="0"/>
        <c:axId val="48650112"/>
        <c:axId val="48672768"/>
      </c:lineChart>
      <c:catAx>
        <c:axId val="48650112"/>
        <c:scaling>
          <c:orientation val="minMax"/>
        </c:scaling>
        <c:delete val="0"/>
        <c:axPos val="b"/>
        <c:majorGridlines>
          <c:spPr>
            <a:ln w="9525" cap="flat" cmpd="sng" algn="ctr">
              <a:solidFill>
                <a:srgbClr val="CCCCCC"/>
              </a:solidFill>
              <a:prstDash val="dash"/>
              <a:round/>
            </a:ln>
            <a:effectLst/>
          </c:spPr>
        </c:majorGridlines>
        <c:title>
          <c:tx>
            <c:rich>
              <a:bodyPr rot="0" spcFirstLastPara="1" vertOverflow="ellipsis" vert="horz" wrap="square" anchor="ctr" anchorCtr="1"/>
              <a:lstStyle/>
              <a:p>
                <a:r>
                  <a:rPr lang="en-US" sz="825" b="1"/>
                  <a:t>Financial year</a:t>
                </a:r>
              </a:p>
            </c:rich>
          </c:tx>
          <c:overlay val="0"/>
          <c:spPr>
            <a:noFill/>
            <a:ln>
              <a:noFill/>
            </a:ln>
            <a:effectLst/>
          </c:spPr>
        </c:title>
        <c:numFmt formatCode="General" sourceLinked="1"/>
        <c:majorTickMark val="none"/>
        <c:minorTickMark val="none"/>
        <c:tickLblPos val="nextTo"/>
        <c:spPr>
          <a:noFill/>
          <a:ln w="12700" cap="flat" cmpd="sng" algn="ctr">
            <a:solidFill>
              <a:schemeClr val="tx1">
                <a:tint val="75000"/>
              </a:schemeClr>
            </a:solidFill>
            <a:prstDash val="solid"/>
            <a:round/>
          </a:ln>
          <a:effectLst/>
        </c:spPr>
        <c:txPr>
          <a:bodyPr rot="-60000000" spcFirstLastPara="1" vertOverflow="ellipsis" vert="horz" wrap="square" anchor="ctr" anchorCtr="1"/>
          <a:lstStyle/>
          <a:p>
            <a:pPr>
              <a:defRPr sz="675" b="0" i="0" u="none" strike="noStrike" kern="1200" baseline="0">
                <a:solidFill>
                  <a:schemeClr val="tx1"/>
                </a:solidFill>
                <a:latin typeface="+mn-lt"/>
                <a:ea typeface="+mn-ea"/>
                <a:cs typeface="+mn-cs"/>
              </a:defRPr>
            </a:pPr>
            <a:endParaRPr lang="en-US"/>
          </a:p>
        </c:txPr>
        <c:crossAx val="48672768"/>
        <c:crosses val="autoZero"/>
        <c:auto val="1"/>
        <c:lblAlgn val="ctr"/>
        <c:lblOffset val="100"/>
        <c:noMultiLvlLbl val="0"/>
      </c:catAx>
      <c:valAx>
        <c:axId val="48672768"/>
        <c:scaling>
          <c:orientation val="minMax"/>
        </c:scaling>
        <c:delete val="0"/>
        <c:axPos val="l"/>
        <c:majorGridlines>
          <c:spPr>
            <a:ln w="9525" cap="flat" cmpd="sng" algn="ctr">
              <a:solidFill>
                <a:srgbClr val="CCCCCC"/>
              </a:solidFill>
              <a:prstDash val="dash"/>
              <a:round/>
            </a:ln>
            <a:effectLst/>
          </c:spPr>
        </c:majorGridlines>
        <c:title>
          <c:tx>
            <c:rich>
              <a:bodyPr rot="-5400000" spcFirstLastPara="1" vertOverflow="ellipsis" vert="horz" wrap="square" anchor="ctr" anchorCtr="1"/>
              <a:lstStyle/>
              <a:p>
                <a:r>
                  <a:rPr lang="en-US" sz="825" b="1"/>
                  <a:t>US$ millions</a:t>
                </a:r>
              </a:p>
            </c:rich>
          </c:tx>
          <c:overlay val="0"/>
          <c:spPr>
            <a:noFill/>
            <a:ln>
              <a:noFill/>
            </a:ln>
            <a:effectLst/>
          </c:spPr>
        </c:title>
        <c:numFmt formatCode="\$#,##0" sourceLinked="0"/>
        <c:majorTickMark val="none"/>
        <c:minorTickMark val="none"/>
        <c:tickLblPos val="nextTo"/>
        <c:spPr>
          <a:noFill/>
          <a:ln w="12700" cap="flat" cmpd="sng" algn="ctr">
            <a:solidFill>
              <a:schemeClr val="tx1">
                <a:tint val="75000"/>
              </a:schemeClr>
            </a:solidFill>
            <a:prstDash val="solid"/>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crossAx val="48650112"/>
        <c:crosses val="autoZero"/>
        <c:crossBetween val="between"/>
      </c:valAx>
      <c:spPr>
        <a:solidFill>
          <a:schemeClr val="bg1"/>
        </a:solid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legend>
    <c:plotVisOnly val="1"/>
    <c:dispBlanksAs val="zero"/>
    <c:showDLblsOverMax val="1"/>
  </c:chart>
  <c:spPr>
    <a:solidFill>
      <a:schemeClr val="bg1"/>
    </a:solidFill>
    <a:ln w="9525" cap="flat" cmpd="sng" algn="ctr">
      <a:solidFill>
        <a:srgbClr val="D9D9D9"/>
      </a:solidFill>
      <a:prstDash val="solid"/>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r>
              <a:rPr lang="en-US" b="1"/>
              <a:t>Profitability Margins</a:t>
            </a:r>
          </a:p>
        </c:rich>
      </c:tx>
      <c:overlay val="0"/>
      <c:spPr>
        <a:noFill/>
        <a:ln>
          <a:noFill/>
        </a:ln>
        <a:effectLst/>
      </c:spPr>
    </c:title>
    <c:autoTitleDeleted val="0"/>
    <c:plotArea>
      <c:layout/>
      <c:lineChart>
        <c:grouping val="standard"/>
        <c:varyColors val="1"/>
        <c:ser>
          <c:idx val="0"/>
          <c:order val="0"/>
          <c:tx>
            <c:v>Operating margin</c:v>
          </c:tx>
          <c:spPr>
            <a:ln w="38100" cap="rnd" cmpd="sng" algn="ctr">
              <a:solidFill>
                <a:schemeClr val="accent1"/>
              </a:solidFill>
              <a:prstDash val="solid"/>
              <a:round/>
            </a:ln>
            <a:effectLst/>
          </c:spPr>
          <c:marker>
            <c:spPr>
              <a:solidFill>
                <a:schemeClr val="accent1"/>
              </a:solidFill>
              <a:ln w="12700" cap="flat" cmpd="sng" algn="ctr">
                <a:solidFill>
                  <a:schemeClr val="accent1"/>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'Ratio Analysis'!$C$3:$G$3</c:f>
              <c:numCache>
                <c:formatCode>General</c:formatCode>
                <c:ptCount val="5"/>
                <c:pt idx="0">
                  <c:v>2021</c:v>
                </c:pt>
                <c:pt idx="1">
                  <c:v>2022</c:v>
                </c:pt>
                <c:pt idx="2">
                  <c:v>2023</c:v>
                </c:pt>
                <c:pt idx="3">
                  <c:v>2024</c:v>
                </c:pt>
                <c:pt idx="4">
                  <c:v>2025</c:v>
                </c:pt>
              </c:numCache>
            </c:numRef>
          </c:cat>
          <c:val>
            <c:numRef>
              <c:f>'Ratio Analysis'!$C$5:$G$5</c:f>
              <c:numCache>
                <c:formatCode>0.0%;[Red]\(0.0%\);\-</c:formatCode>
                <c:ptCount val="5"/>
                <c:pt idx="0">
                  <c:v>0.28498402555910546</c:v>
                </c:pt>
                <c:pt idx="1">
                  <c:v>0.37249666221628841</c:v>
                </c:pt>
                <c:pt idx="2">
                  <c:v>0.36005726556907658</c:v>
                </c:pt>
                <c:pt idx="3">
                  <c:v>0.3515625</c:v>
                </c:pt>
                <c:pt idx="4">
                  <c:v>0.28131560531840449</c:v>
                </c:pt>
              </c:numCache>
            </c:numRef>
          </c:val>
          <c:smooth val="0"/>
          <c:extLst>
            <c:ext xmlns:c16="http://schemas.microsoft.com/office/drawing/2014/chart" uri="{C3380CC4-5D6E-409C-BE32-E72D297353CC}">
              <c16:uniqueId val="{00000000-E343-47F9-9DAA-E26030081401}"/>
            </c:ext>
          </c:extLst>
        </c:ser>
        <c:ser>
          <c:idx val="1"/>
          <c:order val="1"/>
          <c:tx>
            <c:v>Net margin</c:v>
          </c:tx>
          <c:spPr>
            <a:ln w="38100" cap="rnd" cmpd="sng" algn="ctr">
              <a:solidFill>
                <a:schemeClr val="accent3"/>
              </a:solidFill>
              <a:prstDash val="solid"/>
              <a:round/>
            </a:ln>
            <a:effectLst/>
          </c:spPr>
          <c:marker>
            <c:spPr>
              <a:solidFill>
                <a:schemeClr val="accent3"/>
              </a:solidFill>
              <a:ln w="12700" cap="flat" cmpd="sng" algn="ctr">
                <a:solidFill>
                  <a:schemeClr val="accent3"/>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'Ratio Analysis'!$C$3:$G$3</c:f>
              <c:numCache>
                <c:formatCode>General</c:formatCode>
                <c:ptCount val="5"/>
                <c:pt idx="0">
                  <c:v>2021</c:v>
                </c:pt>
                <c:pt idx="1">
                  <c:v>2022</c:v>
                </c:pt>
                <c:pt idx="2">
                  <c:v>2023</c:v>
                </c:pt>
                <c:pt idx="3">
                  <c:v>2024</c:v>
                </c:pt>
                <c:pt idx="4">
                  <c:v>2025</c:v>
                </c:pt>
              </c:numCache>
            </c:numRef>
          </c:cat>
          <c:val>
            <c:numRef>
              <c:f>'Ratio Analysis'!$C$6:$G$6</c:f>
              <c:numCache>
                <c:formatCode>0.0%;[Red]\(0.0%\);\-</c:formatCode>
                <c:ptCount val="5"/>
                <c:pt idx="0">
                  <c:v>0.15591054313099043</c:v>
                </c:pt>
                <c:pt idx="1">
                  <c:v>0.23698264352469961</c:v>
                </c:pt>
                <c:pt idx="2">
                  <c:v>0.20687186828919113</c:v>
                </c:pt>
                <c:pt idx="3">
                  <c:v>0.20525568181818182</c:v>
                </c:pt>
                <c:pt idx="4">
                  <c:v>0.13505948215535341</c:v>
                </c:pt>
              </c:numCache>
            </c:numRef>
          </c:val>
          <c:smooth val="0"/>
          <c:extLst>
            <c:ext xmlns:c16="http://schemas.microsoft.com/office/drawing/2014/chart" uri="{C3380CC4-5D6E-409C-BE32-E72D297353CC}">
              <c16:uniqueId val="{00000001-E343-47F9-9DAA-E26030081401}"/>
            </c:ext>
          </c:extLst>
        </c:ser>
        <c:ser>
          <c:idx val="2"/>
          <c:order val="2"/>
          <c:tx>
            <c:v>Adjusted EBITDA margin</c:v>
          </c:tx>
          <c:spPr>
            <a:ln w="38100" cap="rnd" cmpd="sng" algn="ctr">
              <a:solidFill>
                <a:schemeClr val="accent5"/>
              </a:solidFill>
              <a:prstDash val="solid"/>
              <a:round/>
            </a:ln>
            <a:effectLst/>
          </c:spPr>
          <c:marker>
            <c:spPr>
              <a:solidFill>
                <a:schemeClr val="accent5"/>
              </a:solidFill>
              <a:ln w="12700" cap="flat" cmpd="sng" algn="ctr">
                <a:solidFill>
                  <a:schemeClr val="accent5"/>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'Ratio Analysis'!$C$3:$G$3</c:f>
              <c:numCache>
                <c:formatCode>General</c:formatCode>
                <c:ptCount val="5"/>
                <c:pt idx="0">
                  <c:v>2021</c:v>
                </c:pt>
                <c:pt idx="1">
                  <c:v>2022</c:v>
                </c:pt>
                <c:pt idx="2">
                  <c:v>2023</c:v>
                </c:pt>
                <c:pt idx="3">
                  <c:v>2024</c:v>
                </c:pt>
                <c:pt idx="4">
                  <c:v>2025</c:v>
                </c:pt>
              </c:numCache>
            </c:numRef>
          </c:cat>
          <c:val>
            <c:numRef>
              <c:f>'Ratio Analysis'!$C$7:$G$7</c:f>
              <c:numCache>
                <c:formatCode>0.0%;[Red]\(0.0%\);\-</c:formatCode>
                <c:ptCount val="5"/>
                <c:pt idx="0">
                  <c:v>0.3769968051118211</c:v>
                </c:pt>
                <c:pt idx="1">
                  <c:v>0.43391188251001334</c:v>
                </c:pt>
                <c:pt idx="2">
                  <c:v>0.47172512526843235</c:v>
                </c:pt>
                <c:pt idx="3">
                  <c:v>0.49289772727272729</c:v>
                </c:pt>
                <c:pt idx="4">
                  <c:v>0.50244926522043387</c:v>
                </c:pt>
              </c:numCache>
            </c:numRef>
          </c:val>
          <c:smooth val="0"/>
          <c:extLst>
            <c:ext xmlns:c16="http://schemas.microsoft.com/office/drawing/2014/chart" uri="{C3380CC4-5D6E-409C-BE32-E72D297353CC}">
              <c16:uniqueId val="{00000002-E343-47F9-9DAA-E26030081401}"/>
            </c:ext>
          </c:extLst>
        </c:ser>
        <c:dLbls>
          <c:dLblPos val="t"/>
          <c:showLegendKey val="0"/>
          <c:showVal val="1"/>
          <c:showCatName val="0"/>
          <c:showSerName val="0"/>
          <c:showPercent val="0"/>
          <c:showBubbleSize val="0"/>
        </c:dLbls>
        <c:marker val="1"/>
        <c:smooth val="0"/>
        <c:axId val="48650112"/>
        <c:axId val="48672768"/>
      </c:lineChart>
      <c:catAx>
        <c:axId val="48650112"/>
        <c:scaling>
          <c:orientation val="minMax"/>
        </c:scaling>
        <c:delete val="0"/>
        <c:axPos val="b"/>
        <c:majorGridlines>
          <c:spPr>
            <a:ln w="9525" cap="flat" cmpd="sng" algn="ctr">
              <a:solidFill>
                <a:srgbClr val="CCCCCC"/>
              </a:solidFill>
              <a:prstDash val="dash"/>
              <a:round/>
            </a:ln>
            <a:effectLst/>
          </c:spPr>
        </c:majorGridlines>
        <c:title>
          <c:tx>
            <c:rich>
              <a:bodyPr rot="0" spcFirstLastPara="1" vertOverflow="ellipsis" vert="horz" wrap="square" anchor="ctr" anchorCtr="1"/>
              <a:lstStyle/>
              <a:p>
                <a:r>
                  <a:rPr lang="en-US" sz="825" b="1"/>
                  <a:t>Financial year</a:t>
                </a:r>
              </a:p>
            </c:rich>
          </c:tx>
          <c:overlay val="0"/>
          <c:spPr>
            <a:noFill/>
            <a:ln>
              <a:noFill/>
            </a:ln>
            <a:effectLst/>
          </c:spPr>
        </c:title>
        <c:numFmt formatCode="General" sourceLinked="1"/>
        <c:majorTickMark val="none"/>
        <c:minorTickMark val="none"/>
        <c:tickLblPos val="nextTo"/>
        <c:spPr>
          <a:noFill/>
          <a:ln w="12700" cap="flat" cmpd="sng" algn="ctr">
            <a:solidFill>
              <a:schemeClr val="tx1">
                <a:tint val="75000"/>
              </a:schemeClr>
            </a:solidFill>
            <a:prstDash val="solid"/>
            <a:round/>
          </a:ln>
          <a:effectLst/>
        </c:spPr>
        <c:txPr>
          <a:bodyPr rot="-60000000" spcFirstLastPara="1" vertOverflow="ellipsis" vert="horz" wrap="square" anchor="ctr" anchorCtr="1"/>
          <a:lstStyle/>
          <a:p>
            <a:pPr>
              <a:defRPr sz="675" b="0" i="0" u="none" strike="noStrike" kern="1200" baseline="0">
                <a:solidFill>
                  <a:schemeClr val="tx1"/>
                </a:solidFill>
                <a:latin typeface="+mn-lt"/>
                <a:ea typeface="+mn-ea"/>
                <a:cs typeface="+mn-cs"/>
              </a:defRPr>
            </a:pPr>
            <a:endParaRPr lang="en-US"/>
          </a:p>
        </c:txPr>
        <c:crossAx val="48672768"/>
        <c:crosses val="autoZero"/>
        <c:auto val="1"/>
        <c:lblAlgn val="ctr"/>
        <c:lblOffset val="100"/>
        <c:noMultiLvlLbl val="0"/>
      </c:catAx>
      <c:valAx>
        <c:axId val="48672768"/>
        <c:scaling>
          <c:orientation val="minMax"/>
        </c:scaling>
        <c:delete val="0"/>
        <c:axPos val="l"/>
        <c:majorGridlines>
          <c:spPr>
            <a:ln w="9525" cap="flat" cmpd="sng" algn="ctr">
              <a:solidFill>
                <a:srgbClr val="CCCCCC"/>
              </a:solidFill>
              <a:prstDash val="dash"/>
              <a:round/>
            </a:ln>
            <a:effectLst/>
          </c:spPr>
        </c:majorGridlines>
        <c:title>
          <c:tx>
            <c:rich>
              <a:bodyPr rot="-5400000" spcFirstLastPara="1" vertOverflow="ellipsis" vert="horz" wrap="square" anchor="ctr" anchorCtr="1"/>
              <a:lstStyle/>
              <a:p>
                <a:r>
                  <a:rPr lang="en-US" sz="825" b="1"/>
                  <a:t>Percentage</a:t>
                </a:r>
              </a:p>
            </c:rich>
          </c:tx>
          <c:overlay val="0"/>
          <c:spPr>
            <a:noFill/>
            <a:ln>
              <a:noFill/>
            </a:ln>
            <a:effectLst/>
          </c:spPr>
        </c:title>
        <c:numFmt formatCode="0%" sourceLinked="0"/>
        <c:majorTickMark val="none"/>
        <c:minorTickMark val="none"/>
        <c:tickLblPos val="nextTo"/>
        <c:spPr>
          <a:noFill/>
          <a:ln w="12700" cap="flat" cmpd="sng" algn="ctr">
            <a:solidFill>
              <a:schemeClr val="tx1">
                <a:tint val="75000"/>
              </a:schemeClr>
            </a:solidFill>
            <a:prstDash val="solid"/>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crossAx val="48650112"/>
        <c:crosses val="autoZero"/>
        <c:crossBetween val="between"/>
      </c:valAx>
      <c:spPr>
        <a:solidFill>
          <a:schemeClr val="bg1"/>
        </a:solid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legend>
    <c:plotVisOnly val="1"/>
    <c:dispBlanksAs val="zero"/>
    <c:showDLblsOverMax val="1"/>
  </c:chart>
  <c:spPr>
    <a:solidFill>
      <a:schemeClr val="bg1"/>
    </a:solidFill>
    <a:ln w="9525" cap="flat" cmpd="sng" algn="ctr">
      <a:solidFill>
        <a:srgbClr val="D9D9D9"/>
      </a:solidFill>
      <a:prstDash val="solid"/>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r>
              <a:rPr lang="en-US" b="1"/>
              <a:t>Liquidity versus Industry Benchmark</a:t>
            </a:r>
          </a:p>
        </c:rich>
      </c:tx>
      <c:overlay val="0"/>
      <c:spPr>
        <a:noFill/>
        <a:ln>
          <a:noFill/>
        </a:ln>
        <a:effectLst/>
      </c:spPr>
    </c:title>
    <c:autoTitleDeleted val="0"/>
    <c:plotArea>
      <c:layout/>
      <c:lineChart>
        <c:grouping val="standard"/>
        <c:varyColors val="1"/>
        <c:ser>
          <c:idx val="0"/>
          <c:order val="0"/>
          <c:tx>
            <c:v>Wyndham current ratio</c:v>
          </c:tx>
          <c:spPr>
            <a:ln w="38100" cap="rnd" cmpd="sng" algn="ctr">
              <a:solidFill>
                <a:schemeClr val="accent1"/>
              </a:solidFill>
              <a:prstDash val="solid"/>
              <a:round/>
            </a:ln>
            <a:effectLst/>
          </c:spPr>
          <c:marker>
            <c:spPr>
              <a:solidFill>
                <a:schemeClr val="accent1"/>
              </a:solidFill>
              <a:ln w="12700" cap="flat" cmpd="sng" algn="ctr">
                <a:solidFill>
                  <a:schemeClr val="accent1"/>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'Liquidity Benchmark'!$B$3:$F$3</c:f>
              <c:numCache>
                <c:formatCode>General</c:formatCode>
                <c:ptCount val="5"/>
                <c:pt idx="0">
                  <c:v>2021</c:v>
                </c:pt>
                <c:pt idx="1">
                  <c:v>2022</c:v>
                </c:pt>
                <c:pt idx="2">
                  <c:v>2023</c:v>
                </c:pt>
                <c:pt idx="3">
                  <c:v>2024</c:v>
                </c:pt>
                <c:pt idx="4">
                  <c:v>2025</c:v>
                </c:pt>
              </c:numCache>
            </c:numRef>
          </c:cat>
          <c:val>
            <c:numRef>
              <c:f>'Liquidity Benchmark'!$B$4:$F$4</c:f>
              <c:numCache>
                <c:formatCode>0.00\x;[Red]\(0.00\x\);\-</c:formatCode>
                <c:ptCount val="5"/>
                <c:pt idx="0">
                  <c:v>1.8136020151133501</c:v>
                </c:pt>
                <c:pt idx="1">
                  <c:v>1.3423645320197044</c:v>
                </c:pt>
                <c:pt idx="2">
                  <c:v>0.81263616557734208</c:v>
                </c:pt>
                <c:pt idx="3">
                  <c:v>1.002145922746781</c:v>
                </c:pt>
                <c:pt idx="4">
                  <c:v>0.85798816568047342</c:v>
                </c:pt>
              </c:numCache>
            </c:numRef>
          </c:val>
          <c:smooth val="0"/>
          <c:extLst>
            <c:ext xmlns:c16="http://schemas.microsoft.com/office/drawing/2014/chart" uri="{C3380CC4-5D6E-409C-BE32-E72D297353CC}">
              <c16:uniqueId val="{00000000-AC4E-4BCA-8508-A085C36DD845}"/>
            </c:ext>
          </c:extLst>
        </c:ser>
        <c:ser>
          <c:idx val="1"/>
          <c:order val="1"/>
          <c:tx>
            <c:v>Industry current ratio</c:v>
          </c:tx>
          <c:spPr>
            <a:ln w="38100" cap="rnd" cmpd="sng" algn="ctr">
              <a:solidFill>
                <a:schemeClr val="accent3"/>
              </a:solidFill>
              <a:prstDash val="solid"/>
              <a:round/>
            </a:ln>
            <a:effectLst/>
          </c:spPr>
          <c:marker>
            <c:spPr>
              <a:solidFill>
                <a:schemeClr val="accent3"/>
              </a:solidFill>
              <a:ln w="12700" cap="flat" cmpd="sng" algn="ctr">
                <a:solidFill>
                  <a:schemeClr val="accent3"/>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'Liquidity Benchmark'!$B$3:$F$3</c:f>
              <c:numCache>
                <c:formatCode>General</c:formatCode>
                <c:ptCount val="5"/>
                <c:pt idx="0">
                  <c:v>2021</c:v>
                </c:pt>
                <c:pt idx="1">
                  <c:v>2022</c:v>
                </c:pt>
                <c:pt idx="2">
                  <c:v>2023</c:v>
                </c:pt>
                <c:pt idx="3">
                  <c:v>2024</c:v>
                </c:pt>
                <c:pt idx="4">
                  <c:v>2025</c:v>
                </c:pt>
              </c:numCache>
            </c:numRef>
          </c:cat>
          <c:val>
            <c:numRef>
              <c:f>'Liquidity Benchmark'!$B$5:$F$5</c:f>
              <c:numCache>
                <c:formatCode>0.00\x;[Red]\(0.00\x\);\-</c:formatCode>
                <c:ptCount val="5"/>
                <c:pt idx="0">
                  <c:v>1.92</c:v>
                </c:pt>
                <c:pt idx="1">
                  <c:v>1.47</c:v>
                </c:pt>
                <c:pt idx="2">
                  <c:v>0.89</c:v>
                </c:pt>
                <c:pt idx="3">
                  <c:v>0.85</c:v>
                </c:pt>
                <c:pt idx="4">
                  <c:v>0.82</c:v>
                </c:pt>
              </c:numCache>
            </c:numRef>
          </c:val>
          <c:smooth val="0"/>
          <c:extLst>
            <c:ext xmlns:c16="http://schemas.microsoft.com/office/drawing/2014/chart" uri="{C3380CC4-5D6E-409C-BE32-E72D297353CC}">
              <c16:uniqueId val="{00000001-AC4E-4BCA-8508-A085C36DD845}"/>
            </c:ext>
          </c:extLst>
        </c:ser>
        <c:ser>
          <c:idx val="2"/>
          <c:order val="2"/>
          <c:tx>
            <c:v>Wyndham quick ratio</c:v>
          </c:tx>
          <c:spPr>
            <a:ln w="38100" cap="rnd" cmpd="sng" algn="ctr">
              <a:solidFill>
                <a:schemeClr val="accent5"/>
              </a:solidFill>
              <a:prstDash val="solid"/>
              <a:round/>
            </a:ln>
            <a:effectLst/>
          </c:spPr>
          <c:marker>
            <c:spPr>
              <a:solidFill>
                <a:schemeClr val="accent5"/>
              </a:solidFill>
              <a:ln w="12700" cap="flat" cmpd="sng" algn="ctr">
                <a:solidFill>
                  <a:schemeClr val="accent5"/>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'Liquidity Benchmark'!$B$3:$F$3</c:f>
              <c:numCache>
                <c:formatCode>General</c:formatCode>
                <c:ptCount val="5"/>
                <c:pt idx="0">
                  <c:v>2021</c:v>
                </c:pt>
                <c:pt idx="1">
                  <c:v>2022</c:v>
                </c:pt>
                <c:pt idx="2">
                  <c:v>2023</c:v>
                </c:pt>
                <c:pt idx="3">
                  <c:v>2024</c:v>
                </c:pt>
                <c:pt idx="4">
                  <c:v>2025</c:v>
                </c:pt>
              </c:numCache>
            </c:numRef>
          </c:cat>
          <c:val>
            <c:numRef>
              <c:f>'Liquidity Benchmark'!$B$8:$F$8</c:f>
              <c:numCache>
                <c:formatCode>0.00\x;[Red]\(0.00\x\);\-</c:formatCode>
                <c:ptCount val="5"/>
                <c:pt idx="0">
                  <c:v>1.0503778337531486</c:v>
                </c:pt>
                <c:pt idx="1">
                  <c:v>0.97290640394088668</c:v>
                </c:pt>
                <c:pt idx="2">
                  <c:v>0.66884531590413943</c:v>
                </c:pt>
                <c:pt idx="3">
                  <c:v>0.80257510729613735</c:v>
                </c:pt>
                <c:pt idx="4">
                  <c:v>0.70019723865877714</c:v>
                </c:pt>
              </c:numCache>
            </c:numRef>
          </c:val>
          <c:smooth val="0"/>
          <c:extLst>
            <c:ext xmlns:c16="http://schemas.microsoft.com/office/drawing/2014/chart" uri="{C3380CC4-5D6E-409C-BE32-E72D297353CC}">
              <c16:uniqueId val="{00000002-AC4E-4BCA-8508-A085C36DD845}"/>
            </c:ext>
          </c:extLst>
        </c:ser>
        <c:ser>
          <c:idx val="3"/>
          <c:order val="3"/>
          <c:tx>
            <c:v>Industry quick ratio</c:v>
          </c:tx>
          <c:spPr>
            <a:ln w="38100" cap="rnd" cmpd="sng" algn="ctr">
              <a:solidFill>
                <a:schemeClr val="accent1">
                  <a:lumMod val="60000"/>
                </a:schemeClr>
              </a:solidFill>
              <a:prstDash val="solid"/>
              <a:round/>
            </a:ln>
            <a:effectLst/>
          </c:spPr>
          <c:marker>
            <c:spPr>
              <a:noFill/>
              <a:ln w="12700" cap="flat" cmpd="sng" algn="ctr">
                <a:solidFill>
                  <a:schemeClr val="accent1">
                    <a:lumMod val="60000"/>
                  </a:schemeClr>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'Liquidity Benchmark'!$B$3:$F$3</c:f>
              <c:numCache>
                <c:formatCode>General</c:formatCode>
                <c:ptCount val="5"/>
                <c:pt idx="0">
                  <c:v>2021</c:v>
                </c:pt>
                <c:pt idx="1">
                  <c:v>2022</c:v>
                </c:pt>
                <c:pt idx="2">
                  <c:v>2023</c:v>
                </c:pt>
                <c:pt idx="3">
                  <c:v>2024</c:v>
                </c:pt>
                <c:pt idx="4">
                  <c:v>2025</c:v>
                </c:pt>
              </c:numCache>
            </c:numRef>
          </c:cat>
          <c:val>
            <c:numRef>
              <c:f>'Liquidity Benchmark'!$B$9:$F$9</c:f>
              <c:numCache>
                <c:formatCode>0.00\x;[Red]\(0.00\x\);\-</c:formatCode>
                <c:ptCount val="5"/>
                <c:pt idx="0">
                  <c:v>1.42</c:v>
                </c:pt>
                <c:pt idx="1">
                  <c:v>0.85</c:v>
                </c:pt>
                <c:pt idx="2">
                  <c:v>0.72</c:v>
                </c:pt>
                <c:pt idx="3">
                  <c:v>0.63</c:v>
                </c:pt>
                <c:pt idx="4">
                  <c:v>0.69</c:v>
                </c:pt>
              </c:numCache>
            </c:numRef>
          </c:val>
          <c:smooth val="0"/>
          <c:extLst>
            <c:ext xmlns:c16="http://schemas.microsoft.com/office/drawing/2014/chart" uri="{C3380CC4-5D6E-409C-BE32-E72D297353CC}">
              <c16:uniqueId val="{00000003-AC4E-4BCA-8508-A085C36DD845}"/>
            </c:ext>
          </c:extLst>
        </c:ser>
        <c:dLbls>
          <c:dLblPos val="t"/>
          <c:showLegendKey val="0"/>
          <c:showVal val="1"/>
          <c:showCatName val="0"/>
          <c:showSerName val="0"/>
          <c:showPercent val="0"/>
          <c:showBubbleSize val="0"/>
        </c:dLbls>
        <c:marker val="1"/>
        <c:smooth val="0"/>
        <c:axId val="48650112"/>
        <c:axId val="48672768"/>
      </c:lineChart>
      <c:catAx>
        <c:axId val="48650112"/>
        <c:scaling>
          <c:orientation val="minMax"/>
        </c:scaling>
        <c:delete val="0"/>
        <c:axPos val="b"/>
        <c:majorGridlines>
          <c:spPr>
            <a:ln w="9525" cap="flat" cmpd="sng" algn="ctr">
              <a:solidFill>
                <a:srgbClr val="CCCCCC"/>
              </a:solidFill>
              <a:prstDash val="dash"/>
              <a:round/>
            </a:ln>
            <a:effectLst/>
          </c:spPr>
        </c:majorGridlines>
        <c:title>
          <c:tx>
            <c:rich>
              <a:bodyPr rot="0" spcFirstLastPara="1" vertOverflow="ellipsis" vert="horz" wrap="square" anchor="ctr" anchorCtr="1"/>
              <a:lstStyle/>
              <a:p>
                <a:r>
                  <a:rPr lang="en-US" sz="825" b="1"/>
                  <a:t>Financial year</a:t>
                </a:r>
              </a:p>
            </c:rich>
          </c:tx>
          <c:overlay val="0"/>
          <c:spPr>
            <a:noFill/>
            <a:ln>
              <a:noFill/>
            </a:ln>
            <a:effectLst/>
          </c:spPr>
        </c:title>
        <c:numFmt formatCode="General" sourceLinked="1"/>
        <c:majorTickMark val="none"/>
        <c:minorTickMark val="none"/>
        <c:tickLblPos val="nextTo"/>
        <c:spPr>
          <a:noFill/>
          <a:ln w="12700" cap="flat" cmpd="sng" algn="ctr">
            <a:solidFill>
              <a:schemeClr val="tx1">
                <a:tint val="75000"/>
              </a:schemeClr>
            </a:solidFill>
            <a:prstDash val="solid"/>
            <a:round/>
          </a:ln>
          <a:effectLst/>
        </c:spPr>
        <c:txPr>
          <a:bodyPr rot="-60000000" spcFirstLastPara="1" vertOverflow="ellipsis" vert="horz" wrap="square" anchor="ctr" anchorCtr="1"/>
          <a:lstStyle/>
          <a:p>
            <a:pPr>
              <a:defRPr sz="675" b="0" i="0" u="none" strike="noStrike" kern="1200" baseline="0">
                <a:solidFill>
                  <a:schemeClr val="tx1"/>
                </a:solidFill>
                <a:latin typeface="+mn-lt"/>
                <a:ea typeface="+mn-ea"/>
                <a:cs typeface="+mn-cs"/>
              </a:defRPr>
            </a:pPr>
            <a:endParaRPr lang="en-US"/>
          </a:p>
        </c:txPr>
        <c:crossAx val="48672768"/>
        <c:crosses val="autoZero"/>
        <c:auto val="1"/>
        <c:lblAlgn val="ctr"/>
        <c:lblOffset val="100"/>
        <c:noMultiLvlLbl val="0"/>
      </c:catAx>
      <c:valAx>
        <c:axId val="48672768"/>
        <c:scaling>
          <c:orientation val="minMax"/>
        </c:scaling>
        <c:delete val="0"/>
        <c:axPos val="l"/>
        <c:majorGridlines>
          <c:spPr>
            <a:ln w="9525" cap="flat" cmpd="sng" algn="ctr">
              <a:solidFill>
                <a:srgbClr val="CCCCCC"/>
              </a:solidFill>
              <a:prstDash val="dash"/>
              <a:round/>
            </a:ln>
            <a:effectLst/>
          </c:spPr>
        </c:majorGridlines>
        <c:title>
          <c:tx>
            <c:rich>
              <a:bodyPr rot="-5400000" spcFirstLastPara="1" vertOverflow="ellipsis" vert="horz" wrap="square" anchor="ctr" anchorCtr="1"/>
              <a:lstStyle/>
              <a:p>
                <a:r>
                  <a:rPr lang="en-US" sz="825" b="1"/>
                  <a:t>Ratio (times)</a:t>
                </a:r>
              </a:p>
            </c:rich>
          </c:tx>
          <c:overlay val="0"/>
          <c:spPr>
            <a:noFill/>
            <a:ln>
              <a:noFill/>
            </a:ln>
            <a:effectLst/>
          </c:spPr>
        </c:title>
        <c:numFmt formatCode="0.00\x" sourceLinked="0"/>
        <c:majorTickMark val="none"/>
        <c:minorTickMark val="none"/>
        <c:tickLblPos val="nextTo"/>
        <c:spPr>
          <a:noFill/>
          <a:ln w="12700" cap="flat" cmpd="sng" algn="ctr">
            <a:solidFill>
              <a:schemeClr val="tx1">
                <a:tint val="75000"/>
              </a:schemeClr>
            </a:solidFill>
            <a:prstDash val="solid"/>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crossAx val="48650112"/>
        <c:crosses val="autoZero"/>
        <c:crossBetween val="between"/>
      </c:valAx>
      <c:spPr>
        <a:solidFill>
          <a:schemeClr val="bg1"/>
        </a:solid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legend>
    <c:plotVisOnly val="1"/>
    <c:dispBlanksAs val="zero"/>
    <c:showDLblsOverMax val="1"/>
  </c:chart>
  <c:spPr>
    <a:solidFill>
      <a:schemeClr val="bg1"/>
    </a:solidFill>
    <a:ln w="9525" cap="flat" cmpd="sng" algn="ctr">
      <a:solidFill>
        <a:srgbClr val="D9D9D9"/>
      </a:solidFill>
      <a:prstDash val="solid"/>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r>
              <a:rPr lang="en-US" b="1"/>
              <a:t>Leverage and Debt-Service Capacity</a:t>
            </a:r>
          </a:p>
        </c:rich>
      </c:tx>
      <c:overlay val="0"/>
      <c:spPr>
        <a:noFill/>
        <a:ln>
          <a:noFill/>
        </a:ln>
        <a:effectLst/>
      </c:spPr>
    </c:title>
    <c:autoTitleDeleted val="0"/>
    <c:plotArea>
      <c:layout/>
      <c:lineChart>
        <c:grouping val="standard"/>
        <c:varyColors val="1"/>
        <c:ser>
          <c:idx val="0"/>
          <c:order val="0"/>
          <c:tx>
            <c:v>Debt-to-equity</c:v>
          </c:tx>
          <c:spPr>
            <a:ln w="38100" cap="rnd" cmpd="sng" algn="ctr">
              <a:solidFill>
                <a:schemeClr val="accent1"/>
              </a:solidFill>
              <a:prstDash val="solid"/>
              <a:round/>
            </a:ln>
            <a:effectLst/>
          </c:spPr>
          <c:marker>
            <c:spPr>
              <a:solidFill>
                <a:schemeClr val="accent1"/>
              </a:solidFill>
              <a:ln w="12700" cap="flat" cmpd="sng" algn="ctr">
                <a:solidFill>
                  <a:schemeClr val="accent1"/>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'Ratio Analysis'!$C$3:$G$3</c:f>
              <c:numCache>
                <c:formatCode>General</c:formatCode>
                <c:ptCount val="5"/>
                <c:pt idx="0">
                  <c:v>2021</c:v>
                </c:pt>
                <c:pt idx="1">
                  <c:v>2022</c:v>
                </c:pt>
                <c:pt idx="2">
                  <c:v>2023</c:v>
                </c:pt>
                <c:pt idx="3">
                  <c:v>2024</c:v>
                </c:pt>
                <c:pt idx="4">
                  <c:v>2025</c:v>
                </c:pt>
              </c:numCache>
            </c:numRef>
          </c:cat>
          <c:val>
            <c:numRef>
              <c:f>'Ratio Analysis'!$C$24:$G$24</c:f>
              <c:numCache>
                <c:formatCode>0.00\x;[Red]\(0.00\x\);\-</c:formatCode>
                <c:ptCount val="5"/>
                <c:pt idx="0">
                  <c:v>1.913682277318641</c:v>
                </c:pt>
                <c:pt idx="1">
                  <c:v>2.1590436590436592</c:v>
                </c:pt>
                <c:pt idx="2">
                  <c:v>2.9504021447721178</c:v>
                </c:pt>
                <c:pt idx="3">
                  <c:v>3.7892307692307692</c:v>
                </c:pt>
                <c:pt idx="4">
                  <c:v>5.4700854700854702</c:v>
                </c:pt>
              </c:numCache>
            </c:numRef>
          </c:val>
          <c:smooth val="0"/>
          <c:extLst>
            <c:ext xmlns:c16="http://schemas.microsoft.com/office/drawing/2014/chart" uri="{C3380CC4-5D6E-409C-BE32-E72D297353CC}">
              <c16:uniqueId val="{00000000-0975-4498-81DB-B12CDE6A7870}"/>
            </c:ext>
          </c:extLst>
        </c:ser>
        <c:ser>
          <c:idx val="1"/>
          <c:order val="1"/>
          <c:tx>
            <c:v>Net debt / EBITDA</c:v>
          </c:tx>
          <c:spPr>
            <a:ln w="38100" cap="rnd" cmpd="sng" algn="ctr">
              <a:solidFill>
                <a:schemeClr val="accent3"/>
              </a:solidFill>
              <a:prstDash val="solid"/>
              <a:round/>
            </a:ln>
            <a:effectLst/>
          </c:spPr>
          <c:marker>
            <c:spPr>
              <a:solidFill>
                <a:schemeClr val="accent3"/>
              </a:solidFill>
              <a:ln w="12700" cap="flat" cmpd="sng" algn="ctr">
                <a:solidFill>
                  <a:schemeClr val="accent3"/>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'Ratio Analysis'!$C$3:$G$3</c:f>
              <c:numCache>
                <c:formatCode>General</c:formatCode>
                <c:ptCount val="5"/>
                <c:pt idx="0">
                  <c:v>2021</c:v>
                </c:pt>
                <c:pt idx="1">
                  <c:v>2022</c:v>
                </c:pt>
                <c:pt idx="2">
                  <c:v>2023</c:v>
                </c:pt>
                <c:pt idx="3">
                  <c:v>2024</c:v>
                </c:pt>
                <c:pt idx="4">
                  <c:v>2025</c:v>
                </c:pt>
              </c:numCache>
            </c:numRef>
          </c:cat>
          <c:val>
            <c:numRef>
              <c:f>'Ratio Analysis'!$C$27:$G$27</c:f>
              <c:numCache>
                <c:formatCode>0.00\x;[Red]\(0.00\x\);\-</c:formatCode>
                <c:ptCount val="5"/>
                <c:pt idx="0">
                  <c:v>3.2423728813559323</c:v>
                </c:pt>
                <c:pt idx="1">
                  <c:v>2.9476923076923076</c:v>
                </c:pt>
                <c:pt idx="2">
                  <c:v>3.2397572078907437</c:v>
                </c:pt>
                <c:pt idx="3">
                  <c:v>3.4005763688760808</c:v>
                </c:pt>
                <c:pt idx="4">
                  <c:v>3.4763231197771587</c:v>
                </c:pt>
              </c:numCache>
            </c:numRef>
          </c:val>
          <c:smooth val="0"/>
          <c:extLst>
            <c:ext xmlns:c16="http://schemas.microsoft.com/office/drawing/2014/chart" uri="{C3380CC4-5D6E-409C-BE32-E72D297353CC}">
              <c16:uniqueId val="{00000001-0975-4498-81DB-B12CDE6A7870}"/>
            </c:ext>
          </c:extLst>
        </c:ser>
        <c:ser>
          <c:idx val="2"/>
          <c:order val="2"/>
          <c:tx>
            <c:v>Interest coverage</c:v>
          </c:tx>
          <c:spPr>
            <a:ln w="38100" cap="rnd" cmpd="sng" algn="ctr">
              <a:solidFill>
                <a:schemeClr val="accent5"/>
              </a:solidFill>
              <a:prstDash val="solid"/>
              <a:round/>
            </a:ln>
            <a:effectLst/>
          </c:spPr>
          <c:marker>
            <c:spPr>
              <a:solidFill>
                <a:schemeClr val="accent5"/>
              </a:solidFill>
              <a:ln w="12700" cap="flat" cmpd="sng" algn="ctr">
                <a:solidFill>
                  <a:schemeClr val="accent5"/>
                </a:solidFill>
                <a:prstDash val="solid"/>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12700" cap="flat" cmpd="sng" algn="ctr">
                      <a:solidFill>
                        <a:schemeClr val="tx1"/>
                      </a:solidFill>
                      <a:prstDash val="solid"/>
                      <a:round/>
                    </a:ln>
                    <a:effectLst/>
                  </c:spPr>
                </c15:leaderLines>
              </c:ext>
            </c:extLst>
          </c:dLbls>
          <c:cat>
            <c:numRef>
              <c:f>'Ratio Analysis'!$C$3:$G$3</c:f>
              <c:numCache>
                <c:formatCode>General</c:formatCode>
                <c:ptCount val="5"/>
                <c:pt idx="0">
                  <c:v>2021</c:v>
                </c:pt>
                <c:pt idx="1">
                  <c:v>2022</c:v>
                </c:pt>
                <c:pt idx="2">
                  <c:v>2023</c:v>
                </c:pt>
                <c:pt idx="3">
                  <c:v>2024</c:v>
                </c:pt>
                <c:pt idx="4">
                  <c:v>2025</c:v>
                </c:pt>
              </c:numCache>
            </c:numRef>
          </c:cat>
          <c:val>
            <c:numRef>
              <c:f>'Ratio Analysis'!$C$26:$G$26</c:f>
              <c:numCache>
                <c:formatCode>0.00\x;[Red]\(0.00\x\);\-</c:formatCode>
                <c:ptCount val="5"/>
                <c:pt idx="0">
                  <c:v>4.795698924731183</c:v>
                </c:pt>
                <c:pt idx="1">
                  <c:v>6.9749999999999996</c:v>
                </c:pt>
                <c:pt idx="2">
                  <c:v>4.9313725490196081</c:v>
                </c:pt>
                <c:pt idx="3">
                  <c:v>3.9919354838709675</c:v>
                </c:pt>
                <c:pt idx="4">
                  <c:v>2.8920863309352516</c:v>
                </c:pt>
              </c:numCache>
            </c:numRef>
          </c:val>
          <c:smooth val="0"/>
          <c:extLst>
            <c:ext xmlns:c16="http://schemas.microsoft.com/office/drawing/2014/chart" uri="{C3380CC4-5D6E-409C-BE32-E72D297353CC}">
              <c16:uniqueId val="{00000002-0975-4498-81DB-B12CDE6A7870}"/>
            </c:ext>
          </c:extLst>
        </c:ser>
        <c:dLbls>
          <c:dLblPos val="t"/>
          <c:showLegendKey val="0"/>
          <c:showVal val="1"/>
          <c:showCatName val="0"/>
          <c:showSerName val="0"/>
          <c:showPercent val="0"/>
          <c:showBubbleSize val="0"/>
        </c:dLbls>
        <c:marker val="1"/>
        <c:smooth val="0"/>
        <c:axId val="48650112"/>
        <c:axId val="48672768"/>
      </c:lineChart>
      <c:catAx>
        <c:axId val="48650112"/>
        <c:scaling>
          <c:orientation val="minMax"/>
        </c:scaling>
        <c:delete val="0"/>
        <c:axPos val="b"/>
        <c:majorGridlines>
          <c:spPr>
            <a:ln w="9525" cap="flat" cmpd="sng" algn="ctr">
              <a:solidFill>
                <a:srgbClr val="CCCCCC"/>
              </a:solidFill>
              <a:prstDash val="dash"/>
              <a:round/>
            </a:ln>
            <a:effectLst/>
          </c:spPr>
        </c:majorGridlines>
        <c:title>
          <c:tx>
            <c:rich>
              <a:bodyPr rot="0" spcFirstLastPara="1" vertOverflow="ellipsis" vert="horz" wrap="square" anchor="ctr" anchorCtr="1"/>
              <a:lstStyle/>
              <a:p>
                <a:r>
                  <a:rPr lang="en-US" sz="825" b="1"/>
                  <a:t>Financial year</a:t>
                </a:r>
              </a:p>
            </c:rich>
          </c:tx>
          <c:overlay val="0"/>
          <c:spPr>
            <a:noFill/>
            <a:ln>
              <a:noFill/>
            </a:ln>
            <a:effectLst/>
          </c:spPr>
        </c:title>
        <c:numFmt formatCode="General" sourceLinked="1"/>
        <c:majorTickMark val="none"/>
        <c:minorTickMark val="none"/>
        <c:tickLblPos val="nextTo"/>
        <c:spPr>
          <a:noFill/>
          <a:ln w="12700" cap="flat" cmpd="sng" algn="ctr">
            <a:solidFill>
              <a:schemeClr val="tx1">
                <a:tint val="75000"/>
              </a:schemeClr>
            </a:solidFill>
            <a:prstDash val="solid"/>
            <a:round/>
          </a:ln>
          <a:effectLst/>
        </c:spPr>
        <c:txPr>
          <a:bodyPr rot="-60000000" spcFirstLastPara="1" vertOverflow="ellipsis" vert="horz" wrap="square" anchor="ctr" anchorCtr="1"/>
          <a:lstStyle/>
          <a:p>
            <a:pPr>
              <a:defRPr sz="675" b="0" i="0" u="none" strike="noStrike" kern="1200" baseline="0">
                <a:solidFill>
                  <a:schemeClr val="tx1"/>
                </a:solidFill>
                <a:latin typeface="+mn-lt"/>
                <a:ea typeface="+mn-ea"/>
                <a:cs typeface="+mn-cs"/>
              </a:defRPr>
            </a:pPr>
            <a:endParaRPr lang="en-US"/>
          </a:p>
        </c:txPr>
        <c:crossAx val="48672768"/>
        <c:crosses val="autoZero"/>
        <c:auto val="1"/>
        <c:lblAlgn val="ctr"/>
        <c:lblOffset val="100"/>
        <c:noMultiLvlLbl val="0"/>
      </c:catAx>
      <c:valAx>
        <c:axId val="48672768"/>
        <c:scaling>
          <c:orientation val="minMax"/>
        </c:scaling>
        <c:delete val="0"/>
        <c:axPos val="l"/>
        <c:majorGridlines>
          <c:spPr>
            <a:ln w="9525" cap="flat" cmpd="sng" algn="ctr">
              <a:solidFill>
                <a:srgbClr val="CCCCCC"/>
              </a:solidFill>
              <a:prstDash val="dash"/>
              <a:round/>
            </a:ln>
            <a:effectLst/>
          </c:spPr>
        </c:majorGridlines>
        <c:title>
          <c:tx>
            <c:rich>
              <a:bodyPr rot="-5400000" spcFirstLastPara="1" vertOverflow="ellipsis" vert="horz" wrap="square" anchor="ctr" anchorCtr="1"/>
              <a:lstStyle/>
              <a:p>
                <a:r>
                  <a:rPr lang="en-US" sz="825" b="1"/>
                  <a:t>Multiple (times)</a:t>
                </a:r>
              </a:p>
            </c:rich>
          </c:tx>
          <c:overlay val="0"/>
          <c:spPr>
            <a:noFill/>
            <a:ln>
              <a:noFill/>
            </a:ln>
            <a:effectLst/>
          </c:spPr>
        </c:title>
        <c:numFmt formatCode="0.0\x" sourceLinked="0"/>
        <c:majorTickMark val="none"/>
        <c:minorTickMark val="none"/>
        <c:tickLblPos val="nextTo"/>
        <c:spPr>
          <a:noFill/>
          <a:ln w="12700" cap="flat" cmpd="sng" algn="ctr">
            <a:solidFill>
              <a:schemeClr val="tx1">
                <a:tint val="75000"/>
              </a:schemeClr>
            </a:solidFill>
            <a:prstDash val="solid"/>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crossAx val="48650112"/>
        <c:crosses val="autoZero"/>
        <c:crossBetween val="between"/>
      </c:valAx>
      <c:spPr>
        <a:solidFill>
          <a:schemeClr val="bg1"/>
        </a:solid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legend>
    <c:plotVisOnly val="1"/>
    <c:dispBlanksAs val="zero"/>
    <c:showDLblsOverMax val="1"/>
  </c:chart>
  <c:spPr>
    <a:solidFill>
      <a:schemeClr val="bg1"/>
    </a:solidFill>
    <a:ln w="9525" cap="flat" cmpd="sng" algn="ctr">
      <a:solidFill>
        <a:srgbClr val="D9D9D9"/>
      </a:solidFill>
      <a:prstDash val="solid"/>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7023</Words>
  <Characters>40035</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Anonymous</cp:lastModifiedBy>
  <cp:revision>2</cp:revision>
  <dcterms:created xsi:type="dcterms:W3CDTF">2026-07-23T18:20:00Z</dcterms:created>
  <dcterms:modified xsi:type="dcterms:W3CDTF">2026-07-23T18:20:00Z</dcterms:modified>
</cp:coreProperties>
</file>