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806402" w14:textId="2C074BE5" w:rsidR="00536025" w:rsidRDefault="00EC25E3">
      <w:r>
        <w:rPr>
          <w:noProof/>
        </w:rPr>
        <w:drawing>
          <wp:anchor distT="0" distB="0" distL="114300" distR="114300" simplePos="0" relativeHeight="251658240" behindDoc="0" locked="0" layoutInCell="1" allowOverlap="1" wp14:anchorId="04964D43" wp14:editId="084A78C1">
            <wp:simplePos x="914400" y="914400"/>
            <wp:positionH relativeFrom="column">
              <wp:align>left</wp:align>
            </wp:positionH>
            <wp:positionV relativeFrom="paragraph">
              <wp:align>top</wp:align>
            </wp:positionV>
            <wp:extent cx="3185795" cy="1113790"/>
            <wp:effectExtent l="0" t="0" r="0" b="0"/>
            <wp:wrapSquare wrapText="bothSides"/>
            <wp:docPr id="91" name="Picture 91"/>
            <wp:cNvGraphicFramePr/>
            <a:graphic xmlns:a="http://schemas.openxmlformats.org/drawingml/2006/main">
              <a:graphicData uri="http://schemas.openxmlformats.org/drawingml/2006/picture">
                <pic:pic xmlns:pic="http://schemas.openxmlformats.org/drawingml/2006/picture">
                  <pic:nvPicPr>
                    <pic:cNvPr id="91" name="Picture 9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85795" cy="1113790"/>
                    </a:xfrm>
                    <a:prstGeom prst="rect">
                      <a:avLst/>
                    </a:prstGeom>
                  </pic:spPr>
                </pic:pic>
              </a:graphicData>
            </a:graphic>
          </wp:anchor>
        </w:drawing>
      </w:r>
      <w:r w:rsidR="0044560E">
        <w:br w:type="textWrapping" w:clear="all"/>
      </w:r>
    </w:p>
    <w:p w14:paraId="6DFE5E4F" w14:textId="5E9E9CD2" w:rsidR="00EC25E3" w:rsidRDefault="00EC25E3">
      <w:pPr>
        <w:rPr>
          <w:b/>
          <w:bCs/>
          <w:i/>
          <w:iCs/>
          <w:color w:val="323E4F" w:themeColor="text2" w:themeShade="BF"/>
        </w:rPr>
      </w:pPr>
    </w:p>
    <w:p w14:paraId="05F2FBE2" w14:textId="01559528" w:rsidR="00EC25E3" w:rsidRPr="00EC25E3" w:rsidRDefault="00EC25E3" w:rsidP="00EC25E3">
      <w:pPr>
        <w:jc w:val="center"/>
        <w:rPr>
          <w:b/>
          <w:bCs/>
          <w:i/>
          <w:iCs/>
          <w:color w:val="323E4F" w:themeColor="text2" w:themeShade="BF"/>
          <w:sz w:val="36"/>
          <w:szCs w:val="36"/>
        </w:rPr>
      </w:pPr>
      <w:r w:rsidRPr="00EC25E3">
        <w:rPr>
          <w:b/>
          <w:bCs/>
          <w:i/>
          <w:iCs/>
          <w:color w:val="323E4F" w:themeColor="text2" w:themeShade="BF"/>
          <w:sz w:val="36"/>
          <w:szCs w:val="36"/>
        </w:rPr>
        <w:t>The Global Business Environment</w:t>
      </w:r>
    </w:p>
    <w:p w14:paraId="4B47C25F" w14:textId="142DAAFF" w:rsidR="00EC25E3" w:rsidRPr="00EC25E3" w:rsidRDefault="00EC25E3" w:rsidP="00EC25E3">
      <w:pPr>
        <w:jc w:val="center"/>
        <w:rPr>
          <w:b/>
          <w:bCs/>
          <w:i/>
          <w:iCs/>
          <w:color w:val="323E4F" w:themeColor="text2" w:themeShade="BF"/>
          <w:sz w:val="36"/>
          <w:szCs w:val="36"/>
        </w:rPr>
      </w:pPr>
      <w:r w:rsidRPr="00EC25E3">
        <w:rPr>
          <w:b/>
          <w:bCs/>
          <w:i/>
          <w:iCs/>
          <w:color w:val="323E4F" w:themeColor="text2" w:themeShade="BF"/>
          <w:sz w:val="36"/>
          <w:szCs w:val="36"/>
        </w:rPr>
        <w:t>Module code-LCBB4005</w:t>
      </w:r>
    </w:p>
    <w:p w14:paraId="3705AFEF" w14:textId="7D553050" w:rsidR="00EC25E3" w:rsidRDefault="00EC25E3" w:rsidP="00EC25E3">
      <w:pPr>
        <w:jc w:val="center"/>
        <w:rPr>
          <w:b/>
          <w:bCs/>
          <w:i/>
          <w:iCs/>
          <w:color w:val="323E4F" w:themeColor="text2" w:themeShade="BF"/>
          <w:sz w:val="36"/>
          <w:szCs w:val="36"/>
        </w:rPr>
      </w:pPr>
      <w:r w:rsidRPr="00EC25E3">
        <w:rPr>
          <w:b/>
          <w:bCs/>
          <w:i/>
          <w:iCs/>
          <w:color w:val="323E4F" w:themeColor="text2" w:themeShade="BF"/>
          <w:sz w:val="36"/>
          <w:szCs w:val="36"/>
        </w:rPr>
        <w:t>Lecturer- Rexon Nting</w:t>
      </w:r>
    </w:p>
    <w:p w14:paraId="482B7728" w14:textId="77777777" w:rsidR="00B74B27" w:rsidRDefault="00B74B27" w:rsidP="00EC25E3">
      <w:pPr>
        <w:jc w:val="center"/>
        <w:rPr>
          <w:b/>
          <w:bCs/>
          <w:i/>
          <w:iCs/>
          <w:color w:val="323E4F" w:themeColor="text2" w:themeShade="BF"/>
          <w:sz w:val="36"/>
          <w:szCs w:val="36"/>
        </w:rPr>
      </w:pPr>
    </w:p>
    <w:p w14:paraId="32258B70" w14:textId="2B97E5BC" w:rsidR="00EC25E3" w:rsidRDefault="00B74B27" w:rsidP="00B74B27">
      <w:pPr>
        <w:jc w:val="center"/>
        <w:rPr>
          <w:b/>
          <w:bCs/>
          <w:i/>
          <w:iCs/>
          <w:color w:val="323E4F" w:themeColor="text2" w:themeShade="BF"/>
          <w:sz w:val="36"/>
          <w:szCs w:val="36"/>
        </w:rPr>
      </w:pPr>
      <w:r>
        <w:rPr>
          <w:b/>
          <w:bCs/>
          <w:i/>
          <w:iCs/>
          <w:color w:val="323E4F" w:themeColor="text2" w:themeShade="BF"/>
          <w:sz w:val="36"/>
          <w:szCs w:val="36"/>
        </w:rPr>
        <w:t>Analysis and evaluation of TESLA</w:t>
      </w:r>
    </w:p>
    <w:p w14:paraId="13D6EAB3" w14:textId="656306A0" w:rsidR="00EC25E3" w:rsidRDefault="00EC25E3" w:rsidP="00B74B27">
      <w:pPr>
        <w:jc w:val="center"/>
        <w:rPr>
          <w:b/>
          <w:bCs/>
          <w:i/>
          <w:iCs/>
          <w:color w:val="323E4F" w:themeColor="text2" w:themeShade="BF"/>
          <w:sz w:val="36"/>
          <w:szCs w:val="36"/>
          <w:u w:val="single"/>
        </w:rPr>
      </w:pPr>
      <w:r>
        <w:rPr>
          <w:b/>
          <w:bCs/>
          <w:i/>
          <w:iCs/>
          <w:noProof/>
          <w:color w:val="323E4F" w:themeColor="text2" w:themeShade="BF"/>
          <w:sz w:val="36"/>
          <w:szCs w:val="36"/>
          <w:u w:val="single"/>
        </w:rPr>
        <w:drawing>
          <wp:inline distT="0" distB="0" distL="0" distR="0" wp14:anchorId="2038EF1B" wp14:editId="523DCF23">
            <wp:extent cx="4864735" cy="2603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64735" cy="2603500"/>
                    </a:xfrm>
                    <a:prstGeom prst="rect">
                      <a:avLst/>
                    </a:prstGeom>
                    <a:noFill/>
                  </pic:spPr>
                </pic:pic>
              </a:graphicData>
            </a:graphic>
          </wp:inline>
        </w:drawing>
      </w:r>
    </w:p>
    <w:p w14:paraId="23021825" w14:textId="5073E2D6" w:rsidR="00EC25E3" w:rsidRDefault="0044560E" w:rsidP="00B74B27">
      <w:pPr>
        <w:jc w:val="center"/>
        <w:rPr>
          <w:b/>
          <w:bCs/>
          <w:i/>
          <w:iCs/>
          <w:color w:val="323E4F" w:themeColor="text2" w:themeShade="BF"/>
          <w:sz w:val="36"/>
          <w:szCs w:val="36"/>
        </w:rPr>
      </w:pPr>
      <w:r w:rsidRPr="0044560E">
        <w:rPr>
          <w:b/>
          <w:bCs/>
          <w:i/>
          <w:iCs/>
          <w:color w:val="323E4F" w:themeColor="text2" w:themeShade="BF"/>
          <w:sz w:val="36"/>
          <w:szCs w:val="36"/>
        </w:rPr>
        <w:t>Assignment 2</w:t>
      </w:r>
    </w:p>
    <w:p w14:paraId="08D2097B" w14:textId="7800BC09" w:rsidR="0044560E" w:rsidRDefault="0044560E" w:rsidP="00B74B27">
      <w:pPr>
        <w:jc w:val="center"/>
        <w:rPr>
          <w:b/>
          <w:bCs/>
          <w:i/>
          <w:iCs/>
          <w:color w:val="323E4F" w:themeColor="text2" w:themeShade="BF"/>
          <w:sz w:val="36"/>
          <w:szCs w:val="36"/>
        </w:rPr>
      </w:pPr>
      <w:r>
        <w:rPr>
          <w:b/>
          <w:bCs/>
          <w:i/>
          <w:iCs/>
          <w:color w:val="323E4F" w:themeColor="text2" w:themeShade="BF"/>
          <w:sz w:val="36"/>
          <w:szCs w:val="36"/>
        </w:rPr>
        <w:t>(Individual report by Alina Nicoleta Coman)</w:t>
      </w:r>
    </w:p>
    <w:p w14:paraId="4F3A9656" w14:textId="16631FE6" w:rsidR="00B74B27" w:rsidRDefault="00B74B27" w:rsidP="00EC25E3">
      <w:pPr>
        <w:jc w:val="center"/>
        <w:rPr>
          <w:b/>
          <w:bCs/>
          <w:i/>
          <w:iCs/>
          <w:color w:val="323E4F" w:themeColor="text2" w:themeShade="BF"/>
          <w:sz w:val="36"/>
          <w:szCs w:val="36"/>
        </w:rPr>
      </w:pPr>
    </w:p>
    <w:p w14:paraId="73CB7525" w14:textId="5F5A0E4A" w:rsidR="00B74B27" w:rsidRDefault="00B74B27" w:rsidP="00EC25E3">
      <w:pPr>
        <w:jc w:val="center"/>
        <w:rPr>
          <w:b/>
          <w:bCs/>
          <w:i/>
          <w:iCs/>
          <w:color w:val="323E4F" w:themeColor="text2" w:themeShade="BF"/>
          <w:sz w:val="36"/>
          <w:szCs w:val="36"/>
        </w:rPr>
      </w:pPr>
    </w:p>
    <w:p w14:paraId="1CE324D8" w14:textId="510944E4" w:rsidR="00B74B27" w:rsidRDefault="00B74B27" w:rsidP="00EC25E3">
      <w:pPr>
        <w:jc w:val="center"/>
        <w:rPr>
          <w:b/>
          <w:bCs/>
          <w:i/>
          <w:iCs/>
          <w:color w:val="323E4F" w:themeColor="text2" w:themeShade="BF"/>
          <w:sz w:val="36"/>
          <w:szCs w:val="36"/>
        </w:rPr>
      </w:pPr>
    </w:p>
    <w:p w14:paraId="01936D39" w14:textId="5BF74868" w:rsidR="00B74B27" w:rsidRDefault="00B74B27" w:rsidP="00B74B27">
      <w:pPr>
        <w:rPr>
          <w:sz w:val="24"/>
          <w:szCs w:val="24"/>
        </w:rPr>
      </w:pPr>
    </w:p>
    <w:p w14:paraId="69B61520" w14:textId="77777777" w:rsidR="00B74B27" w:rsidRPr="00B74B27" w:rsidRDefault="00B74B27" w:rsidP="00B74B27">
      <w:pPr>
        <w:rPr>
          <w:b/>
          <w:bCs/>
          <w:i/>
          <w:iCs/>
          <w:color w:val="323E4F" w:themeColor="text2" w:themeShade="BF"/>
          <w:sz w:val="24"/>
          <w:szCs w:val="24"/>
        </w:rPr>
      </w:pPr>
    </w:p>
    <w:p w14:paraId="7F96A75B" w14:textId="02FEDC17" w:rsidR="00672E07" w:rsidRPr="00672E07" w:rsidRDefault="00672E07" w:rsidP="00EA43C4">
      <w:pPr>
        <w:jc w:val="center"/>
        <w:rPr>
          <w:b/>
          <w:bCs/>
          <w:i/>
          <w:iCs/>
          <w:color w:val="323E4F" w:themeColor="text2" w:themeShade="BF"/>
          <w:sz w:val="44"/>
          <w:szCs w:val="44"/>
        </w:rPr>
      </w:pPr>
      <w:r w:rsidRPr="00672E07">
        <w:rPr>
          <w:b/>
          <w:bCs/>
          <w:i/>
          <w:iCs/>
          <w:color w:val="323E4F" w:themeColor="text2" w:themeShade="BF"/>
          <w:sz w:val="44"/>
          <w:szCs w:val="44"/>
        </w:rPr>
        <w:t>Porters value chain of Tesla and the reason of national trade along with environmental aspects</w:t>
      </w:r>
    </w:p>
    <w:p w14:paraId="55D833D3" w14:textId="6F521037" w:rsidR="00B74B27" w:rsidRDefault="00EA43C4" w:rsidP="00B74B27">
      <w:pPr>
        <w:rPr>
          <w:b/>
          <w:bCs/>
          <w:i/>
          <w:iCs/>
          <w:color w:val="323E4F" w:themeColor="text2" w:themeShade="BF"/>
          <w:sz w:val="24"/>
          <w:szCs w:val="24"/>
          <w:u w:val="single"/>
        </w:rPr>
      </w:pPr>
      <w:r w:rsidRPr="00EA43C4">
        <w:drawing>
          <wp:inline distT="0" distB="0" distL="0" distR="0" wp14:anchorId="3A4510A8" wp14:editId="34A40798">
            <wp:extent cx="5419725" cy="2713990"/>
            <wp:effectExtent l="19050" t="0" r="28575" b="772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4859" cy="274159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3A939D68" w14:textId="6CD3C5FD" w:rsidR="00B74B27" w:rsidRDefault="00B74B27" w:rsidP="00B74B27">
      <w:pPr>
        <w:rPr>
          <w:b/>
          <w:bCs/>
          <w:i/>
          <w:iCs/>
          <w:color w:val="323E4F" w:themeColor="text2" w:themeShade="BF"/>
          <w:sz w:val="24"/>
          <w:szCs w:val="24"/>
          <w:u w:val="single"/>
        </w:rPr>
      </w:pPr>
    </w:p>
    <w:p w14:paraId="48B0FE36" w14:textId="1973789B" w:rsidR="00B74B27" w:rsidRDefault="00B74B27" w:rsidP="00B74B27">
      <w:pPr>
        <w:rPr>
          <w:b/>
          <w:bCs/>
          <w:i/>
          <w:iCs/>
          <w:color w:val="323E4F" w:themeColor="text2" w:themeShade="BF"/>
          <w:sz w:val="24"/>
          <w:szCs w:val="24"/>
          <w:u w:val="single"/>
        </w:rPr>
      </w:pPr>
    </w:p>
    <w:p w14:paraId="77E91E6C" w14:textId="142FB8D8" w:rsidR="00B74B27" w:rsidRDefault="00EA43C4" w:rsidP="00B74B27">
      <w:pPr>
        <w:rPr>
          <w:b/>
          <w:bCs/>
          <w:i/>
          <w:iCs/>
          <w:color w:val="323E4F" w:themeColor="text2" w:themeShade="BF"/>
          <w:sz w:val="24"/>
          <w:szCs w:val="24"/>
          <w:u w:val="single"/>
        </w:rPr>
      </w:pPr>
      <w:r w:rsidRPr="00672E07">
        <w:drawing>
          <wp:inline distT="0" distB="0" distL="0" distR="0" wp14:anchorId="05D301C7" wp14:editId="5405C4DC">
            <wp:extent cx="5731510" cy="28657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65755"/>
                    </a:xfrm>
                    <a:prstGeom prst="rect">
                      <a:avLst/>
                    </a:prstGeom>
                    <a:ln>
                      <a:noFill/>
                    </a:ln>
                    <a:effectLst>
                      <a:softEdge rad="112500"/>
                    </a:effectLst>
                  </pic:spPr>
                </pic:pic>
              </a:graphicData>
            </a:graphic>
          </wp:inline>
        </w:drawing>
      </w:r>
    </w:p>
    <w:p w14:paraId="6A1D1B3F" w14:textId="77777777" w:rsidR="00B74B27" w:rsidRDefault="00B74B27" w:rsidP="00B74B27">
      <w:pPr>
        <w:rPr>
          <w:b/>
          <w:bCs/>
          <w:i/>
          <w:iCs/>
          <w:color w:val="323E4F" w:themeColor="text2" w:themeShade="BF"/>
          <w:sz w:val="24"/>
          <w:szCs w:val="24"/>
          <w:u w:val="single"/>
        </w:rPr>
      </w:pPr>
    </w:p>
    <w:p w14:paraId="37737ECC" w14:textId="77777777" w:rsidR="00B74B27" w:rsidRDefault="00B74B27" w:rsidP="00B74B27">
      <w:pPr>
        <w:rPr>
          <w:b/>
          <w:bCs/>
          <w:i/>
          <w:iCs/>
          <w:color w:val="323E4F" w:themeColor="text2" w:themeShade="BF"/>
          <w:sz w:val="24"/>
          <w:szCs w:val="24"/>
          <w:u w:val="single"/>
        </w:rPr>
      </w:pPr>
    </w:p>
    <w:p w14:paraId="75682972" w14:textId="68191AD3" w:rsidR="005D21EB" w:rsidRDefault="005D21EB" w:rsidP="00B74B27">
      <w:pPr>
        <w:rPr>
          <w:b/>
          <w:bCs/>
          <w:i/>
          <w:iCs/>
          <w:color w:val="323E4F" w:themeColor="text2" w:themeShade="BF"/>
          <w:sz w:val="24"/>
          <w:szCs w:val="24"/>
          <w:u w:val="single"/>
        </w:rPr>
      </w:pPr>
      <w:r>
        <w:rPr>
          <w:b/>
          <w:bCs/>
          <w:i/>
          <w:iCs/>
          <w:color w:val="323E4F" w:themeColor="text2" w:themeShade="BF"/>
          <w:sz w:val="24"/>
          <w:szCs w:val="24"/>
          <w:u w:val="single"/>
        </w:rPr>
        <w:lastRenderedPageBreak/>
        <w:t>Introduction</w:t>
      </w:r>
    </w:p>
    <w:p w14:paraId="16C622C6" w14:textId="77777777" w:rsidR="005D21EB" w:rsidRPr="005D21EB" w:rsidRDefault="00B74B27" w:rsidP="005D21EB">
      <w:pPr>
        <w:rPr>
          <w:sz w:val="24"/>
          <w:szCs w:val="24"/>
        </w:rPr>
      </w:pPr>
      <w:r w:rsidRPr="005D21EB">
        <w:rPr>
          <w:sz w:val="24"/>
          <w:szCs w:val="24"/>
        </w:rPr>
        <w:t xml:space="preserve">The business management is bound with many external forces where it addresses the negative and positive changes to facilitate the decision-making process and manage the operation of the business systematically (Keith and Gubellini, 2018).The car manufacturing industry is one the fast-growing economic sector which earns revenue more than any other sectors. The revolution of the electric car is significant for the environmental concern which is developing day by day. </w:t>
      </w:r>
    </w:p>
    <w:p w14:paraId="1087DE53" w14:textId="14BB2A3C" w:rsidR="00B74B27" w:rsidRPr="005D21EB" w:rsidRDefault="00B74B27" w:rsidP="005D21EB">
      <w:r w:rsidRPr="005D21EB">
        <w:rPr>
          <w:sz w:val="24"/>
          <w:szCs w:val="24"/>
        </w:rPr>
        <w:t>Tesla is way ahead in this path where the CEO, Elon Musk himself leads the electric energy and vehicle manufacturing unit. The company focuses on the solar panel, storage of battery energy, electric vehicle manufacturing and power grid development for renewable energy. The essay aims to discuss the chain of activities in electric car manufacturing industry using Porter’s Value Chain Model and how Tesla applies its strategies in the global business environment to create value for the customer and get competitive advantages</w:t>
      </w:r>
      <w:r w:rsidRPr="005D21EB">
        <w:t>.</w:t>
      </w:r>
    </w:p>
    <w:p w14:paraId="678A876D" w14:textId="50698642" w:rsidR="005D21EB" w:rsidRPr="005D21EB" w:rsidRDefault="005D21EB" w:rsidP="005D21EB">
      <w:pPr>
        <w:rPr>
          <w:b/>
          <w:bCs/>
          <w:i/>
          <w:iCs/>
          <w:color w:val="323E4F" w:themeColor="text2" w:themeShade="BF"/>
          <w:u w:val="single"/>
          <w:lang w:val="en-US"/>
        </w:rPr>
      </w:pPr>
      <w:r w:rsidRPr="005D21EB">
        <w:rPr>
          <w:b/>
          <w:bCs/>
          <w:i/>
          <w:iCs/>
          <w:color w:val="323E4F" w:themeColor="text2" w:themeShade="BF"/>
          <w:u w:val="single"/>
          <w:lang w:val="en-US"/>
        </w:rPr>
        <w:t>The Porters Value Chain</w:t>
      </w:r>
      <w:r w:rsidR="00442288">
        <w:rPr>
          <w:b/>
          <w:bCs/>
          <w:i/>
          <w:iCs/>
          <w:color w:val="323E4F" w:themeColor="text2" w:themeShade="BF"/>
          <w:u w:val="single"/>
          <w:lang w:val="en-US"/>
        </w:rPr>
        <w:t xml:space="preserve"> analysis</w:t>
      </w:r>
    </w:p>
    <w:p w14:paraId="17E97CA2" w14:textId="77777777" w:rsidR="00442288" w:rsidRDefault="00B74B27" w:rsidP="00442288">
      <w:r w:rsidRPr="00442288">
        <w:t>The margin of any product or service of the business is the differences between created value and how much the company spend to create the value according to the porter’s Value Chain model. Hence, the more value it generates, the revenues and margin it achieves (Alexander and William, 2019). But the authority has to consider competitive advantages while creating value for the customer.</w:t>
      </w:r>
    </w:p>
    <w:p w14:paraId="4768DA30" w14:textId="735F17C9" w:rsidR="00B74B27" w:rsidRPr="00442288" w:rsidRDefault="00B74B27" w:rsidP="00442288">
      <w:r w:rsidRPr="00442288">
        <w:t xml:space="preserve">As we have already discussed the environmental factors using Porter’s Five force where different environmental barriers and opportunities are explained and how the company make the best use of the opportunities and reducing the risk. The concertation of this value chain model is on the system and how the input has changed rather than the accounting cost on the department. According to Ceil (2019), a chain of common business activities which are divided into two parts including primary activities which are an influence on the creation of service or a product and support activities which helps to achieve primary achievement. </w:t>
      </w:r>
    </w:p>
    <w:p w14:paraId="1C873A95" w14:textId="6067A56C" w:rsidR="00B74B27" w:rsidRPr="00442288" w:rsidRDefault="00B74B27" w:rsidP="00442288">
      <w:r w:rsidRPr="00442288">
        <w:t xml:space="preserve">Tesla has some logistic bounds for processing the electric car and shipping to thousands of miles with operations and outbound logistics activities which are primary activities. Tesla also follows its marketing strategies to sell its electric car in the international market and the company is successful as the annual production of the electric vehicle is 367,500 which is the highest in the electric car manufacturing sector. Tesla is developing its infrastructure with its technologies as the company is evolving with technological development. This is not the only supportive activities to create value, the effective management of human resource within its workplace is another important supportive activity. Procurement is another important supportive activity for Tesla where the company identify the best suppliers to purchase its necessary component to operate the manufacturing unit. The main suppliers of the company are ABC Group, ADAC, Angell-Demmel, Gentex, Hitachi Cable, MacLean-Fogg, </w:t>
      </w:r>
      <w:r w:rsidR="00442288" w:rsidRPr="00442288">
        <w:t>Method</w:t>
      </w:r>
      <w:r w:rsidRPr="00442288">
        <w:t xml:space="preserve"> Electronics, Panasonic, Lithium Exploration Group, Lightwave Logic etc. The company is successfully generated $100,000 virtual cash to compete other on the stock market. So, we can say that the necessity of all these primary and supportive activities to create building blocks which are necessary to create service or product is significant for electric car manufacturing (Elmore and Pesle, 2017).</w:t>
      </w:r>
    </w:p>
    <w:p w14:paraId="7EFCF81D" w14:textId="6CB75314" w:rsidR="00B74B27" w:rsidRPr="00B74B27" w:rsidRDefault="008B6476" w:rsidP="00B74B27">
      <w:pPr>
        <w:rPr>
          <w:sz w:val="24"/>
          <w:szCs w:val="24"/>
        </w:rPr>
      </w:pPr>
      <w:r>
        <w:rPr>
          <w:noProof/>
          <w:sz w:val="24"/>
          <w:szCs w:val="24"/>
        </w:rPr>
        <w:lastRenderedPageBreak/>
        <w:drawing>
          <wp:inline distT="0" distB="0" distL="0" distR="0" wp14:anchorId="55E2121F" wp14:editId="04CDF832">
            <wp:extent cx="5822315" cy="3267710"/>
            <wp:effectExtent l="0" t="0" r="698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2315" cy="3267710"/>
                    </a:xfrm>
                    <a:prstGeom prst="rect">
                      <a:avLst/>
                    </a:prstGeom>
                    <a:noFill/>
                  </pic:spPr>
                </pic:pic>
              </a:graphicData>
            </a:graphic>
          </wp:inline>
        </w:drawing>
      </w:r>
    </w:p>
    <w:p w14:paraId="555C694F" w14:textId="37FC7969" w:rsidR="00442288" w:rsidRPr="00442288" w:rsidRDefault="00BD0CFC" w:rsidP="00442288">
      <w:r w:rsidRPr="00442288">
        <w:t xml:space="preserve">There are several steps to address the value chain of a company and understand its </w:t>
      </w:r>
      <w:r w:rsidR="00672E07" w:rsidRPr="00442288">
        <w:t>behaviours</w:t>
      </w:r>
      <w:r w:rsidRPr="00442288">
        <w:t xml:space="preserve"> in the global business market (Guy, 2015). First, Tesla needs to identify its necessary sub-activities relating to the primary ones as those are interconnected. The activities which are interactive in creating value themselves are direct activity. For example, technological evolution and creating renewable energy are these types of activities which directly create value in the car industries and Tesla is focusing on this sector. There are some indirect along with quality assurance activities too which are needed to be identified to know the value chain. </w:t>
      </w:r>
    </w:p>
    <w:p w14:paraId="33A8DCAB" w14:textId="77777777" w:rsidR="00442288" w:rsidRPr="00442288" w:rsidRDefault="00BD0CFC" w:rsidP="00442288">
      <w:r w:rsidRPr="00442288">
        <w:t xml:space="preserve">Secondly, Tesla needs to identify all sub-activity to for each supportive activity such as identifying the best suppliers and affordable quality suppliers for logistic items are necessary to facilitate the operation (Keith and Gubellini, 2018). These are cross-functional activities to check if the company can create value to generate margin. </w:t>
      </w:r>
    </w:p>
    <w:p w14:paraId="26007873" w14:textId="77777777" w:rsidR="00442288" w:rsidRDefault="00BD0CFC" w:rsidP="00442288">
      <w:pPr>
        <w:rPr>
          <w:lang w:val="en-US"/>
        </w:rPr>
      </w:pPr>
      <w:r w:rsidRPr="00442288">
        <w:t>The third step is to identify the connections among all sub-activities that are already identified as it is the key to generating value. For example, the renewable energy source is interlinked with environmental safety which ultimately creates health benefit and creates value for the people of the world. This impact on people’s mind positively and motivate them to buy electric vehicle instead of traditional vehicles.</w:t>
      </w:r>
      <w:r w:rsidRPr="00BD0CFC">
        <w:rPr>
          <w:lang w:val="en-US"/>
        </w:rPr>
        <w:t xml:space="preserve"> </w:t>
      </w:r>
    </w:p>
    <w:p w14:paraId="3548833C" w14:textId="3547FEA3" w:rsidR="00BD0CFC" w:rsidRPr="00BD0CFC" w:rsidRDefault="00BD0CFC" w:rsidP="00442288">
      <w:pPr>
        <w:rPr>
          <w:lang w:val="en-US"/>
        </w:rPr>
      </w:pPr>
      <w:r w:rsidRPr="00BD0CFC">
        <w:rPr>
          <w:lang w:val="en-US"/>
        </w:rPr>
        <w:t>That is why Tesla is moving forward to electric car manufacturing and battery energy storage to reduce the CO2 and prevent global warming as well. The fourth step is looking for identified opportunities from the previous activities (Lazaryan and Nikonov, 2019). The primary and supportive activities and the connection among the activities show that the company has developed technological infrastructure to generate the value for the customer and satisfy them with customer benefits along with environmental consciousness with their electric car such as Model X, Model Y, Model S and latest Cyber truck for ultimate utility with the sports car.</w:t>
      </w:r>
    </w:p>
    <w:p w14:paraId="39DF6D4A" w14:textId="77777777" w:rsidR="00BD0CFC" w:rsidRPr="00442288" w:rsidRDefault="00BD0CFC" w:rsidP="00442288">
      <w:r w:rsidRPr="00442288">
        <w:t xml:space="preserve">Tesla must consider some major forces shaping its global business environment so that the management team will easily understand the changes and gain knowledge from the external factors as well. These will help to develop a business plan and proper business strategies required for creating value and earn revenue from the global market. Technological invasion is one the major </w:t>
      </w:r>
      <w:r w:rsidRPr="00442288">
        <w:lastRenderedPageBreak/>
        <w:t xml:space="preserve">factor for Tesla factories to achieve huge popularity and market share all over the world and all the major suppliers like general electronic, Hitachi, ABC Group, Panasonic all are coming up supplying the necessary component with joint venture trade with the company to create electric products like battery and energy storage, SolarCity and Solar panel to set the necessary charging station for the electric cars. It has tremendously accelerated the technological progression for the Tesla factory and created brad window for global business (Morgan, 2020). </w:t>
      </w:r>
    </w:p>
    <w:p w14:paraId="4B707737" w14:textId="77777777" w:rsidR="00BD0CFC" w:rsidRPr="000D4044" w:rsidRDefault="00BD0CFC" w:rsidP="000D4044">
      <w:r w:rsidRPr="000D4044">
        <w:t xml:space="preserve">The sustainable energy sources are not in use at this moment and the urge of environmental safety created responsibility to every business ethic to stand with renewable energy and green revolution where Tesla has responded with its technological invasion to make positive changes. The energy consumption in the USA has increased drastically and it is increasing. The significant amount of awareness is increased by the company to reduce the dependencies on fuel and increase the use of electric vehicles. Tesla planned to invest over $10.2 trillion to increase power generation capacity where solar energy will be half of the total use (Oliveira and Gimeno, 2017). </w:t>
      </w:r>
    </w:p>
    <w:p w14:paraId="349A4FD3" w14:textId="77777777" w:rsidR="00BD0CFC" w:rsidRPr="00BD0CFC" w:rsidRDefault="00BD0CFC" w:rsidP="00BD0CFC">
      <w:pPr>
        <w:spacing w:line="360" w:lineRule="auto"/>
        <w:jc w:val="both"/>
        <w:rPr>
          <w:rFonts w:ascii="Times New Roman" w:hAnsi="Times New Roman"/>
          <w:sz w:val="24"/>
          <w:lang w:val="en-US"/>
        </w:rPr>
      </w:pPr>
      <w:r w:rsidRPr="00BD0CFC">
        <w:rPr>
          <w:rFonts w:ascii="Times New Roman" w:hAnsi="Times New Roman"/>
          <w:noProof/>
          <w:sz w:val="24"/>
          <w:lang w:val="en-US"/>
        </w:rPr>
        <w:drawing>
          <wp:inline distT="0" distB="0" distL="0" distR="0" wp14:anchorId="1EF51923" wp14:editId="3BD21221">
            <wp:extent cx="5943600" cy="8972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897255"/>
                    </a:xfrm>
                    <a:prstGeom prst="rect">
                      <a:avLst/>
                    </a:prstGeom>
                    <a:noFill/>
                    <a:ln>
                      <a:noFill/>
                    </a:ln>
                  </pic:spPr>
                </pic:pic>
              </a:graphicData>
            </a:graphic>
          </wp:inline>
        </w:drawing>
      </w:r>
    </w:p>
    <w:p w14:paraId="7ED8D5CD" w14:textId="77777777" w:rsidR="00BD0CFC" w:rsidRPr="00672E07" w:rsidRDefault="00BD0CFC" w:rsidP="00672E07">
      <w:pPr>
        <w:rPr>
          <w:sz w:val="24"/>
          <w:szCs w:val="24"/>
        </w:rPr>
      </w:pPr>
      <w:r w:rsidRPr="00672E07">
        <w:rPr>
          <w:sz w:val="24"/>
          <w:szCs w:val="24"/>
        </w:rPr>
        <w:t>According to Morgan Stanley (2020), the usage of the electric vehicle will increase by 1 billion by 2047 where Tesla has the opportunity to expand its electric car manufacturing to meet the increasing demand of vehicle and energy storage capacity. The macro-environment of the electric cars has undoubtedly created potential market and demand for Tesla to create huge value which will benefit the company with huge revenue if it can meet the energy capacity by installing all infrastructure and expand its electric vehicle manufacturing sector all over the world. Tesla has investigated from its research that a diesel truck can go max 45mph at 5% grade while an electric truck can go over 65mph at the same rate which indicates significant performance boost and cost-efficiency as well (Tesla, 2020). Some significant benefit of the electric vehicles is noticeable as the global barrier in business and trade has reduced after the 1800s though the periodic barriers increased which can be resolved by market research.</w:t>
      </w:r>
    </w:p>
    <w:p w14:paraId="5F8F0392" w14:textId="173D7FE0" w:rsidR="00BD0CFC" w:rsidRPr="00672E07" w:rsidRDefault="00BD0CFC" w:rsidP="00672E07">
      <w:pPr>
        <w:rPr>
          <w:sz w:val="24"/>
          <w:szCs w:val="24"/>
        </w:rPr>
      </w:pPr>
      <w:r w:rsidRPr="00672E07">
        <w:rPr>
          <w:sz w:val="24"/>
          <w:szCs w:val="24"/>
        </w:rPr>
        <w:t xml:space="preserve">The PESTLE analysis of last assessment shows the different environmental factor and their impact on the tesla factories and there is no doubt that the company can improve its automotive industry by electric car. There are both benefits and limitation but if we sum up all the environmental changes, Tesla can easily compete with all the challenges and get competitive advantages in the global business environment. The trade policy and business laws are enforced by the government while Tesla is rewarded for the green invasion with electric vehicles (Zhang, 2019). Though it depends on the political stability and </w:t>
      </w:r>
      <w:r w:rsidR="00672E07" w:rsidRPr="00672E07">
        <w:rPr>
          <w:sz w:val="24"/>
          <w:szCs w:val="24"/>
        </w:rPr>
        <w:t>favourable</w:t>
      </w:r>
      <w:r w:rsidRPr="00672E07">
        <w:rPr>
          <w:sz w:val="24"/>
          <w:szCs w:val="24"/>
        </w:rPr>
        <w:t xml:space="preserve"> trade policy which are not same on all places in the global business environment. If we consider economic factors, decreasing the renewable energy and battery cost is an opportunity for Tesla while the economic stability of the world macroeconomy is the threat. After analysing social factor, there are few opportunities for the company including the reduction of carbon in lifestyle and decreasing the dependency on the fuel along with proper wealth distribution among the globe. There is the opportunity of creating more </w:t>
      </w:r>
      <w:r w:rsidRPr="00672E07">
        <w:rPr>
          <w:sz w:val="24"/>
          <w:szCs w:val="24"/>
        </w:rPr>
        <w:lastRenderedPageBreak/>
        <w:t xml:space="preserve">employment for the social people which will reduce poverty in many developing countries as well. </w:t>
      </w:r>
    </w:p>
    <w:p w14:paraId="0C88D9AD" w14:textId="77777777" w:rsidR="00BD0CFC" w:rsidRPr="00672E07" w:rsidRDefault="00BD0CFC" w:rsidP="00672E07">
      <w:pPr>
        <w:rPr>
          <w:sz w:val="24"/>
          <w:szCs w:val="24"/>
        </w:rPr>
      </w:pPr>
      <w:r w:rsidRPr="00672E07">
        <w:rPr>
          <w:sz w:val="24"/>
          <w:szCs w:val="24"/>
        </w:rPr>
        <w:t xml:space="preserve">The increasing rate of technological use is both an opportunity and a threat as it increases the demand for the electric car and it created a barrier in the global market as the competitor increases. There are more opportunities in technological factor such as increasing automation process which creates higher demand and potential demand for electric energy (Alexander and William, 2019). Hence, Tesla should consider the opportunities and make the best use of them to create value in the long-term global trade. Tesla has some opportunities from ecological factors as it is creating a green revolution and reducing CO2 from the environment. Electric vehicles, solar panel and batteries are not only efficient but also environment friendly. There are some legal consequences in the international market as the company has to adopt different law for the different geographic area. But the company has some benefit and opportunity such as regulation of fuel consumption and allowance n green-energy production. Tesla has the opportunity to expand its international patent protection as well. </w:t>
      </w:r>
    </w:p>
    <w:p w14:paraId="791368F5" w14:textId="77777777" w:rsidR="00BD0CFC" w:rsidRPr="00672E07" w:rsidRDefault="00BD0CFC" w:rsidP="00672E07">
      <w:pPr>
        <w:rPr>
          <w:sz w:val="24"/>
          <w:szCs w:val="24"/>
        </w:rPr>
      </w:pPr>
      <w:r w:rsidRPr="00672E07">
        <w:rPr>
          <w:sz w:val="24"/>
          <w:szCs w:val="24"/>
        </w:rPr>
        <w:t xml:space="preserve">The overall micro factor of Tesla car industry has created economic growth in the industry with withs solar energy and reusable power gird in different countries. The impact on the macroeconomic is also significant for the global business environment as $34.309 billion the company has created a positive motive on the automotive industry with its electric vehicles and technological revolution. According to the financial statement of 2019, the total equity of the company is $6.618 billion and the value of total assists is $34.309 billion where almost ‎48,016 people are actively working. But the impact of COVID-19 has lost the job of more than 5000 people from the company as the operations were limited in the international business (Ceil, 2019). The price of the stock ($1,506.14) was not impacted which shows the sustainability of the company. </w:t>
      </w:r>
    </w:p>
    <w:p w14:paraId="78AE7829" w14:textId="77777777" w:rsidR="00BD0CFC" w:rsidRPr="00672E07" w:rsidRDefault="00BD0CFC" w:rsidP="00672E07">
      <w:pPr>
        <w:rPr>
          <w:sz w:val="24"/>
          <w:szCs w:val="24"/>
        </w:rPr>
      </w:pPr>
      <w:r w:rsidRPr="00672E07">
        <w:rPr>
          <w:sz w:val="24"/>
          <w:szCs w:val="24"/>
        </w:rPr>
        <w:t>Moreover, the overall analysis of market data and environmental factors using Porter’s value chain model shows that Tesla has developed a sustainable business model and its business strategy can easily achieve its goal in the upcoming years. Though the impact of the pandemic is noticeable on the short-run economic condition, there are no noticeable changes in the long-run economic condition of Tesla Electric Vehicle (Elmore and Pesle, 2017). The reason for engaging in global business is it has enough opportunities in the value chain model and can generate enough revenue in the long run.</w:t>
      </w:r>
    </w:p>
    <w:p w14:paraId="11E9F657" w14:textId="77777777" w:rsidR="00BD0CFC" w:rsidRPr="00672E07" w:rsidRDefault="00BD0CFC" w:rsidP="00672E07">
      <w:pPr>
        <w:rPr>
          <w:sz w:val="24"/>
          <w:szCs w:val="24"/>
        </w:rPr>
      </w:pPr>
      <w:r w:rsidRPr="00672E07">
        <w:rPr>
          <w:sz w:val="24"/>
          <w:szCs w:val="24"/>
        </w:rPr>
        <w:t xml:space="preserve">To conclude, the operation of the business organization depends on how much value it can generate as the revenues depend on it and the existence of business depends on the margin. Tesla has potential value in the automotive industry where the electric car industry is on the top. The importance of long-run sustainability of the electric cars industry is green energy, environment-friendly technology and dependency on the renewable energy which creates value for the customer with less cost and ensures margin for both the company and the customer (Guy, 2015). There is the impact of the external environment and other internal factors including technological progression, green revolution, environmental and health aspects where Tesla is leading with its business strategy by satisfying the customer </w:t>
      </w:r>
      <w:r w:rsidRPr="00672E07">
        <w:rPr>
          <w:sz w:val="24"/>
          <w:szCs w:val="24"/>
        </w:rPr>
        <w:lastRenderedPageBreak/>
        <w:t>with overall benefits. The margin from the value chain model is significant in the long run as well.</w:t>
      </w:r>
    </w:p>
    <w:p w14:paraId="579C2160" w14:textId="77777777" w:rsidR="00BD0CFC" w:rsidRPr="00672E07" w:rsidRDefault="00BD0CFC" w:rsidP="00672E07">
      <w:pPr>
        <w:rPr>
          <w:sz w:val="24"/>
          <w:szCs w:val="24"/>
        </w:rPr>
      </w:pPr>
      <w:r w:rsidRPr="00672E07">
        <w:rPr>
          <w:sz w:val="24"/>
          <w:szCs w:val="24"/>
        </w:rPr>
        <w:br w:type="page"/>
      </w:r>
    </w:p>
    <w:p w14:paraId="777AEDB7" w14:textId="2FB8C7D9" w:rsidR="00B74B27" w:rsidRDefault="00BD0CFC" w:rsidP="00B74B27">
      <w:pPr>
        <w:rPr>
          <w:b/>
          <w:bCs/>
          <w:i/>
          <w:iCs/>
          <w:color w:val="323E4F" w:themeColor="text2" w:themeShade="BF"/>
          <w:sz w:val="24"/>
          <w:szCs w:val="24"/>
        </w:rPr>
      </w:pPr>
      <w:r>
        <w:rPr>
          <w:b/>
          <w:bCs/>
          <w:i/>
          <w:iCs/>
          <w:color w:val="323E4F" w:themeColor="text2" w:themeShade="BF"/>
          <w:sz w:val="24"/>
          <w:szCs w:val="24"/>
        </w:rPr>
        <w:lastRenderedPageBreak/>
        <w:t>References</w:t>
      </w:r>
    </w:p>
    <w:p w14:paraId="4D5EF007" w14:textId="77777777" w:rsidR="00BD0CFC" w:rsidRPr="00BD0CFC" w:rsidRDefault="00BD0CFC" w:rsidP="00BD0CFC">
      <w:pPr>
        <w:spacing w:after="180" w:line="240" w:lineRule="auto"/>
        <w:ind w:left="450" w:hanging="450"/>
        <w:rPr>
          <w:rFonts w:ascii="Times New Roman" w:eastAsia="Times New Roman" w:hAnsi="Times New Roman" w:cs="Times New Roman"/>
          <w:color w:val="000000"/>
          <w:sz w:val="24"/>
          <w:szCs w:val="24"/>
          <w:lang w:val="en-US"/>
        </w:rPr>
      </w:pPr>
      <w:r w:rsidRPr="00BD0CFC">
        <w:rPr>
          <w:rFonts w:ascii="Times New Roman" w:eastAsia="Times New Roman" w:hAnsi="Times New Roman" w:cs="Times New Roman"/>
          <w:color w:val="000000"/>
          <w:sz w:val="24"/>
          <w:szCs w:val="24"/>
          <w:lang w:val="en-US"/>
        </w:rPr>
        <w:t>Alexander, D. and William, J., 2019. </w:t>
      </w:r>
      <w:r w:rsidRPr="00BD0CFC">
        <w:rPr>
          <w:rFonts w:ascii="Times New Roman" w:eastAsia="Times New Roman" w:hAnsi="Times New Roman" w:cs="Times New Roman"/>
          <w:i/>
          <w:iCs/>
          <w:color w:val="000000"/>
          <w:sz w:val="24"/>
          <w:szCs w:val="24"/>
          <w:lang w:val="en-US"/>
        </w:rPr>
        <w:t xml:space="preserve">Global Supply Chain </w:t>
      </w:r>
      <w:proofErr w:type="gramStart"/>
      <w:r w:rsidRPr="00BD0CFC">
        <w:rPr>
          <w:rFonts w:ascii="Times New Roman" w:eastAsia="Times New Roman" w:hAnsi="Times New Roman" w:cs="Times New Roman"/>
          <w:i/>
          <w:iCs/>
          <w:color w:val="000000"/>
          <w:sz w:val="24"/>
          <w:szCs w:val="24"/>
          <w:lang w:val="en-US"/>
        </w:rPr>
        <w:t>And</w:t>
      </w:r>
      <w:proofErr w:type="gramEnd"/>
      <w:r w:rsidRPr="00BD0CFC">
        <w:rPr>
          <w:rFonts w:ascii="Times New Roman" w:eastAsia="Times New Roman" w:hAnsi="Times New Roman" w:cs="Times New Roman"/>
          <w:i/>
          <w:iCs/>
          <w:color w:val="000000"/>
          <w:sz w:val="24"/>
          <w:szCs w:val="24"/>
          <w:lang w:val="en-US"/>
        </w:rPr>
        <w:t xml:space="preserve"> Operations Management</w:t>
      </w:r>
      <w:r w:rsidRPr="00BD0CFC">
        <w:rPr>
          <w:rFonts w:ascii="Times New Roman" w:eastAsia="Times New Roman" w:hAnsi="Times New Roman" w:cs="Times New Roman"/>
          <w:color w:val="000000"/>
          <w:sz w:val="24"/>
          <w:szCs w:val="24"/>
          <w:lang w:val="en-US"/>
        </w:rPr>
        <w:t>. 5th ed. London: Sage.</w:t>
      </w:r>
    </w:p>
    <w:p w14:paraId="4E2B1E66" w14:textId="7AF6E755" w:rsidR="00BD0CFC" w:rsidRPr="00BD0CFC" w:rsidRDefault="00BD0CFC" w:rsidP="00BD0CFC">
      <w:pPr>
        <w:spacing w:after="180" w:line="240" w:lineRule="auto"/>
        <w:ind w:left="450" w:hanging="450"/>
        <w:rPr>
          <w:rFonts w:ascii="Times New Roman" w:eastAsia="Times New Roman" w:hAnsi="Times New Roman" w:cs="Times New Roman"/>
          <w:color w:val="000000"/>
          <w:sz w:val="24"/>
          <w:szCs w:val="24"/>
          <w:lang w:val="en-US"/>
        </w:rPr>
      </w:pPr>
      <w:r w:rsidRPr="00BD0CFC">
        <w:rPr>
          <w:rFonts w:ascii="Times New Roman" w:eastAsia="Times New Roman" w:hAnsi="Times New Roman" w:cs="Times New Roman"/>
          <w:color w:val="000000"/>
          <w:sz w:val="24"/>
          <w:szCs w:val="24"/>
          <w:lang w:val="en-US"/>
        </w:rPr>
        <w:t>Ceil, C., 2019. Michael Porter’s Theory About Value Chain and Knowledge Management. </w:t>
      </w:r>
      <w:r w:rsidRPr="00BD0CFC">
        <w:rPr>
          <w:rFonts w:ascii="Times New Roman" w:eastAsia="Times New Roman" w:hAnsi="Times New Roman" w:cs="Times New Roman"/>
          <w:i/>
          <w:iCs/>
          <w:color w:val="000000"/>
          <w:sz w:val="24"/>
          <w:szCs w:val="24"/>
          <w:lang w:val="en-US"/>
        </w:rPr>
        <w:t>SSRN Electronic Journal</w:t>
      </w:r>
      <w:r w:rsidRPr="00BD0CFC">
        <w:rPr>
          <w:rFonts w:ascii="Times New Roman" w:eastAsia="Times New Roman" w:hAnsi="Times New Roman" w:cs="Times New Roman"/>
          <w:color w:val="000000"/>
          <w:sz w:val="24"/>
          <w:szCs w:val="24"/>
          <w:lang w:val="en-US"/>
        </w:rPr>
        <w:t>,</w:t>
      </w:r>
    </w:p>
    <w:p w14:paraId="673A116F" w14:textId="70853A7A" w:rsidR="00BD0CFC" w:rsidRPr="00BD0CFC" w:rsidRDefault="00BD0CFC" w:rsidP="00BD0CFC">
      <w:pPr>
        <w:spacing w:after="180" w:line="240" w:lineRule="auto"/>
        <w:ind w:left="450" w:hanging="450"/>
        <w:rPr>
          <w:rFonts w:ascii="Times New Roman" w:eastAsia="Times New Roman" w:hAnsi="Times New Roman" w:cs="Times New Roman"/>
          <w:color w:val="000000"/>
          <w:sz w:val="24"/>
          <w:szCs w:val="24"/>
          <w:lang w:val="en-US"/>
        </w:rPr>
      </w:pPr>
      <w:r w:rsidRPr="00BD0CFC">
        <w:rPr>
          <w:rFonts w:ascii="Times New Roman" w:eastAsia="Times New Roman" w:hAnsi="Times New Roman" w:cs="Times New Roman"/>
          <w:color w:val="000000"/>
          <w:sz w:val="24"/>
          <w:szCs w:val="24"/>
          <w:lang w:val="en-US"/>
        </w:rPr>
        <w:t>Elmore, C. and Pesle, G., 2017. Sustainable Electric Vehicle factory. </w:t>
      </w:r>
      <w:r w:rsidRPr="00BD0CFC">
        <w:rPr>
          <w:rFonts w:ascii="Times New Roman" w:eastAsia="Times New Roman" w:hAnsi="Times New Roman" w:cs="Times New Roman"/>
          <w:i/>
          <w:iCs/>
          <w:color w:val="000000"/>
          <w:sz w:val="24"/>
          <w:szCs w:val="24"/>
          <w:lang w:val="en-US"/>
        </w:rPr>
        <w:t>TESLA Automotive industry</w:t>
      </w:r>
      <w:r w:rsidRPr="00BD0CFC">
        <w:rPr>
          <w:rFonts w:ascii="Times New Roman" w:eastAsia="Times New Roman" w:hAnsi="Times New Roman" w:cs="Times New Roman"/>
          <w:color w:val="000000"/>
          <w:sz w:val="24"/>
          <w:szCs w:val="24"/>
          <w:lang w:val="en-US"/>
        </w:rPr>
        <w:t>, 20(2), pp.295-303.</w:t>
      </w:r>
    </w:p>
    <w:p w14:paraId="39BBBC1F" w14:textId="19334F7A" w:rsidR="00BD0CFC" w:rsidRPr="00BD0CFC" w:rsidRDefault="00BD0CFC" w:rsidP="00BD0CFC">
      <w:pPr>
        <w:spacing w:after="180" w:line="240" w:lineRule="auto"/>
        <w:ind w:left="450" w:hanging="450"/>
        <w:rPr>
          <w:rFonts w:ascii="Times New Roman" w:eastAsia="Times New Roman" w:hAnsi="Times New Roman" w:cs="Times New Roman"/>
          <w:color w:val="000000"/>
          <w:sz w:val="24"/>
          <w:szCs w:val="24"/>
          <w:lang w:val="en-US"/>
        </w:rPr>
      </w:pPr>
      <w:r w:rsidRPr="00BD0CFC">
        <w:rPr>
          <w:rFonts w:ascii="Times New Roman" w:eastAsia="Times New Roman" w:hAnsi="Times New Roman" w:cs="Times New Roman"/>
          <w:color w:val="000000"/>
          <w:sz w:val="24"/>
          <w:szCs w:val="24"/>
          <w:lang w:val="en-US"/>
        </w:rPr>
        <w:t>Guy, F., 2015. </w:t>
      </w:r>
      <w:r w:rsidRPr="00BD0CFC">
        <w:rPr>
          <w:rFonts w:ascii="Times New Roman" w:eastAsia="Times New Roman" w:hAnsi="Times New Roman" w:cs="Times New Roman"/>
          <w:i/>
          <w:iCs/>
          <w:color w:val="000000"/>
          <w:sz w:val="24"/>
          <w:szCs w:val="24"/>
          <w:lang w:val="en-US"/>
        </w:rPr>
        <w:t>The Global Environment of Business</w:t>
      </w:r>
      <w:r w:rsidRPr="00BD0CFC">
        <w:rPr>
          <w:rFonts w:ascii="Times New Roman" w:eastAsia="Times New Roman" w:hAnsi="Times New Roman" w:cs="Times New Roman"/>
          <w:color w:val="000000"/>
          <w:sz w:val="24"/>
          <w:szCs w:val="24"/>
          <w:lang w:val="en-US"/>
        </w:rPr>
        <w:t>. 3rd ed. Oxford: Oxford University Press.</w:t>
      </w:r>
    </w:p>
    <w:p w14:paraId="722CC135" w14:textId="77777777" w:rsidR="00BD0CFC" w:rsidRPr="00BD0CFC" w:rsidRDefault="00BD0CFC" w:rsidP="00BD0CFC">
      <w:pPr>
        <w:spacing w:after="180" w:line="240" w:lineRule="auto"/>
        <w:ind w:left="450" w:hanging="450"/>
        <w:rPr>
          <w:rFonts w:ascii="Times New Roman" w:eastAsia="Times New Roman" w:hAnsi="Times New Roman" w:cs="Times New Roman"/>
          <w:color w:val="000000"/>
          <w:sz w:val="24"/>
          <w:szCs w:val="24"/>
          <w:lang w:val="en-US"/>
        </w:rPr>
      </w:pPr>
      <w:r w:rsidRPr="00BD0CFC">
        <w:rPr>
          <w:rFonts w:ascii="Times New Roman" w:eastAsia="Times New Roman" w:hAnsi="Times New Roman" w:cs="Times New Roman"/>
          <w:color w:val="000000"/>
          <w:sz w:val="24"/>
          <w:szCs w:val="24"/>
          <w:lang w:val="en-US"/>
        </w:rPr>
        <w:t>Keith, L. and Gubellini, C., 2018. </w:t>
      </w:r>
      <w:r w:rsidRPr="00BD0CFC">
        <w:rPr>
          <w:rFonts w:ascii="Times New Roman" w:eastAsia="Times New Roman" w:hAnsi="Times New Roman" w:cs="Times New Roman"/>
          <w:i/>
          <w:iCs/>
          <w:color w:val="000000"/>
          <w:sz w:val="24"/>
          <w:szCs w:val="24"/>
          <w:lang w:val="en-US"/>
        </w:rPr>
        <w:t>Business Management</w:t>
      </w:r>
      <w:r w:rsidRPr="00BD0CFC">
        <w:rPr>
          <w:rFonts w:ascii="Times New Roman" w:eastAsia="Times New Roman" w:hAnsi="Times New Roman" w:cs="Times New Roman"/>
          <w:color w:val="000000"/>
          <w:sz w:val="24"/>
          <w:szCs w:val="24"/>
          <w:lang w:val="en-US"/>
        </w:rPr>
        <w:t>. 9th ed. New York: McGraw-Hill.</w:t>
      </w:r>
    </w:p>
    <w:p w14:paraId="39FD0730" w14:textId="765510E3" w:rsidR="00BD0CFC" w:rsidRPr="00BD0CFC" w:rsidRDefault="00BD0CFC" w:rsidP="00BD0CFC">
      <w:pPr>
        <w:spacing w:after="180" w:line="240" w:lineRule="auto"/>
        <w:ind w:left="450" w:hanging="450"/>
        <w:rPr>
          <w:rFonts w:ascii="Times New Roman" w:eastAsia="Times New Roman" w:hAnsi="Times New Roman" w:cs="Times New Roman"/>
          <w:color w:val="000000"/>
          <w:sz w:val="24"/>
          <w:szCs w:val="24"/>
          <w:lang w:val="en-US"/>
        </w:rPr>
      </w:pPr>
      <w:r w:rsidRPr="00BD0CFC">
        <w:rPr>
          <w:rFonts w:ascii="Times New Roman" w:eastAsia="Times New Roman" w:hAnsi="Times New Roman" w:cs="Times New Roman"/>
          <w:color w:val="000000"/>
          <w:sz w:val="24"/>
          <w:szCs w:val="24"/>
          <w:lang w:val="en-US"/>
        </w:rPr>
        <w:t>Lazaryan, S. and Nikonov, I., 2019. The reasons for international trade. </w:t>
      </w:r>
      <w:r w:rsidRPr="00BD0CFC">
        <w:rPr>
          <w:rFonts w:ascii="Times New Roman" w:eastAsia="Times New Roman" w:hAnsi="Times New Roman" w:cs="Times New Roman"/>
          <w:i/>
          <w:iCs/>
          <w:color w:val="000000"/>
          <w:sz w:val="24"/>
          <w:szCs w:val="24"/>
          <w:lang w:val="en-US"/>
        </w:rPr>
        <w:t>Voprosy Ekonomiki</w:t>
      </w:r>
      <w:r w:rsidRPr="00BD0CFC">
        <w:rPr>
          <w:rFonts w:ascii="Times New Roman" w:eastAsia="Times New Roman" w:hAnsi="Times New Roman" w:cs="Times New Roman"/>
          <w:color w:val="000000"/>
          <w:sz w:val="24"/>
          <w:szCs w:val="24"/>
          <w:lang w:val="en-US"/>
        </w:rPr>
        <w:t>, (1), pp.79-91.</w:t>
      </w:r>
    </w:p>
    <w:p w14:paraId="3B099CDF" w14:textId="77777777" w:rsidR="00BD0CFC" w:rsidRPr="00BD0CFC" w:rsidRDefault="00BD0CFC" w:rsidP="00BD0CFC">
      <w:pPr>
        <w:spacing w:after="180" w:line="240" w:lineRule="auto"/>
        <w:ind w:left="450" w:hanging="450"/>
        <w:rPr>
          <w:rFonts w:ascii="Times New Roman" w:eastAsia="Times New Roman" w:hAnsi="Times New Roman" w:cs="Times New Roman"/>
          <w:color w:val="000000"/>
          <w:sz w:val="24"/>
          <w:szCs w:val="24"/>
          <w:lang w:val="en-US"/>
        </w:rPr>
      </w:pPr>
      <w:r w:rsidRPr="00BD0CFC">
        <w:rPr>
          <w:rFonts w:ascii="Times New Roman" w:eastAsia="Times New Roman" w:hAnsi="Times New Roman" w:cs="Times New Roman"/>
          <w:color w:val="000000"/>
          <w:sz w:val="24"/>
          <w:szCs w:val="24"/>
          <w:lang w:val="en-US"/>
        </w:rPr>
        <w:t>Morgan, S., 2020. The Tesla Alternating- Electric Vehicle. </w:t>
      </w:r>
      <w:r w:rsidRPr="00BD0CFC">
        <w:rPr>
          <w:rFonts w:ascii="Times New Roman" w:eastAsia="Times New Roman" w:hAnsi="Times New Roman" w:cs="Times New Roman"/>
          <w:i/>
          <w:iCs/>
          <w:color w:val="000000"/>
          <w:sz w:val="24"/>
          <w:szCs w:val="24"/>
          <w:lang w:val="en-US"/>
        </w:rPr>
        <w:t>Tech invasion</w:t>
      </w:r>
      <w:r w:rsidRPr="00BD0CFC">
        <w:rPr>
          <w:rFonts w:ascii="Times New Roman" w:eastAsia="Times New Roman" w:hAnsi="Times New Roman" w:cs="Times New Roman"/>
          <w:color w:val="000000"/>
          <w:sz w:val="24"/>
          <w:szCs w:val="24"/>
          <w:lang w:val="en-US"/>
        </w:rPr>
        <w:t>, ns-13(321), pp.235-235.</w:t>
      </w:r>
    </w:p>
    <w:p w14:paraId="7AD3E815" w14:textId="77777777" w:rsidR="00BD0CFC" w:rsidRPr="00BD0CFC" w:rsidRDefault="00BD0CFC" w:rsidP="00BD0CFC">
      <w:pPr>
        <w:spacing w:after="180" w:line="240" w:lineRule="auto"/>
        <w:ind w:left="450" w:hanging="450"/>
        <w:rPr>
          <w:rFonts w:ascii="Times New Roman" w:eastAsia="Times New Roman" w:hAnsi="Times New Roman" w:cs="Times New Roman"/>
          <w:color w:val="000000"/>
          <w:sz w:val="24"/>
          <w:szCs w:val="24"/>
          <w:lang w:val="en-US"/>
        </w:rPr>
      </w:pPr>
      <w:r w:rsidRPr="00BD0CFC">
        <w:rPr>
          <w:rFonts w:ascii="Times New Roman" w:eastAsia="Times New Roman" w:hAnsi="Times New Roman" w:cs="Times New Roman"/>
          <w:color w:val="000000"/>
          <w:sz w:val="24"/>
          <w:szCs w:val="24"/>
          <w:lang w:val="en-US"/>
        </w:rPr>
        <w:t>Oliveira, A. and Gimeno, A., 2017. </w:t>
      </w:r>
      <w:r w:rsidRPr="00BD0CFC">
        <w:rPr>
          <w:rFonts w:ascii="Times New Roman" w:eastAsia="Times New Roman" w:hAnsi="Times New Roman" w:cs="Times New Roman"/>
          <w:i/>
          <w:iCs/>
          <w:color w:val="000000"/>
          <w:sz w:val="24"/>
          <w:szCs w:val="24"/>
          <w:lang w:val="en-US"/>
        </w:rPr>
        <w:t>Porter’S Vlue Chain Model</w:t>
      </w:r>
      <w:r w:rsidRPr="00BD0CFC">
        <w:rPr>
          <w:rFonts w:ascii="Times New Roman" w:eastAsia="Times New Roman" w:hAnsi="Times New Roman" w:cs="Times New Roman"/>
          <w:color w:val="000000"/>
          <w:sz w:val="24"/>
          <w:szCs w:val="24"/>
          <w:lang w:val="en-US"/>
        </w:rPr>
        <w:t>. 7th ed. New York.</w:t>
      </w:r>
    </w:p>
    <w:p w14:paraId="2E7B5C00" w14:textId="2CD15CAF" w:rsidR="00BD0CFC" w:rsidRPr="00BD0CFC" w:rsidRDefault="00BD0CFC" w:rsidP="00BD0CFC">
      <w:pPr>
        <w:spacing w:after="180" w:line="240" w:lineRule="auto"/>
        <w:ind w:left="450" w:hanging="450"/>
        <w:rPr>
          <w:rFonts w:ascii="Times New Roman" w:eastAsia="Times New Roman" w:hAnsi="Times New Roman" w:cs="Times New Roman"/>
          <w:color w:val="000000"/>
          <w:sz w:val="24"/>
          <w:szCs w:val="24"/>
          <w:lang w:val="en-US"/>
        </w:rPr>
      </w:pPr>
      <w:r w:rsidRPr="00BD0CFC">
        <w:rPr>
          <w:rFonts w:ascii="Times New Roman" w:eastAsia="Times New Roman" w:hAnsi="Times New Roman" w:cs="Times New Roman"/>
          <w:color w:val="000000"/>
          <w:sz w:val="24"/>
          <w:szCs w:val="24"/>
          <w:lang w:val="en-US"/>
        </w:rPr>
        <w:t>Tesla | Electric vehicle, Solar panel &amp; Energy. 2020. </w:t>
      </w:r>
      <w:r w:rsidRPr="00BD0CFC">
        <w:rPr>
          <w:rFonts w:ascii="Times New Roman" w:eastAsia="Times New Roman" w:hAnsi="Times New Roman" w:cs="Times New Roman"/>
          <w:i/>
          <w:iCs/>
          <w:color w:val="000000"/>
          <w:sz w:val="24"/>
          <w:szCs w:val="24"/>
          <w:lang w:val="en-US"/>
        </w:rPr>
        <w:t>Tesla</w:t>
      </w:r>
      <w:r w:rsidRPr="00BD0CFC">
        <w:rPr>
          <w:rFonts w:ascii="Times New Roman" w:eastAsia="Times New Roman" w:hAnsi="Times New Roman" w:cs="Times New Roman"/>
          <w:color w:val="000000"/>
          <w:sz w:val="24"/>
          <w:szCs w:val="24"/>
          <w:lang w:val="en-US"/>
        </w:rPr>
        <w:t>. [online] Available at: &lt;https://www.tesla.com/&gt; [Accessed 30 July 2020].</w:t>
      </w:r>
    </w:p>
    <w:p w14:paraId="4D8534E8" w14:textId="77777777" w:rsidR="00BD0CFC" w:rsidRPr="00BD0CFC" w:rsidRDefault="00BD0CFC" w:rsidP="00BD0CFC">
      <w:pPr>
        <w:spacing w:after="180" w:line="240" w:lineRule="auto"/>
        <w:ind w:left="450" w:hanging="450"/>
        <w:rPr>
          <w:rFonts w:ascii="Times New Roman" w:eastAsia="Times New Roman" w:hAnsi="Times New Roman" w:cs="Times New Roman"/>
          <w:color w:val="000000"/>
          <w:sz w:val="24"/>
          <w:szCs w:val="24"/>
          <w:lang w:val="en-US"/>
        </w:rPr>
      </w:pPr>
      <w:r w:rsidRPr="00BD0CFC">
        <w:rPr>
          <w:rFonts w:ascii="Times New Roman" w:eastAsia="Times New Roman" w:hAnsi="Times New Roman" w:cs="Times New Roman"/>
          <w:color w:val="000000"/>
          <w:sz w:val="24"/>
          <w:szCs w:val="24"/>
          <w:lang w:val="en-US"/>
        </w:rPr>
        <w:t>Zhang, D., 2019. Porter’s Five Forces Analysis and Value Chain Analysis of Tesla. </w:t>
      </w:r>
      <w:r w:rsidRPr="00BD0CFC">
        <w:rPr>
          <w:rFonts w:ascii="Times New Roman" w:eastAsia="Times New Roman" w:hAnsi="Times New Roman" w:cs="Times New Roman"/>
          <w:i/>
          <w:iCs/>
          <w:color w:val="000000"/>
          <w:sz w:val="24"/>
          <w:szCs w:val="24"/>
          <w:lang w:val="en-US"/>
        </w:rPr>
        <w:t>Electric Car Industry Analysis</w:t>
      </w:r>
      <w:r w:rsidRPr="00BD0CFC">
        <w:rPr>
          <w:rFonts w:ascii="Times New Roman" w:eastAsia="Times New Roman" w:hAnsi="Times New Roman" w:cs="Times New Roman"/>
          <w:color w:val="000000"/>
          <w:sz w:val="24"/>
          <w:szCs w:val="24"/>
          <w:lang w:val="en-US"/>
        </w:rPr>
        <w:t>, (icsste).</w:t>
      </w:r>
    </w:p>
    <w:p w14:paraId="0A4B7802" w14:textId="77777777" w:rsidR="00BD0CFC" w:rsidRPr="00BD0CFC" w:rsidRDefault="00BD0CFC" w:rsidP="00BD0CFC">
      <w:pPr>
        <w:spacing w:line="360" w:lineRule="auto"/>
        <w:jc w:val="both"/>
        <w:rPr>
          <w:rFonts w:ascii="Times New Roman" w:hAnsi="Times New Roman"/>
          <w:sz w:val="24"/>
          <w:lang w:val="en-US"/>
        </w:rPr>
      </w:pPr>
    </w:p>
    <w:p w14:paraId="5ED7A6D2" w14:textId="77777777" w:rsidR="00BD0CFC" w:rsidRPr="00BD0CFC" w:rsidRDefault="00BD0CFC" w:rsidP="00B74B27">
      <w:pPr>
        <w:rPr>
          <w:sz w:val="24"/>
          <w:szCs w:val="24"/>
        </w:rPr>
      </w:pPr>
    </w:p>
    <w:sectPr w:rsidR="00BD0CFC" w:rsidRPr="00BD0CFC" w:rsidSect="00EC25E3">
      <w:headerReference w:type="default" r:id="rId13"/>
      <w:footerReference w:type="default" r:id="rId14"/>
      <w:pgSz w:w="11906" w:h="16838"/>
      <w:pgMar w:top="1440" w:right="1440" w:bottom="1440" w:left="1440" w:header="708" w:footer="708" w:gutter="0"/>
      <w:pgBorders w:offsetFrom="page">
        <w:top w:val="single" w:sz="24" w:space="24" w:color="222A35" w:themeColor="text2" w:themeShade="80"/>
        <w:left w:val="single" w:sz="24" w:space="24" w:color="222A35" w:themeColor="text2" w:themeShade="80"/>
        <w:bottom w:val="single" w:sz="24" w:space="24" w:color="222A35" w:themeColor="text2" w:themeShade="80"/>
        <w:right w:val="single" w:sz="24" w:space="24" w:color="222A35" w:themeColor="text2"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D25DE0" w14:textId="77777777" w:rsidR="00E94050" w:rsidRDefault="00E94050" w:rsidP="00EC25E3">
      <w:pPr>
        <w:spacing w:after="0" w:line="240" w:lineRule="auto"/>
      </w:pPr>
      <w:r>
        <w:separator/>
      </w:r>
    </w:p>
  </w:endnote>
  <w:endnote w:type="continuationSeparator" w:id="0">
    <w:p w14:paraId="278212E1" w14:textId="77777777" w:rsidR="00E94050" w:rsidRDefault="00E94050" w:rsidP="00EC2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0516538"/>
      <w:docPartObj>
        <w:docPartGallery w:val="Page Numbers (Bottom of Page)"/>
        <w:docPartUnique/>
      </w:docPartObj>
    </w:sdtPr>
    <w:sdtEndPr>
      <w:rPr>
        <w:noProof/>
      </w:rPr>
    </w:sdtEndPr>
    <w:sdtContent>
      <w:p w14:paraId="769FDE18" w14:textId="333E34F7" w:rsidR="00EC25E3" w:rsidRDefault="00EC25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249150" w14:textId="77777777" w:rsidR="00EC25E3" w:rsidRDefault="00EC25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D37CBB" w14:textId="77777777" w:rsidR="00E94050" w:rsidRDefault="00E94050" w:rsidP="00EC25E3">
      <w:pPr>
        <w:spacing w:after="0" w:line="240" w:lineRule="auto"/>
      </w:pPr>
      <w:r>
        <w:separator/>
      </w:r>
    </w:p>
  </w:footnote>
  <w:footnote w:type="continuationSeparator" w:id="0">
    <w:p w14:paraId="3EB0CAE7" w14:textId="77777777" w:rsidR="00E94050" w:rsidRDefault="00E94050" w:rsidP="00EC25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D2ABB8" w14:textId="2F21FCE2" w:rsidR="0044560E" w:rsidRPr="0044560E" w:rsidRDefault="0044560E">
    <w:pPr>
      <w:pStyle w:val="Header"/>
      <w:rPr>
        <w:i/>
        <w:iCs/>
        <w:color w:val="323E4F" w:themeColor="text2" w:themeShade="BF"/>
      </w:rPr>
    </w:pPr>
    <w:r>
      <w:ptab w:relativeTo="margin" w:alignment="center" w:leader="none"/>
    </w:r>
    <w:r w:rsidRPr="0044560E">
      <w:rPr>
        <w:i/>
        <w:iCs/>
        <w:color w:val="323E4F" w:themeColor="text2" w:themeShade="BF"/>
      </w:rPr>
      <w:ptab w:relativeTo="margin" w:alignment="right" w:leader="none"/>
    </w:r>
    <w:r w:rsidRPr="0044560E">
      <w:rPr>
        <w:i/>
        <w:iCs/>
        <w:color w:val="323E4F" w:themeColor="text2" w:themeShade="BF"/>
      </w:rPr>
      <w:t>Alina Coman 1919781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88C"/>
    <w:rsid w:val="000042A6"/>
    <w:rsid w:val="000D4044"/>
    <w:rsid w:val="00442288"/>
    <w:rsid w:val="0044560E"/>
    <w:rsid w:val="00536025"/>
    <w:rsid w:val="00540DFB"/>
    <w:rsid w:val="005D21EB"/>
    <w:rsid w:val="00672E07"/>
    <w:rsid w:val="008617F8"/>
    <w:rsid w:val="0088488C"/>
    <w:rsid w:val="008B6476"/>
    <w:rsid w:val="00B74B27"/>
    <w:rsid w:val="00BD0CFC"/>
    <w:rsid w:val="00E94050"/>
    <w:rsid w:val="00EA43C4"/>
    <w:rsid w:val="00EC2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EF934F"/>
  <w15:chartTrackingRefBased/>
  <w15:docId w15:val="{C20A8A07-E155-483C-B616-FC28F15CA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1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21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21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D21E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D21E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2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5E3"/>
  </w:style>
  <w:style w:type="paragraph" w:styleId="Footer">
    <w:name w:val="footer"/>
    <w:basedOn w:val="Normal"/>
    <w:link w:val="FooterChar"/>
    <w:uiPriority w:val="99"/>
    <w:unhideWhenUsed/>
    <w:rsid w:val="00EC2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5E3"/>
  </w:style>
  <w:style w:type="character" w:customStyle="1" w:styleId="Heading1Char">
    <w:name w:val="Heading 1 Char"/>
    <w:basedOn w:val="DefaultParagraphFont"/>
    <w:link w:val="Heading1"/>
    <w:uiPriority w:val="9"/>
    <w:rsid w:val="005D21E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21E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21E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D21E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D21EB"/>
    <w:rPr>
      <w:rFonts w:asciiTheme="majorHAnsi" w:eastAsiaTheme="majorEastAsia" w:hAnsiTheme="majorHAnsi" w:cstheme="majorBidi"/>
      <w:color w:val="2F5496" w:themeColor="accent1" w:themeShade="BF"/>
    </w:rPr>
  </w:style>
  <w:style w:type="paragraph" w:styleId="NoSpacing">
    <w:name w:val="No Spacing"/>
    <w:uiPriority w:val="1"/>
    <w:qFormat/>
    <w:rsid w:val="005D21E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BE0969-D096-48A8-ADDB-0A5910136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8</Pages>
  <Words>2120</Words>
  <Characters>12086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8</cp:revision>
  <dcterms:created xsi:type="dcterms:W3CDTF">2020-09-02T22:19:00Z</dcterms:created>
  <dcterms:modified xsi:type="dcterms:W3CDTF">2020-09-07T17:48:00Z</dcterms:modified>
</cp:coreProperties>
</file>