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5EF82FCE">
      <w:pPr>
        <w:rPr>
          <w:rFonts w:hint="default" w:ascii="Times New Roman" w:hAnsi="Times New Roman" w:cs="Times New Roman"/>
          <w:sz w:val="24"/>
          <w:szCs w:val="24"/>
          <w:lang w:val="en-GB"/>
        </w:rPr>
      </w:pPr>
    </w:p>
    <w:p w14:paraId="759D5DDF">
      <w:pPr>
        <w:rPr>
          <w:rFonts w:hint="default" w:ascii="Times New Roman" w:hAnsi="Times New Roman" w:cs="Times New Roman"/>
          <w:sz w:val="24"/>
          <w:szCs w:val="24"/>
          <w:lang w:val="en-GB"/>
        </w:rPr>
      </w:pPr>
    </w:p>
    <w:p w14:paraId="6E5B42D9">
      <w:pPr>
        <w:tabs>
          <w:tab w:val="right" w:pos="10591"/>
        </w:tabs>
        <w:spacing w:after="0"/>
      </w:pPr>
      <w:r>
        <w:drawing>
          <wp:inline distT="0" distB="0" distL="0" distR="0">
            <wp:extent cx="1809750" cy="723900"/>
            <wp:effectExtent l="0" t="0" r="6350" b="0"/>
            <wp:docPr id="2" name="Picture 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93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r>
        <w:rPr>
          <w:rFonts w:ascii="Arial" w:hAnsi="Arial" w:eastAsia="Arial" w:cs="Arial"/>
          <w:b/>
          <w:sz w:val="24"/>
        </w:rPr>
        <w:tab/>
      </w:r>
      <w:r>
        <w:rPr>
          <w:rFonts w:ascii="Arial" w:hAnsi="Arial" w:eastAsia="Arial" w:cs="Arial"/>
          <w:b/>
          <w:sz w:val="24"/>
        </w:rPr>
        <w:t xml:space="preserve">  </w:t>
      </w:r>
    </w:p>
    <w:p w14:paraId="3E207B10">
      <w:pPr>
        <w:pStyle w:val="2"/>
        <w:pBdr>
          <w:top w:val="none" w:color="auto" w:sz="0" w:space="0"/>
          <w:left w:val="none" w:color="auto" w:sz="0" w:space="0"/>
          <w:bottom w:val="none" w:color="auto" w:sz="0" w:space="0"/>
          <w:right w:val="none" w:color="auto" w:sz="0" w:space="0"/>
        </w:pBdr>
        <w:shd w:val="clear" w:color="auto" w:fill="auto"/>
        <w:ind w:left="-5"/>
        <w:jc w:val="left"/>
      </w:pPr>
      <w:bookmarkStart w:id="0" w:name="_Toc55238"/>
      <w:r>
        <w:rPr>
          <w:sz w:val="24"/>
        </w:rPr>
        <w:t xml:space="preserve">ASSESSMENT 1 </w:t>
      </w:r>
      <w:bookmarkEnd w:id="0"/>
    </w:p>
    <w:p w14:paraId="7F1DF4F1">
      <w:pPr>
        <w:spacing w:after="300"/>
      </w:pPr>
      <w:r>
        <w:rPr>
          <w:rFonts w:ascii="Arial" w:hAnsi="Arial" w:eastAsia="Arial" w:cs="Arial"/>
          <w:sz w:val="20"/>
        </w:rPr>
        <w:t xml:space="preserve"> </w:t>
      </w:r>
    </w:p>
    <w:p w14:paraId="3B4AC37A">
      <w:pPr>
        <w:pStyle w:val="3"/>
      </w:pPr>
      <w:r>
        <w:t xml:space="preserve">LEVEL 6 ASSESSMENT SPECIFICATION  </w:t>
      </w:r>
    </w:p>
    <w:p w14:paraId="3E39F7F6">
      <w:pPr>
        <w:spacing w:after="0"/>
        <w:ind w:right="45"/>
        <w:jc w:val="center"/>
      </w:pPr>
      <w:r>
        <w:rPr>
          <w:rFonts w:ascii="Arial" w:hAnsi="Arial" w:eastAsia="Arial" w:cs="Arial"/>
          <w:b/>
          <w:i/>
          <w:sz w:val="32"/>
        </w:rPr>
        <w:t xml:space="preserve"> </w:t>
      </w:r>
    </w:p>
    <w:tbl>
      <w:tblPr>
        <w:tblStyle w:val="8"/>
        <w:tblW w:w="9924" w:type="dxa"/>
        <w:jc w:val="center"/>
        <w:tblInd w:w="399" w:type="dxa"/>
        <w:tblLayout w:type="fixed"/>
        <w:tblCellMar>
          <w:top w:w="9" w:type="dxa"/>
          <w:left w:w="106" w:type="dxa"/>
          <w:bottom w:w="0" w:type="dxa"/>
          <w:right w:w="0" w:type="dxa"/>
        </w:tblCellMar>
      </w:tblPr>
      <w:tblGrid>
        <w:gridCol w:w="2091"/>
        <w:gridCol w:w="3297"/>
        <w:gridCol w:w="2265"/>
        <w:gridCol w:w="2271"/>
      </w:tblGrid>
      <w:tr w14:paraId="487B8D89">
        <w:tblPrEx>
          <w:tblLayout w:type="fixed"/>
        </w:tblPrEx>
        <w:trPr>
          <w:trHeight w:val="503" w:hRule="atLeast"/>
          <w:jc w:val="center"/>
        </w:trPr>
        <w:tc>
          <w:tcPr>
            <w:tcW w:w="2091" w:type="dxa"/>
            <w:tcBorders>
              <w:top w:val="single" w:color="000000" w:sz="4" w:space="0"/>
              <w:left w:val="single" w:color="000000" w:sz="4" w:space="0"/>
              <w:bottom w:val="single" w:color="000000" w:sz="4" w:space="0"/>
              <w:right w:val="single" w:color="000000" w:sz="4" w:space="0"/>
            </w:tcBorders>
            <w:vAlign w:val="center"/>
          </w:tcPr>
          <w:p w14:paraId="50EA6DA3">
            <w:pPr>
              <w:spacing w:after="0"/>
            </w:pPr>
            <w:r>
              <w:rPr>
                <w:rFonts w:ascii="Arial" w:hAnsi="Arial" w:eastAsia="Arial" w:cs="Arial"/>
                <w:b/>
              </w:rPr>
              <w:t xml:space="preserve">Student name: </w:t>
            </w:r>
          </w:p>
        </w:tc>
        <w:tc>
          <w:tcPr>
            <w:tcW w:w="3297" w:type="dxa"/>
            <w:tcBorders>
              <w:top w:val="single" w:color="000000" w:sz="4" w:space="0"/>
              <w:left w:val="single" w:color="000000" w:sz="4" w:space="0"/>
              <w:bottom w:val="single" w:color="000000" w:sz="4" w:space="0"/>
              <w:right w:val="single" w:color="000000" w:sz="4" w:space="0"/>
            </w:tcBorders>
            <w:vAlign w:val="center"/>
          </w:tcPr>
          <w:p w14:paraId="4C7CD4D0">
            <w:pPr>
              <w:spacing w:after="0"/>
              <w:ind w:left="3"/>
            </w:pPr>
            <w:r>
              <w:rPr>
                <w:rFonts w:ascii="Arial" w:hAnsi="Arial" w:eastAsia="Arial" w:cs="Arial"/>
                <w:b/>
              </w:rPr>
              <w:t xml:space="preserve"> </w:t>
            </w:r>
            <w:r>
              <w:rPr>
                <w:rFonts w:ascii="Arial" w:hAnsi="Arial" w:eastAsia="Arial" w:cs="Arial"/>
                <w:b/>
                <w:lang w:val="en-GB"/>
              </w:rPr>
              <w:t>Sofea Marsilla Binti Rizal</w:t>
            </w:r>
            <w:r>
              <w:rPr>
                <w:rFonts w:ascii="Arial" w:hAnsi="Arial" w:eastAsia="Arial" w:cs="Arial"/>
                <w:b/>
              </w:rPr>
              <w:t xml:space="preserve">   </w:t>
            </w:r>
          </w:p>
        </w:tc>
        <w:tc>
          <w:tcPr>
            <w:tcW w:w="2265" w:type="dxa"/>
            <w:tcBorders>
              <w:top w:val="single" w:color="000000" w:sz="4" w:space="0"/>
              <w:left w:val="single" w:color="000000" w:sz="4" w:space="0"/>
              <w:bottom w:val="single" w:color="000000" w:sz="4" w:space="0"/>
              <w:right w:val="single" w:color="000000" w:sz="4" w:space="0"/>
            </w:tcBorders>
            <w:vAlign w:val="center"/>
          </w:tcPr>
          <w:p w14:paraId="6BFD1E28">
            <w:pPr>
              <w:spacing w:after="0"/>
              <w:ind w:left="1"/>
              <w:jc w:val="both"/>
            </w:pPr>
            <w:r>
              <w:rPr>
                <w:rFonts w:ascii="Arial" w:hAnsi="Arial" w:eastAsia="Arial" w:cs="Arial"/>
                <w:b/>
              </w:rPr>
              <w:t xml:space="preserve">Student ID number: </w:t>
            </w:r>
          </w:p>
        </w:tc>
        <w:tc>
          <w:tcPr>
            <w:tcW w:w="2271" w:type="dxa"/>
            <w:tcBorders>
              <w:top w:val="single" w:color="000000" w:sz="4" w:space="0"/>
              <w:left w:val="single" w:color="000000" w:sz="4" w:space="0"/>
              <w:bottom w:val="single" w:color="000000" w:sz="4" w:space="0"/>
              <w:right w:val="single" w:color="000000" w:sz="4" w:space="0"/>
            </w:tcBorders>
            <w:vAlign w:val="center"/>
          </w:tcPr>
          <w:p w14:paraId="687AC244">
            <w:pPr>
              <w:spacing w:after="0"/>
              <w:ind w:left="5"/>
            </w:pPr>
            <w:r>
              <w:rPr>
                <w:rFonts w:ascii="Arial" w:hAnsi="Arial" w:eastAsia="Arial" w:cs="Arial"/>
                <w:b/>
              </w:rPr>
              <w:t xml:space="preserve"> </w:t>
            </w:r>
            <w:r>
              <w:rPr>
                <w:rFonts w:ascii="Arial" w:hAnsi="Arial" w:eastAsia="Arial" w:cs="Arial"/>
                <w:b/>
                <w:lang w:val="en-GB"/>
              </w:rPr>
              <w:t>2334430</w:t>
            </w:r>
          </w:p>
        </w:tc>
      </w:tr>
      <w:tr w14:paraId="0E7A02A6">
        <w:tblPrEx>
          <w:tblLayout w:type="fixed"/>
        </w:tblPrEx>
        <w:trPr>
          <w:trHeight w:val="502" w:hRule="atLeast"/>
          <w:jc w:val="center"/>
        </w:trPr>
        <w:tc>
          <w:tcPr>
            <w:tcW w:w="2091" w:type="dxa"/>
            <w:tcBorders>
              <w:top w:val="single" w:color="000000" w:sz="4" w:space="0"/>
              <w:left w:val="single" w:color="000000" w:sz="4" w:space="0"/>
              <w:bottom w:val="single" w:color="000000" w:sz="4" w:space="0"/>
              <w:right w:val="single" w:color="000000" w:sz="4" w:space="0"/>
            </w:tcBorders>
            <w:vAlign w:val="center"/>
          </w:tcPr>
          <w:p w14:paraId="46F18AA6">
            <w:pPr>
              <w:spacing w:after="0"/>
            </w:pPr>
            <w:r>
              <w:rPr>
                <w:rFonts w:ascii="Arial" w:hAnsi="Arial" w:eastAsia="Arial" w:cs="Arial"/>
                <w:b/>
              </w:rPr>
              <w:t xml:space="preserve">Programme: </w:t>
            </w:r>
          </w:p>
        </w:tc>
        <w:tc>
          <w:tcPr>
            <w:tcW w:w="7833" w:type="dxa"/>
            <w:gridSpan w:val="3"/>
            <w:tcBorders>
              <w:top w:val="single" w:color="000000" w:sz="4" w:space="0"/>
              <w:left w:val="single" w:color="000000" w:sz="4" w:space="0"/>
              <w:bottom w:val="single" w:color="000000" w:sz="4" w:space="0"/>
              <w:right w:val="single" w:color="000000" w:sz="4" w:space="0"/>
            </w:tcBorders>
            <w:vAlign w:val="center"/>
          </w:tcPr>
          <w:p w14:paraId="3B60DFE4">
            <w:pPr>
              <w:spacing w:after="0"/>
              <w:ind w:left="3"/>
              <w:rPr>
                <w:lang w:val="en-GB"/>
              </w:rPr>
            </w:pPr>
            <w:r>
              <w:rPr>
                <w:rFonts w:hint="default" w:ascii="Arial" w:hAnsi="Arial" w:cs="Arial"/>
                <w:lang w:val="en-GB"/>
              </w:rPr>
              <w:t>Bachelor of Business Administration in International Business (Honours)</w:t>
            </w:r>
            <w:r>
              <w:rPr>
                <w:lang w:val="en-GB"/>
              </w:rPr>
              <w:t xml:space="preserve"> </w:t>
            </w:r>
          </w:p>
        </w:tc>
      </w:tr>
      <w:tr w14:paraId="6D84FC81">
        <w:tblPrEx>
          <w:tblLayout w:type="fixed"/>
        </w:tblPrEx>
        <w:trPr>
          <w:trHeight w:val="504" w:hRule="atLeast"/>
          <w:jc w:val="center"/>
        </w:trPr>
        <w:tc>
          <w:tcPr>
            <w:tcW w:w="2091" w:type="dxa"/>
            <w:tcBorders>
              <w:top w:val="single" w:color="000000" w:sz="4" w:space="0"/>
              <w:left w:val="single" w:color="000000" w:sz="4" w:space="0"/>
              <w:bottom w:val="single" w:color="000000" w:sz="4" w:space="0"/>
              <w:right w:val="single" w:color="000000" w:sz="4" w:space="0"/>
            </w:tcBorders>
            <w:vAlign w:val="center"/>
          </w:tcPr>
          <w:p w14:paraId="79C46574">
            <w:pPr>
              <w:spacing w:after="0"/>
              <w:ind w:left="1" w:right="104"/>
              <w:jc w:val="both"/>
              <w:rPr>
                <w:rFonts w:ascii="Arial" w:hAnsi="Arial" w:eastAsia="Arial" w:cs="Arial"/>
                <w:b/>
              </w:rPr>
            </w:pPr>
            <w:r>
              <w:rPr>
                <w:rFonts w:ascii="Arial" w:hAnsi="Arial" w:eastAsia="Arial" w:cs="Arial"/>
                <w:b/>
              </w:rPr>
              <w:t xml:space="preserve">Module: </w:t>
            </w:r>
          </w:p>
        </w:tc>
        <w:tc>
          <w:tcPr>
            <w:tcW w:w="7833" w:type="dxa"/>
            <w:gridSpan w:val="3"/>
            <w:tcBorders>
              <w:top w:val="single" w:color="000000" w:sz="4" w:space="0"/>
              <w:left w:val="single" w:color="000000" w:sz="4" w:space="0"/>
              <w:bottom w:val="single" w:color="000000" w:sz="4" w:space="0"/>
              <w:right w:val="single" w:color="000000" w:sz="4" w:space="0"/>
            </w:tcBorders>
            <w:vAlign w:val="center"/>
          </w:tcPr>
          <w:p w14:paraId="7E751A75">
            <w:pPr>
              <w:spacing w:after="0"/>
              <w:ind w:left="1" w:right="104"/>
              <w:jc w:val="both"/>
              <w:rPr>
                <w:rFonts w:ascii="Arial" w:hAnsi="Arial" w:eastAsia="Arial" w:cs="Arial"/>
                <w:b/>
              </w:rPr>
            </w:pPr>
            <w:r>
              <w:rPr>
                <w:rFonts w:ascii="Arial" w:hAnsi="Arial" w:eastAsia="Arial" w:cs="Arial"/>
                <w:b/>
              </w:rPr>
              <w:t xml:space="preserve">Leading and Developing People </w:t>
            </w:r>
          </w:p>
        </w:tc>
      </w:tr>
      <w:tr w14:paraId="192427A4">
        <w:tblPrEx>
          <w:tblLayout w:type="fixed"/>
        </w:tblPrEx>
        <w:trPr>
          <w:trHeight w:val="1009"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21D7C066">
            <w:pPr>
              <w:spacing w:after="0"/>
              <w:ind w:left="1" w:right="104"/>
              <w:jc w:val="both"/>
              <w:rPr>
                <w:rFonts w:ascii="Arial" w:hAnsi="Arial" w:eastAsia="Arial" w:cs="Arial"/>
                <w:b/>
              </w:rPr>
            </w:pPr>
            <w:r>
              <w:rPr>
                <w:rFonts w:ascii="Arial" w:hAnsi="Arial" w:eastAsia="Arial" w:cs="Arial"/>
                <w:b/>
              </w:rPr>
              <w:t xml:space="preserve">Module code: </w:t>
            </w:r>
          </w:p>
        </w:tc>
        <w:tc>
          <w:tcPr>
            <w:tcW w:w="3297" w:type="dxa"/>
            <w:tcBorders>
              <w:top w:val="single" w:color="000000" w:sz="4" w:space="0"/>
              <w:left w:val="single" w:color="000000" w:sz="4" w:space="0"/>
              <w:bottom w:val="single" w:color="000000" w:sz="4" w:space="0"/>
              <w:right w:val="single" w:color="000000" w:sz="4" w:space="0"/>
            </w:tcBorders>
          </w:tcPr>
          <w:p w14:paraId="6CFCD34E">
            <w:pPr>
              <w:spacing w:after="0"/>
              <w:ind w:left="1" w:right="104"/>
              <w:jc w:val="both"/>
              <w:rPr>
                <w:rFonts w:ascii="Arial" w:hAnsi="Arial" w:eastAsia="Arial" w:cs="Arial"/>
                <w:b/>
              </w:rPr>
            </w:pPr>
            <w:r>
              <w:rPr>
                <w:rFonts w:ascii="Arial" w:hAnsi="Arial" w:eastAsia="Arial" w:cs="Arial"/>
                <w:b/>
              </w:rPr>
              <w:t>IUBA6005</w:t>
            </w:r>
          </w:p>
        </w:tc>
        <w:tc>
          <w:tcPr>
            <w:tcW w:w="2265" w:type="dxa"/>
            <w:tcBorders>
              <w:top w:val="single" w:color="000000" w:sz="4" w:space="0"/>
              <w:left w:val="single" w:color="000000" w:sz="4" w:space="0"/>
              <w:bottom w:val="single" w:color="000000" w:sz="4" w:space="0"/>
              <w:right w:val="single" w:color="000000" w:sz="4" w:space="0"/>
            </w:tcBorders>
            <w:vAlign w:val="center"/>
          </w:tcPr>
          <w:p w14:paraId="3A4357C4">
            <w:pPr>
              <w:spacing w:after="0"/>
              <w:ind w:left="1" w:right="104"/>
              <w:jc w:val="both"/>
              <w:rPr>
                <w:rFonts w:ascii="Arial" w:hAnsi="Arial" w:eastAsia="Arial" w:cs="Arial"/>
                <w:b/>
              </w:rPr>
            </w:pPr>
            <w:r>
              <w:rPr>
                <w:rFonts w:ascii="Arial" w:hAnsi="Arial" w:eastAsia="Arial" w:cs="Arial"/>
                <w:b/>
              </w:rPr>
              <w:t xml:space="preserve">Contribution to Overall Module Assessment (%): </w:t>
            </w:r>
          </w:p>
        </w:tc>
        <w:tc>
          <w:tcPr>
            <w:tcW w:w="2271" w:type="dxa"/>
            <w:tcBorders>
              <w:top w:val="single" w:color="000000" w:sz="4" w:space="0"/>
              <w:left w:val="single" w:color="000000" w:sz="4" w:space="0"/>
              <w:bottom w:val="single" w:color="000000" w:sz="4" w:space="0"/>
              <w:right w:val="single" w:color="000000" w:sz="4" w:space="0"/>
            </w:tcBorders>
          </w:tcPr>
          <w:p w14:paraId="448ABA91">
            <w:pPr>
              <w:spacing w:after="0"/>
              <w:ind w:left="1" w:right="104"/>
              <w:jc w:val="both"/>
              <w:rPr>
                <w:rFonts w:ascii="Arial" w:hAnsi="Arial" w:eastAsia="Arial" w:cs="Arial"/>
                <w:b/>
              </w:rPr>
            </w:pPr>
            <w:r>
              <w:rPr>
                <w:rFonts w:ascii="Arial" w:hAnsi="Arial" w:eastAsia="Arial" w:cs="Arial"/>
                <w:b/>
              </w:rPr>
              <w:t xml:space="preserve">100% </w:t>
            </w:r>
          </w:p>
        </w:tc>
      </w:tr>
      <w:tr w14:paraId="1FD278CF">
        <w:tblPrEx>
          <w:tblLayout w:type="fixed"/>
        </w:tblPrEx>
        <w:trPr>
          <w:trHeight w:val="504" w:hRule="atLeast"/>
          <w:jc w:val="center"/>
        </w:trPr>
        <w:tc>
          <w:tcPr>
            <w:tcW w:w="2091" w:type="dxa"/>
            <w:tcBorders>
              <w:top w:val="single" w:color="000000" w:sz="4" w:space="0"/>
              <w:left w:val="single" w:color="000000" w:sz="4" w:space="0"/>
              <w:bottom w:val="single" w:color="000000" w:sz="4" w:space="0"/>
              <w:right w:val="single" w:color="000000" w:sz="4" w:space="0"/>
            </w:tcBorders>
            <w:vAlign w:val="center"/>
          </w:tcPr>
          <w:p w14:paraId="1B1185B0">
            <w:pPr>
              <w:spacing w:after="0"/>
              <w:ind w:left="1" w:right="104"/>
              <w:jc w:val="both"/>
              <w:rPr>
                <w:rFonts w:ascii="Arial" w:hAnsi="Arial" w:eastAsia="Arial" w:cs="Arial"/>
                <w:b/>
              </w:rPr>
            </w:pPr>
            <w:r>
              <w:rPr>
                <w:rFonts w:ascii="Arial" w:hAnsi="Arial" w:eastAsia="Arial" w:cs="Arial"/>
                <w:b/>
              </w:rPr>
              <w:t xml:space="preserve">Lecturer: </w:t>
            </w:r>
          </w:p>
        </w:tc>
        <w:tc>
          <w:tcPr>
            <w:tcW w:w="3297" w:type="dxa"/>
            <w:tcBorders>
              <w:top w:val="single" w:color="000000" w:sz="4" w:space="0"/>
              <w:left w:val="single" w:color="000000" w:sz="4" w:space="0"/>
              <w:bottom w:val="single" w:color="000000" w:sz="4" w:space="0"/>
              <w:right w:val="single" w:color="000000" w:sz="4" w:space="0"/>
            </w:tcBorders>
            <w:vAlign w:val="center"/>
          </w:tcPr>
          <w:p w14:paraId="0A4272E1">
            <w:pPr>
              <w:spacing w:after="0"/>
              <w:ind w:left="1" w:right="104"/>
              <w:jc w:val="both"/>
              <w:rPr>
                <w:rFonts w:ascii="Arial" w:hAnsi="Arial" w:eastAsia="Arial" w:cs="Arial"/>
                <w:b/>
              </w:rPr>
            </w:pPr>
            <w:r>
              <w:rPr>
                <w:rFonts w:ascii="Arial" w:hAnsi="Arial" w:eastAsia="Arial" w:cs="Arial"/>
                <w:b/>
              </w:rPr>
              <w:t>Emma Roberts</w:t>
            </w:r>
          </w:p>
        </w:tc>
        <w:tc>
          <w:tcPr>
            <w:tcW w:w="2265" w:type="dxa"/>
            <w:tcBorders>
              <w:top w:val="single" w:color="000000" w:sz="4" w:space="0"/>
              <w:left w:val="single" w:color="000000" w:sz="4" w:space="0"/>
              <w:bottom w:val="single" w:color="000000" w:sz="4" w:space="0"/>
              <w:right w:val="single" w:color="000000" w:sz="4" w:space="0"/>
            </w:tcBorders>
            <w:vAlign w:val="center"/>
          </w:tcPr>
          <w:p w14:paraId="323DCF39">
            <w:pPr>
              <w:spacing w:after="0"/>
              <w:ind w:left="1" w:right="104"/>
              <w:jc w:val="both"/>
              <w:rPr>
                <w:rFonts w:ascii="Arial" w:hAnsi="Arial" w:eastAsia="Arial" w:cs="Arial"/>
                <w:b/>
              </w:rPr>
            </w:pPr>
            <w:r>
              <w:rPr>
                <w:rFonts w:ascii="Arial" w:hAnsi="Arial" w:eastAsia="Arial" w:cs="Arial"/>
                <w:b/>
              </w:rPr>
              <w:t xml:space="preserve">Internal Verifier: </w:t>
            </w:r>
          </w:p>
        </w:tc>
        <w:tc>
          <w:tcPr>
            <w:tcW w:w="2271" w:type="dxa"/>
            <w:tcBorders>
              <w:top w:val="single" w:color="000000" w:sz="4" w:space="0"/>
              <w:left w:val="single" w:color="000000" w:sz="4" w:space="0"/>
              <w:bottom w:val="single" w:color="000000" w:sz="4" w:space="0"/>
              <w:right w:val="single" w:color="000000" w:sz="4" w:space="0"/>
            </w:tcBorders>
            <w:vAlign w:val="center"/>
          </w:tcPr>
          <w:p w14:paraId="08437B01">
            <w:pPr>
              <w:spacing w:after="0"/>
              <w:ind w:left="1" w:right="104"/>
              <w:jc w:val="both"/>
              <w:rPr>
                <w:rFonts w:ascii="Arial" w:hAnsi="Arial" w:eastAsia="Arial" w:cs="Arial"/>
                <w:b/>
              </w:rPr>
            </w:pPr>
          </w:p>
        </w:tc>
      </w:tr>
      <w:tr w14:paraId="03689A13">
        <w:tblPrEx>
          <w:tblLayout w:type="fixed"/>
        </w:tblPrEx>
        <w:trPr>
          <w:trHeight w:val="756"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68714D73">
            <w:pPr>
              <w:spacing w:after="0"/>
              <w:ind w:left="1" w:right="104"/>
              <w:jc w:val="both"/>
              <w:rPr>
                <w:rFonts w:ascii="Arial" w:hAnsi="Arial" w:eastAsia="Arial" w:cs="Arial"/>
                <w:b/>
              </w:rPr>
            </w:pPr>
            <w:r>
              <w:rPr>
                <w:rFonts w:ascii="Arial" w:hAnsi="Arial" w:eastAsia="Arial" w:cs="Arial"/>
                <w:b/>
              </w:rPr>
              <w:t xml:space="preserve">Assignment Title: </w:t>
            </w:r>
          </w:p>
        </w:tc>
        <w:tc>
          <w:tcPr>
            <w:tcW w:w="3297" w:type="dxa"/>
            <w:tcBorders>
              <w:top w:val="single" w:color="000000" w:sz="4" w:space="0"/>
              <w:left w:val="single" w:color="000000" w:sz="4" w:space="0"/>
              <w:bottom w:val="single" w:color="000000" w:sz="4" w:space="0"/>
              <w:right w:val="single" w:color="000000" w:sz="4" w:space="0"/>
            </w:tcBorders>
            <w:vAlign w:val="center"/>
          </w:tcPr>
          <w:p w14:paraId="5DB53414">
            <w:pPr>
              <w:spacing w:after="0"/>
              <w:ind w:left="1" w:right="104"/>
              <w:jc w:val="both"/>
              <w:rPr>
                <w:rFonts w:ascii="Arial" w:hAnsi="Arial" w:eastAsia="Arial" w:cs="Arial"/>
                <w:b/>
              </w:rPr>
            </w:pPr>
            <w:r>
              <w:rPr>
                <w:rFonts w:ascii="Arial" w:hAnsi="Arial" w:eastAsia="Arial" w:cs="Arial"/>
                <w:b/>
              </w:rPr>
              <w:t>Group presentation plus supporting material</w:t>
            </w:r>
          </w:p>
        </w:tc>
        <w:tc>
          <w:tcPr>
            <w:tcW w:w="2265" w:type="dxa"/>
            <w:tcBorders>
              <w:top w:val="single" w:color="000000" w:sz="4" w:space="0"/>
              <w:left w:val="single" w:color="000000" w:sz="4" w:space="0"/>
              <w:bottom w:val="single" w:color="000000" w:sz="4" w:space="0"/>
              <w:right w:val="single" w:color="000000" w:sz="4" w:space="0"/>
            </w:tcBorders>
            <w:vAlign w:val="center"/>
          </w:tcPr>
          <w:p w14:paraId="0B9BD469">
            <w:pPr>
              <w:spacing w:after="0"/>
              <w:ind w:left="1" w:right="104"/>
              <w:jc w:val="both"/>
              <w:rPr>
                <w:rFonts w:ascii="Arial" w:hAnsi="Arial" w:eastAsia="Arial" w:cs="Arial"/>
                <w:b/>
              </w:rPr>
            </w:pPr>
            <w:r>
              <w:rPr>
                <w:rFonts w:ascii="Arial" w:hAnsi="Arial" w:eastAsia="Arial" w:cs="Arial"/>
                <w:b/>
              </w:rPr>
              <w:t xml:space="preserve">Word </w:t>
            </w:r>
            <w:r>
              <w:rPr>
                <w:rFonts w:ascii="Arial" w:hAnsi="Arial" w:eastAsia="Arial" w:cs="Arial"/>
                <w:b/>
              </w:rPr>
              <w:tab/>
            </w:r>
            <w:r>
              <w:rPr>
                <w:rFonts w:ascii="Arial" w:hAnsi="Arial" w:eastAsia="Arial" w:cs="Arial"/>
                <w:b/>
              </w:rPr>
              <w:t xml:space="preserve">count </w:t>
            </w:r>
            <w:r>
              <w:rPr>
                <w:rFonts w:ascii="Arial" w:hAnsi="Arial" w:eastAsia="Arial" w:cs="Arial"/>
                <w:b/>
              </w:rPr>
              <w:tab/>
            </w:r>
            <w:r>
              <w:rPr>
                <w:rFonts w:ascii="Arial" w:hAnsi="Arial" w:eastAsia="Arial" w:cs="Arial"/>
                <w:b/>
              </w:rPr>
              <w:t xml:space="preserve">(or equivalent): </w:t>
            </w:r>
          </w:p>
        </w:tc>
        <w:tc>
          <w:tcPr>
            <w:tcW w:w="2271" w:type="dxa"/>
            <w:tcBorders>
              <w:top w:val="single" w:color="000000" w:sz="4" w:space="0"/>
              <w:left w:val="single" w:color="000000" w:sz="4" w:space="0"/>
              <w:bottom w:val="single" w:color="000000" w:sz="4" w:space="0"/>
              <w:right w:val="single" w:color="000000" w:sz="4" w:space="0"/>
            </w:tcBorders>
          </w:tcPr>
          <w:p w14:paraId="74307E42">
            <w:pPr>
              <w:spacing w:after="0"/>
              <w:ind w:left="1" w:right="104"/>
              <w:jc w:val="both"/>
              <w:rPr>
                <w:rFonts w:ascii="Arial" w:hAnsi="Arial" w:eastAsia="Arial" w:cs="Arial"/>
                <w:b/>
              </w:rPr>
            </w:pPr>
            <w:r>
              <w:rPr>
                <w:rFonts w:ascii="Arial" w:hAnsi="Arial" w:eastAsia="Arial" w:cs="Arial"/>
                <w:b/>
              </w:rPr>
              <w:t>10 minutes per person and 2000 words supporting material</w:t>
            </w:r>
          </w:p>
        </w:tc>
      </w:tr>
      <w:tr w14:paraId="6D9D18B4">
        <w:tblPrEx>
          <w:tblLayout w:type="fixed"/>
        </w:tblPrEx>
        <w:trPr>
          <w:trHeight w:val="1008"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5EEB7430">
            <w:pPr>
              <w:spacing w:after="0"/>
              <w:ind w:left="1" w:right="104"/>
              <w:jc w:val="both"/>
              <w:rPr>
                <w:rFonts w:ascii="Arial" w:hAnsi="Arial" w:eastAsia="Arial" w:cs="Arial"/>
                <w:b/>
              </w:rPr>
            </w:pPr>
            <w:r>
              <w:rPr>
                <w:rFonts w:ascii="Arial" w:hAnsi="Arial" w:eastAsia="Arial" w:cs="Arial"/>
                <w:b/>
              </w:rPr>
              <w:t xml:space="preserve">Submission deadline: </w:t>
            </w:r>
          </w:p>
        </w:tc>
        <w:tc>
          <w:tcPr>
            <w:tcW w:w="3297" w:type="dxa"/>
            <w:tcBorders>
              <w:top w:val="single" w:color="000000" w:sz="4" w:space="0"/>
              <w:left w:val="single" w:color="000000" w:sz="4" w:space="0"/>
              <w:bottom w:val="single" w:color="000000" w:sz="4" w:space="0"/>
              <w:right w:val="single" w:color="000000" w:sz="4" w:space="0"/>
            </w:tcBorders>
          </w:tcPr>
          <w:p w14:paraId="09D53281">
            <w:pPr>
              <w:spacing w:after="0"/>
              <w:ind w:left="1" w:right="104"/>
              <w:jc w:val="both"/>
              <w:rPr>
                <w:rFonts w:ascii="Arial" w:hAnsi="Arial" w:eastAsia="Arial" w:cs="Arial"/>
                <w:b/>
              </w:rPr>
            </w:pPr>
            <w:r>
              <w:rPr>
                <w:rFonts w:ascii="Arial" w:hAnsi="Arial" w:eastAsia="Arial" w:cs="Arial"/>
                <w:b/>
              </w:rPr>
              <w:t xml:space="preserve"> Thursday  24th September 2026 (23.55/ 11.55pm British Summer Time BST)</w:t>
            </w:r>
          </w:p>
        </w:tc>
        <w:tc>
          <w:tcPr>
            <w:tcW w:w="2265" w:type="dxa"/>
            <w:tcBorders>
              <w:top w:val="single" w:color="000000" w:sz="4" w:space="0"/>
              <w:left w:val="single" w:color="000000" w:sz="4" w:space="0"/>
              <w:bottom w:val="single" w:color="000000" w:sz="4" w:space="0"/>
              <w:right w:val="single" w:color="000000" w:sz="4" w:space="0"/>
            </w:tcBorders>
            <w:vAlign w:val="center"/>
          </w:tcPr>
          <w:p w14:paraId="52FF22E7">
            <w:pPr>
              <w:spacing w:after="0"/>
              <w:ind w:left="1" w:right="104"/>
              <w:jc w:val="both"/>
              <w:rPr>
                <w:rFonts w:ascii="Arial" w:hAnsi="Arial" w:eastAsia="Arial" w:cs="Arial"/>
                <w:b/>
              </w:rPr>
            </w:pPr>
            <w:r>
              <w:rPr>
                <w:rFonts w:ascii="Arial" w:hAnsi="Arial" w:eastAsia="Arial" w:cs="Arial"/>
                <w:b/>
              </w:rPr>
              <w:t xml:space="preserve">Return date of provisional marks &amp; written feedback: </w:t>
            </w:r>
          </w:p>
        </w:tc>
        <w:tc>
          <w:tcPr>
            <w:tcW w:w="2271" w:type="dxa"/>
            <w:tcBorders>
              <w:top w:val="single" w:color="000000" w:sz="4" w:space="0"/>
              <w:left w:val="single" w:color="000000" w:sz="4" w:space="0"/>
              <w:bottom w:val="single" w:color="000000" w:sz="4" w:space="0"/>
              <w:right w:val="single" w:color="000000" w:sz="4" w:space="0"/>
            </w:tcBorders>
          </w:tcPr>
          <w:p w14:paraId="20EADFEC">
            <w:pPr>
              <w:spacing w:after="0"/>
              <w:ind w:left="1" w:right="104"/>
              <w:jc w:val="both"/>
              <w:rPr>
                <w:rFonts w:ascii="Arial" w:hAnsi="Arial" w:eastAsia="Arial" w:cs="Arial"/>
                <w:b/>
              </w:rPr>
            </w:pPr>
            <w:r>
              <w:rPr>
                <w:rFonts w:ascii="Arial" w:hAnsi="Arial" w:eastAsia="Arial" w:cs="Arial"/>
                <w:b/>
              </w:rPr>
              <w:t>19th October 2026</w:t>
            </w:r>
          </w:p>
        </w:tc>
      </w:tr>
      <w:tr w14:paraId="23E3A1CA">
        <w:tblPrEx>
          <w:tblLayout w:type="fixed"/>
        </w:tblPrEx>
        <w:trPr>
          <w:trHeight w:val="2768"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3EC9A588">
            <w:pPr>
              <w:spacing w:after="0"/>
            </w:pPr>
            <w:r>
              <w:rPr>
                <w:rFonts w:ascii="Arial" w:hAnsi="Arial" w:eastAsia="Arial" w:cs="Arial"/>
                <w:b/>
              </w:rPr>
              <w:t xml:space="preserve">Submission method: </w:t>
            </w:r>
          </w:p>
        </w:tc>
        <w:tc>
          <w:tcPr>
            <w:tcW w:w="7833" w:type="dxa"/>
            <w:gridSpan w:val="3"/>
            <w:tcBorders>
              <w:top w:val="single" w:color="000000" w:sz="4" w:space="0"/>
              <w:left w:val="single" w:color="000000" w:sz="4" w:space="0"/>
              <w:bottom w:val="single" w:color="000000" w:sz="4" w:space="0"/>
              <w:right w:val="single" w:color="000000" w:sz="4" w:space="0"/>
            </w:tcBorders>
          </w:tcPr>
          <w:p w14:paraId="58E01ADC">
            <w:pPr>
              <w:spacing w:after="110" w:line="246" w:lineRule="auto"/>
              <w:ind w:left="3"/>
            </w:pPr>
            <w:r>
              <w:rPr>
                <w:rFonts w:ascii="Arial" w:hAnsi="Arial" w:eastAsia="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8735C90">
            <w:pPr>
              <w:spacing w:after="218"/>
              <w:ind w:left="3"/>
            </w:pPr>
            <w:r>
              <w:rPr>
                <w:rFonts w:ascii="Arial" w:hAnsi="Arial" w:eastAsia="Arial" w:cs="Arial"/>
                <w:b/>
              </w:rPr>
              <w:t xml:space="preserve">Alternative submission method (if applicable):  </w:t>
            </w:r>
          </w:p>
          <w:p w14:paraId="6CB2D6B4">
            <w:pPr>
              <w:spacing w:after="0"/>
              <w:ind w:left="3" w:right="109"/>
              <w:jc w:val="both"/>
            </w:pPr>
            <w:r>
              <w:rPr>
                <w:rFonts w:ascii="Arial" w:hAnsi="Arial" w:eastAsia="Arial" w:cs="Arial"/>
                <w:b/>
              </w:rPr>
              <w:t xml:space="preserve">Late submission of the assessment will result in a late penalty mark.  </w:t>
            </w:r>
            <w:r>
              <w:rPr>
                <w:rFonts w:ascii="Arial" w:hAnsi="Arial" w:eastAsia="Arial" w:cs="Arial"/>
              </w:rPr>
              <w:t>Penalties for late submission: Up to one week late, maximum mark of 40%. Over one week late, 0%.  Only the Extenuating Circumstances Panel may approve a change to submission dates.</w:t>
            </w:r>
            <w:r>
              <w:rPr>
                <w:rFonts w:ascii="Arial" w:hAnsi="Arial" w:eastAsia="Arial" w:cs="Arial"/>
                <w:b/>
              </w:rPr>
              <w:t xml:space="preserve"> </w:t>
            </w:r>
          </w:p>
        </w:tc>
      </w:tr>
      <w:tr w14:paraId="239766B7">
        <w:tblPrEx>
          <w:tblLayout w:type="fixed"/>
        </w:tblPrEx>
        <w:trPr>
          <w:trHeight w:val="1261"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6EC29986">
            <w:pPr>
              <w:spacing w:after="0"/>
              <w:ind w:right="40"/>
            </w:pPr>
            <w:r>
              <w:rPr>
                <w:rFonts w:ascii="Arial" w:hAnsi="Arial" w:eastAsia="Arial" w:cs="Arial"/>
                <w:b/>
              </w:rPr>
              <w:t xml:space="preserve">Academic honesty / referencing: </w:t>
            </w:r>
          </w:p>
        </w:tc>
        <w:tc>
          <w:tcPr>
            <w:tcW w:w="7833" w:type="dxa"/>
            <w:gridSpan w:val="3"/>
            <w:tcBorders>
              <w:top w:val="single" w:color="000000" w:sz="4" w:space="0"/>
              <w:left w:val="single" w:color="000000" w:sz="4" w:space="0"/>
              <w:bottom w:val="single" w:color="000000" w:sz="4" w:space="0"/>
              <w:right w:val="single" w:color="000000" w:sz="4" w:space="0"/>
            </w:tcBorders>
            <w:vAlign w:val="center"/>
          </w:tcPr>
          <w:p w14:paraId="3A888D09">
            <w:pPr>
              <w:spacing w:after="0"/>
              <w:ind w:left="3" w:right="112"/>
              <w:jc w:val="both"/>
            </w:pPr>
            <w:r>
              <w:rPr>
                <w:rFonts w:ascii="Arial" w:hAnsi="Arial" w:eastAsia="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1D71B5C">
      <w:pPr>
        <w:spacing w:after="0"/>
        <w:rPr>
          <w:rFonts w:ascii="Arial" w:hAnsi="Arial" w:eastAsia="Arial" w:cs="Arial"/>
          <w:sz w:val="32"/>
        </w:rPr>
      </w:pPr>
      <w:r>
        <w:rPr>
          <w:rFonts w:ascii="Arial" w:hAnsi="Arial" w:eastAsia="Arial" w:cs="Arial"/>
          <w:sz w:val="32"/>
        </w:rPr>
        <w:t xml:space="preserve"> </w:t>
      </w:r>
    </w:p>
    <w:p w14:paraId="144170C4">
      <w:pPr>
        <w:spacing w:after="0"/>
      </w:pPr>
    </w:p>
    <w:p w14:paraId="2D8FC89A">
      <w:pPr>
        <w:spacing w:after="0"/>
      </w:pPr>
      <w:r>
        <w:rPr>
          <w:rFonts w:ascii="Arial" w:hAnsi="Arial" w:eastAsia="Arial" w:cs="Arial"/>
          <w:sz w:val="32"/>
        </w:rPr>
        <w:t xml:space="preserve"> </w:t>
      </w:r>
    </w:p>
    <w:tbl>
      <w:tblPr>
        <w:tblStyle w:val="8"/>
        <w:tblW w:w="9747" w:type="dxa"/>
        <w:jc w:val="center"/>
        <w:tblInd w:w="399" w:type="dxa"/>
        <w:tblLayout w:type="fixed"/>
        <w:tblCellMar>
          <w:top w:w="5" w:type="dxa"/>
          <w:left w:w="106" w:type="dxa"/>
          <w:bottom w:w="0" w:type="dxa"/>
          <w:right w:w="115" w:type="dxa"/>
        </w:tblCellMar>
      </w:tblPr>
      <w:tblGrid>
        <w:gridCol w:w="9747"/>
      </w:tblGrid>
      <w:tr w14:paraId="6BFB8ADA">
        <w:tblPrEx>
          <w:tblLayout w:type="fixed"/>
        </w:tblPrEx>
        <w:trPr>
          <w:trHeight w:val="514" w:hRule="atLeast"/>
          <w:jc w:val="center"/>
        </w:trPr>
        <w:tc>
          <w:tcPr>
            <w:tcW w:w="9747" w:type="dxa"/>
            <w:tcBorders>
              <w:top w:val="single" w:color="000000" w:sz="4" w:space="0"/>
              <w:left w:val="single" w:color="000000" w:sz="4" w:space="0"/>
              <w:bottom w:val="single" w:color="000000" w:sz="4" w:space="0"/>
              <w:right w:val="single" w:color="000000" w:sz="4" w:space="0"/>
            </w:tcBorders>
          </w:tcPr>
          <w:p w14:paraId="000F74AC">
            <w:pPr>
              <w:spacing w:after="0"/>
              <w:ind w:right="5942"/>
            </w:pPr>
            <w:r>
              <w:rPr>
                <w:rFonts w:ascii="Arial" w:hAnsi="Arial" w:eastAsia="Arial" w:cs="Arial"/>
                <w:b/>
              </w:rPr>
              <w:t>Module Learning Outcomes  (from module syllabus)</w:t>
            </w:r>
            <w:r>
              <w:rPr>
                <w:rFonts w:ascii="Arial" w:hAnsi="Arial" w:eastAsia="Arial" w:cs="Arial"/>
              </w:rPr>
              <w:t xml:space="preserve"> </w:t>
            </w:r>
          </w:p>
        </w:tc>
      </w:tr>
      <w:tr w14:paraId="27160AF7">
        <w:tblPrEx>
          <w:tblLayout w:type="fixed"/>
        </w:tblPrEx>
        <w:trPr>
          <w:trHeight w:val="1869" w:hRule="atLeast"/>
          <w:jc w:val="center"/>
        </w:trPr>
        <w:tc>
          <w:tcPr>
            <w:tcW w:w="9747" w:type="dxa"/>
            <w:tcBorders>
              <w:top w:val="single" w:color="000000" w:sz="4" w:space="0"/>
              <w:left w:val="single" w:color="000000" w:sz="4" w:space="0"/>
              <w:bottom w:val="single" w:color="000000" w:sz="4" w:space="0"/>
              <w:right w:val="single" w:color="000000" w:sz="4" w:space="0"/>
            </w:tcBorders>
          </w:tcPr>
          <w:p w14:paraId="2C0AB905">
            <w:pPr>
              <w:spacing w:after="17"/>
            </w:pPr>
            <w:r>
              <w:rPr>
                <w:rFonts w:ascii="Arial" w:hAnsi="Arial" w:eastAsia="Arial" w:cs="Arial"/>
              </w:rPr>
              <w:t xml:space="preserve"> </w:t>
            </w:r>
          </w:p>
          <w:p w14:paraId="3268C49E">
            <w:pPr>
              <w:numPr>
                <w:ilvl w:val="0"/>
                <w:numId w:val="1"/>
              </w:numPr>
              <w:spacing w:after="5" w:line="368" w:lineRule="auto"/>
              <w:ind w:right="128"/>
              <w:jc w:val="both"/>
            </w:pPr>
            <w:r>
              <w:rPr>
                <w:rFonts w:ascii="Arial" w:hAnsi="Arial" w:eastAsia="Arial" w:cs="Arial"/>
                <w:sz w:val="24"/>
              </w:rPr>
              <w:t xml:space="preserve">Recognise and evaluate the complexities involved in leading people in organisations and the practical application of leadership theory and principles.  </w:t>
            </w:r>
          </w:p>
          <w:p w14:paraId="784BA608">
            <w:pPr>
              <w:spacing w:after="132"/>
              <w:ind w:left="360"/>
            </w:pPr>
            <w:r>
              <w:rPr>
                <w:rFonts w:ascii="Arial" w:hAnsi="Arial" w:eastAsia="Arial" w:cs="Arial"/>
                <w:sz w:val="24"/>
              </w:rPr>
              <w:t xml:space="preserve"> </w:t>
            </w:r>
          </w:p>
          <w:p w14:paraId="092D696F">
            <w:pPr>
              <w:numPr>
                <w:ilvl w:val="0"/>
                <w:numId w:val="1"/>
              </w:numPr>
              <w:spacing w:after="0" w:line="361" w:lineRule="auto"/>
              <w:ind w:right="128"/>
              <w:jc w:val="both"/>
            </w:pPr>
            <w:r>
              <w:rPr>
                <w:rFonts w:ascii="Arial" w:hAnsi="Arial" w:eastAsia="Arial" w:cs="Arial"/>
                <w:sz w:val="24"/>
              </w:rPr>
              <w:t xml:space="preserve">Critically evaluate the design, and implementation of strategies which are focused on enhancing the effectiveness of people, as both employees and leaders, in order to meet current and future organisational needs. </w:t>
            </w:r>
          </w:p>
          <w:p w14:paraId="2E3289C9">
            <w:pPr>
              <w:spacing w:after="0"/>
            </w:pPr>
            <w:r>
              <w:rPr>
                <w:rFonts w:ascii="Arial" w:hAnsi="Arial" w:eastAsia="Arial" w:cs="Arial"/>
              </w:rPr>
              <w:t xml:space="preserve"> </w:t>
            </w:r>
          </w:p>
          <w:p w14:paraId="63DCC247">
            <w:pPr>
              <w:spacing w:after="0"/>
            </w:pPr>
            <w:r>
              <w:rPr>
                <w:rFonts w:ascii="Arial" w:hAnsi="Arial" w:eastAsia="Arial" w:cs="Arial"/>
              </w:rPr>
              <w:t xml:space="preserve"> </w:t>
            </w:r>
          </w:p>
        </w:tc>
      </w:tr>
    </w:tbl>
    <w:p w14:paraId="40EC3F49">
      <w:pPr>
        <w:rPr>
          <w:rFonts w:hint="default" w:ascii="Times New Roman" w:hAnsi="Times New Roman" w:cs="Times New Roman"/>
          <w:sz w:val="24"/>
          <w:szCs w:val="24"/>
          <w:lang w:val="en-GB"/>
        </w:rPr>
      </w:pPr>
    </w:p>
    <w:p w14:paraId="5E9B5C13">
      <w:pPr>
        <w:rPr>
          <w:rFonts w:hint="default" w:ascii="Times New Roman" w:hAnsi="Times New Roman" w:cs="Times New Roman"/>
          <w:sz w:val="24"/>
          <w:szCs w:val="24"/>
          <w:lang w:val="en-GB"/>
        </w:rPr>
      </w:pPr>
    </w:p>
    <w:p w14:paraId="770A1950">
      <w:pPr>
        <w:rPr>
          <w:rFonts w:hint="default" w:ascii="Times New Roman" w:hAnsi="Times New Roman" w:cs="Times New Roman"/>
          <w:sz w:val="24"/>
          <w:szCs w:val="24"/>
          <w:lang w:val="en-GB"/>
        </w:rPr>
      </w:pPr>
    </w:p>
    <w:p w14:paraId="7B928305">
      <w:pPr>
        <w:rPr>
          <w:rFonts w:hint="default" w:ascii="Times New Roman" w:hAnsi="Times New Roman" w:cs="Times New Roman"/>
          <w:sz w:val="24"/>
          <w:szCs w:val="24"/>
          <w:lang w:val="en-GB"/>
        </w:rPr>
      </w:pPr>
    </w:p>
    <w:p w14:paraId="620CD6B4">
      <w:pPr>
        <w:rPr>
          <w:rFonts w:hint="default" w:ascii="Times New Roman" w:hAnsi="Times New Roman" w:cs="Times New Roman"/>
          <w:sz w:val="24"/>
          <w:szCs w:val="24"/>
          <w:lang w:val="en-GB"/>
        </w:rPr>
      </w:pPr>
    </w:p>
    <w:p w14:paraId="68BE31B6">
      <w:pPr>
        <w:rPr>
          <w:rFonts w:hint="default" w:ascii="Times New Roman" w:hAnsi="Times New Roman" w:cs="Times New Roman"/>
          <w:sz w:val="24"/>
          <w:szCs w:val="24"/>
          <w:lang w:val="en-GB"/>
        </w:rPr>
      </w:pPr>
    </w:p>
    <w:p w14:paraId="597EF8E3">
      <w:pPr>
        <w:rPr>
          <w:rFonts w:hint="default" w:ascii="Times New Roman" w:hAnsi="Times New Roman" w:cs="Times New Roman"/>
          <w:sz w:val="24"/>
          <w:szCs w:val="24"/>
          <w:lang w:val="en-GB"/>
        </w:rPr>
      </w:pPr>
    </w:p>
    <w:p w14:paraId="21671379">
      <w:pPr>
        <w:rPr>
          <w:rFonts w:hint="default" w:ascii="Times New Roman" w:hAnsi="Times New Roman" w:cs="Times New Roman"/>
          <w:sz w:val="24"/>
          <w:szCs w:val="24"/>
          <w:lang w:val="en-GB"/>
        </w:rPr>
      </w:pPr>
    </w:p>
    <w:p w14:paraId="3EACA597">
      <w:pPr>
        <w:rPr>
          <w:rFonts w:hint="default" w:ascii="Times New Roman" w:hAnsi="Times New Roman" w:cs="Times New Roman"/>
          <w:sz w:val="24"/>
          <w:szCs w:val="24"/>
          <w:lang w:val="en-GB"/>
        </w:rPr>
      </w:pPr>
    </w:p>
    <w:p w14:paraId="4D0C846A">
      <w:pPr>
        <w:rPr>
          <w:rFonts w:hint="default" w:ascii="Times New Roman" w:hAnsi="Times New Roman" w:cs="Times New Roman"/>
          <w:sz w:val="24"/>
          <w:szCs w:val="24"/>
          <w:lang w:val="en-GB"/>
        </w:rPr>
      </w:pPr>
    </w:p>
    <w:p w14:paraId="32D7374D">
      <w:pPr>
        <w:rPr>
          <w:rFonts w:hint="default" w:ascii="Times New Roman" w:hAnsi="Times New Roman" w:cs="Times New Roman"/>
          <w:sz w:val="24"/>
          <w:szCs w:val="24"/>
          <w:lang w:val="en-GB"/>
        </w:rPr>
      </w:pPr>
    </w:p>
    <w:p w14:paraId="2C460360">
      <w:pPr>
        <w:rPr>
          <w:rFonts w:hint="default" w:ascii="Times New Roman" w:hAnsi="Times New Roman" w:cs="Times New Roman"/>
          <w:sz w:val="24"/>
          <w:szCs w:val="24"/>
          <w:lang w:val="en-GB"/>
        </w:rPr>
      </w:pPr>
    </w:p>
    <w:p w14:paraId="07526784">
      <w:pPr>
        <w:rPr>
          <w:rFonts w:hint="default" w:ascii="Times New Roman" w:hAnsi="Times New Roman" w:cs="Times New Roman"/>
          <w:sz w:val="24"/>
          <w:szCs w:val="24"/>
          <w:lang w:val="en-GB"/>
        </w:rPr>
      </w:pPr>
    </w:p>
    <w:p w14:paraId="7854BB90">
      <w:pPr>
        <w:rPr>
          <w:rFonts w:hint="default" w:ascii="Times New Roman" w:hAnsi="Times New Roman" w:cs="Times New Roman"/>
          <w:sz w:val="24"/>
          <w:szCs w:val="24"/>
          <w:lang w:val="en-GB"/>
        </w:rPr>
      </w:pPr>
    </w:p>
    <w:p w14:paraId="04A123BB">
      <w:pPr>
        <w:rPr>
          <w:rFonts w:hint="default" w:ascii="Times New Roman" w:hAnsi="Times New Roman" w:cs="Times New Roman"/>
          <w:sz w:val="24"/>
          <w:szCs w:val="24"/>
          <w:lang w:val="en-GB"/>
        </w:rPr>
      </w:pPr>
    </w:p>
    <w:p w14:paraId="7672F984">
      <w:pPr>
        <w:rPr>
          <w:rFonts w:hint="default" w:ascii="Times New Roman" w:hAnsi="Times New Roman" w:cs="Times New Roman"/>
          <w:sz w:val="24"/>
          <w:szCs w:val="24"/>
          <w:lang w:val="en-GB"/>
        </w:rPr>
      </w:pPr>
    </w:p>
    <w:p w14:paraId="797A3F5C">
      <w:pPr>
        <w:rPr>
          <w:rFonts w:hint="default" w:ascii="Times New Roman" w:hAnsi="Times New Roman" w:cs="Times New Roman"/>
          <w:sz w:val="24"/>
          <w:szCs w:val="24"/>
          <w:lang w:val="en-GB"/>
        </w:rPr>
      </w:pPr>
    </w:p>
    <w:p w14:paraId="5FB41388">
      <w:pPr>
        <w:rPr>
          <w:rFonts w:hint="default" w:ascii="Times New Roman" w:hAnsi="Times New Roman" w:cs="Times New Roman"/>
          <w:sz w:val="24"/>
          <w:szCs w:val="24"/>
          <w:lang w:val="en-GB"/>
        </w:rPr>
      </w:pPr>
    </w:p>
    <w:p w14:paraId="5721D14B">
      <w:pPr>
        <w:rPr>
          <w:rFonts w:hint="default" w:ascii="Times New Roman" w:hAnsi="Times New Roman" w:cs="Times New Roman"/>
          <w:sz w:val="24"/>
          <w:szCs w:val="24"/>
          <w:lang w:val="en-GB"/>
        </w:rPr>
      </w:pPr>
    </w:p>
    <w:p w14:paraId="62A3C871">
      <w:pPr>
        <w:rPr>
          <w:rFonts w:hint="default" w:ascii="Times New Roman" w:hAnsi="Times New Roman" w:cs="Times New Roman"/>
          <w:sz w:val="24"/>
          <w:szCs w:val="24"/>
          <w:lang w:val="en-GB"/>
        </w:rPr>
      </w:pPr>
    </w:p>
    <w:p w14:paraId="514F3B73">
      <w:pPr>
        <w:rPr>
          <w:rFonts w:hint="default" w:ascii="Times New Roman" w:hAnsi="Times New Roman" w:cs="Times New Roman"/>
          <w:sz w:val="24"/>
          <w:szCs w:val="24"/>
          <w:lang w:val="en-GB"/>
        </w:rPr>
      </w:pPr>
    </w:p>
    <w:p w14:paraId="66ED3799">
      <w:pPr>
        <w:rPr>
          <w:rFonts w:hint="default" w:ascii="Times New Roman" w:hAnsi="Times New Roman" w:cs="Times New Roman"/>
          <w:sz w:val="24"/>
          <w:szCs w:val="24"/>
          <w:lang w:val="en-GB"/>
        </w:rPr>
      </w:pPr>
    </w:p>
    <w:p w14:paraId="6C1E9612">
      <w:pPr>
        <w:rPr>
          <w:rFonts w:hint="default" w:ascii="Times New Roman" w:hAnsi="Times New Roman" w:cs="Times New Roman"/>
          <w:sz w:val="24"/>
          <w:szCs w:val="24"/>
          <w:lang w:val="en-GB"/>
        </w:rPr>
      </w:pPr>
    </w:p>
    <w:p w14:paraId="0CCA88FE">
      <w:pPr>
        <w:rPr>
          <w:rFonts w:hint="default" w:ascii="Times New Roman" w:hAnsi="Times New Roman" w:cs="Times New Roman"/>
          <w:sz w:val="24"/>
          <w:szCs w:val="24"/>
          <w:lang w:val="en-GB"/>
        </w:rPr>
      </w:pPr>
    </w:p>
    <w:p w14:paraId="7C9C8B6F">
      <w:pPr>
        <w:rPr>
          <w:rFonts w:hint="default" w:ascii="Times New Roman" w:hAnsi="Times New Roman" w:cs="Times New Roman"/>
          <w:sz w:val="24"/>
          <w:szCs w:val="24"/>
          <w:lang w:val="en-GB"/>
        </w:rPr>
      </w:pPr>
    </w:p>
    <w:p w14:paraId="0011317D">
      <w:pPr>
        <w:rPr>
          <w:rFonts w:hint="default" w:ascii="Times New Roman" w:hAnsi="Times New Roman" w:cs="Times New Roman"/>
          <w:sz w:val="24"/>
          <w:szCs w:val="24"/>
          <w:lang w:val="en-GB"/>
        </w:rPr>
      </w:pPr>
    </w:p>
    <w:p w14:paraId="383E2CCC">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TABLE OF CONTENT </w:t>
      </w:r>
    </w:p>
    <w:p w14:paraId="46A79353">
      <w:pPr>
        <w:rPr>
          <w:rFonts w:hint="default" w:ascii="Times New Roman" w:hAnsi="Times New Roman" w:cs="Times New Roman"/>
          <w:sz w:val="24"/>
          <w:szCs w:val="24"/>
          <w:lang w:val="en-GB"/>
        </w:rPr>
      </w:pPr>
    </w:p>
    <w:p w14:paraId="0ADB4EB8">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1.0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Introduction to PROTON…………………………………………4</w:t>
      </w:r>
    </w:p>
    <w:p w14:paraId="30082C1D">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2.0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PROTON Recruitment and Talent Management………………….5</w:t>
      </w:r>
    </w:p>
    <w:p w14:paraId="7AE112F7">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3.0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PROTON Training and Development…………………………….6</w:t>
      </w:r>
    </w:p>
    <w:p w14:paraId="2938F262">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4.0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Introduction to Toyota……………………….……………………7</w:t>
      </w:r>
    </w:p>
    <w:p w14:paraId="7EFED222">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5.0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Toyota Recruitment and Talent Management…………………….9</w:t>
      </w:r>
    </w:p>
    <w:p w14:paraId="59E4ECA5">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6.0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Toyota Training and Development……………………………….10</w:t>
      </w:r>
    </w:p>
    <w:p w14:paraId="6ECAA3D9">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7.0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Comparative Analysis of Recruitment, Talent Management, and Training and Development………………………………………………….…………….11</w:t>
      </w:r>
    </w:p>
    <w:p w14:paraId="69AE0A71">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7.1</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Recruitment and Talent Management………………….………….11</w:t>
      </w:r>
    </w:p>
    <w:p w14:paraId="15D514C4">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7.2</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Training and Development…………………………………….….11</w:t>
      </w:r>
    </w:p>
    <w:p w14:paraId="2A31E6E5">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7.3</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Overall Comparison………………………………………………12</w:t>
      </w:r>
    </w:p>
    <w:p w14:paraId="447F9994">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8.0 </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Conclusion……………………………………..…………………13</w:t>
      </w:r>
    </w:p>
    <w:p w14:paraId="0C9EED1D">
      <w:pPr>
        <w:rPr>
          <w:rFonts w:hint="eastAsia"/>
        </w:rPr>
      </w:pPr>
      <w:r>
        <w:rPr>
          <w:rFonts w:hint="default" w:ascii="Times New Roman" w:hAnsi="Times New Roman" w:cs="Times New Roman"/>
          <w:sz w:val="24"/>
          <w:szCs w:val="24"/>
          <w:lang w:val="en-GB"/>
        </w:rPr>
        <w:t>References………………………………………………………………….14</w:t>
      </w:r>
    </w:p>
    <w:p w14:paraId="07EC9CF1">
      <w:pPr>
        <w:rPr>
          <w:rFonts w:hint="default" w:ascii="Times New Roman" w:hAnsi="Times New Roman" w:cs="Times New Roman"/>
          <w:sz w:val="24"/>
          <w:szCs w:val="24"/>
          <w:lang w:val="en-GB"/>
        </w:rPr>
      </w:pPr>
    </w:p>
    <w:p w14:paraId="5DB6958B">
      <w:pPr>
        <w:rPr>
          <w:rFonts w:hint="eastAsia"/>
        </w:rPr>
      </w:pPr>
    </w:p>
    <w:p w14:paraId="1361DDAC">
      <w:pPr>
        <w:rPr>
          <w:rFonts w:hint="eastAsia"/>
        </w:rPr>
      </w:pPr>
    </w:p>
    <w:p w14:paraId="62340705">
      <w:pPr>
        <w:rPr>
          <w:rFonts w:hint="eastAsia"/>
        </w:rPr>
      </w:pPr>
    </w:p>
    <w:p w14:paraId="4CE06869">
      <w:pPr>
        <w:rPr>
          <w:rFonts w:hint="eastAsia"/>
        </w:rPr>
      </w:pPr>
    </w:p>
    <w:p w14:paraId="1ED70A24">
      <w:pPr>
        <w:rPr>
          <w:rFonts w:hint="eastAsia"/>
        </w:rPr>
      </w:pPr>
    </w:p>
    <w:p w14:paraId="567ACFF0">
      <w:pPr>
        <w:rPr>
          <w:rFonts w:hint="eastAsia"/>
        </w:rPr>
      </w:pPr>
    </w:p>
    <w:p w14:paraId="08EE2A08">
      <w:pPr>
        <w:rPr>
          <w:rFonts w:hint="eastAsia"/>
        </w:rPr>
      </w:pPr>
    </w:p>
    <w:p w14:paraId="7527380B">
      <w:pPr>
        <w:rPr>
          <w:rFonts w:hint="eastAsia"/>
        </w:rPr>
      </w:pPr>
    </w:p>
    <w:p w14:paraId="6B6EA348">
      <w:pPr>
        <w:rPr>
          <w:rFonts w:hint="eastAsia"/>
        </w:rPr>
      </w:pPr>
    </w:p>
    <w:p w14:paraId="73951DE9">
      <w:pPr>
        <w:rPr>
          <w:rFonts w:hint="eastAsia"/>
        </w:rPr>
      </w:pPr>
    </w:p>
    <w:p w14:paraId="54B49C45">
      <w:pPr>
        <w:rPr>
          <w:rFonts w:hint="eastAsia"/>
        </w:rPr>
      </w:pPr>
    </w:p>
    <w:p w14:paraId="223E7E6A">
      <w:pPr>
        <w:rPr>
          <w:rFonts w:hint="eastAsia"/>
        </w:rPr>
      </w:pPr>
    </w:p>
    <w:p w14:paraId="5B1E970B">
      <w:pPr>
        <w:rPr>
          <w:rFonts w:hint="eastAsia"/>
        </w:rPr>
      </w:pPr>
    </w:p>
    <w:p w14:paraId="27632403">
      <w:pPr>
        <w:rPr>
          <w:rFonts w:hint="eastAsia"/>
        </w:rPr>
      </w:pPr>
    </w:p>
    <w:p w14:paraId="2AFDB25F">
      <w:pPr>
        <w:rPr>
          <w:rFonts w:hint="eastAsia"/>
        </w:rPr>
      </w:pPr>
    </w:p>
    <w:p w14:paraId="7D6D3FAC">
      <w:pPr>
        <w:rPr>
          <w:rFonts w:hint="eastAsia"/>
        </w:rPr>
      </w:pPr>
    </w:p>
    <w:p w14:paraId="0D6E9396">
      <w:pPr>
        <w:rPr>
          <w:rFonts w:hint="eastAsia"/>
        </w:rPr>
      </w:pPr>
    </w:p>
    <w:p w14:paraId="163F72CB">
      <w:pPr>
        <w:rPr>
          <w:rFonts w:hint="eastAsia"/>
        </w:rPr>
      </w:pPr>
    </w:p>
    <w:p w14:paraId="6487758B">
      <w:pPr>
        <w:rPr>
          <w:rFonts w:hint="eastAsia"/>
        </w:rPr>
      </w:pPr>
    </w:p>
    <w:p w14:paraId="30B52675">
      <w:pPr>
        <w:rPr>
          <w:rFonts w:hint="eastAsia"/>
        </w:rPr>
      </w:pPr>
    </w:p>
    <w:p w14:paraId="07E49555">
      <w:pPr>
        <w:rPr>
          <w:rFonts w:hint="eastAsia"/>
        </w:rPr>
      </w:pPr>
    </w:p>
    <w:p w14:paraId="6C41FE3B">
      <w:pPr>
        <w:rPr>
          <w:rFonts w:hint="eastAsia"/>
        </w:rPr>
      </w:pPr>
    </w:p>
    <w:p w14:paraId="7B793061">
      <w:pPr>
        <w:rPr>
          <w:rFonts w:hint="eastAsia"/>
        </w:rPr>
      </w:pPr>
    </w:p>
    <w:p w14:paraId="7105DAC3">
      <w:pPr>
        <w:rPr>
          <w:rFonts w:hint="eastAsia"/>
        </w:rPr>
      </w:pPr>
    </w:p>
    <w:p w14:paraId="193932BD">
      <w:pPr>
        <w:rPr>
          <w:rFonts w:hint="eastAsia"/>
        </w:rPr>
      </w:pPr>
      <w:bookmarkStart w:id="1" w:name="_GoBack"/>
      <w:bookmarkEnd w:id="1"/>
    </w:p>
    <w:p w14:paraId="19E7463E">
      <w:pPr>
        <w:rPr>
          <w:rFonts w:hint="eastAsia"/>
        </w:rPr>
      </w:pPr>
    </w:p>
    <w:p w14:paraId="04190322">
      <w:pPr>
        <w:rPr>
          <w:rFonts w:hint="eastAsia"/>
        </w:rPr>
      </w:pPr>
    </w:p>
    <w:p w14:paraId="7F480BAC">
      <w:pPr>
        <w:rPr>
          <w:rFonts w:hint="eastAsia"/>
        </w:rPr>
      </w:pPr>
    </w:p>
    <w:p w14:paraId="7FC8556E">
      <w:pPr>
        <w:rPr>
          <w:rFonts w:hint="eastAsia"/>
        </w:rPr>
      </w:pPr>
    </w:p>
    <w:p w14:paraId="7AE473F4">
      <w:pPr>
        <w:rPr>
          <w:rFonts w:hint="default" w:ascii="Times New Roman" w:hAnsi="Times New Roman" w:cs="Times New Roman"/>
          <w:sz w:val="24"/>
          <w:szCs w:val="24"/>
          <w:lang w:val="en-GB"/>
        </w:rPr>
      </w:pPr>
      <w:r>
        <w:rPr>
          <w:rFonts w:hint="default"/>
          <w:lang w:val="en-GB"/>
        </w:rPr>
        <w:t>1.0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Introduction to PROTON</w:t>
      </w:r>
    </w:p>
    <w:p w14:paraId="44997580">
      <w:pPr>
        <w:rPr>
          <w:rFonts w:hint="default" w:ascii="Times New Roman" w:hAnsi="Times New Roman" w:cs="Times New Roman"/>
          <w:sz w:val="24"/>
          <w:szCs w:val="24"/>
        </w:rPr>
      </w:pPr>
    </w:p>
    <w:p w14:paraId="2BB80ED7">
      <w:pPr>
        <w:spacing w:line="360" w:lineRule="auto"/>
        <w:ind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In a similar fashion, another division has been established, known as Perusahaan Otomobil Nasional Sdn. (PROTON). National Automotive Company of Malaysia (NMC), better known as Bhd., is a car company found in Malaysia in 1983. In an industry which is undergoing very rapid technology changes, PROTON relies greatly on its skilled workforce comprising engineers, technical specialists, managers and young professionals. Developing an EV workforce and advanced manufacturing and digital skills has become even more critical as a result of the transformation of the EV industry.</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 xml:space="preserve">The need for a skilled workforce that can meet evolving industry needs has grown more urgent due to the change in the EV industry. Thus, recruitment, the management of talent, training and development are now part of PROTON's people strategy. From PROTON's own words, it strives to cultivate its employees through opportunities, a high performance culture and PROTON TARI (teamwork, achiever, respect and integrity) values (PROTON, 2026). </w:t>
      </w:r>
    </w:p>
    <w:p w14:paraId="6EB77DED">
      <w:pPr>
        <w:spacing w:line="360" w:lineRule="auto"/>
        <w:rPr>
          <w:rFonts w:hint="default" w:ascii="Times New Roman" w:hAnsi="Times New Roman" w:cs="Times New Roman"/>
          <w:sz w:val="24"/>
          <w:szCs w:val="24"/>
        </w:rPr>
      </w:pPr>
    </w:p>
    <w:p w14:paraId="62DC1B59">
      <w:pPr>
        <w:spacing w:line="360" w:lineRule="auto"/>
        <w:ind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PROTON's approach to people is especially dedicated to nurturing Malaysian talent and at the same time importing external skills as needed. This is crucial for the automotive industry as technical expertise and employees who are technology-adaptable are both needed. PROTON states that it had employed over 3,000 staff over the past 4-5 years and had also been developing its internal career progression and promotion (PROTON, 2024a). As a result, the company's strategy is less focused on recruiting only external talent, but also cultivates their internal talent.</w:t>
      </w:r>
    </w:p>
    <w:p w14:paraId="484352B7">
      <w:pPr>
        <w:spacing w:line="360" w:lineRule="auto"/>
        <w:ind w:leftChars="200" w:firstLine="420" w:firstLineChars="200"/>
        <w:rPr>
          <w:rFonts w:hint="default" w:ascii="Times New Roman" w:hAnsi="Times New Roman" w:cs="Times New Roman"/>
          <w:sz w:val="24"/>
          <w:szCs w:val="24"/>
        </w:rPr>
      </w:pPr>
    </w:p>
    <w:p w14:paraId="53B879E1">
      <w:pPr>
        <w:spacing w:line="360" w:lineRule="auto"/>
        <w:ind w:leftChars="200" w:firstLine="420" w:firstLineChars="200"/>
        <w:rPr>
          <w:rFonts w:hint="default" w:ascii="Times New Roman" w:hAnsi="Times New Roman" w:cs="Times New Roman"/>
          <w:sz w:val="24"/>
          <w:szCs w:val="24"/>
        </w:rPr>
      </w:pPr>
    </w:p>
    <w:p w14:paraId="752DD6D1">
      <w:pPr>
        <w:spacing w:line="360" w:lineRule="auto"/>
        <w:ind w:leftChars="200" w:firstLine="420" w:firstLineChars="200"/>
        <w:rPr>
          <w:rFonts w:hint="default" w:ascii="Times New Roman" w:hAnsi="Times New Roman" w:cs="Times New Roman"/>
          <w:sz w:val="24"/>
          <w:szCs w:val="24"/>
        </w:rPr>
      </w:pPr>
    </w:p>
    <w:p w14:paraId="1FCCBA1F">
      <w:pPr>
        <w:spacing w:line="360" w:lineRule="auto"/>
        <w:ind w:leftChars="200" w:firstLine="420" w:firstLineChars="200"/>
        <w:rPr>
          <w:rFonts w:hint="default" w:ascii="Times New Roman" w:hAnsi="Times New Roman" w:cs="Times New Roman"/>
          <w:sz w:val="24"/>
          <w:szCs w:val="24"/>
        </w:rPr>
      </w:pPr>
    </w:p>
    <w:p w14:paraId="2619DAAA">
      <w:pPr>
        <w:spacing w:line="360" w:lineRule="auto"/>
        <w:ind w:leftChars="200" w:firstLine="420" w:firstLineChars="200"/>
        <w:rPr>
          <w:rFonts w:hint="default" w:ascii="Times New Roman" w:hAnsi="Times New Roman" w:cs="Times New Roman"/>
          <w:sz w:val="24"/>
          <w:szCs w:val="24"/>
        </w:rPr>
      </w:pPr>
    </w:p>
    <w:p w14:paraId="4E771210">
      <w:pPr>
        <w:spacing w:line="360" w:lineRule="auto"/>
        <w:ind w:left="0" w:leftChars="0" w:firstLine="0" w:firstLineChars="0"/>
        <w:rPr>
          <w:rFonts w:hint="default" w:ascii="Times New Roman" w:hAnsi="Times New Roman" w:cs="Times New Roman"/>
          <w:sz w:val="24"/>
          <w:szCs w:val="24"/>
        </w:rPr>
      </w:pPr>
    </w:p>
    <w:p w14:paraId="12D1C8A6">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2.0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PROTON Recruitment and Talent Management</w:t>
      </w:r>
    </w:p>
    <w:p w14:paraId="2ECBF1DE">
      <w:pPr>
        <w:spacing w:line="360" w:lineRule="auto"/>
        <w:ind w:left="0" w:leftChars="0" w:firstLine="0" w:firstLineChars="0"/>
        <w:rPr>
          <w:rFonts w:hint="default" w:ascii="Times New Roman" w:hAnsi="Times New Roman" w:cs="Times New Roman"/>
          <w:sz w:val="24"/>
          <w:szCs w:val="24"/>
          <w:lang w:val="en-GB"/>
        </w:rPr>
      </w:pPr>
    </w:p>
    <w:p w14:paraId="4B471B29">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It turns out PROTON has several strategies to draw and engage potential workers. The PROTON Young Talent (PYT) Programme is one of the crucial initiatives launched in 2018, designed for recruitment and development of high-potential young graduates. The programme aims to be a fast track development programme and introduce the participants to various aspects of the organisation. According to the career information of PROTON, onboarding, classroom training, job attachment, projects, coaching, performance review, and a 5-year career path framework are included in PYT. </w:t>
      </w:r>
    </w:p>
    <w:p w14:paraId="6D21102E">
      <w:pPr>
        <w:spacing w:line="360" w:lineRule="auto"/>
        <w:ind w:left="0" w:leftChars="200" w:firstLine="420" w:firstLineChars="200"/>
        <w:rPr>
          <w:rFonts w:hint="default" w:ascii="Times New Roman" w:hAnsi="Times New Roman" w:cs="Times New Roman"/>
          <w:sz w:val="24"/>
          <w:szCs w:val="24"/>
        </w:rPr>
      </w:pPr>
    </w:p>
    <w:p w14:paraId="1CCDD9B2">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This is an example of how PROTON thinks of recruiting as more than just filling jobs. On the contrary, recruitment is linked to longer term talent management. CIPD (2025) defines talent management as the attraction, identification, development, engagement, retention and deployment of individuals as organisations' assets.  This is a characteristic of PROTON's PYT programme as graduates are not only recruited and placed into a permanent role. They get exposure to various functions in advance of their position development.</w:t>
      </w:r>
    </w:p>
    <w:p w14:paraId="7CEDB699">
      <w:pPr>
        <w:spacing w:line="360" w:lineRule="auto"/>
        <w:ind w:left="0" w:leftChars="200" w:firstLine="420" w:firstLineChars="200"/>
        <w:rPr>
          <w:rFonts w:hint="default" w:ascii="Times New Roman" w:hAnsi="Times New Roman" w:cs="Times New Roman"/>
          <w:sz w:val="24"/>
          <w:szCs w:val="24"/>
        </w:rPr>
      </w:pPr>
    </w:p>
    <w:p w14:paraId="14C2ECA1">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The recruitment has also gone beyond the traditional approach. PROTON was responsible for hosting a Business Case Study Challenge with nearly 300 University students in 2024. Conditional offers to participate in the PYT programme (PROTON, 2024b) might be extended to high performing participants.  In this process, PROTON will be able to see the candidate's problem solving skills, team working skills, analytical and presentation skills before he/she is hired. As a result, the organisation will be able to determine candidates according to skills that apply to business situations, also academic qualifications.</w:t>
      </w:r>
    </w:p>
    <w:p w14:paraId="01558C6F">
      <w:pPr>
        <w:spacing w:line="360" w:lineRule="auto"/>
        <w:ind w:left="0" w:leftChars="0" w:firstLine="0" w:firstLineChars="0"/>
        <w:rPr>
          <w:rFonts w:hint="default" w:ascii="Times New Roman" w:hAnsi="Times New Roman" w:cs="Times New Roman"/>
          <w:sz w:val="24"/>
          <w:szCs w:val="24"/>
        </w:rPr>
      </w:pPr>
    </w:p>
    <w:p w14:paraId="0A6A713F">
      <w:pPr>
        <w:spacing w:line="360" w:lineRule="auto"/>
        <w:ind w:left="0" w:leftChars="0" w:firstLine="0" w:firstLineChars="0"/>
        <w:rPr>
          <w:rFonts w:hint="default" w:ascii="Times New Roman" w:hAnsi="Times New Roman" w:cs="Times New Roman"/>
          <w:sz w:val="24"/>
          <w:szCs w:val="24"/>
        </w:rPr>
      </w:pPr>
    </w:p>
    <w:p w14:paraId="341D8753">
      <w:pPr>
        <w:spacing w:line="360" w:lineRule="auto"/>
        <w:ind w:left="0" w:leftChars="0" w:firstLine="0" w:firstLineChars="0"/>
        <w:rPr>
          <w:rFonts w:hint="default" w:ascii="Times New Roman" w:hAnsi="Times New Roman" w:cs="Times New Roman"/>
          <w:sz w:val="24"/>
          <w:szCs w:val="24"/>
        </w:rPr>
      </w:pPr>
    </w:p>
    <w:p w14:paraId="3E1E3044">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In addition, to adapt to automotive industry changes, PROTON has boosted its recruitment efforts. In 2025, the company initiated a recruitment campaign in collaboration with institutions like SOCSO and ADTEC to reach out to job seekers and nurturing automotive skills (PROTON, 2025a).  This is important as the automotive workforce of the future needs to be equipped with skills in the areas of electrification, digitisation and advanced manufacturing.</w:t>
      </w:r>
    </w:p>
    <w:p w14:paraId="6BB22C10">
      <w:pPr>
        <w:spacing w:line="360" w:lineRule="auto"/>
        <w:ind w:left="0" w:leftChars="200" w:firstLine="420" w:firstLineChars="200"/>
        <w:rPr>
          <w:rFonts w:hint="default" w:ascii="Times New Roman" w:hAnsi="Times New Roman" w:cs="Times New Roman"/>
          <w:sz w:val="24"/>
          <w:szCs w:val="24"/>
        </w:rPr>
      </w:pPr>
    </w:p>
    <w:p w14:paraId="089C3B99">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Another example of how effective PROTON has proven in talent management is the focus on development internally. In 2024, PROTON planned to hire about 10% – 20% of the staff in its recruitment initiatives at various levels, via internal promotions (PROTON, 2024a).  This can help with employee retention as they'll be able to see how they have the potential to rise within the organisation. The CIPD (2025) also states that career development, succession planning and opportunities for progression may be other key parts of good talent management.</w:t>
      </w:r>
    </w:p>
    <w:p w14:paraId="7D5FAC22">
      <w:pPr>
        <w:spacing w:line="360" w:lineRule="auto"/>
        <w:ind w:left="0" w:leftChars="200" w:firstLine="420" w:firstLineChars="200"/>
        <w:rPr>
          <w:rFonts w:hint="default" w:ascii="Times New Roman" w:hAnsi="Times New Roman" w:cs="Times New Roman"/>
          <w:sz w:val="24"/>
          <w:szCs w:val="24"/>
        </w:rPr>
      </w:pPr>
    </w:p>
    <w:p w14:paraId="00F755D8">
      <w:pPr>
        <w:spacing w:line="360" w:lineRule="auto"/>
        <w:ind w:left="0" w:leftChars="0" w:firstLine="0" w:firstLineChars="0"/>
        <w:rPr>
          <w:rFonts w:hint="default" w:ascii="Times New Roman" w:hAnsi="Times New Roman" w:cs="Times New Roman"/>
          <w:sz w:val="24"/>
          <w:szCs w:val="24"/>
          <w:lang w:val="en-GB"/>
        </w:rPr>
      </w:pPr>
    </w:p>
    <w:p w14:paraId="37F2FAEB">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3.0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PROTON Training and Development</w:t>
      </w:r>
    </w:p>
    <w:p w14:paraId="0C8CF3C3">
      <w:pPr>
        <w:spacing w:line="360" w:lineRule="auto"/>
        <w:ind w:left="0" w:leftChars="0" w:firstLine="0" w:firstLineChars="0"/>
        <w:rPr>
          <w:rFonts w:hint="default" w:ascii="Times New Roman" w:hAnsi="Times New Roman" w:cs="Times New Roman"/>
          <w:sz w:val="24"/>
          <w:szCs w:val="24"/>
          <w:lang w:val="en-GB"/>
        </w:rPr>
      </w:pPr>
    </w:p>
    <w:p w14:paraId="7DDD79FA">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Another key component of PROTON's people strategy is training and development. The company has put in a significant effort to the development of its employees, especially in the field of auto technology which is rapidly evolving. According to PROTON, the investment in its training and development programmes since 2022 was over RM9.4 million and the firm provided over 100,000 training hours each year on average (PROTON 2024c). </w:t>
      </w:r>
    </w:p>
    <w:p w14:paraId="75FB4C20">
      <w:pPr>
        <w:spacing w:line="360" w:lineRule="auto"/>
        <w:ind w:left="0" w:leftChars="200" w:firstLine="420" w:firstLineChars="200"/>
        <w:rPr>
          <w:rFonts w:hint="default" w:ascii="Times New Roman" w:hAnsi="Times New Roman" w:cs="Times New Roman"/>
          <w:sz w:val="24"/>
          <w:szCs w:val="24"/>
        </w:rPr>
      </w:pPr>
    </w:p>
    <w:p w14:paraId="69E0E221">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The PYT programme is a good example of the training method used by PROTON, which is very structured. The onboarding programmes focus on young employees, and are followed by classroom sessions and visits to the plant, before they are attached to jobs in core areas including manufacturing, engineering and technical functions, commercial activities and HR. Every participant will also have a project coach. The programme then offers a 5-year career development plan to include job rotation, coaching and annual performance assessment (PROTON, 2026). </w:t>
      </w:r>
    </w:p>
    <w:p w14:paraId="46B2DF78">
      <w:pPr>
        <w:spacing w:line="360" w:lineRule="auto"/>
        <w:ind w:left="0" w:leftChars="200" w:firstLine="420" w:firstLineChars="200"/>
        <w:rPr>
          <w:rFonts w:hint="default" w:ascii="Times New Roman" w:hAnsi="Times New Roman" w:cs="Times New Roman"/>
          <w:sz w:val="24"/>
          <w:szCs w:val="24"/>
        </w:rPr>
      </w:pPr>
    </w:p>
    <w:p w14:paraId="0DF43529">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Job rotation can be advantageous because it enables staff to learn about the various aspects of the organisation and gives them the opportunity to become not limited to one role. It also can build cross functional knowledge and equip employees for future leadership roles. In addition, as of 2025, PROTON has recruited 311 young people from 27 batches and offered exposure in various fields, including advanced manufacturing, sales and operations (PROTON, 2025b). </w:t>
      </w:r>
    </w:p>
    <w:p w14:paraId="411F924B">
      <w:pPr>
        <w:spacing w:line="360" w:lineRule="auto"/>
        <w:ind w:left="0" w:leftChars="200" w:firstLine="420" w:firstLineChars="200"/>
        <w:rPr>
          <w:rFonts w:hint="default" w:ascii="Times New Roman" w:hAnsi="Times New Roman" w:cs="Times New Roman"/>
          <w:sz w:val="24"/>
          <w:szCs w:val="24"/>
        </w:rPr>
      </w:pPr>
    </w:p>
    <w:p w14:paraId="1C39BD37">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Training is also becoming more and more linked to future automotive technologies. PROTON has formed partnerships and training programmes on EV and advanced automotive technologies. For instance, in 2026, over 50 Malaysian workers had been trained in China to return to Malaysia with advanced manufacturing knowledge under the Advanced Powertrain Factory, a PROTON initiative (PROTON 2026b).  This shows you can learn about international exposure in the context of employee development.</w:t>
      </w:r>
    </w:p>
    <w:p w14:paraId="4F5D90C6">
      <w:pPr>
        <w:spacing w:line="360" w:lineRule="auto"/>
        <w:ind w:left="0" w:leftChars="200" w:firstLine="420" w:firstLineChars="200"/>
        <w:rPr>
          <w:rFonts w:hint="default" w:ascii="Times New Roman" w:hAnsi="Times New Roman" w:cs="Times New Roman"/>
          <w:sz w:val="24"/>
          <w:szCs w:val="24"/>
        </w:rPr>
      </w:pPr>
    </w:p>
    <w:p w14:paraId="6811F4CF">
      <w:pPr>
        <w:spacing w:line="360" w:lineRule="auto"/>
        <w:ind w:left="0" w:leftChars="200" w:firstLine="420" w:firstLineChars="200"/>
        <w:rPr>
          <w:rFonts w:hint="default" w:ascii="Times New Roman" w:hAnsi="Times New Roman" w:cs="Times New Roman"/>
          <w:sz w:val="24"/>
          <w:szCs w:val="24"/>
          <w:lang w:val="en-GB"/>
        </w:rPr>
      </w:pPr>
      <w:r>
        <w:rPr>
          <w:rFonts w:hint="default" w:ascii="Times New Roman" w:hAnsi="Times New Roman" w:cs="Times New Roman"/>
          <w:sz w:val="24"/>
          <w:szCs w:val="24"/>
        </w:rPr>
        <w:t>This mirrors the CIPD (2025) position from a human resource point of view that learning and development should link to what the organisation currently and/or future needs in terms of its capability. Learning needs analysis should highlight any skills gaps between the current skills of the employees and those required in the future (CIPD, 2025).  The training strategy is becoming more attuned to the future needs for EVs, digital skills, and advanced manufacturing, as seen in the training focus on PROTON's EVs, its digital skills training, and its advanced manufacturing training.</w:t>
      </w:r>
    </w:p>
    <w:p w14:paraId="4E1F85BF">
      <w:pPr>
        <w:rPr>
          <w:rFonts w:hint="default" w:ascii="Times New Roman" w:hAnsi="Times New Roman" w:cs="Times New Roman"/>
          <w:sz w:val="24"/>
          <w:szCs w:val="24"/>
        </w:rPr>
      </w:pPr>
    </w:p>
    <w:p w14:paraId="4C0CFF35">
      <w:pPr>
        <w:rPr>
          <w:rFonts w:hint="default" w:ascii="Times New Roman" w:hAnsi="Times New Roman" w:cs="Times New Roman"/>
          <w:sz w:val="24"/>
          <w:szCs w:val="24"/>
        </w:rPr>
      </w:pPr>
    </w:p>
    <w:p w14:paraId="20412D0B">
      <w:pPr>
        <w:rPr>
          <w:rFonts w:hint="default" w:ascii="Times New Roman" w:hAnsi="Times New Roman" w:cs="Times New Roman"/>
          <w:sz w:val="24"/>
          <w:szCs w:val="24"/>
        </w:rPr>
      </w:pPr>
    </w:p>
    <w:p w14:paraId="5A27B690">
      <w:pPr>
        <w:rPr>
          <w:rFonts w:hint="default" w:ascii="Times New Roman" w:hAnsi="Times New Roman" w:cs="Times New Roman"/>
          <w:sz w:val="24"/>
          <w:szCs w:val="24"/>
        </w:rPr>
      </w:pPr>
    </w:p>
    <w:p w14:paraId="1A4139D6">
      <w:pPr>
        <w:rPr>
          <w:rFonts w:hint="default" w:ascii="Times New Roman" w:hAnsi="Times New Roman" w:cs="Times New Roman"/>
          <w:sz w:val="24"/>
          <w:szCs w:val="24"/>
        </w:rPr>
      </w:pPr>
    </w:p>
    <w:p w14:paraId="1193D555">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4.0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Introduction to Toyota</w:t>
      </w:r>
    </w:p>
    <w:p w14:paraId="1B8FD5D0">
      <w:pPr>
        <w:spacing w:line="360" w:lineRule="auto"/>
        <w:rPr>
          <w:rFonts w:hint="default" w:ascii="Times New Roman" w:hAnsi="Times New Roman" w:cs="Times New Roman"/>
          <w:sz w:val="24"/>
          <w:szCs w:val="24"/>
          <w:lang w:val="en-GB"/>
        </w:rPr>
      </w:pPr>
    </w:p>
    <w:p w14:paraId="1BD718FA">
      <w:pPr>
        <w:spacing w:line="360" w:lineRule="auto"/>
        <w:ind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Toyota is a foremost automobile business firm from Japan and worldwide. It has a strong philosophy on people development, continuous improvement and human resources and manufacturing excellence. Toyota's HR philosophy is "Manufacturing is based on developing people. The company recognizes that employees are valuable assets of the organisation, and aims to provide conditions under which employees can face challenges and grow in their careers (Toyota Motor Corporation, 2025). </w:t>
      </w:r>
    </w:p>
    <w:p w14:paraId="084CECE5">
      <w:pPr>
        <w:spacing w:line="360" w:lineRule="auto"/>
        <w:ind w:leftChars="200" w:firstLine="480" w:firstLineChars="200"/>
        <w:rPr>
          <w:rFonts w:hint="default" w:ascii="Times New Roman" w:hAnsi="Times New Roman" w:cs="Times New Roman"/>
          <w:sz w:val="24"/>
          <w:szCs w:val="24"/>
        </w:rPr>
      </w:pPr>
    </w:p>
    <w:p w14:paraId="7AEFDC2C">
      <w:pPr>
        <w:spacing w:line="360" w:lineRule="auto"/>
        <w:ind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In a highly competitive global automotive market facing significant change due to electrification, digital technologies and mobility services, Toyota is well-positioned to meet the challenges ahead. Thus, the people strategy has, over time, prioritised building employees who are flexible to the evolving needs of businesses. Toyota's human resource strategy focuses on three key areas: diversity, growth and contribution (Toyota Motor Corporation, 2025). </w:t>
      </w:r>
    </w:p>
    <w:p w14:paraId="475DD1B3">
      <w:pPr>
        <w:spacing w:line="360" w:lineRule="auto"/>
        <w:ind w:leftChars="200" w:firstLine="480" w:firstLineChars="200"/>
        <w:rPr>
          <w:rFonts w:hint="default" w:ascii="Times New Roman" w:hAnsi="Times New Roman" w:cs="Times New Roman"/>
          <w:sz w:val="24"/>
          <w:szCs w:val="24"/>
        </w:rPr>
      </w:pPr>
    </w:p>
    <w:p w14:paraId="692AF76B">
      <w:pPr>
        <w:spacing w:line="360" w:lineRule="auto"/>
        <w:ind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UMW Toyota Motor also supports the development of automotive talents in Malaysia. The Toyota Technical Education Programme (T-TEP), for instance, has been running since 1991 and has created 7,000 and more graduates since then through 25 partner institutions (UMW Toyota Motor 2025).  So Toyota's people strategy is not just about the existing employees, it's a strategy that's designed to build up a larger talent pool for the automotive industry.</w:t>
      </w:r>
    </w:p>
    <w:p w14:paraId="3065CE08">
      <w:pPr>
        <w:spacing w:line="360" w:lineRule="auto"/>
        <w:ind w:left="0" w:leftChars="0" w:firstLine="0" w:firstLineChars="0"/>
        <w:rPr>
          <w:rFonts w:hint="default" w:ascii="Times New Roman" w:hAnsi="Times New Roman" w:cs="Times New Roman"/>
          <w:sz w:val="24"/>
          <w:szCs w:val="24"/>
        </w:rPr>
      </w:pPr>
    </w:p>
    <w:p w14:paraId="440B5A8D">
      <w:pPr>
        <w:spacing w:line="360" w:lineRule="auto"/>
        <w:ind w:left="0" w:leftChars="0" w:firstLine="0" w:firstLineChars="0"/>
        <w:rPr>
          <w:rFonts w:hint="default" w:ascii="Times New Roman" w:hAnsi="Times New Roman" w:cs="Times New Roman"/>
          <w:sz w:val="24"/>
          <w:szCs w:val="24"/>
        </w:rPr>
      </w:pPr>
    </w:p>
    <w:p w14:paraId="3E3E9326">
      <w:pPr>
        <w:spacing w:line="360" w:lineRule="auto"/>
        <w:ind w:left="0" w:leftChars="0" w:firstLine="0" w:firstLineChars="0"/>
        <w:rPr>
          <w:rFonts w:hint="default" w:ascii="Times New Roman" w:hAnsi="Times New Roman" w:cs="Times New Roman"/>
          <w:sz w:val="24"/>
          <w:szCs w:val="24"/>
        </w:rPr>
      </w:pPr>
    </w:p>
    <w:p w14:paraId="07F66FAC">
      <w:pPr>
        <w:spacing w:line="360" w:lineRule="auto"/>
        <w:ind w:left="0" w:leftChars="0" w:firstLine="0" w:firstLineChars="0"/>
        <w:rPr>
          <w:rFonts w:hint="default" w:ascii="Times New Roman" w:hAnsi="Times New Roman" w:cs="Times New Roman"/>
          <w:sz w:val="24"/>
          <w:szCs w:val="24"/>
        </w:rPr>
      </w:pPr>
    </w:p>
    <w:p w14:paraId="7A2F69AD">
      <w:pPr>
        <w:spacing w:line="360" w:lineRule="auto"/>
        <w:ind w:left="0" w:leftChars="0" w:firstLine="0" w:firstLineChars="0"/>
        <w:rPr>
          <w:rFonts w:hint="default" w:ascii="Times New Roman" w:hAnsi="Times New Roman" w:cs="Times New Roman"/>
          <w:sz w:val="24"/>
          <w:szCs w:val="24"/>
        </w:rPr>
      </w:pPr>
    </w:p>
    <w:p w14:paraId="4F804266">
      <w:pPr>
        <w:spacing w:line="360" w:lineRule="auto"/>
        <w:ind w:left="0" w:leftChars="0" w:firstLine="0" w:firstLineChars="0"/>
        <w:rPr>
          <w:rFonts w:hint="default" w:ascii="Times New Roman" w:hAnsi="Times New Roman" w:cs="Times New Roman"/>
          <w:sz w:val="24"/>
          <w:szCs w:val="24"/>
        </w:rPr>
      </w:pPr>
    </w:p>
    <w:p w14:paraId="5D1BA82E">
      <w:pPr>
        <w:spacing w:line="360" w:lineRule="auto"/>
        <w:ind w:left="0" w:leftChars="0" w:firstLine="0" w:firstLineChars="0"/>
        <w:rPr>
          <w:rFonts w:hint="default" w:ascii="Times New Roman" w:hAnsi="Times New Roman" w:cs="Times New Roman"/>
          <w:sz w:val="24"/>
          <w:szCs w:val="24"/>
        </w:rPr>
      </w:pPr>
    </w:p>
    <w:p w14:paraId="0D9207E3">
      <w:pPr>
        <w:spacing w:line="360" w:lineRule="auto"/>
        <w:ind w:left="0" w:leftChars="0" w:firstLine="0" w:firstLineChars="0"/>
        <w:rPr>
          <w:rFonts w:hint="default" w:ascii="Times New Roman" w:hAnsi="Times New Roman" w:cs="Times New Roman"/>
          <w:sz w:val="24"/>
          <w:szCs w:val="24"/>
        </w:rPr>
      </w:pPr>
    </w:p>
    <w:p w14:paraId="0255790D">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5.0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Toyota Recruitment and Talent Management</w:t>
      </w:r>
    </w:p>
    <w:p w14:paraId="1E91F3AB">
      <w:pPr>
        <w:spacing w:line="360" w:lineRule="auto"/>
        <w:ind w:left="0" w:leftChars="0" w:firstLine="0" w:firstLineChars="0"/>
        <w:rPr>
          <w:rFonts w:hint="default" w:ascii="Times New Roman" w:hAnsi="Times New Roman" w:cs="Times New Roman"/>
          <w:sz w:val="24"/>
          <w:szCs w:val="24"/>
          <w:lang w:val="en-GB"/>
        </w:rPr>
      </w:pPr>
    </w:p>
    <w:p w14:paraId="6B3D70B4">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In the past, Toyota's recruitment program was closely linked to hiring individuals that shared its values and company culture. Toyota's recently published recruitment strategy focuses on the ability of the individual to be proactive, team players and willing to help others (Toyota Motor Corporation, 2025).  This illustrates that along with technical skills, cultural and behavioural fit is also essential.</w:t>
      </w:r>
    </w:p>
    <w:p w14:paraId="31D9775A">
      <w:pPr>
        <w:spacing w:line="360" w:lineRule="auto"/>
        <w:ind w:left="0" w:leftChars="200" w:firstLine="420" w:firstLineChars="200"/>
        <w:rPr>
          <w:rFonts w:hint="default" w:ascii="Times New Roman" w:hAnsi="Times New Roman" w:cs="Times New Roman"/>
          <w:sz w:val="24"/>
          <w:szCs w:val="24"/>
        </w:rPr>
      </w:pPr>
    </w:p>
    <w:p w14:paraId="4415FAEE">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To meet the new challenges of the labour market, Toyota has also altered its recruitment approach. Toyota's 2025 Integrated Report also showed that the number of recruits during mid-career has risen markedly, to 48% of the number of recruits for positions that are relevant to the company's operations. In addition, Toyota has adopted direct recruitment methods and employee referral programs to tap into external knowledge and expertise (Toyota Motor Corporation, 2025). </w:t>
      </w:r>
    </w:p>
    <w:p w14:paraId="1ACDE2F6">
      <w:pPr>
        <w:spacing w:line="360" w:lineRule="auto"/>
        <w:ind w:left="0" w:leftChars="200" w:firstLine="420" w:firstLineChars="200"/>
        <w:rPr>
          <w:rFonts w:hint="default" w:ascii="Times New Roman" w:hAnsi="Times New Roman" w:cs="Times New Roman"/>
          <w:sz w:val="24"/>
          <w:szCs w:val="24"/>
        </w:rPr>
      </w:pPr>
    </w:p>
    <w:p w14:paraId="484681EB">
      <w:pPr>
        <w:spacing w:line="360" w:lineRule="auto"/>
        <w:ind w:left="0" w:leftChars="200" w:firstLine="420" w:firstLineChars="200"/>
        <w:rPr>
          <w:rFonts w:hint="default" w:ascii="Times New Roman" w:hAnsi="Times New Roman" w:cs="Times New Roman"/>
          <w:sz w:val="24"/>
          <w:szCs w:val="24"/>
        </w:rPr>
      </w:pPr>
    </w:p>
    <w:p w14:paraId="33211BE5">
      <w:pPr>
        <w:spacing w:line="360" w:lineRule="auto"/>
        <w:ind w:left="0" w:leftChars="200" w:firstLine="420" w:firstLineChars="200"/>
        <w:rPr>
          <w:rFonts w:hint="default" w:ascii="Times New Roman" w:hAnsi="Times New Roman" w:cs="Times New Roman"/>
          <w:sz w:val="24"/>
          <w:szCs w:val="24"/>
        </w:rPr>
      </w:pPr>
    </w:p>
    <w:p w14:paraId="7A9400FC">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Meanwhile, Toyota is still hiring graduates from a variety of educational disciplines. The company has expanded the opportunities to interact with students from universities, vocational schools and technical colleges. It has also implemented the new course-specific recruitment, which enables students to choose the jobs best suited to their interests and development (Toyota Motor Corporation, 2025). </w:t>
      </w:r>
    </w:p>
    <w:p w14:paraId="01802C4D">
      <w:pPr>
        <w:spacing w:line="360" w:lineRule="auto"/>
        <w:ind w:left="0" w:leftChars="200" w:firstLine="420" w:firstLineChars="200"/>
        <w:rPr>
          <w:rFonts w:hint="default" w:ascii="Times New Roman" w:hAnsi="Times New Roman" w:cs="Times New Roman"/>
          <w:sz w:val="24"/>
          <w:szCs w:val="24"/>
        </w:rPr>
      </w:pPr>
    </w:p>
    <w:p w14:paraId="2ACAA836">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This method suggests that Toyota is trying to harmonise internal organisation and external knowledge. Recruiting experienced staff may bring in new skills and perspectives, and graduate recruitment offers a long-lasting source of talent. In the automotive industry, this is especially relevant since the organisations need experienced specialists and employee who are developable based on organisational values.</w:t>
      </w:r>
    </w:p>
    <w:p w14:paraId="0E4E04BD">
      <w:pPr>
        <w:spacing w:line="360" w:lineRule="auto"/>
        <w:ind w:left="0" w:leftChars="200" w:firstLine="420" w:firstLineChars="200"/>
        <w:rPr>
          <w:rFonts w:hint="default" w:ascii="Times New Roman" w:hAnsi="Times New Roman" w:cs="Times New Roman"/>
          <w:sz w:val="24"/>
          <w:szCs w:val="24"/>
        </w:rPr>
      </w:pPr>
    </w:p>
    <w:p w14:paraId="6AFB1FD0">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Toyota Malaysia continues to nurture talents in its technical education programs. UMW Toyota Motor's T-TEP offers real-world experiences and opportunities to prepare students for careers in the automotive industry (UMW Toyota Motor, 2025).  That's an early talent management approach as Toyota is attracting potential employees before they start their first job.</w:t>
      </w:r>
    </w:p>
    <w:p w14:paraId="16C486CF">
      <w:pPr>
        <w:spacing w:line="360" w:lineRule="auto"/>
        <w:ind w:left="0" w:leftChars="200" w:firstLine="420" w:firstLineChars="200"/>
        <w:rPr>
          <w:rFonts w:hint="default" w:ascii="Times New Roman" w:hAnsi="Times New Roman" w:cs="Times New Roman"/>
          <w:sz w:val="24"/>
          <w:szCs w:val="24"/>
        </w:rPr>
      </w:pPr>
    </w:p>
    <w:p w14:paraId="52F581E7">
      <w:pPr>
        <w:spacing w:line="360" w:lineRule="auto"/>
        <w:ind w:left="0" w:leftChars="0" w:firstLine="0" w:firstLineChars="0"/>
        <w:rPr>
          <w:rFonts w:hint="default" w:ascii="Times New Roman" w:hAnsi="Times New Roman" w:cs="Times New Roman"/>
          <w:sz w:val="24"/>
          <w:szCs w:val="24"/>
          <w:lang w:val="en-GB"/>
        </w:rPr>
      </w:pPr>
    </w:p>
    <w:p w14:paraId="2503C0EA">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6.0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Toyota Training and Development</w:t>
      </w:r>
    </w:p>
    <w:p w14:paraId="4148DDF1">
      <w:pPr>
        <w:spacing w:line="360" w:lineRule="auto"/>
        <w:ind w:left="0" w:leftChars="0" w:firstLine="0" w:firstLineChars="0"/>
        <w:rPr>
          <w:rFonts w:hint="default" w:ascii="Times New Roman" w:hAnsi="Times New Roman" w:cs="Times New Roman"/>
          <w:sz w:val="24"/>
          <w:szCs w:val="24"/>
          <w:lang w:val="en-GB"/>
        </w:rPr>
      </w:pPr>
    </w:p>
    <w:p w14:paraId="67D160AE">
      <w:pPr>
        <w:spacing w:line="360" w:lineRule="auto"/>
        <w:ind w:left="0"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philosophy of the Toyota organisation and the production system is closely linked to the training and development strategy. Toyota's human resource development is grounded in their philosophy, skills and behaviour which are based on Toyota Philosophy, Toyota Production System (TPS), and Toyota Way (Toyota Motor Corporation, 2025).  Thus, training is not restricted to the technical aspects but also includes changes in employees' attitudes and behaviors in solving problems.</w:t>
      </w:r>
    </w:p>
    <w:p w14:paraId="536A97CA">
      <w:pPr>
        <w:spacing w:line="360" w:lineRule="auto"/>
        <w:ind w:left="0" w:leftChars="200" w:firstLine="480" w:firstLineChars="200"/>
        <w:rPr>
          <w:rFonts w:hint="default" w:ascii="Times New Roman" w:hAnsi="Times New Roman" w:cs="Times New Roman"/>
          <w:sz w:val="24"/>
          <w:szCs w:val="24"/>
        </w:rPr>
      </w:pPr>
    </w:p>
    <w:p w14:paraId="7786EB18">
      <w:pPr>
        <w:spacing w:line="360" w:lineRule="auto"/>
        <w:ind w:left="0"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In addition, Toyota has a structured leadership development programmes. It offers a Global 21 Programme to improve their skill and knowledge in the area of global executive responsibilities. The programme is run across the world and provides for executive training, whilst regional succession committees are established to recruit and develop future leaders (Toyota Motor Corporation, 2025). </w:t>
      </w:r>
    </w:p>
    <w:p w14:paraId="105E8AC0">
      <w:pPr>
        <w:spacing w:line="360" w:lineRule="auto"/>
        <w:ind w:left="0" w:leftChars="200" w:firstLine="480" w:firstLineChars="200"/>
        <w:rPr>
          <w:rFonts w:hint="default" w:ascii="Times New Roman" w:hAnsi="Times New Roman" w:cs="Times New Roman"/>
          <w:sz w:val="24"/>
          <w:szCs w:val="24"/>
        </w:rPr>
      </w:pPr>
    </w:p>
    <w:p w14:paraId="7C25D307">
      <w:pPr>
        <w:spacing w:line="360" w:lineRule="auto"/>
        <w:ind w:left="0"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It's also crucial for Toyota's DCAP cycle, which focuses on taking action, then monitoring outcomes, modifying activities and subsequently planning future actions. This allows for ongoing learning and improvement as employees learn from real life scenarios instead of just in the classroom (Toyota Motor Corporation, 2025). </w:t>
      </w:r>
    </w:p>
    <w:p w14:paraId="1A5B1FD3">
      <w:pPr>
        <w:spacing w:line="360" w:lineRule="auto"/>
        <w:ind w:left="0" w:leftChars="200" w:firstLine="480" w:firstLineChars="200"/>
        <w:rPr>
          <w:rFonts w:hint="default" w:ascii="Times New Roman" w:hAnsi="Times New Roman" w:cs="Times New Roman"/>
          <w:sz w:val="24"/>
          <w:szCs w:val="24"/>
        </w:rPr>
      </w:pPr>
    </w:p>
    <w:p w14:paraId="464F06E9">
      <w:pPr>
        <w:spacing w:line="360" w:lineRule="auto"/>
        <w:ind w:left="0"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Toyota Skills Contest is also a way Toyota showcases their training activities in Malaysia. Written tests, diagnostic problems and simulations involving service interaction with the customer were among the evaluation items in the 2025 contest. Players that play well can advance to regional Toyota Skills Contests (2025) sponsored by Toyota Motor.  These activities enable workers to apply their technical and customer-service skills in real-life situations.</w:t>
      </w:r>
    </w:p>
    <w:p w14:paraId="3D6EF66A">
      <w:pPr>
        <w:spacing w:line="360" w:lineRule="auto"/>
        <w:ind w:left="0" w:leftChars="0" w:firstLine="0" w:firstLineChars="0"/>
        <w:rPr>
          <w:rFonts w:hint="default" w:ascii="Times New Roman" w:hAnsi="Times New Roman" w:cs="Times New Roman"/>
          <w:sz w:val="24"/>
          <w:szCs w:val="24"/>
          <w:lang w:val="en-GB"/>
        </w:rPr>
      </w:pPr>
    </w:p>
    <w:p w14:paraId="4B7EF190">
      <w:pPr>
        <w:spacing w:line="360" w:lineRule="auto"/>
        <w:ind w:left="0" w:leftChars="0" w:firstLine="0" w:firstLineChars="0"/>
        <w:rPr>
          <w:rFonts w:hint="default" w:ascii="Times New Roman" w:hAnsi="Times New Roman" w:cs="Times New Roman"/>
          <w:sz w:val="24"/>
          <w:szCs w:val="24"/>
          <w:lang w:val="en-GB"/>
        </w:rPr>
      </w:pPr>
    </w:p>
    <w:p w14:paraId="7AF4BBAF">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7.0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 xml:space="preserve">Comparative Analysis of Recruitment, Talent Management, and Training and Development </w:t>
      </w:r>
    </w:p>
    <w:p w14:paraId="61447B2C">
      <w:pPr>
        <w:spacing w:line="360" w:lineRule="auto"/>
        <w:ind w:left="0" w:leftChars="0" w:firstLine="0" w:firstLineChars="0"/>
        <w:rPr>
          <w:rFonts w:hint="default" w:ascii="Times New Roman" w:hAnsi="Times New Roman" w:cs="Times New Roman"/>
          <w:sz w:val="24"/>
          <w:szCs w:val="24"/>
          <w:lang w:val="en-GB"/>
        </w:rPr>
      </w:pPr>
    </w:p>
    <w:p w14:paraId="2EE2F89A">
      <w:pPr>
        <w:spacing w:line="360" w:lineRule="auto"/>
        <w:ind w:left="0"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Both PROTON and Toyota understand that staff is vital to them. Both companies are focused on finding the right candidates, training them and preparing them for the changing landscape in the automotive industry.</w:t>
      </w:r>
    </w:p>
    <w:p w14:paraId="273A761B">
      <w:pPr>
        <w:spacing w:line="360" w:lineRule="auto"/>
        <w:ind w:left="0" w:leftChars="200" w:firstLine="480" w:firstLineChars="200"/>
        <w:rPr>
          <w:rFonts w:hint="default" w:ascii="Times New Roman" w:hAnsi="Times New Roman" w:cs="Times New Roman"/>
          <w:sz w:val="24"/>
          <w:szCs w:val="24"/>
        </w:rPr>
      </w:pPr>
    </w:p>
    <w:p w14:paraId="2D00D652">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7.1</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 xml:space="preserve"> Recruitment and Talent Management</w:t>
      </w:r>
    </w:p>
    <w:p w14:paraId="5CE4262F">
      <w:pPr>
        <w:spacing w:line="360" w:lineRule="auto"/>
        <w:ind w:left="0" w:leftChars="0" w:firstLine="0" w:firstLineChars="0"/>
        <w:rPr>
          <w:rFonts w:hint="default" w:ascii="Times New Roman" w:hAnsi="Times New Roman" w:cs="Times New Roman"/>
          <w:sz w:val="24"/>
          <w:szCs w:val="24"/>
          <w:lang w:val="en-GB"/>
        </w:rPr>
      </w:pPr>
    </w:p>
    <w:p w14:paraId="5BBEC552">
      <w:pPr>
        <w:spacing w:line="360" w:lineRule="auto"/>
        <w:ind w:left="0"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One of the key initiatives of PROTON is the emphasis on young Malaysian talent through programmes like the PROTON Young Talent (PYT) Programme. Job rotations, Projects, coaching and career development opportunities (PROTON, 2026) are offered for graduates. PROTON also collaborates with the universities to recognize the talents of the students. (PROTON, 2024b)</w:t>
      </w:r>
    </w:p>
    <w:p w14:paraId="60AC4884">
      <w:pPr>
        <w:spacing w:line="360" w:lineRule="auto"/>
        <w:ind w:left="0" w:leftChars="200" w:firstLine="480" w:firstLineChars="200"/>
        <w:rPr>
          <w:rFonts w:hint="default" w:ascii="Times New Roman" w:hAnsi="Times New Roman" w:cs="Times New Roman"/>
          <w:sz w:val="24"/>
          <w:szCs w:val="24"/>
        </w:rPr>
      </w:pPr>
    </w:p>
    <w:p w14:paraId="1787DF4A">
      <w:pPr>
        <w:spacing w:line="360" w:lineRule="auto"/>
        <w:ind w:left="0"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Toyota hires both graduates and experienced workers. The company can hire employees with various skills and experience (Toyota Motor Corporation, 2025) during the mid-career stage.</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Hence PROTON concentrates on nurturing young talents from the local while Toyota merges young and experienced talents.</w:t>
      </w:r>
    </w:p>
    <w:p w14:paraId="20665129">
      <w:pPr>
        <w:spacing w:line="360" w:lineRule="auto"/>
        <w:ind w:left="0" w:leftChars="0" w:firstLine="0" w:firstLineChars="0"/>
        <w:rPr>
          <w:rFonts w:hint="default" w:ascii="Times New Roman" w:hAnsi="Times New Roman" w:cs="Times New Roman"/>
          <w:sz w:val="24"/>
          <w:szCs w:val="24"/>
          <w:lang w:val="en-GB"/>
        </w:rPr>
      </w:pPr>
    </w:p>
    <w:p w14:paraId="1F7D5264">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7.2</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Training and Development</w:t>
      </w:r>
    </w:p>
    <w:p w14:paraId="5D491ED6">
      <w:pPr>
        <w:spacing w:line="360" w:lineRule="auto"/>
        <w:ind w:left="0" w:leftChars="0" w:firstLine="0" w:firstLineChars="0"/>
        <w:rPr>
          <w:rFonts w:hint="default" w:ascii="Times New Roman" w:hAnsi="Times New Roman" w:cs="Times New Roman"/>
          <w:sz w:val="24"/>
          <w:szCs w:val="24"/>
          <w:lang w:val="en-GB"/>
        </w:rPr>
      </w:pPr>
    </w:p>
    <w:p w14:paraId="0B16FA7D">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Both companies offer training to enhance technical and professional skills of employees. PROTON classroom learning, job rotations and coaching, and its focus on new automotive technologies like electric vehicles and advanced manufacturing (PROTON, 2024c; PROTON, 2026).</w:t>
      </w:r>
    </w:p>
    <w:p w14:paraId="10FC5311">
      <w:pPr>
        <w:spacing w:line="360" w:lineRule="auto"/>
        <w:ind w:left="0" w:leftChars="200" w:firstLine="420" w:firstLineChars="200"/>
        <w:rPr>
          <w:rFonts w:hint="default" w:ascii="Times New Roman" w:hAnsi="Times New Roman" w:cs="Times New Roman"/>
          <w:sz w:val="24"/>
          <w:szCs w:val="24"/>
        </w:rPr>
      </w:pPr>
    </w:p>
    <w:p w14:paraId="7189696C">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Training is based on the Toyota Production System (TPS), Toyota Way and continuous improvement. Practical training, coaching and leadership development are also provided to employees (Toyota Motor Corporation, 2025).</w:t>
      </w:r>
    </w:p>
    <w:p w14:paraId="6723E65D">
      <w:pPr>
        <w:spacing w:line="360" w:lineRule="auto"/>
        <w:ind w:left="0" w:leftChars="200" w:firstLine="420" w:firstLineChars="200"/>
        <w:rPr>
          <w:rFonts w:hint="default" w:ascii="Times New Roman" w:hAnsi="Times New Roman" w:cs="Times New Roman"/>
          <w:sz w:val="24"/>
          <w:szCs w:val="24"/>
        </w:rPr>
      </w:pPr>
    </w:p>
    <w:p w14:paraId="78313992">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In general, PROTON emphasizes on training the future automotive skills in Malaysia, whereas Toyota emphasizes on continuous improvement, leadership, and its global management system.</w:t>
      </w:r>
    </w:p>
    <w:p w14:paraId="3ED78F31">
      <w:pPr>
        <w:spacing w:line="360" w:lineRule="auto"/>
        <w:ind w:left="0" w:leftChars="0" w:firstLine="0" w:firstLineChars="0"/>
        <w:rPr>
          <w:rFonts w:hint="default" w:ascii="Times New Roman" w:hAnsi="Times New Roman" w:cs="Times New Roman"/>
          <w:sz w:val="24"/>
          <w:szCs w:val="24"/>
        </w:rPr>
      </w:pPr>
    </w:p>
    <w:p w14:paraId="63C67371">
      <w:pPr>
        <w:spacing w:line="360" w:lineRule="auto"/>
        <w:ind w:left="0" w:leftChars="0" w:firstLine="0" w:firstLineChars="0"/>
        <w:rPr>
          <w:rFonts w:hint="default" w:ascii="Times New Roman" w:hAnsi="Times New Roman" w:cs="Times New Roman"/>
          <w:sz w:val="24"/>
          <w:szCs w:val="24"/>
        </w:rPr>
      </w:pPr>
    </w:p>
    <w:p w14:paraId="76A8E700">
      <w:pPr>
        <w:spacing w:line="360" w:lineRule="auto"/>
        <w:ind w:left="0" w:leftChars="0" w:firstLine="0" w:firstLineChars="0"/>
        <w:rPr>
          <w:rFonts w:hint="default" w:ascii="Times New Roman" w:hAnsi="Times New Roman" w:cs="Times New Roman"/>
          <w:sz w:val="24"/>
          <w:szCs w:val="24"/>
        </w:rPr>
      </w:pPr>
    </w:p>
    <w:p w14:paraId="1EACB34E">
      <w:pPr>
        <w:spacing w:line="360" w:lineRule="auto"/>
        <w:ind w:left="0" w:leftChars="0" w:firstLine="0" w:firstLineChars="0"/>
        <w:rPr>
          <w:rFonts w:hint="default" w:ascii="Times New Roman" w:hAnsi="Times New Roman" w:cs="Times New Roman"/>
          <w:sz w:val="24"/>
          <w:szCs w:val="24"/>
        </w:rPr>
      </w:pPr>
    </w:p>
    <w:p w14:paraId="72BB56D1">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7.3</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Overall Comparison</w:t>
      </w:r>
    </w:p>
    <w:p w14:paraId="006207D4">
      <w:pPr>
        <w:spacing w:line="360" w:lineRule="auto"/>
        <w:ind w:left="0" w:leftChars="0" w:firstLine="0" w:firstLineChars="0"/>
        <w:rPr>
          <w:rFonts w:hint="default" w:ascii="Times New Roman" w:hAnsi="Times New Roman" w:cs="Times New Roman"/>
          <w:sz w:val="24"/>
          <w:szCs w:val="24"/>
          <w:lang w:val="en-GB"/>
        </w:rPr>
      </w:pPr>
    </w:p>
    <w:p w14:paraId="777DC805">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Both companies link recruitment, talent management, training and career development. The difference is that PROTON is mainly nurturing young talents in Malaysia and Toyota is focused on recruitment of graduates alongside experienced employees, and global development. These strategies assist both organisations to train and educate their employees for the business' present and future requirements.</w:t>
      </w:r>
    </w:p>
    <w:p w14:paraId="3ECAA95F">
      <w:pPr>
        <w:spacing w:line="360" w:lineRule="auto"/>
        <w:ind w:left="0" w:leftChars="200" w:firstLine="420" w:firstLineChars="200"/>
        <w:rPr>
          <w:rFonts w:hint="default" w:ascii="Times New Roman" w:hAnsi="Times New Roman" w:cs="Times New Roman"/>
          <w:sz w:val="24"/>
          <w:szCs w:val="24"/>
        </w:rPr>
      </w:pPr>
    </w:p>
    <w:p w14:paraId="25DF7262">
      <w:pPr>
        <w:spacing w:line="360" w:lineRule="auto"/>
        <w:ind w:left="0" w:leftChars="200" w:firstLine="420" w:firstLineChars="200"/>
        <w:rPr>
          <w:rFonts w:hint="default" w:ascii="Times New Roman" w:hAnsi="Times New Roman" w:cs="Times New Roman"/>
          <w:sz w:val="24"/>
          <w:szCs w:val="24"/>
        </w:rPr>
      </w:pPr>
    </w:p>
    <w:p w14:paraId="6015B9A0">
      <w:pPr>
        <w:spacing w:line="360" w:lineRule="auto"/>
        <w:ind w:left="0" w:leftChars="200" w:firstLine="420" w:firstLineChars="200"/>
        <w:rPr>
          <w:rFonts w:hint="default" w:ascii="Times New Roman" w:hAnsi="Times New Roman" w:cs="Times New Roman"/>
          <w:sz w:val="24"/>
          <w:szCs w:val="24"/>
        </w:rPr>
      </w:pPr>
    </w:p>
    <w:p w14:paraId="619AEA47">
      <w:pPr>
        <w:spacing w:line="360" w:lineRule="auto"/>
        <w:ind w:left="0" w:leftChars="0" w:firstLine="0" w:firstLineChars="0"/>
        <w:rPr>
          <w:rFonts w:hint="default" w:ascii="Times New Roman" w:hAnsi="Times New Roman" w:cs="Times New Roman"/>
          <w:sz w:val="24"/>
          <w:szCs w:val="24"/>
        </w:rPr>
      </w:pPr>
    </w:p>
    <w:p w14:paraId="26F576CF">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8.0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Conclusion</w:t>
      </w:r>
    </w:p>
    <w:p w14:paraId="60D50009">
      <w:pPr>
        <w:spacing w:line="360" w:lineRule="auto"/>
        <w:ind w:left="0" w:leftChars="0" w:firstLine="0" w:firstLineChars="0"/>
        <w:rPr>
          <w:rFonts w:hint="default" w:ascii="Times New Roman" w:hAnsi="Times New Roman" w:cs="Times New Roman"/>
          <w:sz w:val="24"/>
          <w:szCs w:val="24"/>
          <w:lang w:val="en-GB"/>
        </w:rPr>
      </w:pPr>
    </w:p>
    <w:p w14:paraId="5538E17B">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Finally, both PROTON and Toyota are serious about recruitment, talent management, training and development. Toyota is more involved with ongoing improvements, seasoned talent and leadership development, while PROTON is more oriented towards cultivating young talent and training employees for the new automotive technologies. Overall, these HR practices are used by both companies to develop skilled employees and support them in the future growth in the automotive industry.</w:t>
      </w:r>
    </w:p>
    <w:p w14:paraId="48E6ECD9">
      <w:pPr>
        <w:spacing w:line="360" w:lineRule="auto"/>
        <w:ind w:left="0" w:leftChars="200" w:firstLine="420" w:firstLineChars="200"/>
        <w:rPr>
          <w:rFonts w:hint="default" w:ascii="Times New Roman" w:hAnsi="Times New Roman" w:cs="Times New Roman"/>
          <w:sz w:val="24"/>
          <w:szCs w:val="24"/>
        </w:rPr>
      </w:pPr>
    </w:p>
    <w:p w14:paraId="04A7151B">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In addition, both companies realize the significance of developing their employees to meet changing requirements in the automotive sector. Through appropriate training, career development and talent management initiatives, PROTON and Toyota can enhance employee capabilities, help to achieve corporate objectives and stay competitive in the future.</w:t>
      </w:r>
    </w:p>
    <w:p w14:paraId="16F1D626">
      <w:pPr>
        <w:spacing w:line="360" w:lineRule="auto"/>
        <w:ind w:left="0" w:leftChars="200" w:firstLine="420" w:firstLineChars="200"/>
        <w:rPr>
          <w:rFonts w:hint="default" w:ascii="Times New Roman" w:hAnsi="Times New Roman" w:cs="Times New Roman"/>
          <w:sz w:val="24"/>
          <w:szCs w:val="24"/>
        </w:rPr>
      </w:pPr>
    </w:p>
    <w:p w14:paraId="5BBC13D3">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Moreover, with a well-poised and motivated workforce, both businesses can do the same by effective recruiting and development initiatives. Giving employees the chance to learn new skills and improve their career could also help to boost job performance and help them retain workers. This is particularly relevant in the current context of digitalisation in the automotive sector, electric vehicles and advanced technologies. Hence, there is a need for continuous development of PROTON and Toyota HR practices to cater to future industry needs.</w:t>
      </w:r>
    </w:p>
    <w:p w14:paraId="2904B75D">
      <w:pPr>
        <w:spacing w:line="360" w:lineRule="auto"/>
        <w:ind w:left="0" w:leftChars="0" w:firstLine="0" w:firstLineChars="0"/>
        <w:rPr>
          <w:rFonts w:hint="default" w:ascii="Times New Roman" w:hAnsi="Times New Roman" w:cs="Times New Roman"/>
          <w:sz w:val="24"/>
          <w:szCs w:val="24"/>
        </w:rPr>
      </w:pPr>
    </w:p>
    <w:p w14:paraId="6B9943F2">
      <w:pPr>
        <w:spacing w:line="360" w:lineRule="auto"/>
        <w:ind w:left="0" w:leftChars="0" w:firstLine="0" w:firstLineChars="0"/>
        <w:rPr>
          <w:rFonts w:hint="default" w:ascii="Times New Roman" w:hAnsi="Times New Roman" w:cs="Times New Roman"/>
          <w:sz w:val="24"/>
          <w:szCs w:val="24"/>
        </w:rPr>
      </w:pPr>
    </w:p>
    <w:p w14:paraId="5D061693">
      <w:pPr>
        <w:spacing w:line="360" w:lineRule="auto"/>
        <w:ind w:left="0" w:leftChars="0" w:firstLine="0" w:firstLineChars="0"/>
        <w:rPr>
          <w:rFonts w:hint="default" w:ascii="Times New Roman" w:hAnsi="Times New Roman" w:cs="Times New Roman"/>
          <w:sz w:val="24"/>
          <w:szCs w:val="24"/>
        </w:rPr>
      </w:pPr>
    </w:p>
    <w:p w14:paraId="0133358E">
      <w:pPr>
        <w:spacing w:line="360" w:lineRule="auto"/>
        <w:ind w:left="0" w:leftChars="200" w:firstLine="420" w:firstLineChars="200"/>
        <w:rPr>
          <w:rFonts w:hint="default" w:ascii="Times New Roman" w:hAnsi="Times New Roman" w:cs="Times New Roman"/>
          <w:sz w:val="24"/>
          <w:szCs w:val="24"/>
        </w:rPr>
      </w:pPr>
    </w:p>
    <w:p w14:paraId="6A05AB1F">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References</w:t>
      </w:r>
    </w:p>
    <w:p w14:paraId="2B434FB4">
      <w:pPr>
        <w:spacing w:line="360" w:lineRule="auto"/>
        <w:ind w:left="0" w:leftChars="0" w:firstLine="0" w:firstLineChars="0"/>
        <w:rPr>
          <w:rFonts w:hint="default" w:ascii="Times New Roman" w:hAnsi="Times New Roman" w:cs="Times New Roman"/>
          <w:sz w:val="24"/>
          <w:szCs w:val="24"/>
          <w:lang w:val="en-GB"/>
        </w:rPr>
      </w:pPr>
    </w:p>
    <w:p w14:paraId="4A4066E4">
      <w:pPr>
        <w:pStyle w:val="6"/>
        <w:widowControl/>
        <w:spacing w:beforeAutospacing="0" w:after="0" w:afterAutospacing="0" w:line="480" w:lineRule="atLeast"/>
        <w:ind w:left="0" w:firstLine="0"/>
        <w:rPr>
          <w:rFonts w:hint="default" w:ascii="Times New Roman" w:hAnsi="Times New Roman" w:cs="Times New Roman"/>
          <w:sz w:val="24"/>
          <w:szCs w:val="24"/>
        </w:rPr>
      </w:pPr>
      <w:r>
        <w:rPr>
          <w:rFonts w:hint="default" w:ascii="Times New Roman" w:hAnsi="Times New Roman" w:cs="Times New Roman"/>
          <w:i/>
          <w:caps w:val="0"/>
          <w:color w:val="000000"/>
          <w:spacing w:val="0"/>
          <w:sz w:val="24"/>
          <w:szCs w:val="24"/>
          <w:u w:val="none"/>
        </w:rPr>
        <w:t>PROTON - PROTON YOUNG TALENT PROGRAMME POWERING MALAYSIA’S AUTOMOTIVE FUTURE</w:t>
      </w:r>
      <w:r>
        <w:rPr>
          <w:rFonts w:hint="default" w:ascii="Times New Roman" w:hAnsi="Times New Roman" w:cs="Times New Roman"/>
          <w:i w:val="0"/>
          <w:caps w:val="0"/>
          <w:color w:val="000000"/>
          <w:spacing w:val="0"/>
          <w:sz w:val="24"/>
          <w:szCs w:val="24"/>
          <w:u w:val="none"/>
        </w:rPr>
        <w:t>. (n.d.). PROTON - PROTON YOUNG TALENT PROGRAMME POWERING MALAYSIA’S AUTOMOTIVE FUTURE.</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https://www.proton.com/happenings/2025/august/proton-young-talent-programme-powering-malaysia-s-automotive-future</w:t>
      </w:r>
    </w:p>
    <w:p w14:paraId="4E45F219">
      <w:pPr>
        <w:spacing w:line="360" w:lineRule="auto"/>
        <w:ind w:left="0" w:leftChars="0" w:firstLine="0" w:firstLineChars="0"/>
        <w:rPr>
          <w:rFonts w:hint="default" w:ascii="Times New Roman" w:hAnsi="Times New Roman" w:cs="Times New Roman"/>
          <w:sz w:val="24"/>
          <w:szCs w:val="24"/>
          <w:lang w:val="en-GB"/>
        </w:rPr>
      </w:pPr>
    </w:p>
    <w:p w14:paraId="02E1D343">
      <w:pPr>
        <w:pStyle w:val="6"/>
        <w:widowControl/>
        <w:spacing w:beforeAutospacing="0" w:after="0" w:afterAutospacing="0" w:line="480" w:lineRule="atLeast"/>
        <w:ind w:left="0" w:firstLine="0"/>
        <w:rPr>
          <w:rFonts w:hint="default" w:ascii="Times New Roman" w:hAnsi="Times New Roman" w:cs="Times New Roman"/>
          <w:sz w:val="24"/>
          <w:szCs w:val="24"/>
        </w:rPr>
      </w:pPr>
      <w:r>
        <w:rPr>
          <w:rFonts w:hint="default" w:ascii="Times New Roman" w:hAnsi="Times New Roman" w:cs="Times New Roman"/>
          <w:i w:val="0"/>
          <w:caps w:val="0"/>
          <w:color w:val="000000"/>
          <w:spacing w:val="0"/>
          <w:sz w:val="24"/>
          <w:szCs w:val="24"/>
          <w:u w:val="none"/>
        </w:rPr>
        <w:t>Corporation, T. M. (2025, May 30).</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caps w:val="0"/>
          <w:color w:val="000000"/>
          <w:spacing w:val="0"/>
          <w:sz w:val="24"/>
          <w:szCs w:val="24"/>
          <w:u w:val="none"/>
        </w:rPr>
        <w:t>Toyota submits fourth Progress Report on Measures to Prevent Recurrence | Corporate | Global Newsroom | Toyota Motor Corporation Official Global website</w:t>
      </w:r>
      <w:r>
        <w:rPr>
          <w:rFonts w:hint="default" w:ascii="Times New Roman" w:hAnsi="Times New Roman" w:cs="Times New Roman"/>
          <w:i w:val="0"/>
          <w:caps w:val="0"/>
          <w:color w:val="000000"/>
          <w:spacing w:val="0"/>
          <w:sz w:val="24"/>
          <w:szCs w:val="24"/>
          <w:u w:val="none"/>
        </w:rPr>
        <w:t>. Toyota Motor Corporation Official Global Website.</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https://global.toyota/en/newsroom/corporate/43290098.html?</w:t>
      </w:r>
    </w:p>
    <w:p w14:paraId="0EE41028">
      <w:pPr>
        <w:spacing w:line="360" w:lineRule="auto"/>
        <w:ind w:left="0" w:leftChars="0" w:firstLine="0" w:firstLineChars="0"/>
        <w:rPr>
          <w:rFonts w:hint="default" w:ascii="Times New Roman" w:hAnsi="Times New Roman" w:cs="Times New Roman"/>
          <w:sz w:val="24"/>
          <w:szCs w:val="24"/>
          <w:lang w:val="en-GB"/>
        </w:rPr>
      </w:pPr>
    </w:p>
    <w:p w14:paraId="60CAAFFF">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caps w:val="0"/>
          <w:color w:val="000000"/>
          <w:spacing w:val="0"/>
          <w:sz w:val="24"/>
          <w:szCs w:val="24"/>
          <w:u w:val="none"/>
        </w:rPr>
        <w:t>Lifelong learning and skills for the future</w:t>
      </w:r>
      <w:r>
        <w:rPr>
          <w:rFonts w:hint="default" w:ascii="Times New Roman" w:hAnsi="Times New Roman" w:cs="Times New Roman"/>
          <w:i w:val="0"/>
          <w:caps w:val="0"/>
          <w:color w:val="000000"/>
          <w:spacing w:val="0"/>
          <w:sz w:val="24"/>
          <w:szCs w:val="24"/>
          <w:u w:val="none"/>
        </w:rPr>
        <w:t>. (2026, May 6).</w:t>
      </w:r>
      <w:r>
        <w:rPr>
          <w:rFonts w:hint="default" w:ascii="Times New Roman" w:hAnsi="Times New Roman" w:cs="Times New Roman"/>
          <w:i w:val="0"/>
          <w:caps w:val="0"/>
          <w:color w:val="000000"/>
          <w:spacing w:val="0"/>
          <w:sz w:val="24"/>
          <w:szCs w:val="24"/>
          <w:u w:val="none"/>
        </w:rPr>
        <w:t> </w:t>
      </w:r>
    </w:p>
    <w:p w14:paraId="30CB8C4F">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val="0"/>
          <w:caps w:val="0"/>
          <w:color w:val="000000"/>
          <w:spacing w:val="0"/>
          <w:sz w:val="24"/>
          <w:szCs w:val="24"/>
          <w:u w:val="none"/>
        </w:rPr>
        <w:t>https://lab.ilo.org/world-work-series/lifelong-learning-and-skills-future</w:t>
      </w:r>
    </w:p>
    <w:p w14:paraId="248B44B6">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59FBA7DF">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val="0"/>
          <w:caps w:val="0"/>
          <w:color w:val="000000"/>
          <w:spacing w:val="0"/>
          <w:sz w:val="24"/>
          <w:szCs w:val="24"/>
          <w:u w:val="none"/>
        </w:rPr>
        <w:t>SHRM. (2026, August 12). 2026 Talent Trends.</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caps w:val="0"/>
          <w:color w:val="000000"/>
          <w:spacing w:val="0"/>
          <w:sz w:val="24"/>
          <w:szCs w:val="24"/>
          <w:u w:val="none"/>
        </w:rPr>
        <w:t>SHRM</w:t>
      </w:r>
      <w:r>
        <w:rPr>
          <w:rFonts w:hint="default" w:ascii="Times New Roman" w:hAnsi="Times New Roman" w:cs="Times New Roman"/>
          <w:i w:val="0"/>
          <w:caps w:val="0"/>
          <w:color w:val="000000"/>
          <w:spacing w:val="0"/>
          <w:sz w:val="24"/>
          <w:szCs w:val="24"/>
          <w:u w:val="none"/>
        </w:rPr>
        <w:t>.</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https://www.shrm.org/topics-tools/research/2026-talent-trends</w:t>
      </w:r>
    </w:p>
    <w:p w14:paraId="71B0B3A8">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5BFAA20E">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caps w:val="0"/>
          <w:color w:val="000000"/>
          <w:spacing w:val="0"/>
          <w:sz w:val="24"/>
          <w:szCs w:val="24"/>
          <w:u w:val="none"/>
        </w:rPr>
        <w:t>2025 Global Human Capital Trends</w:t>
      </w:r>
      <w:r>
        <w:rPr>
          <w:rFonts w:hint="default" w:ascii="Times New Roman" w:hAnsi="Times New Roman" w:cs="Times New Roman"/>
          <w:i w:val="0"/>
          <w:caps w:val="0"/>
          <w:color w:val="000000"/>
          <w:spacing w:val="0"/>
          <w:sz w:val="24"/>
          <w:szCs w:val="24"/>
          <w:u w:val="none"/>
        </w:rPr>
        <w:t>. (n.d.). Deloitte Insights.</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https://www.deloitte.com/us/en/insights/topics/talent/human-capital-trends/2025.html</w:t>
      </w:r>
    </w:p>
    <w:p w14:paraId="0567EE86">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6ABE8BC3">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caps w:val="0"/>
          <w:color w:val="000000"/>
          <w:spacing w:val="0"/>
          <w:sz w:val="24"/>
          <w:szCs w:val="24"/>
          <w:u w:val="none"/>
        </w:rPr>
        <w:t>Using AI and digital tools to modernize TVET in a shifting global job market</w:t>
      </w:r>
      <w:r>
        <w:rPr>
          <w:rFonts w:hint="default" w:ascii="Times New Roman" w:hAnsi="Times New Roman" w:cs="Times New Roman"/>
          <w:i w:val="0"/>
          <w:caps w:val="0"/>
          <w:color w:val="000000"/>
          <w:spacing w:val="0"/>
          <w:sz w:val="24"/>
          <w:szCs w:val="24"/>
          <w:u w:val="none"/>
        </w:rPr>
        <w:t>. (2025, June 24).</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https://www.unesco.org/en/articles/using-ai-and-digital-tools-modernize-tvet-shifting-global-job-market</w:t>
      </w:r>
    </w:p>
    <w:p w14:paraId="029C7399">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116DB110">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val="0"/>
          <w:caps w:val="0"/>
          <w:color w:val="000000"/>
          <w:spacing w:val="0"/>
          <w:sz w:val="24"/>
          <w:szCs w:val="24"/>
          <w:u w:val="none"/>
        </w:rPr>
        <w:t>Silva, J. (2026, September 14). Half your skills came from work. Policy hasn’t caught up.</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caps w:val="0"/>
          <w:color w:val="000000"/>
          <w:spacing w:val="0"/>
          <w:sz w:val="24"/>
          <w:szCs w:val="24"/>
          <w:u w:val="none"/>
        </w:rPr>
        <w:t>World Bank Blogs</w:t>
      </w:r>
      <w:r>
        <w:rPr>
          <w:rFonts w:hint="default" w:ascii="Times New Roman" w:hAnsi="Times New Roman" w:cs="Times New Roman"/>
          <w:i w:val="0"/>
          <w:caps w:val="0"/>
          <w:color w:val="000000"/>
          <w:spacing w:val="0"/>
          <w:sz w:val="24"/>
          <w:szCs w:val="24"/>
          <w:u w:val="none"/>
        </w:rPr>
        <w:t>.</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https://blogs.worldbank.org/en/developmenttalk/half-your-skills-came-from-work--policy-hasn-t-caught-up</w:t>
      </w:r>
    </w:p>
    <w:p w14:paraId="1E0A03E9">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2E179826">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val="0"/>
          <w:caps w:val="0"/>
          <w:color w:val="000000"/>
          <w:spacing w:val="0"/>
          <w:sz w:val="24"/>
          <w:szCs w:val="24"/>
          <w:u w:val="none"/>
        </w:rPr>
        <w:t>Dosm. (n.d.).</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caps w:val="0"/>
          <w:color w:val="000000"/>
          <w:spacing w:val="0"/>
          <w:sz w:val="24"/>
          <w:szCs w:val="24"/>
          <w:u w:val="none"/>
        </w:rPr>
        <w:t>Department of Statistics Malaysia</w:t>
      </w:r>
      <w:r>
        <w:rPr>
          <w:rFonts w:hint="default" w:ascii="Times New Roman" w:hAnsi="Times New Roman" w:cs="Times New Roman"/>
          <w:i w:val="0"/>
          <w:caps w:val="0"/>
          <w:color w:val="000000"/>
          <w:spacing w:val="0"/>
          <w:sz w:val="24"/>
          <w:szCs w:val="24"/>
          <w:u w:val="none"/>
        </w:rPr>
        <w:t>.</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https://www.dosm.gov.my/portal-main/release-content/labour-force-survey-2025</w:t>
      </w:r>
    </w:p>
    <w:p w14:paraId="5B6D6CEE">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1F8842D2">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caps w:val="0"/>
          <w:color w:val="000000"/>
          <w:spacing w:val="0"/>
          <w:sz w:val="24"/>
          <w:szCs w:val="24"/>
          <w:u w:val="none"/>
        </w:rPr>
        <w:t>Transportation Technology - Automotive - MIDA | Malaysian Investment Development Authority</w:t>
      </w:r>
      <w:r>
        <w:rPr>
          <w:rFonts w:hint="default" w:ascii="Times New Roman" w:hAnsi="Times New Roman" w:cs="Times New Roman"/>
          <w:i w:val="0"/>
          <w:caps w:val="0"/>
          <w:color w:val="000000"/>
          <w:spacing w:val="0"/>
          <w:sz w:val="24"/>
          <w:szCs w:val="24"/>
          <w:u w:val="none"/>
        </w:rPr>
        <w:t>. (2025, May 5). MIDA | Malaysian Investment Development Authority.</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https://www.mida.gov.my/industries/manufacturing/transport/transport-industry-automotive/</w:t>
      </w:r>
    </w:p>
    <w:p w14:paraId="3D8B4261">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05E72566">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caps w:val="0"/>
          <w:color w:val="000000"/>
          <w:spacing w:val="0"/>
          <w:sz w:val="24"/>
          <w:szCs w:val="24"/>
          <w:u w:val="none"/>
        </w:rPr>
        <w:t>Career - improving skills</w:t>
      </w:r>
      <w:r>
        <w:rPr>
          <w:rFonts w:hint="default" w:ascii="Times New Roman" w:hAnsi="Times New Roman" w:cs="Times New Roman"/>
          <w:i w:val="0"/>
          <w:caps w:val="0"/>
          <w:color w:val="000000"/>
          <w:spacing w:val="0"/>
          <w:sz w:val="24"/>
          <w:szCs w:val="24"/>
          <w:u w:val="none"/>
        </w:rPr>
        <w:t>. (n.d.). Gaharu.</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https://www.malaysia.gov.my/en/categories/career/improving-skills</w:t>
      </w:r>
    </w:p>
    <w:p w14:paraId="3B2584EA">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10AFD879">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r>
        <w:rPr>
          <w:rFonts w:hint="default" w:ascii="Times New Roman" w:hAnsi="Times New Roman" w:cs="Times New Roman"/>
          <w:i w:val="0"/>
          <w:caps w:val="0"/>
          <w:color w:val="000000"/>
          <w:spacing w:val="0"/>
          <w:sz w:val="24"/>
          <w:szCs w:val="24"/>
          <w:u w:val="none"/>
        </w:rPr>
        <w:t>Rahman, H. M. M., Malarvizhi, C. a. N., &amp; Khan, N. (2025). Decoding turnover intention in Malaysia’s ICT industry: the mediating role of employee loyalty in the nexus between exploring the recruitment and selection, training and development, and work-life balance.</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caps w:val="0"/>
          <w:color w:val="000000"/>
          <w:spacing w:val="0"/>
          <w:sz w:val="24"/>
          <w:szCs w:val="24"/>
          <w:u w:val="none"/>
        </w:rPr>
        <w:t>Cogent Business &amp; Management</w:t>
      </w:r>
      <w:r>
        <w:rPr>
          <w:rFonts w:hint="default" w:ascii="Times New Roman" w:hAnsi="Times New Roman" w:cs="Times New Roman"/>
          <w:i w:val="0"/>
          <w:caps w:val="0"/>
          <w:color w:val="000000"/>
          <w:spacing w:val="0"/>
          <w:sz w:val="24"/>
          <w:szCs w:val="24"/>
          <w:u w:val="none"/>
        </w:rPr>
        <w:t>,</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caps w:val="0"/>
          <w:color w:val="000000"/>
          <w:spacing w:val="0"/>
          <w:sz w:val="24"/>
          <w:szCs w:val="24"/>
          <w:u w:val="none"/>
        </w:rPr>
        <w:t>12</w:t>
      </w:r>
      <w:r>
        <w:rPr>
          <w:rFonts w:hint="default" w:ascii="Times New Roman" w:hAnsi="Times New Roman" w:cs="Times New Roman"/>
          <w:i w:val="0"/>
          <w:caps w:val="0"/>
          <w:color w:val="000000"/>
          <w:spacing w:val="0"/>
          <w:sz w:val="24"/>
          <w:szCs w:val="24"/>
          <w:u w:val="none"/>
        </w:rPr>
        <w:t>(1).</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https://doi.org/10.1080/23311975.2025.2536672</w:t>
      </w:r>
    </w:p>
    <w:p w14:paraId="59C134FE">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5E6549F0">
      <w:pPr>
        <w:pStyle w:val="6"/>
        <w:widowControl/>
        <w:spacing w:beforeAutospacing="0" w:after="0" w:afterAutospacing="0" w:line="480" w:lineRule="atLeast"/>
        <w:ind w:left="0" w:firstLine="0"/>
        <w:rPr>
          <w:rFonts w:hint="default" w:ascii="Times New Roman" w:hAnsi="Times New Roman" w:cs="Times New Roman"/>
          <w:sz w:val="24"/>
          <w:szCs w:val="24"/>
        </w:rPr>
      </w:pPr>
      <w:r>
        <w:rPr>
          <w:rFonts w:hint="default" w:ascii="Times New Roman" w:hAnsi="Times New Roman" w:cs="Times New Roman"/>
          <w:i w:val="0"/>
          <w:caps w:val="0"/>
          <w:color w:val="000000"/>
          <w:spacing w:val="0"/>
          <w:sz w:val="24"/>
          <w:szCs w:val="24"/>
          <w:u w:val="none"/>
        </w:rPr>
        <w:t>O’Connor, E. P., Shao, J. J., Ariss, A. A., &amp; Sidani, Y. (2025). Overcoming the “either/or” mindset: Towards an Integrated Talent Management Framework.</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caps w:val="0"/>
          <w:color w:val="000000"/>
          <w:spacing w:val="0"/>
          <w:sz w:val="24"/>
          <w:szCs w:val="24"/>
          <w:u w:val="none"/>
        </w:rPr>
        <w:t>European Management Review</w:t>
      </w:r>
      <w:r>
        <w:rPr>
          <w:rFonts w:hint="default" w:ascii="Times New Roman" w:hAnsi="Times New Roman" w:cs="Times New Roman"/>
          <w:i w:val="0"/>
          <w:caps w:val="0"/>
          <w:color w:val="000000"/>
          <w:spacing w:val="0"/>
          <w:sz w:val="24"/>
          <w:szCs w:val="24"/>
          <w:u w:val="none"/>
        </w:rPr>
        <w:t>,</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caps w:val="0"/>
          <w:color w:val="000000"/>
          <w:spacing w:val="0"/>
          <w:sz w:val="24"/>
          <w:szCs w:val="24"/>
          <w:u w:val="none"/>
        </w:rPr>
        <w:t>22</w:t>
      </w:r>
      <w:r>
        <w:rPr>
          <w:rFonts w:hint="default" w:ascii="Times New Roman" w:hAnsi="Times New Roman" w:cs="Times New Roman"/>
          <w:i w:val="0"/>
          <w:caps w:val="0"/>
          <w:color w:val="000000"/>
          <w:spacing w:val="0"/>
          <w:sz w:val="24"/>
          <w:szCs w:val="24"/>
          <w:u w:val="none"/>
        </w:rPr>
        <w:t>(4), 1108–1121.</w:t>
      </w:r>
      <w:r>
        <w:rPr>
          <w:rFonts w:hint="default" w:ascii="Times New Roman" w:hAnsi="Times New Roman" w:cs="Times New Roman"/>
          <w:i w:val="0"/>
          <w:caps w:val="0"/>
          <w:color w:val="000000"/>
          <w:spacing w:val="0"/>
          <w:sz w:val="24"/>
          <w:szCs w:val="24"/>
          <w:u w:val="none"/>
        </w:rPr>
        <w:t> </w:t>
      </w:r>
      <w:r>
        <w:rPr>
          <w:rFonts w:hint="default" w:ascii="Times New Roman" w:hAnsi="Times New Roman" w:cs="Times New Roman"/>
          <w:i w:val="0"/>
          <w:caps w:val="0"/>
          <w:color w:val="000000"/>
          <w:spacing w:val="0"/>
          <w:sz w:val="24"/>
          <w:szCs w:val="24"/>
          <w:u w:val="none"/>
        </w:rPr>
        <w:t>https://doi.org/10.1111/emre.70002</w:t>
      </w:r>
    </w:p>
    <w:p w14:paraId="4F628E83">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596E14AE">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4138F6E6">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36E7913B">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6E0790B9">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05B15C8E">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72BE3061">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469FD150">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1FA01A24">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77C0B899">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5FBE63A7">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7E2E9D00">
      <w:pPr>
        <w:spacing w:line="360" w:lineRule="auto"/>
        <w:ind w:left="0" w:leftChars="0" w:firstLine="0" w:firstLineChars="0"/>
        <w:rPr>
          <w:rFonts w:hint="default" w:ascii="Times New Roman" w:hAnsi="Times New Roman" w:cs="Times New Roman"/>
          <w:sz w:val="24"/>
          <w:szCs w:val="24"/>
          <w:lang w:val="en-GB"/>
        </w:rPr>
      </w:pPr>
    </w:p>
    <w:sectPr>
      <w:headerReference r:id="rId3" w:type="default"/>
      <w:footerReference r:id="rId4"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egoe UI Symbol">
    <w:panose1 w:val="020B0502040204020203"/>
    <w:charset w:val="00"/>
    <w:family w:val="swiss"/>
    <w:pitch w:val="default"/>
    <w:sig w:usb0="00000000" w:usb1="00000000" w:usb2="00040000" w:usb3="00000000" w:csb0="00000001" w:csb1="00000000"/>
  </w:font>
  <w:font w:name="Symbol">
    <w:panose1 w:val="05050102010706020507"/>
    <w:charset w:val="02"/>
    <w:family w:val="roman"/>
    <w:pitch w:val="default"/>
    <w:sig w:usb0="00000000" w:usb1="00000000" w:usb2="00000000" w:usb3="00000000" w:csb0="80000000" w:csb1="00000000"/>
  </w:font>
  <w:font w:name="CG Times (WN)">
    <w:panose1 w:val="00000000000000000000"/>
    <w:charset w:val="00"/>
    <w:family w:val="roman"/>
    <w:pitch w:val="default"/>
    <w:sig w:usb0="00000000" w:usb1="00000000" w:usb2="00000000" w:usb3="00000000" w:csb0="00000001" w:csb1="00000000"/>
  </w:font>
  <w:font w:name="MS Gothic">
    <w:altName w:val="ＭＳ ゴシック"/>
    <w:panose1 w:val="020B0609070205080204"/>
    <w:charset w:val="80"/>
    <w:family w:val="modern"/>
    <w:pitch w:val="default"/>
    <w:sig w:usb0="00000000" w:usb1="00000000" w:usb2="08000012" w:usb3="00000000" w:csb0="0002009F" w:csb1="00000000"/>
  </w:font>
  <w:font w:name="DengXian Light">
    <w:altName w:val="等线 Light"/>
    <w:panose1 w:val="02010600030101010101"/>
    <w:charset w:val="86"/>
    <w:family w:val="auto"/>
    <w:pitch w:val="default"/>
    <w:sig w:usb0="00000000" w:usb1="00000000" w:usb2="00000016" w:usb3="00000000" w:csb0="0004000F" w:csb1="00000000"/>
  </w:font>
  <w:font w:name="Aptos Display">
    <w:panose1 w:val="00000000000000000000"/>
    <w:charset w:val="00"/>
    <w:family w:val="swiss"/>
    <w:pitch w:val="default"/>
    <w:sig w:usb0="00000000" w:usb1="00000000" w:usb2="00000000" w:usb3="00000000" w:csb0="0000019F" w:csb1="00000000"/>
  </w:font>
  <w:font w:name="DengXian">
    <w:altName w:val="等线"/>
    <w:panose1 w:val="02010600030101010101"/>
    <w:charset w:val="86"/>
    <w:family w:val="auto"/>
    <w:pitch w:val="default"/>
    <w:sig w:usb0="00000000" w:usb1="00000000" w:usb2="00000016" w:usb3="00000000" w:csb0="0004000F" w:csb1="00000000"/>
  </w:font>
  <w:font w:name="Aptos">
    <w:panose1 w:val="00000000000000000000"/>
    <w:charset w:val="00"/>
    <w:family w:val="swiss"/>
    <w:pitch w:val="default"/>
    <w:sig w:usb0="00000000" w:usb1="00000000"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FC452E4">
    <w:pPr>
      <w:pStyle w:val="4"/>
      <w:jc w:val="center"/>
    </w:pPr>
    <w: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96F68D3">
                          <w:pPr>
                            <w:pStyle w:val="4"/>
                            <w:rPr>
                              <w:lang w:val="en-GB"/>
                            </w:rPr>
                          </w:pPr>
                          <w:r>
                            <w:rPr>
                              <w:lang w:val="en-GB"/>
                            </w:rPr>
                            <w:fldChar w:fldCharType="begin"/>
                          </w:r>
                          <w:r>
                            <w:rPr>
                              <w:lang w:val="en-GB"/>
                            </w:rPr>
                            <w:instrText xml:space="preserve"> PAGE  \* MERGEFORMAT </w:instrText>
                          </w:r>
                          <w:r>
                            <w:rPr>
                              <w:lang w:val="en-GB"/>
                            </w:rPr>
                            <w:fldChar w:fldCharType="separate"/>
                          </w:r>
                          <w:r>
                            <w:t>1</w:t>
                          </w:r>
                          <w:r>
                            <w:rPr>
                              <w:lang w:val="en-GB"/>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">
              <v:fill on="f" focussize="0,0"/>
              <v:stroke on="f" weight="0.5pt"/>
              <v:imagedata o:title=""/>
              <o:lock v:ext="edit" aspectratio="f"/>
              <v:textbox inset="0mm,0mm,0mm,0mm" style="mso-fit-shape-to-text:t;">
                <w:txbxContent>
                  <w:p w14:paraId="596F68D3">
                    <w:pPr>
                      <w:pStyle w:val="4"/>
                      <w:rPr>
                        <w:lang w:val="en-GB"/>
                      </w:rPr>
                    </w:pPr>
                    <w:r>
                      <w:rPr>
                        <w:lang w:val="en-GB"/>
                      </w:rPr>
                      <w:fldChar w:fldCharType="begin"/>
                    </w:r>
                    <w:r>
                      <w:rPr>
                        <w:lang w:val="en-GB"/>
                      </w:rPr>
                      <w:instrText xml:space="preserve"> PAGE  \* MERGEFORMAT </w:instrText>
                    </w:r>
                    <w:r>
                      <w:rPr>
                        <w:lang w:val="en-GB"/>
                      </w:rPr>
                      <w:fldChar w:fldCharType="separate"/>
                    </w:r>
                    <w:r>
                      <w:t>1</w:t>
                    </w:r>
                    <w:r>
                      <w:rPr>
                        <w:lang w:val="en-GB"/>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6E61558">
    <w:pPr>
      <w:pStyle w:val="5"/>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0C1453"/>
    <w:multiLevelType w:val="multilevel"/>
    <w:tmpl w:val="210C14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adjustLineHeightInTable/>
    <w:doNotBreakWrappedTables/>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next w:val="1"/>
    <w:qFormat/>
    <w:uiPriority w:val="0"/>
    <w:pPr>
      <w:keepNext/>
      <w:keepLines/>
      <w:pBdr>
        <w:top w:val="single" w:color="000000" w:sz="4" w:space="0"/>
        <w:left w:val="single" w:color="000000" w:sz="4" w:space="0"/>
        <w:bottom w:val="single" w:color="000000" w:sz="4" w:space="0"/>
        <w:right w:val="single" w:color="000000" w:sz="4" w:space="0"/>
      </w:pBdr>
      <w:shd w:val="clear" w:color="auto" w:fill="C0C0C0"/>
      <w:spacing w:line="259" w:lineRule="auto"/>
      <w:ind w:left="131" w:hanging="10"/>
      <w:jc w:val="center"/>
      <w:outlineLvl w:val="0"/>
    </w:pPr>
    <w:rPr>
      <w:rFonts w:ascii="Arial" w:hAnsi="Arial" w:eastAsia="Arial" w:cs="Arial"/>
      <w:b/>
      <w:color w:val="000000"/>
      <w:sz w:val="40"/>
      <w:szCs w:val="22"/>
      <w:lang w:val="en-US" w:eastAsia="en-US" w:bidi="ar-SA"/>
    </w:rPr>
  </w:style>
  <w:style w:type="paragraph" w:styleId="3">
    <w:name w:val="heading 2"/>
    <w:next w:val="1"/>
    <w:unhideWhenUsed/>
    <w:qFormat/>
    <w:uiPriority w:val="0"/>
    <w:pPr>
      <w:keepNext/>
      <w:keepLines/>
      <w:pBdr>
        <w:top w:val="single" w:color="000000" w:sz="4" w:space="0"/>
        <w:left w:val="single" w:color="000000" w:sz="4" w:space="0"/>
        <w:bottom w:val="single" w:color="000000" w:sz="4" w:space="0"/>
        <w:right w:val="single" w:color="000000" w:sz="4" w:space="0"/>
      </w:pBdr>
      <w:shd w:val="clear" w:color="auto" w:fill="C0C0C0"/>
      <w:spacing w:line="259" w:lineRule="auto"/>
      <w:ind w:left="131" w:hanging="10"/>
      <w:jc w:val="center"/>
      <w:outlineLvl w:val="1"/>
    </w:pPr>
    <w:rPr>
      <w:rFonts w:ascii="Arial" w:hAnsi="Arial" w:eastAsia="Arial" w:cs="Arial"/>
      <w:b/>
      <w:color w:val="000000"/>
      <w:sz w:val="40"/>
      <w:szCs w:val="22"/>
      <w:lang w:val="en-US" w:eastAsia="en-US" w:bidi="ar-SA"/>
    </w:rPr>
  </w:style>
  <w:style w:type="character" w:default="1" w:styleId="7">
    <w:name w:val="Default Paragraph Font"/>
    <w:semiHidden/>
    <w:uiPriority w:val="0"/>
  </w:style>
  <w:style w:type="table" w:default="1" w:styleId="8">
    <w:name w:val="Normal Table"/>
    <w:semiHidden/>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center"/>
    </w:pPr>
    <w:rPr>
      <w:sz w:val="18"/>
      <w:szCs w:val="18"/>
    </w:rPr>
  </w:style>
  <w:style w:type="paragraph" w:styleId="5">
    <w:name w:val="header"/>
    <w:basedOn w:val="1"/>
    <w:uiPriority w:val="0"/>
    <w:pPr>
      <w:tabs>
        <w:tab w:val="center" w:pos="4153"/>
        <w:tab w:val="right" w:pos="8306"/>
      </w:tabs>
      <w:snapToGrid w:val="0"/>
      <w:jc w:val="center"/>
    </w:pPr>
    <w:rPr>
      <w:sz w:val="18"/>
      <w:szCs w:val="18"/>
    </w:rPr>
  </w:style>
  <w:style w:type="paragraph" w:styleId="6">
    <w:name w:val="Normal (Web)"/>
    <w:uiPriority w:val="0"/>
    <w:pPr>
      <w:spacing w:beforeAutospacing="1" w:after="0" w:afterAutospacing="1"/>
      <w:ind w:left="0" w:right="0"/>
      <w:jc w:val="left"/>
    </w:pPr>
    <w:rPr>
      <w:rFonts w:ascii="Times New Roman" w:hAnsi="Times New Roman" w:eastAsia="宋体"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2026-09-21T21:29:17Z</dcterms:created>
  <dc:creator>iPad</dc:creator>
  <cp:lastModifiedBy>iPad</cp:lastModifiedBy>
  <dcterms:modified xsi:type="dcterms:W3CDTF">2026-09-22T16:13:34Z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3081-26.9.0</vt:lpwstr>
  </property>
  <property fmtid="{D5CDD505-2E9C-101B-9397-08002B2CF9AE}" pid="3" name="ICV">
    <vt:lpwstr>12456CDD66926121D137B26AC0B1B546_33</vt:lpwstr>
  </property>
</Properties>
</file>