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491BD7" w14:textId="63CE0A2F" w:rsidR="00DB2B55" w:rsidRPr="004A17B7" w:rsidRDefault="004A17B7" w:rsidP="004A17B7">
      <w:pPr>
        <w:jc w:val="center"/>
        <w:rPr>
          <w:rFonts w:ascii="Times New Roman" w:hAnsi="Times New Roman" w:cs="Times New Roman"/>
          <w:sz w:val="72"/>
          <w:szCs w:val="72"/>
        </w:rPr>
      </w:pPr>
      <w:r w:rsidRPr="004A17B7">
        <w:rPr>
          <w:rFonts w:ascii="Times New Roman" w:hAnsi="Times New Roman" w:cs="Times New Roman"/>
          <w:sz w:val="72"/>
          <w:szCs w:val="72"/>
        </w:rPr>
        <w:t>Critical review</w:t>
      </w:r>
    </w:p>
    <w:p w14:paraId="544E5FDC" w14:textId="77777777" w:rsidR="00DB2B55" w:rsidRDefault="00DB2B55">
      <w:pPr>
        <w:rPr>
          <w:b/>
          <w:bCs/>
        </w:rPr>
      </w:pPr>
    </w:p>
    <w:p w14:paraId="362A5264" w14:textId="77777777" w:rsidR="00DB2B55" w:rsidRDefault="00DB2B55">
      <w:pPr>
        <w:rPr>
          <w:b/>
          <w:bCs/>
        </w:rPr>
      </w:pPr>
    </w:p>
    <w:p w14:paraId="1B5875A0" w14:textId="77777777" w:rsidR="00814132" w:rsidRDefault="003D7AF2" w:rsidP="00814132">
      <w:pPr>
        <w:spacing w:line="360" w:lineRule="auto"/>
        <w:rPr>
          <w:rFonts w:ascii="Times New Roman" w:hAnsi="Times New Roman" w:cs="Times New Roman"/>
          <w:b/>
          <w:bCs/>
          <w:sz w:val="28"/>
          <w:szCs w:val="28"/>
        </w:rPr>
      </w:pPr>
      <w:r w:rsidRPr="00E41587">
        <w:rPr>
          <w:rFonts w:ascii="Times New Roman" w:hAnsi="Times New Roman" w:cs="Times New Roman"/>
          <w:b/>
          <w:bCs/>
          <w:sz w:val="28"/>
          <w:szCs w:val="28"/>
        </w:rPr>
        <w:t>Part 1: Critically review one theory that underpins our understanding of cognitive decline in old age.</w:t>
      </w:r>
    </w:p>
    <w:p w14:paraId="068E8A40" w14:textId="2BA5320D" w:rsidR="00814132" w:rsidRPr="00814132" w:rsidRDefault="00814132" w:rsidP="00756FCC">
      <w:pPr>
        <w:spacing w:line="360" w:lineRule="auto"/>
        <w:rPr>
          <w:rFonts w:ascii="Times New Roman" w:hAnsi="Times New Roman" w:cs="Times New Roman"/>
          <w:b/>
          <w:bCs/>
          <w:sz w:val="28"/>
          <w:szCs w:val="28"/>
        </w:rPr>
      </w:pPr>
      <w:r w:rsidRPr="00814132">
        <w:rPr>
          <w:rFonts w:ascii="Times New Roman" w:hAnsi="Times New Roman" w:cs="Times New Roman"/>
          <w:sz w:val="28"/>
          <w:szCs w:val="28"/>
        </w:rPr>
        <w:t>The global population over 65 is expected to expand by 120% between 2019 and 2050, increasing dementia prevalence</w:t>
      </w:r>
      <w:r w:rsidRPr="00814132">
        <w:rPr>
          <w:rFonts w:ascii="Times New Roman" w:hAnsi="Times New Roman" w:cs="Times New Roman"/>
          <w:color w:val="C00000"/>
          <w:sz w:val="28"/>
          <w:szCs w:val="28"/>
        </w:rPr>
        <w:t xml:space="preserve"> </w:t>
      </w:r>
      <w:r w:rsidRPr="00814132">
        <w:rPr>
          <w:rFonts w:ascii="Times New Roman" w:hAnsi="Times New Roman" w:cs="Times New Roman"/>
          <w:color w:val="C00000"/>
          <w:sz w:val="28"/>
          <w:szCs w:val="28"/>
        </w:rPr>
        <w:t xml:space="preserve">(Meiner et al., 2020; Kivipelto et al., 2020). </w:t>
      </w:r>
      <w:r w:rsidRPr="00814132">
        <w:rPr>
          <w:rFonts w:ascii="Times New Roman" w:hAnsi="Times New Roman" w:cs="Times New Roman"/>
          <w:sz w:val="28"/>
          <w:szCs w:val="28"/>
        </w:rPr>
        <w:t xml:space="preserve">Because the population is growing older and experiencing some changes which are typical for ageing individuals, noticing significant declines could point to the potential beginning of dementia conditions in some cases. Making lifestyle choices can play a role in delaying or even preventing around 40% of dementia cases by addressing factors like lack of activity levels and social interactions as well as lower educational attainment rates. Because these factors impact aspects of ageing outcomes, the reasons why individuals, like older adults, can maintain their cognitive abilities into advanced age remain unclear </w:t>
      </w:r>
      <w:r w:rsidRPr="0065283C">
        <w:rPr>
          <w:rFonts w:ascii="Times New Roman" w:hAnsi="Times New Roman" w:cs="Times New Roman"/>
          <w:color w:val="C00000"/>
          <w:sz w:val="28"/>
          <w:szCs w:val="28"/>
        </w:rPr>
        <w:t>(Oosterhuis et al., 2022).</w:t>
      </w:r>
      <w:r w:rsidRPr="00814132">
        <w:rPr>
          <w:rFonts w:ascii="Times New Roman" w:hAnsi="Times New Roman" w:cs="Times New Roman"/>
          <w:sz w:val="28"/>
          <w:szCs w:val="28"/>
        </w:rPr>
        <w:t xml:space="preserve">To understand how the brain changes, ages and what factors lead to neurodegeneration and cognitive decline, it is necessary to study brain data over time based on age trends in the population. Also, individual differences significantly impact how the brain ages, which cross-sectional studies do not always show accurately because they do not account for changes over time; they may not give a complete picture of the impact of lifestyle on brain ageing </w:t>
      </w:r>
      <w:r w:rsidRPr="0065283C">
        <w:rPr>
          <w:rFonts w:ascii="Times New Roman" w:hAnsi="Times New Roman" w:cs="Times New Roman"/>
          <w:color w:val="C00000"/>
          <w:sz w:val="28"/>
          <w:szCs w:val="28"/>
        </w:rPr>
        <w:t>(Fujita, 2024).</w:t>
      </w:r>
    </w:p>
    <w:p w14:paraId="255A671C" w14:textId="77777777" w:rsidR="00814132" w:rsidRPr="00814132" w:rsidRDefault="00814132" w:rsidP="00756FCC">
      <w:pPr>
        <w:spacing w:line="360" w:lineRule="auto"/>
        <w:rPr>
          <w:rFonts w:ascii="Times New Roman" w:hAnsi="Times New Roman" w:cs="Times New Roman"/>
          <w:sz w:val="28"/>
          <w:szCs w:val="28"/>
        </w:rPr>
      </w:pPr>
      <w:r w:rsidRPr="00814132">
        <w:rPr>
          <w:rFonts w:ascii="Times New Roman" w:hAnsi="Times New Roman" w:cs="Times New Roman"/>
          <w:sz w:val="28"/>
          <w:szCs w:val="28"/>
        </w:rPr>
        <w:t xml:space="preserve">Normal ageing is associated with mild cognitive decline that does not significantly affect daily life, unlike Alzheimer's disease, because it leads to severe mental problems and loss of independence. Alzheimer's disease is responsible for 60-80% of dementia cases </w:t>
      </w:r>
      <w:r w:rsidRPr="0065283C">
        <w:rPr>
          <w:rFonts w:ascii="Times New Roman" w:hAnsi="Times New Roman" w:cs="Times New Roman"/>
          <w:color w:val="C00000"/>
          <w:sz w:val="28"/>
          <w:szCs w:val="28"/>
        </w:rPr>
        <w:t>(Li et al., 2022; Alzheimer's Association, 2024),</w:t>
      </w:r>
      <w:r w:rsidRPr="00814132">
        <w:rPr>
          <w:rFonts w:ascii="Times New Roman" w:hAnsi="Times New Roman" w:cs="Times New Roman"/>
          <w:sz w:val="28"/>
          <w:szCs w:val="28"/>
        </w:rPr>
        <w:t xml:space="preserve"> mainly affecting memory and other cognitive functions </w:t>
      </w:r>
      <w:r w:rsidRPr="00814132">
        <w:rPr>
          <w:rFonts w:ascii="Times New Roman" w:hAnsi="Times New Roman" w:cs="Times New Roman"/>
          <w:sz w:val="28"/>
          <w:szCs w:val="28"/>
        </w:rPr>
        <w:lastRenderedPageBreak/>
        <w:t xml:space="preserve">because, unlike typical ageing, cognitive deficits in Alzheimer's disease significantly complicate daily life </w:t>
      </w:r>
      <w:r w:rsidRPr="0065283C">
        <w:rPr>
          <w:rFonts w:ascii="Times New Roman" w:hAnsi="Times New Roman" w:cs="Times New Roman"/>
          <w:color w:val="C00000"/>
          <w:sz w:val="28"/>
          <w:szCs w:val="28"/>
        </w:rPr>
        <w:t>(Testo et al., 2024)</w:t>
      </w:r>
      <w:r w:rsidRPr="00814132">
        <w:rPr>
          <w:rFonts w:ascii="Times New Roman" w:hAnsi="Times New Roman" w:cs="Times New Roman"/>
          <w:sz w:val="28"/>
          <w:szCs w:val="28"/>
        </w:rPr>
        <w:t>.</w:t>
      </w:r>
    </w:p>
    <w:p w14:paraId="183256F2" w14:textId="77777777" w:rsidR="00814132" w:rsidRPr="00814132" w:rsidRDefault="00814132" w:rsidP="00756FCC">
      <w:pPr>
        <w:spacing w:line="360" w:lineRule="auto"/>
        <w:rPr>
          <w:rFonts w:ascii="Times New Roman" w:hAnsi="Times New Roman" w:cs="Times New Roman"/>
          <w:sz w:val="28"/>
          <w:szCs w:val="28"/>
        </w:rPr>
      </w:pPr>
      <w:r w:rsidRPr="00814132">
        <w:rPr>
          <w:rFonts w:ascii="Times New Roman" w:hAnsi="Times New Roman" w:cs="Times New Roman"/>
          <w:sz w:val="28"/>
          <w:szCs w:val="28"/>
        </w:rPr>
        <w:t xml:space="preserve">Approximately 40% of cognitive decline in humans is associated with diseases such as Alzheimer's and Lewy body disease </w:t>
      </w:r>
      <w:r w:rsidRPr="000539DD">
        <w:rPr>
          <w:rFonts w:ascii="Times New Roman" w:hAnsi="Times New Roman" w:cs="Times New Roman"/>
          <w:color w:val="C00000"/>
          <w:sz w:val="28"/>
          <w:szCs w:val="28"/>
        </w:rPr>
        <w:t xml:space="preserve">(Boyle et al., 2021); </w:t>
      </w:r>
      <w:r w:rsidRPr="00814132">
        <w:rPr>
          <w:rFonts w:ascii="Times New Roman" w:hAnsi="Times New Roman" w:cs="Times New Roman"/>
          <w:sz w:val="28"/>
          <w:szCs w:val="28"/>
        </w:rPr>
        <w:t xml:space="preserve">ageing changes brain function and structure, but some people show resilience to these changes </w:t>
      </w:r>
      <w:r w:rsidRPr="000539DD">
        <w:rPr>
          <w:rFonts w:ascii="Times New Roman" w:hAnsi="Times New Roman" w:cs="Times New Roman"/>
          <w:color w:val="C00000"/>
          <w:sz w:val="28"/>
          <w:szCs w:val="28"/>
        </w:rPr>
        <w:t>(Mateard et al., 2023).</w:t>
      </w:r>
    </w:p>
    <w:p w14:paraId="5E3E371D" w14:textId="77777777" w:rsidR="00814132" w:rsidRPr="00814132" w:rsidRDefault="00814132" w:rsidP="00756FCC">
      <w:pPr>
        <w:spacing w:line="360" w:lineRule="auto"/>
        <w:rPr>
          <w:rFonts w:ascii="Times New Roman" w:hAnsi="Times New Roman" w:cs="Times New Roman"/>
          <w:sz w:val="28"/>
          <w:szCs w:val="28"/>
        </w:rPr>
      </w:pPr>
      <w:r w:rsidRPr="00814132">
        <w:rPr>
          <w:rFonts w:ascii="Times New Roman" w:hAnsi="Times New Roman" w:cs="Times New Roman"/>
          <w:sz w:val="28"/>
          <w:szCs w:val="28"/>
        </w:rPr>
        <w:t xml:space="preserve">Unfortunately, the number of people with Alzheimer's disease and other dementias could double by 2060, thereby increasing mortality and disability rates; as current therapies mainly manage symptoms, interventions are needed to explore cognitive decline and the lasting effects of gender, race and childhood trauma are still uncertain </w:t>
      </w:r>
      <w:r w:rsidRPr="000539DD">
        <w:rPr>
          <w:rFonts w:ascii="Times New Roman" w:hAnsi="Times New Roman" w:cs="Times New Roman"/>
          <w:color w:val="C00000"/>
          <w:sz w:val="28"/>
          <w:szCs w:val="28"/>
        </w:rPr>
        <w:t xml:space="preserve">(Yang et al., 2023). </w:t>
      </w:r>
    </w:p>
    <w:p w14:paraId="13D52C07" w14:textId="77777777" w:rsidR="00814132" w:rsidRPr="00814132" w:rsidRDefault="00814132" w:rsidP="00756FCC">
      <w:pPr>
        <w:spacing w:line="360" w:lineRule="auto"/>
        <w:rPr>
          <w:rFonts w:ascii="Times New Roman" w:hAnsi="Times New Roman" w:cs="Times New Roman"/>
          <w:sz w:val="28"/>
          <w:szCs w:val="28"/>
        </w:rPr>
      </w:pPr>
      <w:r w:rsidRPr="00814132">
        <w:rPr>
          <w:rFonts w:ascii="Times New Roman" w:hAnsi="Times New Roman" w:cs="Times New Roman"/>
          <w:sz w:val="28"/>
          <w:szCs w:val="28"/>
        </w:rPr>
        <w:t xml:space="preserve">Research on the effects of brain ageing shows that lifestyle choices such as habits, exercise, sleep quality, and engaging in mental activities have a positive impact on the cognitive abilities of older people because the exact causes of this phenomenon are still uncertain, one hypothesis is that these factors help to develop cognitive reserve (CR), which can mitigate the negative effects of ageing or diseases affecting brain function </w:t>
      </w:r>
      <w:r w:rsidRPr="000539DD">
        <w:rPr>
          <w:rFonts w:ascii="Times New Roman" w:hAnsi="Times New Roman" w:cs="Times New Roman"/>
          <w:color w:val="C00000"/>
          <w:sz w:val="28"/>
          <w:szCs w:val="28"/>
        </w:rPr>
        <w:t>(Song et al., 2022).</w:t>
      </w:r>
    </w:p>
    <w:p w14:paraId="7406CFDF" w14:textId="77777777" w:rsidR="00814132" w:rsidRPr="00814132" w:rsidRDefault="00814132" w:rsidP="00756FCC">
      <w:pPr>
        <w:spacing w:line="360" w:lineRule="auto"/>
        <w:rPr>
          <w:rFonts w:ascii="Times New Roman" w:hAnsi="Times New Roman" w:cs="Times New Roman"/>
          <w:sz w:val="28"/>
          <w:szCs w:val="28"/>
        </w:rPr>
      </w:pPr>
      <w:r w:rsidRPr="00814132">
        <w:rPr>
          <w:rFonts w:ascii="Times New Roman" w:hAnsi="Times New Roman" w:cs="Times New Roman"/>
          <w:sz w:val="28"/>
          <w:szCs w:val="28"/>
        </w:rPr>
        <w:t xml:space="preserve">Cognitive reserve (CR) against the risk of complications and trauma, which helps with cognitive function. Impact on factors such as level, participation in intellectual activity and professional history that support the brain for use with the challenges of ageing. Good information about safety measures, including motivation and mood, and also cognitive functions related to technical disorders such as anxiety and depression can reveal cognitive abilities </w:t>
      </w:r>
      <w:r w:rsidRPr="000539DD">
        <w:rPr>
          <w:rFonts w:ascii="Times New Roman" w:hAnsi="Times New Roman" w:cs="Times New Roman"/>
          <w:color w:val="C00000"/>
          <w:sz w:val="28"/>
          <w:szCs w:val="28"/>
        </w:rPr>
        <w:t>(Di Rosa et al., 2024)</w:t>
      </w:r>
      <w:r w:rsidRPr="00814132">
        <w:rPr>
          <w:rFonts w:ascii="Times New Roman" w:hAnsi="Times New Roman" w:cs="Times New Roman"/>
          <w:sz w:val="28"/>
          <w:szCs w:val="28"/>
        </w:rPr>
        <w:t xml:space="preserve">. Higher cognitive reserve reduces the risk of dementia, helping to prepare with cognitive capacity and delayed cognitive function in the long term </w:t>
      </w:r>
      <w:r w:rsidRPr="000539DD">
        <w:rPr>
          <w:rFonts w:ascii="Times New Roman" w:hAnsi="Times New Roman" w:cs="Times New Roman"/>
          <w:color w:val="C00000"/>
          <w:sz w:val="28"/>
          <w:szCs w:val="28"/>
        </w:rPr>
        <w:t xml:space="preserve">(Berezuk et al., 2021). </w:t>
      </w:r>
    </w:p>
    <w:p w14:paraId="44619B38" w14:textId="77777777" w:rsidR="00814132" w:rsidRPr="00814132" w:rsidRDefault="00814132" w:rsidP="00756FCC">
      <w:pPr>
        <w:spacing w:line="360" w:lineRule="auto"/>
        <w:rPr>
          <w:rFonts w:ascii="Times New Roman" w:hAnsi="Times New Roman" w:cs="Times New Roman"/>
          <w:sz w:val="28"/>
          <w:szCs w:val="28"/>
        </w:rPr>
      </w:pPr>
      <w:r w:rsidRPr="00814132">
        <w:rPr>
          <w:rFonts w:ascii="Times New Roman" w:hAnsi="Times New Roman" w:cs="Times New Roman"/>
          <w:sz w:val="28"/>
          <w:szCs w:val="28"/>
        </w:rPr>
        <w:lastRenderedPageBreak/>
        <w:t xml:space="preserve">Researchers need to discover how cognitive reserve (CR) impacts an individual's life by changing the course of education and social interaction, as it can help maintain skills and abilities. To measure  CR level, look at the IQ level achieved and the activities performed, as higher cognitive reserve can support brain flexibility. This helps develop strategies that increase brain connectivity or leverage existing neural pathways because the performance of individuals with brain transformations may vary; higher CR helps maintain performance in individuals who experience difficulties </w:t>
      </w:r>
      <w:r w:rsidRPr="000539DD">
        <w:rPr>
          <w:rFonts w:ascii="Times New Roman" w:hAnsi="Times New Roman" w:cs="Times New Roman"/>
          <w:color w:val="C00000"/>
          <w:sz w:val="28"/>
          <w:szCs w:val="28"/>
        </w:rPr>
        <w:t xml:space="preserve">(Oosterhuis et al., 2022). </w:t>
      </w:r>
      <w:r w:rsidRPr="00814132">
        <w:rPr>
          <w:rFonts w:ascii="Times New Roman" w:hAnsi="Times New Roman" w:cs="Times New Roman"/>
          <w:sz w:val="28"/>
          <w:szCs w:val="28"/>
        </w:rPr>
        <w:t>The concept of cognitive reserve (CR) is considered a way to protect against the adverse effects of ageing, such as a decline in functional abilities. Reserve models are usually divided into passive and active. Passive models, such as brain reserve, rely on brain structure, such as the number or size of neurons. The passive hypothesis states that clinical symptoms appear as brain reserve capacity (BRC) declines and their severity becomes apparent.</w:t>
      </w:r>
    </w:p>
    <w:p w14:paraId="6F8C7AE6" w14:textId="77777777" w:rsidR="00814132" w:rsidRPr="00814132" w:rsidRDefault="00814132" w:rsidP="00756FCC">
      <w:pPr>
        <w:spacing w:line="360" w:lineRule="auto"/>
        <w:rPr>
          <w:rFonts w:ascii="Times New Roman" w:hAnsi="Times New Roman" w:cs="Times New Roman"/>
          <w:sz w:val="28"/>
          <w:szCs w:val="28"/>
        </w:rPr>
      </w:pPr>
      <w:r w:rsidRPr="00814132">
        <w:rPr>
          <w:rFonts w:ascii="Times New Roman" w:hAnsi="Times New Roman" w:cs="Times New Roman"/>
          <w:sz w:val="28"/>
          <w:szCs w:val="28"/>
        </w:rPr>
        <w:t xml:space="preserve">In contrast, active models emphasize processes that help compensate for deficiencies because they do not consider how different people use their resources. Cognitive reserve is an active concept that refers to the brain's resistance to ageing or damage. Even if brain reserve is at the same level, people with higher cognitive reserve can better compensate for deficits and use different brain networks, which makes them more resistant to changes in brain functioning </w:t>
      </w:r>
      <w:r w:rsidRPr="000539DD">
        <w:rPr>
          <w:rFonts w:ascii="Times New Roman" w:hAnsi="Times New Roman" w:cs="Times New Roman"/>
          <w:color w:val="C00000"/>
          <w:sz w:val="28"/>
          <w:szCs w:val="28"/>
        </w:rPr>
        <w:t>(Sardella et al., 2020).</w:t>
      </w:r>
    </w:p>
    <w:p w14:paraId="7B53B54C" w14:textId="77777777" w:rsidR="00814132" w:rsidRPr="00814132" w:rsidRDefault="00814132" w:rsidP="00756FCC">
      <w:pPr>
        <w:spacing w:line="360" w:lineRule="auto"/>
        <w:rPr>
          <w:rFonts w:ascii="Times New Roman" w:hAnsi="Times New Roman" w:cs="Times New Roman"/>
          <w:sz w:val="28"/>
          <w:szCs w:val="28"/>
        </w:rPr>
      </w:pPr>
      <w:r w:rsidRPr="00814132">
        <w:rPr>
          <w:rFonts w:ascii="Times New Roman" w:hAnsi="Times New Roman" w:cs="Times New Roman"/>
          <w:sz w:val="28"/>
          <w:szCs w:val="28"/>
        </w:rPr>
        <w:t xml:space="preserve">The brain can adapt to ageing, disease or injury, reducing the risk of cognitive decline. Cognitive reserve (CR) may help delay the development of dementia and minimize the rate of cognitive decline because factors such as educational level, occupational complexity and IQ are associated with a lesser impact of pathology on the brain. People with higher education may experience faster deterioration after diagnosis because they have more advanced pathologies, which may make it more difficult for them to adapt; these proxies are also </w:t>
      </w:r>
      <w:r w:rsidRPr="00814132">
        <w:rPr>
          <w:rFonts w:ascii="Times New Roman" w:hAnsi="Times New Roman" w:cs="Times New Roman"/>
          <w:sz w:val="28"/>
          <w:szCs w:val="28"/>
        </w:rPr>
        <w:lastRenderedPageBreak/>
        <w:t xml:space="preserve">supported by direct measures of cognitive reserves, such as differences in cognitive function, which are considered beyond demographic variables and brain health. To fully understand how lifestyle influences cognitive reserve, strong evidence is needed on which factors may support it </w:t>
      </w:r>
      <w:r w:rsidRPr="000539DD">
        <w:rPr>
          <w:rFonts w:ascii="Times New Roman" w:hAnsi="Times New Roman" w:cs="Times New Roman"/>
          <w:color w:val="C00000"/>
          <w:sz w:val="28"/>
          <w:szCs w:val="28"/>
        </w:rPr>
        <w:t xml:space="preserve">(Song et al., 2022). Nelson et al. (2021) </w:t>
      </w:r>
      <w:r w:rsidRPr="00814132">
        <w:rPr>
          <w:rFonts w:ascii="Times New Roman" w:hAnsi="Times New Roman" w:cs="Times New Roman"/>
          <w:sz w:val="28"/>
          <w:szCs w:val="28"/>
        </w:rPr>
        <w:t xml:space="preserve">found that cognitive reserve (CR) protects against a severe decline in cognitive performance, even in neuropathology, because social-behavioural factors such as education, intellectually stimulating work, and activities help strengthen neural networks. CR changes the way neuropathology affects cognitive function because people with higher cognitive reserve are more resistant to Alzheimer's disease. Engaging in activities stimulating the brain and maintaining an active professional and educational life can help maintain better cognitive function despite brain pathologies. </w:t>
      </w:r>
      <w:r w:rsidRPr="000539DD">
        <w:rPr>
          <w:rFonts w:ascii="Times New Roman" w:hAnsi="Times New Roman" w:cs="Times New Roman"/>
          <w:color w:val="C00000"/>
          <w:sz w:val="28"/>
          <w:szCs w:val="28"/>
        </w:rPr>
        <w:t xml:space="preserve">Soldan et al. (2020) </w:t>
      </w:r>
      <w:r w:rsidRPr="00814132">
        <w:rPr>
          <w:rFonts w:ascii="Times New Roman" w:hAnsi="Times New Roman" w:cs="Times New Roman"/>
          <w:sz w:val="28"/>
          <w:szCs w:val="28"/>
        </w:rPr>
        <w:t>indicate that obtaining an appropriate level of education and participating in stimulating activities can reduce the risk of developing dementia and help support the development of cognitive reserve (CR) because there is mixed evidence regarding the relationship between CR and the rate of cognitive decline, with some studies showing no correlation. Nonetheless, individuals with higher cognitive reserve tend to perform better on cognitive tests, suggesting that CR primarily affects a person's basic cognitive abilities.</w:t>
      </w:r>
    </w:p>
    <w:p w14:paraId="555F2C9A" w14:textId="77777777" w:rsidR="00814132" w:rsidRPr="00814132" w:rsidRDefault="00814132" w:rsidP="00756FCC">
      <w:pPr>
        <w:spacing w:line="360" w:lineRule="auto"/>
        <w:rPr>
          <w:rFonts w:ascii="Times New Roman" w:hAnsi="Times New Roman" w:cs="Times New Roman"/>
          <w:sz w:val="28"/>
          <w:szCs w:val="28"/>
        </w:rPr>
      </w:pPr>
      <w:r w:rsidRPr="00814132">
        <w:rPr>
          <w:rFonts w:ascii="Times New Roman" w:hAnsi="Times New Roman" w:cs="Times New Roman"/>
          <w:sz w:val="28"/>
          <w:szCs w:val="28"/>
        </w:rPr>
        <w:t xml:space="preserve">According to </w:t>
      </w:r>
      <w:r w:rsidRPr="000539DD">
        <w:rPr>
          <w:rFonts w:ascii="Times New Roman" w:hAnsi="Times New Roman" w:cs="Times New Roman"/>
          <w:color w:val="C00000"/>
          <w:sz w:val="28"/>
          <w:szCs w:val="28"/>
        </w:rPr>
        <w:t>Evans (2019),</w:t>
      </w:r>
      <w:r w:rsidRPr="00814132">
        <w:rPr>
          <w:rFonts w:ascii="Times New Roman" w:hAnsi="Times New Roman" w:cs="Times New Roman"/>
          <w:sz w:val="28"/>
          <w:szCs w:val="28"/>
        </w:rPr>
        <w:t xml:space="preserve"> Cognitive reserve (CR) is a theoretical concept that cannot be directly measured because it relies on proxies such as learning in younger years, labour force participation in midlife, and commitment to developing cognitive skills in later life because a single indicator is not sufficient and various life events shape CR, combining these indicators allows for a more comprehensive assessment. Also, understanding how lifestyle factors influence CR is very important to prevent the progression from healthy ageing to mild cognitive impairment (MCI) or dementia. Because effective interventions can reduce risk and improve cognitive function, social </w:t>
      </w:r>
      <w:r w:rsidRPr="00814132">
        <w:rPr>
          <w:rFonts w:ascii="Times New Roman" w:hAnsi="Times New Roman" w:cs="Times New Roman"/>
          <w:sz w:val="28"/>
          <w:szCs w:val="28"/>
        </w:rPr>
        <w:lastRenderedPageBreak/>
        <w:t xml:space="preserve">connectedness is an important, modifiable factor that supports cognitive health later. </w:t>
      </w:r>
    </w:p>
    <w:p w14:paraId="3F3F03DC" w14:textId="77777777" w:rsidR="00814132" w:rsidRPr="000539DD" w:rsidRDefault="00814132" w:rsidP="00756FCC">
      <w:pPr>
        <w:spacing w:line="360" w:lineRule="auto"/>
        <w:rPr>
          <w:rFonts w:ascii="Times New Roman" w:hAnsi="Times New Roman" w:cs="Times New Roman"/>
          <w:color w:val="C00000"/>
          <w:sz w:val="28"/>
          <w:szCs w:val="28"/>
        </w:rPr>
      </w:pPr>
      <w:r w:rsidRPr="00814132">
        <w:rPr>
          <w:rFonts w:ascii="Times New Roman" w:hAnsi="Times New Roman" w:cs="Times New Roman"/>
          <w:sz w:val="28"/>
          <w:szCs w:val="28"/>
        </w:rPr>
        <w:t xml:space="preserve">Maintaining cognitive reserve (CR) may help to prevent dementia because its impact on moderate cognitive impairment (MCI) is not yet fully understood; some studies suggest that CR may reduce the likelihood of developing MCI, while others believe it may increase the risk of MCI developing into full-blown dementia. The cognitive reserve can be used to distinguish between normal ageing and early signs of health decline because people without any health problems typically have higher levels of cognitive reserve than people with MCI. Additionally, research attempts to examine how cognitive reserve relates to general cognitive abilities, which could become a potential tool for diagnosing people with MCI or identifying its specific subcategories </w:t>
      </w:r>
      <w:r w:rsidRPr="000539DD">
        <w:rPr>
          <w:rFonts w:ascii="Times New Roman" w:hAnsi="Times New Roman" w:cs="Times New Roman"/>
          <w:color w:val="C00000"/>
          <w:sz w:val="28"/>
          <w:szCs w:val="28"/>
        </w:rPr>
        <w:t>(Marselli et al., 2024).</w:t>
      </w:r>
    </w:p>
    <w:p w14:paraId="6F83E8AF" w14:textId="43127BE2" w:rsidR="00814132" w:rsidRPr="00814132" w:rsidRDefault="00814132" w:rsidP="00756FCC">
      <w:pPr>
        <w:spacing w:line="360" w:lineRule="auto"/>
        <w:rPr>
          <w:rFonts w:ascii="Times New Roman" w:hAnsi="Times New Roman" w:cs="Times New Roman"/>
          <w:sz w:val="28"/>
          <w:szCs w:val="28"/>
        </w:rPr>
      </w:pPr>
      <w:r w:rsidRPr="00814132">
        <w:rPr>
          <w:rFonts w:ascii="Times New Roman" w:hAnsi="Times New Roman" w:cs="Times New Roman"/>
          <w:sz w:val="28"/>
          <w:szCs w:val="28"/>
        </w:rPr>
        <w:t>Stroke recovery is a process that combines spontaneous brain repair with the use of other brain areas to support function because these adaptive mechanisms are linked to cognitive reserve (CR); cognitive reserve includes the ability to think, increased brain plasticity (for example, forming new connections), and higher levels of chemicals that support brain function. However, the location where the stroke occurred may limit the effectiveness of cognitive reserve. Natural healing mechanisms, such as inflammation reduction and improved blood circulation, primarily rely on attention and may occur independently of cardiac rehabilitation</w:t>
      </w:r>
      <w:r w:rsidR="000539DD">
        <w:rPr>
          <w:rFonts w:ascii="Times New Roman" w:hAnsi="Times New Roman" w:cs="Times New Roman"/>
          <w:sz w:val="28"/>
          <w:szCs w:val="28"/>
        </w:rPr>
        <w:t xml:space="preserve"> </w:t>
      </w:r>
      <w:r w:rsidRPr="000539DD">
        <w:rPr>
          <w:rFonts w:ascii="Times New Roman" w:hAnsi="Times New Roman" w:cs="Times New Roman"/>
          <w:color w:val="C00000"/>
          <w:sz w:val="28"/>
          <w:szCs w:val="28"/>
        </w:rPr>
        <w:t>(Rosenich et al., 2020).</w:t>
      </w:r>
    </w:p>
    <w:p w14:paraId="328272A4" w14:textId="77777777" w:rsidR="00814132" w:rsidRPr="00814132" w:rsidRDefault="00814132" w:rsidP="00756FCC">
      <w:pPr>
        <w:spacing w:line="360" w:lineRule="auto"/>
        <w:rPr>
          <w:rFonts w:ascii="Times New Roman" w:hAnsi="Times New Roman" w:cs="Times New Roman"/>
          <w:sz w:val="28"/>
          <w:szCs w:val="28"/>
        </w:rPr>
      </w:pPr>
      <w:r w:rsidRPr="00814132">
        <w:rPr>
          <w:rFonts w:ascii="Times New Roman" w:hAnsi="Times New Roman" w:cs="Times New Roman"/>
          <w:sz w:val="28"/>
          <w:szCs w:val="28"/>
        </w:rPr>
        <w:t xml:space="preserve">To sum up, Cognitive reserve (CR) helps maintain mental activity and strength, which protects against brain decline associated with ageing or disease; research shows that life experiences such as education, various jobs, and engaging in mental activities support brain health and may protect against dementia. However, experts are still debating how CR affects mild cognitive impairment (MCI); future research should explore other ways to measure CR to understand </w:t>
      </w:r>
      <w:r w:rsidRPr="00814132">
        <w:rPr>
          <w:rFonts w:ascii="Times New Roman" w:hAnsi="Times New Roman" w:cs="Times New Roman"/>
          <w:sz w:val="28"/>
          <w:szCs w:val="28"/>
        </w:rPr>
        <w:lastRenderedPageBreak/>
        <w:t>its effects better; it is important to promote social engagement, mental activity, and a healthy lifestyle to reduce the risk of cognitive decline. Maintaining a lifelong cognitive reserve is crucial for healthy ageing and supporting people at risk of cognitive problems.</w:t>
      </w:r>
    </w:p>
    <w:p w14:paraId="5174DB2A" w14:textId="77777777" w:rsidR="00814132" w:rsidRPr="000539DD" w:rsidRDefault="00814132" w:rsidP="00756FCC">
      <w:pPr>
        <w:spacing w:line="360" w:lineRule="auto"/>
        <w:rPr>
          <w:rFonts w:ascii="Times New Roman" w:hAnsi="Times New Roman" w:cs="Times New Roman"/>
          <w:b/>
          <w:bCs/>
          <w:sz w:val="28"/>
          <w:szCs w:val="28"/>
        </w:rPr>
      </w:pPr>
      <w:r w:rsidRPr="000539DD">
        <w:rPr>
          <w:rFonts w:ascii="Times New Roman" w:hAnsi="Times New Roman" w:cs="Times New Roman"/>
          <w:b/>
          <w:bCs/>
          <w:sz w:val="28"/>
          <w:szCs w:val="28"/>
        </w:rPr>
        <w:t>Part 2: Using empirical evidence, critically discuss how an individual could slow down cognitive decline.</w:t>
      </w:r>
    </w:p>
    <w:p w14:paraId="0B08AF15" w14:textId="77777777" w:rsidR="00814132" w:rsidRPr="00814132" w:rsidRDefault="00814132" w:rsidP="00756FCC">
      <w:pPr>
        <w:spacing w:line="360" w:lineRule="auto"/>
        <w:rPr>
          <w:rFonts w:ascii="Times New Roman" w:hAnsi="Times New Roman" w:cs="Times New Roman"/>
          <w:sz w:val="28"/>
          <w:szCs w:val="28"/>
        </w:rPr>
      </w:pPr>
      <w:r w:rsidRPr="00814132">
        <w:rPr>
          <w:rFonts w:ascii="Times New Roman" w:hAnsi="Times New Roman" w:cs="Times New Roman"/>
          <w:sz w:val="28"/>
          <w:szCs w:val="28"/>
        </w:rPr>
        <w:t>Because our brains shrink with age from about 3% every 10 years after age 40 to 5% after age 80, the speed at which we process information slows down, so we find it more difficult to recall information and ignore background noise, probably due to the hardening of the blood vessels in the brain</w:t>
      </w:r>
      <w:r w:rsidRPr="000539DD">
        <w:rPr>
          <w:rFonts w:ascii="Times New Roman" w:hAnsi="Times New Roman" w:cs="Times New Roman"/>
          <w:color w:val="C00000"/>
          <w:sz w:val="28"/>
          <w:szCs w:val="28"/>
        </w:rPr>
        <w:t>. (Richards, 2024; Xu &amp; Angelina Xu, 2024).</w:t>
      </w:r>
      <w:r w:rsidRPr="00814132">
        <w:rPr>
          <w:rFonts w:ascii="Times New Roman" w:hAnsi="Times New Roman" w:cs="Times New Roman"/>
          <w:sz w:val="28"/>
          <w:szCs w:val="28"/>
        </w:rPr>
        <w:t xml:space="preserve"> According to studies conducted in the United States as well as in Europe, factors such as diabetes, hypertension, excessive body gain, lack of physical exercise, depression, excessive alcohol consumption, smoking, and lack of education in middle age can be high factors responsible for about 30% of AD </w:t>
      </w:r>
      <w:r w:rsidRPr="000539DD">
        <w:rPr>
          <w:rFonts w:ascii="Times New Roman" w:hAnsi="Times New Roman" w:cs="Times New Roman"/>
          <w:color w:val="C00000"/>
          <w:sz w:val="28"/>
          <w:szCs w:val="28"/>
        </w:rPr>
        <w:t xml:space="preserve">cases (Kivipelto et al., 2020; Livingston et al., 2024). </w:t>
      </w:r>
    </w:p>
    <w:p w14:paraId="67315D6B" w14:textId="77777777" w:rsidR="00814132" w:rsidRPr="00814132" w:rsidRDefault="00814132" w:rsidP="00756FCC">
      <w:pPr>
        <w:spacing w:line="360" w:lineRule="auto"/>
        <w:rPr>
          <w:rFonts w:ascii="Times New Roman" w:hAnsi="Times New Roman" w:cs="Times New Roman"/>
          <w:sz w:val="28"/>
          <w:szCs w:val="28"/>
        </w:rPr>
      </w:pPr>
      <w:r w:rsidRPr="00814132">
        <w:rPr>
          <w:rFonts w:ascii="Times New Roman" w:hAnsi="Times New Roman" w:cs="Times New Roman"/>
          <w:sz w:val="28"/>
          <w:szCs w:val="28"/>
        </w:rPr>
        <w:t xml:space="preserve">According to </w:t>
      </w:r>
      <w:r w:rsidRPr="000539DD">
        <w:rPr>
          <w:rFonts w:ascii="Times New Roman" w:hAnsi="Times New Roman" w:cs="Times New Roman"/>
          <w:color w:val="C00000"/>
          <w:sz w:val="28"/>
          <w:szCs w:val="28"/>
        </w:rPr>
        <w:t xml:space="preserve">Iso-Markku et al. (2024), </w:t>
      </w:r>
      <w:r w:rsidRPr="00814132">
        <w:rPr>
          <w:rFonts w:ascii="Times New Roman" w:hAnsi="Times New Roman" w:cs="Times New Roman"/>
          <w:sz w:val="28"/>
          <w:szCs w:val="28"/>
        </w:rPr>
        <w:t xml:space="preserve">physical activity can delay cognitive processes because it improves blood flow and, thus, oxygenation of the brain, and it also reduces inflammation of nerve connections. As a result, it supports brain health over age. Studies show that physical activity, energy, or even simple walks help delay cognitive processes. Because physical activity can help reduce or delay the risk of dementia, they are considered a non-pharmacological approach that can help older adults enjoy longer, better mental health. </w:t>
      </w:r>
    </w:p>
    <w:p w14:paraId="6BD9B2D3" w14:textId="77777777" w:rsidR="00814132" w:rsidRPr="00814132" w:rsidRDefault="00814132" w:rsidP="00756FCC">
      <w:pPr>
        <w:spacing w:line="360" w:lineRule="auto"/>
        <w:rPr>
          <w:rFonts w:ascii="Times New Roman" w:hAnsi="Times New Roman" w:cs="Times New Roman"/>
          <w:sz w:val="28"/>
          <w:szCs w:val="28"/>
        </w:rPr>
      </w:pPr>
      <w:r w:rsidRPr="00814132">
        <w:rPr>
          <w:rFonts w:ascii="Times New Roman" w:hAnsi="Times New Roman" w:cs="Times New Roman"/>
          <w:sz w:val="28"/>
          <w:szCs w:val="28"/>
        </w:rPr>
        <w:t xml:space="preserve">According to research by </w:t>
      </w:r>
      <w:r w:rsidRPr="000539DD">
        <w:rPr>
          <w:rFonts w:ascii="Times New Roman" w:hAnsi="Times New Roman" w:cs="Times New Roman"/>
          <w:color w:val="C00000"/>
          <w:sz w:val="28"/>
          <w:szCs w:val="28"/>
        </w:rPr>
        <w:t xml:space="preserve">Rashid et al. (2020), </w:t>
      </w:r>
      <w:r w:rsidRPr="00814132">
        <w:rPr>
          <w:rFonts w:ascii="Times New Roman" w:hAnsi="Times New Roman" w:cs="Times New Roman"/>
          <w:sz w:val="28"/>
          <w:szCs w:val="28"/>
        </w:rPr>
        <w:t xml:space="preserve">physical activity is also key to delaying or slowing cognitive decline and reducing the risk of Alzheimer's disease and, as a result, dementia. Physical activity improves blood flow and oxygenation of the brain and, as a result, reduces oxidative stress, which can delay the ageing process and cause cognitive impairment in the brain. Because </w:t>
      </w:r>
      <w:r w:rsidRPr="00814132">
        <w:rPr>
          <w:rFonts w:ascii="Times New Roman" w:hAnsi="Times New Roman" w:cs="Times New Roman"/>
          <w:sz w:val="28"/>
          <w:szCs w:val="28"/>
        </w:rPr>
        <w:lastRenderedPageBreak/>
        <w:t xml:space="preserve">physical activity offers simple strategies to delay cognitive processes, it can be a simple answer to the fight against dementia.  </w:t>
      </w:r>
    </w:p>
    <w:p w14:paraId="19AE4A81" w14:textId="77777777" w:rsidR="00814132" w:rsidRPr="00814132" w:rsidRDefault="00814132" w:rsidP="00756FCC">
      <w:pPr>
        <w:spacing w:line="360" w:lineRule="auto"/>
        <w:rPr>
          <w:rFonts w:ascii="Times New Roman" w:hAnsi="Times New Roman" w:cs="Times New Roman"/>
          <w:sz w:val="28"/>
          <w:szCs w:val="28"/>
        </w:rPr>
      </w:pPr>
      <w:r w:rsidRPr="000539DD">
        <w:rPr>
          <w:rFonts w:ascii="Times New Roman" w:hAnsi="Times New Roman" w:cs="Times New Roman"/>
          <w:color w:val="C00000"/>
          <w:sz w:val="28"/>
          <w:szCs w:val="28"/>
        </w:rPr>
        <w:t xml:space="preserve">Fujita (2024), </w:t>
      </w:r>
      <w:r w:rsidRPr="00814132">
        <w:rPr>
          <w:rFonts w:ascii="Times New Roman" w:hAnsi="Times New Roman" w:cs="Times New Roman"/>
          <w:sz w:val="28"/>
          <w:szCs w:val="28"/>
        </w:rPr>
        <w:t xml:space="preserve">in the study, observed for more than two decades participants how their way of life and choices can impact quality of life and cognitive decline through long-term brain imaging. Interventions such as regular exercise, mental stimulation, and socializing with society. These studies also showed that physically and mentally active people had less decline in critical areas of the brain, including the hippocampus and prefrontal cortex, which are responsible for memory and coordination. </w:t>
      </w:r>
    </w:p>
    <w:p w14:paraId="4E6D0876" w14:textId="77777777" w:rsidR="00814132" w:rsidRPr="00814132" w:rsidRDefault="00814132" w:rsidP="00756FCC">
      <w:pPr>
        <w:spacing w:line="360" w:lineRule="auto"/>
        <w:rPr>
          <w:rFonts w:ascii="Times New Roman" w:hAnsi="Times New Roman" w:cs="Times New Roman"/>
          <w:sz w:val="28"/>
          <w:szCs w:val="28"/>
        </w:rPr>
      </w:pPr>
      <w:r w:rsidRPr="000539DD">
        <w:rPr>
          <w:rFonts w:ascii="Times New Roman" w:hAnsi="Times New Roman" w:cs="Times New Roman"/>
          <w:color w:val="C00000"/>
          <w:sz w:val="28"/>
          <w:szCs w:val="28"/>
        </w:rPr>
        <w:t xml:space="preserve">De et al. (2024) </w:t>
      </w:r>
      <w:r w:rsidRPr="00814132">
        <w:rPr>
          <w:rFonts w:ascii="Times New Roman" w:hAnsi="Times New Roman" w:cs="Times New Roman"/>
          <w:sz w:val="28"/>
          <w:szCs w:val="28"/>
        </w:rPr>
        <w:t xml:space="preserve">pointed out that factors such as chronic stress and cardiovascular problems can accelerate brain ageing and impair cognitive decline. The results of these studies show that the effects of promoting neuroplasticity and learning new things can help the brain in immunity and delay cognitive decline. According to them, this is an indispensable strategy in the fight against brain ageing and maintaining good mental health in older people. </w:t>
      </w:r>
    </w:p>
    <w:p w14:paraId="47EA694A" w14:textId="77777777" w:rsidR="00814132" w:rsidRPr="00814132" w:rsidRDefault="00814132" w:rsidP="00756FCC">
      <w:pPr>
        <w:spacing w:line="360" w:lineRule="auto"/>
        <w:rPr>
          <w:rFonts w:ascii="Times New Roman" w:hAnsi="Times New Roman" w:cs="Times New Roman"/>
          <w:sz w:val="28"/>
          <w:szCs w:val="28"/>
        </w:rPr>
      </w:pPr>
      <w:r w:rsidRPr="00814132">
        <w:rPr>
          <w:rFonts w:ascii="Times New Roman" w:hAnsi="Times New Roman" w:cs="Times New Roman"/>
          <w:sz w:val="28"/>
          <w:szCs w:val="28"/>
        </w:rPr>
        <w:t xml:space="preserve">According to </w:t>
      </w:r>
      <w:r w:rsidRPr="000539DD">
        <w:rPr>
          <w:rFonts w:ascii="Times New Roman" w:hAnsi="Times New Roman" w:cs="Times New Roman"/>
          <w:color w:val="C00000"/>
          <w:sz w:val="28"/>
          <w:szCs w:val="28"/>
        </w:rPr>
        <w:t xml:space="preserve">Matared et al. (2023), </w:t>
      </w:r>
      <w:r w:rsidRPr="00814132">
        <w:rPr>
          <w:rFonts w:ascii="Times New Roman" w:hAnsi="Times New Roman" w:cs="Times New Roman"/>
          <w:sz w:val="28"/>
          <w:szCs w:val="28"/>
        </w:rPr>
        <w:t>lifestyle also greatly impacts cognitive decline. Music and even video games can slow down the process of cognitive decline because music relaxes and improves mood in people with dementia, and personalized games improve concentration and cognitive control in older adults. However, this study found that mindfulness and exercise showed limited cognitive benefits. This study emphasizes tailored intervention, as music therapy and lifestyle changes can support cognitive health in ageing populations.</w:t>
      </w:r>
    </w:p>
    <w:p w14:paraId="06D60E3C" w14:textId="77777777" w:rsidR="00814132" w:rsidRPr="00814132" w:rsidRDefault="00814132" w:rsidP="00756FCC">
      <w:pPr>
        <w:spacing w:line="360" w:lineRule="auto"/>
        <w:rPr>
          <w:rFonts w:ascii="Times New Roman" w:hAnsi="Times New Roman" w:cs="Times New Roman"/>
          <w:sz w:val="28"/>
          <w:szCs w:val="28"/>
        </w:rPr>
      </w:pPr>
      <w:r w:rsidRPr="000539DD">
        <w:rPr>
          <w:rFonts w:ascii="Times New Roman" w:hAnsi="Times New Roman" w:cs="Times New Roman"/>
          <w:color w:val="C00000"/>
          <w:sz w:val="28"/>
          <w:szCs w:val="28"/>
        </w:rPr>
        <w:t>James et al. (2023)</w:t>
      </w:r>
      <w:r w:rsidRPr="00814132">
        <w:rPr>
          <w:rFonts w:ascii="Times New Roman" w:hAnsi="Times New Roman" w:cs="Times New Roman"/>
          <w:sz w:val="28"/>
          <w:szCs w:val="28"/>
        </w:rPr>
        <w:t xml:space="preserve"> also noted that playing musical instruments has benefits in delaying memory and thinking problems because playing musical instruments requires memory, focus, quick thinking, coordination of movements, and </w:t>
      </w:r>
      <w:r w:rsidRPr="00814132">
        <w:rPr>
          <w:rFonts w:ascii="Times New Roman" w:hAnsi="Times New Roman" w:cs="Times New Roman"/>
          <w:sz w:val="28"/>
          <w:szCs w:val="28"/>
        </w:rPr>
        <w:lastRenderedPageBreak/>
        <w:t xml:space="preserve">reasoning, which helps to exercise and strengthen the brain. Musical instrument skills that use hearing, movement, and vision simultaneously can improve motor skills. Playing musical instruments combines various processes such as memory, planning, and thinking, which positively affects brain function and delays the function of cognitive processes. </w:t>
      </w:r>
    </w:p>
    <w:p w14:paraId="5CECB8CF" w14:textId="77777777" w:rsidR="00814132" w:rsidRPr="00814132" w:rsidRDefault="00814132" w:rsidP="00756FCC">
      <w:pPr>
        <w:spacing w:line="360" w:lineRule="auto"/>
        <w:rPr>
          <w:rFonts w:ascii="Times New Roman" w:hAnsi="Times New Roman" w:cs="Times New Roman"/>
          <w:sz w:val="28"/>
          <w:szCs w:val="28"/>
        </w:rPr>
      </w:pPr>
      <w:r w:rsidRPr="00814132">
        <w:rPr>
          <w:rFonts w:ascii="Times New Roman" w:hAnsi="Times New Roman" w:cs="Times New Roman"/>
          <w:sz w:val="28"/>
          <w:szCs w:val="28"/>
        </w:rPr>
        <w:t xml:space="preserve"> According to </w:t>
      </w:r>
      <w:r w:rsidRPr="000539DD">
        <w:rPr>
          <w:rFonts w:ascii="Times New Roman" w:hAnsi="Times New Roman" w:cs="Times New Roman"/>
          <w:color w:val="C00000"/>
          <w:sz w:val="28"/>
          <w:szCs w:val="28"/>
        </w:rPr>
        <w:t xml:space="preserve">Freedman et al. (2014), </w:t>
      </w:r>
      <w:r w:rsidRPr="00814132">
        <w:rPr>
          <w:rFonts w:ascii="Times New Roman" w:hAnsi="Times New Roman" w:cs="Times New Roman"/>
          <w:sz w:val="28"/>
          <w:szCs w:val="28"/>
        </w:rPr>
        <w:t>bilingualism can support cognitive reserve by strengthening connections in the brain by exercising executive control. Because people who speak two languages, both languages are constantly active, which requires attention, switching between languages and constant thinking. Also, these activities engage the brain in regular training, which can build cognitive reserve. However, the effects may vary from person to person.</w:t>
      </w:r>
    </w:p>
    <w:p w14:paraId="007AD311" w14:textId="77777777" w:rsidR="00814132" w:rsidRPr="00814132" w:rsidRDefault="00814132" w:rsidP="00756FCC">
      <w:pPr>
        <w:spacing w:line="360" w:lineRule="auto"/>
        <w:rPr>
          <w:rFonts w:ascii="Times New Roman" w:hAnsi="Times New Roman" w:cs="Times New Roman"/>
          <w:sz w:val="28"/>
          <w:szCs w:val="28"/>
        </w:rPr>
      </w:pPr>
      <w:r w:rsidRPr="00814132">
        <w:rPr>
          <w:rFonts w:ascii="Times New Roman" w:hAnsi="Times New Roman" w:cs="Times New Roman"/>
          <w:sz w:val="28"/>
          <w:szCs w:val="28"/>
        </w:rPr>
        <w:t xml:space="preserve">Lifelong bilingualism can increase cognitive reserve, as it helps delay the onset of symptoms such as mild cognitive impairment (MCI), dementia, and Alzheimer's disease (AD). Although some studies do not show that bilingualism reduces the risk of dementia, it does show that it increases cognitive control because bilinguals must manage two languages at the same time. Learning a new language has benefits for the brain because it supports cognitive processes, but it can be difficult for older people; focusing on the regular use of both languages (DL), where both are actively practised, better supports the flexibility of the mind, as it strengthens the ability to learn and remember words better. Bilingualism also helps learn new things and improves verbal skills because it forces the brain to work hard </w:t>
      </w:r>
      <w:r w:rsidRPr="000539DD">
        <w:rPr>
          <w:rFonts w:ascii="Times New Roman" w:hAnsi="Times New Roman" w:cs="Times New Roman"/>
          <w:color w:val="C00000"/>
          <w:sz w:val="28"/>
          <w:szCs w:val="28"/>
        </w:rPr>
        <w:t>(Yow et al., 2024; Rothman, 2024).</w:t>
      </w:r>
    </w:p>
    <w:p w14:paraId="02FFDBF1" w14:textId="77777777" w:rsidR="00814132" w:rsidRPr="00814132" w:rsidRDefault="00814132" w:rsidP="00756FCC">
      <w:pPr>
        <w:spacing w:line="360" w:lineRule="auto"/>
        <w:rPr>
          <w:rFonts w:ascii="Times New Roman" w:hAnsi="Times New Roman" w:cs="Times New Roman"/>
          <w:sz w:val="28"/>
          <w:szCs w:val="28"/>
        </w:rPr>
      </w:pPr>
      <w:r w:rsidRPr="00814132">
        <w:rPr>
          <w:rFonts w:ascii="Times New Roman" w:hAnsi="Times New Roman" w:cs="Times New Roman"/>
          <w:sz w:val="28"/>
          <w:szCs w:val="28"/>
        </w:rPr>
        <w:t xml:space="preserve">According to </w:t>
      </w:r>
      <w:r w:rsidRPr="000539DD">
        <w:rPr>
          <w:rFonts w:ascii="Times New Roman" w:hAnsi="Times New Roman" w:cs="Times New Roman"/>
          <w:color w:val="C00000"/>
          <w:sz w:val="28"/>
          <w:szCs w:val="28"/>
        </w:rPr>
        <w:t xml:space="preserve">Bubbico et al. (2019), </w:t>
      </w:r>
      <w:r w:rsidRPr="00814132">
        <w:rPr>
          <w:rFonts w:ascii="Times New Roman" w:hAnsi="Times New Roman" w:cs="Times New Roman"/>
          <w:sz w:val="28"/>
          <w:szCs w:val="28"/>
        </w:rPr>
        <w:t xml:space="preserve">early bilingualism can protect the ageing brain by strengthening neural connections and supporting flexibility. However, it needs to be clarified whether learning a second language at a later age offers similar benefits because bilingual people show better connections between different brain regions throughout their lives, prompting researchers to </w:t>
      </w:r>
      <w:r w:rsidRPr="00814132">
        <w:rPr>
          <w:rFonts w:ascii="Times New Roman" w:hAnsi="Times New Roman" w:cs="Times New Roman"/>
          <w:sz w:val="28"/>
          <w:szCs w:val="28"/>
        </w:rPr>
        <w:lastRenderedPageBreak/>
        <w:t>investigate how language learning can reorganize brain networks in older adults. Also, learning a new language supports key cognitive functions such as memory, reasoning, and concentration; it can be especially beneficial in the context of ageing. This is particularly important because better cognitive functioning affects the quality of life; more importantly, language learning stimulates various brain processes, which can delay cognitive decline. While research into the protective effects of bilingualism is ongoing, the potential to support cognitive function through late language learning is worth further exploration.</w:t>
      </w:r>
    </w:p>
    <w:p w14:paraId="2CA558D6" w14:textId="77777777" w:rsidR="00814132" w:rsidRPr="00814132" w:rsidRDefault="00814132" w:rsidP="00756FCC">
      <w:pPr>
        <w:spacing w:line="360" w:lineRule="auto"/>
        <w:rPr>
          <w:rFonts w:ascii="Times New Roman" w:hAnsi="Times New Roman" w:cs="Times New Roman"/>
          <w:sz w:val="28"/>
          <w:szCs w:val="28"/>
        </w:rPr>
      </w:pPr>
      <w:r w:rsidRPr="00814132">
        <w:rPr>
          <w:rFonts w:ascii="Times New Roman" w:hAnsi="Times New Roman" w:cs="Times New Roman"/>
          <w:sz w:val="28"/>
          <w:szCs w:val="28"/>
        </w:rPr>
        <w:t xml:space="preserve">Once dementia begins, such as in the form of mild cognitive impairment (MCI), it may be too late to repair the damage to the brain </w:t>
      </w:r>
      <w:r w:rsidRPr="000539DD">
        <w:rPr>
          <w:rFonts w:ascii="Times New Roman" w:hAnsi="Times New Roman" w:cs="Times New Roman"/>
          <w:color w:val="C00000"/>
          <w:sz w:val="28"/>
          <w:szCs w:val="28"/>
        </w:rPr>
        <w:t xml:space="preserve">(Dumas, 2017). </w:t>
      </w:r>
      <w:r w:rsidRPr="00814132">
        <w:rPr>
          <w:rFonts w:ascii="Times New Roman" w:hAnsi="Times New Roman" w:cs="Times New Roman"/>
          <w:sz w:val="28"/>
          <w:szCs w:val="28"/>
        </w:rPr>
        <w:t>Then, the changes in the nervous system are so advanced that it is difficult to undo them because early detection and action can be crucial in slowing down these processes. If dementia has already progressed, the brain's ability to protect itself becomes limited, and the impact on daily functioning becomes more and more apparent.</w:t>
      </w:r>
    </w:p>
    <w:p w14:paraId="415A8627" w14:textId="77777777" w:rsidR="00814132" w:rsidRPr="00814132" w:rsidRDefault="00814132" w:rsidP="00756FCC">
      <w:pPr>
        <w:spacing w:line="360" w:lineRule="auto"/>
        <w:rPr>
          <w:rFonts w:ascii="Times New Roman" w:hAnsi="Times New Roman" w:cs="Times New Roman"/>
          <w:sz w:val="28"/>
          <w:szCs w:val="28"/>
        </w:rPr>
      </w:pPr>
      <w:r w:rsidRPr="00814132">
        <w:rPr>
          <w:rFonts w:ascii="Times New Roman" w:hAnsi="Times New Roman" w:cs="Times New Roman"/>
          <w:sz w:val="28"/>
          <w:szCs w:val="28"/>
        </w:rPr>
        <w:t xml:space="preserve">In conclusion, an article by </w:t>
      </w:r>
      <w:r w:rsidRPr="000539DD">
        <w:rPr>
          <w:rFonts w:ascii="Times New Roman" w:hAnsi="Times New Roman" w:cs="Times New Roman"/>
          <w:color w:val="C00000"/>
          <w:sz w:val="28"/>
          <w:szCs w:val="28"/>
        </w:rPr>
        <w:t xml:space="preserve">Eason (2024) </w:t>
      </w:r>
      <w:r w:rsidRPr="00814132">
        <w:rPr>
          <w:rFonts w:ascii="Times New Roman" w:hAnsi="Times New Roman" w:cs="Times New Roman"/>
          <w:sz w:val="28"/>
          <w:szCs w:val="28"/>
        </w:rPr>
        <w:t>emphasizes that brain health depends on mental, physical, and life habits; activities such as reading, solving puzzles, playing instruments, and learning new skills keep the brain active because aerobic exercises, such as walking or swimming, improve cognitive function, and the Mediterranean diet supports brain health. Getting enough sleep consolidates memories and removes toxins; stress can be relieved through mindfulness or yoga, social interaction, avoiding smoking and excess alcohol, hydration, and regular checkups, which also help protect the brain. Simple lifestyle changes can improve cognitive function and reduce the risk of dementia.</w:t>
      </w:r>
    </w:p>
    <w:p w14:paraId="58336827" w14:textId="77777777" w:rsidR="00814132" w:rsidRDefault="00814132" w:rsidP="00814132">
      <w:pPr>
        <w:rPr>
          <w:rFonts w:ascii="Times New Roman" w:hAnsi="Times New Roman" w:cs="Times New Roman"/>
          <w:color w:val="0B769F" w:themeColor="accent4" w:themeShade="BF"/>
          <w:sz w:val="28"/>
          <w:szCs w:val="28"/>
        </w:rPr>
      </w:pPr>
    </w:p>
    <w:p w14:paraId="15932B9A" w14:textId="77777777" w:rsidR="00372E17" w:rsidRDefault="00372E17" w:rsidP="00814132">
      <w:pPr>
        <w:rPr>
          <w:rFonts w:ascii="Times New Roman" w:hAnsi="Times New Roman" w:cs="Times New Roman"/>
          <w:color w:val="0B769F" w:themeColor="accent4" w:themeShade="BF"/>
          <w:sz w:val="28"/>
          <w:szCs w:val="28"/>
        </w:rPr>
      </w:pPr>
    </w:p>
    <w:p w14:paraId="3D173C19" w14:textId="64907987" w:rsidR="00BA406E" w:rsidRPr="006148E6" w:rsidRDefault="006148E6" w:rsidP="00814132">
      <w:pPr>
        <w:rPr>
          <w:rFonts w:ascii="Times New Roman" w:hAnsi="Times New Roman" w:cs="Times New Roman"/>
          <w:sz w:val="28"/>
          <w:szCs w:val="28"/>
        </w:rPr>
      </w:pPr>
      <w:r w:rsidRPr="006148E6">
        <w:rPr>
          <w:rFonts w:ascii="Times New Roman" w:hAnsi="Times New Roman" w:cs="Times New Roman"/>
          <w:sz w:val="28"/>
          <w:szCs w:val="28"/>
        </w:rPr>
        <w:lastRenderedPageBreak/>
        <w:t>References</w:t>
      </w:r>
    </w:p>
    <w:p w14:paraId="7601684F" w14:textId="03CE2CCA" w:rsidR="0088402A" w:rsidRPr="006148E6" w:rsidRDefault="0088402A" w:rsidP="0088402A">
      <w:pPr>
        <w:rPr>
          <w:sz w:val="20"/>
          <w:szCs w:val="20"/>
        </w:rPr>
      </w:pPr>
    </w:p>
    <w:p w14:paraId="42AF455E" w14:textId="77777777" w:rsidR="00451219" w:rsidRPr="006148E6" w:rsidRDefault="00451219" w:rsidP="00451219">
      <w:pPr>
        <w:pStyle w:val="NormalWeb"/>
        <w:spacing w:before="0" w:beforeAutospacing="0" w:after="0" w:afterAutospacing="0" w:line="480" w:lineRule="auto"/>
        <w:ind w:left="720" w:hanging="720"/>
        <w:rPr>
          <w:sz w:val="20"/>
          <w:szCs w:val="20"/>
        </w:rPr>
      </w:pPr>
      <w:r w:rsidRPr="006148E6">
        <w:rPr>
          <w:sz w:val="20"/>
          <w:szCs w:val="20"/>
        </w:rPr>
        <w:t xml:space="preserve">Ai, M., Morris, T. P., De La Colina, A. N., Thovinakere, N., Tremblay-Mercier, J., Villeneuve, S., Hillman, C. H., Kramer, A. F., &amp; Geddes, M. R. (2023). Midlife physical activity engagement is associated with later-life brain health. </w:t>
      </w:r>
      <w:r w:rsidRPr="006148E6">
        <w:rPr>
          <w:i/>
          <w:iCs/>
          <w:sz w:val="20"/>
          <w:szCs w:val="20"/>
        </w:rPr>
        <w:t>Neurobiology of Aging</w:t>
      </w:r>
      <w:r w:rsidRPr="006148E6">
        <w:rPr>
          <w:sz w:val="20"/>
          <w:szCs w:val="20"/>
        </w:rPr>
        <w:t xml:space="preserve">, </w:t>
      </w:r>
      <w:r w:rsidRPr="006148E6">
        <w:rPr>
          <w:i/>
          <w:iCs/>
          <w:sz w:val="20"/>
          <w:szCs w:val="20"/>
        </w:rPr>
        <w:t>134</w:t>
      </w:r>
      <w:r w:rsidRPr="006148E6">
        <w:rPr>
          <w:sz w:val="20"/>
          <w:szCs w:val="20"/>
        </w:rPr>
        <w:t xml:space="preserve">, 146–159. </w:t>
      </w:r>
      <w:r w:rsidRPr="006148E6">
        <w:rPr>
          <w:rStyle w:val="url"/>
          <w:rFonts w:eastAsiaTheme="majorEastAsia"/>
          <w:sz w:val="20"/>
          <w:szCs w:val="20"/>
        </w:rPr>
        <w:t>https://doi.org/10.1016/j.neurobiolaging.2023.11.004</w:t>
      </w:r>
    </w:p>
    <w:p w14:paraId="5904F8E5" w14:textId="77777777" w:rsidR="00451219" w:rsidRPr="0065283C" w:rsidRDefault="00451219" w:rsidP="00451219">
      <w:pPr>
        <w:pStyle w:val="NormalWeb"/>
        <w:spacing w:before="0" w:beforeAutospacing="0" w:after="0" w:afterAutospacing="0" w:line="480" w:lineRule="auto"/>
        <w:ind w:left="720" w:hanging="720"/>
        <w:rPr>
          <w:color w:val="C00000"/>
          <w:sz w:val="20"/>
          <w:szCs w:val="20"/>
          <w:lang w:val="nl-NL"/>
        </w:rPr>
      </w:pPr>
      <w:r w:rsidRPr="0065283C">
        <w:rPr>
          <w:color w:val="C00000"/>
          <w:sz w:val="20"/>
          <w:szCs w:val="20"/>
        </w:rPr>
        <w:t xml:space="preserve">Alzheimer’s Association. (2024). Alzheimer’s Disease facts and figures. </w:t>
      </w:r>
      <w:r w:rsidRPr="0065283C">
        <w:rPr>
          <w:color w:val="C00000"/>
          <w:sz w:val="20"/>
          <w:szCs w:val="20"/>
          <w:lang w:val="nl-NL"/>
        </w:rPr>
        <w:t xml:space="preserve">In </w:t>
      </w:r>
      <w:r w:rsidRPr="0065283C">
        <w:rPr>
          <w:i/>
          <w:iCs/>
          <w:color w:val="C00000"/>
          <w:sz w:val="20"/>
          <w:szCs w:val="20"/>
          <w:lang w:val="nl-NL"/>
        </w:rPr>
        <w:t>Alzheimers Dement</w:t>
      </w:r>
      <w:r w:rsidRPr="0065283C">
        <w:rPr>
          <w:color w:val="C00000"/>
          <w:sz w:val="20"/>
          <w:szCs w:val="20"/>
          <w:lang w:val="nl-NL"/>
        </w:rPr>
        <w:t xml:space="preserve"> (Vols. 20–5). </w:t>
      </w:r>
      <w:r w:rsidRPr="0065283C">
        <w:rPr>
          <w:rStyle w:val="url"/>
          <w:rFonts w:eastAsiaTheme="majorEastAsia"/>
          <w:color w:val="C00000"/>
          <w:sz w:val="20"/>
          <w:szCs w:val="20"/>
          <w:lang w:val="nl-NL"/>
        </w:rPr>
        <w:t>https://wehco.media.clients.ellingtoncms.com/news/documents/2024/03/19/Alzheimers_report.pdf</w:t>
      </w:r>
    </w:p>
    <w:p w14:paraId="2ECD498D" w14:textId="77777777" w:rsidR="00451219" w:rsidRPr="000539DD" w:rsidRDefault="00451219" w:rsidP="00451219">
      <w:pPr>
        <w:pStyle w:val="NormalWeb"/>
        <w:spacing w:before="0" w:beforeAutospacing="0" w:after="0" w:afterAutospacing="0" w:line="480" w:lineRule="auto"/>
        <w:ind w:left="720" w:hanging="720"/>
        <w:rPr>
          <w:color w:val="C00000"/>
          <w:sz w:val="20"/>
          <w:szCs w:val="20"/>
        </w:rPr>
      </w:pPr>
      <w:r w:rsidRPr="000539DD">
        <w:rPr>
          <w:color w:val="C00000"/>
          <w:sz w:val="20"/>
          <w:szCs w:val="20"/>
        </w:rPr>
        <w:t xml:space="preserve">Berezuk, C., Scott, S. C., Black, S. E., &amp; Zakzanis, K. K. (2021). Cognitive reserve, cognition, and real-world functioning in MCI: A systematic review and meta-analysis. </w:t>
      </w:r>
      <w:r w:rsidRPr="000539DD">
        <w:rPr>
          <w:i/>
          <w:iCs/>
          <w:color w:val="C00000"/>
          <w:sz w:val="20"/>
          <w:szCs w:val="20"/>
        </w:rPr>
        <w:t>Journal of Clinical and Experimental Neuropsychology</w:t>
      </w:r>
      <w:r w:rsidRPr="000539DD">
        <w:rPr>
          <w:color w:val="C00000"/>
          <w:sz w:val="20"/>
          <w:szCs w:val="20"/>
        </w:rPr>
        <w:t xml:space="preserve">, </w:t>
      </w:r>
      <w:r w:rsidRPr="000539DD">
        <w:rPr>
          <w:i/>
          <w:iCs/>
          <w:color w:val="C00000"/>
          <w:sz w:val="20"/>
          <w:szCs w:val="20"/>
        </w:rPr>
        <w:t>43</w:t>
      </w:r>
      <w:r w:rsidRPr="000539DD">
        <w:rPr>
          <w:color w:val="C00000"/>
          <w:sz w:val="20"/>
          <w:szCs w:val="20"/>
        </w:rPr>
        <w:t xml:space="preserve">(10), 991–1005. </w:t>
      </w:r>
      <w:r w:rsidRPr="000539DD">
        <w:rPr>
          <w:rStyle w:val="url"/>
          <w:rFonts w:eastAsiaTheme="majorEastAsia"/>
          <w:color w:val="C00000"/>
          <w:sz w:val="20"/>
          <w:szCs w:val="20"/>
        </w:rPr>
        <w:t>https://doi.org/10.1080/13803395.2022.2047160</w:t>
      </w:r>
    </w:p>
    <w:p w14:paraId="148B7054" w14:textId="77777777" w:rsidR="00451219" w:rsidRPr="000539DD" w:rsidRDefault="00451219" w:rsidP="00451219">
      <w:pPr>
        <w:pStyle w:val="NormalWeb"/>
        <w:spacing w:before="0" w:beforeAutospacing="0" w:after="0" w:afterAutospacing="0" w:line="480" w:lineRule="auto"/>
        <w:ind w:left="720" w:hanging="720"/>
        <w:rPr>
          <w:color w:val="C00000"/>
          <w:sz w:val="20"/>
          <w:szCs w:val="20"/>
        </w:rPr>
      </w:pPr>
      <w:r w:rsidRPr="000539DD">
        <w:rPr>
          <w:color w:val="C00000"/>
          <w:sz w:val="20"/>
          <w:szCs w:val="20"/>
        </w:rPr>
        <w:t xml:space="preserve">Boyle, P. A., Wang, T., Yu, L., Wilson, R. S., Dawe, R., Arfanakis, K., Schneider, J. A., &amp; Bennett, D. A. (2021). To what degree is late life cognitive decline driven by age-related neuropathologies? </w:t>
      </w:r>
      <w:r w:rsidRPr="000539DD">
        <w:rPr>
          <w:i/>
          <w:iCs/>
          <w:color w:val="C00000"/>
          <w:sz w:val="20"/>
          <w:szCs w:val="20"/>
        </w:rPr>
        <w:t>Brain</w:t>
      </w:r>
      <w:r w:rsidRPr="000539DD">
        <w:rPr>
          <w:color w:val="C00000"/>
          <w:sz w:val="20"/>
          <w:szCs w:val="20"/>
        </w:rPr>
        <w:t xml:space="preserve">, </w:t>
      </w:r>
      <w:r w:rsidRPr="000539DD">
        <w:rPr>
          <w:i/>
          <w:iCs/>
          <w:color w:val="C00000"/>
          <w:sz w:val="20"/>
          <w:szCs w:val="20"/>
        </w:rPr>
        <w:t>144</w:t>
      </w:r>
      <w:r w:rsidRPr="000539DD">
        <w:rPr>
          <w:color w:val="C00000"/>
          <w:sz w:val="20"/>
          <w:szCs w:val="20"/>
        </w:rPr>
        <w:t xml:space="preserve">(7), 2166–2175. </w:t>
      </w:r>
      <w:r w:rsidRPr="000539DD">
        <w:rPr>
          <w:rStyle w:val="url"/>
          <w:rFonts w:eastAsiaTheme="majorEastAsia"/>
          <w:color w:val="C00000"/>
          <w:sz w:val="20"/>
          <w:szCs w:val="20"/>
        </w:rPr>
        <w:t>https://doi.org/10.1093/brain/awab092</w:t>
      </w:r>
    </w:p>
    <w:p w14:paraId="446112A5" w14:textId="77777777" w:rsidR="00451219" w:rsidRPr="000539DD" w:rsidRDefault="00451219" w:rsidP="00451219">
      <w:pPr>
        <w:pStyle w:val="NormalWeb"/>
        <w:spacing w:before="0" w:beforeAutospacing="0" w:after="0" w:afterAutospacing="0" w:line="480" w:lineRule="auto"/>
        <w:ind w:left="720" w:hanging="720"/>
        <w:rPr>
          <w:color w:val="C00000"/>
          <w:sz w:val="20"/>
          <w:szCs w:val="20"/>
        </w:rPr>
      </w:pPr>
      <w:r w:rsidRPr="000539DD">
        <w:rPr>
          <w:color w:val="C00000"/>
          <w:sz w:val="20"/>
          <w:szCs w:val="20"/>
        </w:rPr>
        <w:t xml:space="preserve">Bubbico, G., Chiacchiaretta, P., Parenti, M., Di Marco, M., Panara, V., Sepede, G., Ferretti, A., &amp; Perrucci, M. G. (2019). Effects of second language learning on the plastic aging brain: functional connectivity, cognitive decline, and reorganization. </w:t>
      </w:r>
      <w:r w:rsidRPr="000539DD">
        <w:rPr>
          <w:i/>
          <w:iCs/>
          <w:color w:val="C00000"/>
          <w:sz w:val="20"/>
          <w:szCs w:val="20"/>
        </w:rPr>
        <w:t>Frontiers in Neuroscience</w:t>
      </w:r>
      <w:r w:rsidRPr="000539DD">
        <w:rPr>
          <w:color w:val="C00000"/>
          <w:sz w:val="20"/>
          <w:szCs w:val="20"/>
        </w:rPr>
        <w:t xml:space="preserve">, </w:t>
      </w:r>
      <w:r w:rsidRPr="000539DD">
        <w:rPr>
          <w:i/>
          <w:iCs/>
          <w:color w:val="C00000"/>
          <w:sz w:val="20"/>
          <w:szCs w:val="20"/>
        </w:rPr>
        <w:t>13</w:t>
      </w:r>
      <w:r w:rsidRPr="000539DD">
        <w:rPr>
          <w:color w:val="C00000"/>
          <w:sz w:val="20"/>
          <w:szCs w:val="20"/>
        </w:rPr>
        <w:t xml:space="preserve">. </w:t>
      </w:r>
      <w:r w:rsidRPr="000539DD">
        <w:rPr>
          <w:rStyle w:val="url"/>
          <w:rFonts w:eastAsiaTheme="majorEastAsia"/>
          <w:color w:val="C00000"/>
          <w:sz w:val="20"/>
          <w:szCs w:val="20"/>
        </w:rPr>
        <w:t>https://doi.org/10.3389/fnins.2019.00423</w:t>
      </w:r>
    </w:p>
    <w:p w14:paraId="5B150C65" w14:textId="77777777" w:rsidR="00451219" w:rsidRPr="000539DD" w:rsidRDefault="00451219" w:rsidP="00451219">
      <w:pPr>
        <w:pStyle w:val="NormalWeb"/>
        <w:spacing w:before="0" w:beforeAutospacing="0" w:after="0" w:afterAutospacing="0" w:line="480" w:lineRule="auto"/>
        <w:ind w:left="720" w:hanging="720"/>
        <w:rPr>
          <w:color w:val="C00000"/>
          <w:sz w:val="20"/>
          <w:szCs w:val="20"/>
        </w:rPr>
      </w:pPr>
      <w:r w:rsidRPr="000539DD">
        <w:rPr>
          <w:color w:val="C00000"/>
          <w:sz w:val="20"/>
          <w:szCs w:val="20"/>
        </w:rPr>
        <w:t xml:space="preserve">De Lima, E. P., Tanaka, M., Lamas, C. B., Quesada, K., Detregiachi, C. R. P., Araújo, A. C., Guiguer, E. L., Catharin, V. M. C. S., De Castro, M. V. M., Baldi, E., Junior, Bechara, M. D., Ferraz, B. F. R., Catharin, V. C. S., Laurindo, L. F., &amp; Barbalho, S. M. (2024). Vascular Impairment, muscle atrophy, and Cognitive Decline: Critical Age-Related Conditions. </w:t>
      </w:r>
      <w:r w:rsidRPr="000539DD">
        <w:rPr>
          <w:i/>
          <w:iCs/>
          <w:color w:val="C00000"/>
          <w:sz w:val="20"/>
          <w:szCs w:val="20"/>
        </w:rPr>
        <w:t>Biomedicines</w:t>
      </w:r>
      <w:r w:rsidRPr="000539DD">
        <w:rPr>
          <w:color w:val="C00000"/>
          <w:sz w:val="20"/>
          <w:szCs w:val="20"/>
        </w:rPr>
        <w:t xml:space="preserve">, </w:t>
      </w:r>
      <w:r w:rsidRPr="000539DD">
        <w:rPr>
          <w:i/>
          <w:iCs/>
          <w:color w:val="C00000"/>
          <w:sz w:val="20"/>
          <w:szCs w:val="20"/>
        </w:rPr>
        <w:t>12</w:t>
      </w:r>
      <w:r w:rsidRPr="000539DD">
        <w:rPr>
          <w:color w:val="C00000"/>
          <w:sz w:val="20"/>
          <w:szCs w:val="20"/>
        </w:rPr>
        <w:t xml:space="preserve">(9), 2096. </w:t>
      </w:r>
      <w:r w:rsidRPr="000539DD">
        <w:rPr>
          <w:rStyle w:val="url"/>
          <w:rFonts w:eastAsiaTheme="majorEastAsia"/>
          <w:color w:val="C00000"/>
          <w:sz w:val="20"/>
          <w:szCs w:val="20"/>
        </w:rPr>
        <w:t>https://doi.org/10.3390/biomedicines12092096</w:t>
      </w:r>
    </w:p>
    <w:p w14:paraId="51897155" w14:textId="77777777" w:rsidR="00451219" w:rsidRPr="000539DD" w:rsidRDefault="00451219" w:rsidP="00451219">
      <w:pPr>
        <w:pStyle w:val="NormalWeb"/>
        <w:spacing w:before="0" w:beforeAutospacing="0" w:after="0" w:afterAutospacing="0" w:line="480" w:lineRule="auto"/>
        <w:ind w:left="720" w:hanging="720"/>
        <w:rPr>
          <w:color w:val="C00000"/>
          <w:sz w:val="20"/>
          <w:szCs w:val="20"/>
        </w:rPr>
      </w:pPr>
      <w:r w:rsidRPr="000539DD">
        <w:rPr>
          <w:color w:val="C00000"/>
          <w:sz w:val="20"/>
          <w:szCs w:val="20"/>
        </w:rPr>
        <w:t xml:space="preserve">Di Rosa, E. (2024). Affective Reserve: A new reserve concept we should talk about. </w:t>
      </w:r>
      <w:r w:rsidRPr="000539DD">
        <w:rPr>
          <w:i/>
          <w:iCs/>
          <w:color w:val="C00000"/>
          <w:sz w:val="20"/>
          <w:szCs w:val="20"/>
        </w:rPr>
        <w:t>Affective Reserve: A New Reserve Concept We Should Talk About</w:t>
      </w:r>
      <w:r w:rsidRPr="000539DD">
        <w:rPr>
          <w:color w:val="C00000"/>
          <w:sz w:val="20"/>
          <w:szCs w:val="20"/>
        </w:rPr>
        <w:t xml:space="preserve">, </w:t>
      </w:r>
      <w:r w:rsidRPr="000539DD">
        <w:rPr>
          <w:i/>
          <w:iCs/>
          <w:color w:val="C00000"/>
          <w:sz w:val="20"/>
          <w:szCs w:val="20"/>
        </w:rPr>
        <w:t>1</w:t>
      </w:r>
      <w:r w:rsidRPr="000539DD">
        <w:rPr>
          <w:color w:val="C00000"/>
          <w:sz w:val="20"/>
          <w:szCs w:val="20"/>
        </w:rPr>
        <w:t xml:space="preserve">(2), e0000083. </w:t>
      </w:r>
      <w:r w:rsidRPr="000539DD">
        <w:rPr>
          <w:rStyle w:val="url"/>
          <w:rFonts w:eastAsiaTheme="majorEastAsia"/>
          <w:color w:val="C00000"/>
          <w:sz w:val="20"/>
          <w:szCs w:val="20"/>
        </w:rPr>
        <w:t>https://doi.org/10.1371/journal.pmen.0000083</w:t>
      </w:r>
    </w:p>
    <w:p w14:paraId="20CDA046" w14:textId="77777777" w:rsidR="00451219" w:rsidRPr="000539DD" w:rsidRDefault="00451219" w:rsidP="00451219">
      <w:pPr>
        <w:pStyle w:val="NormalWeb"/>
        <w:spacing w:before="0" w:beforeAutospacing="0" w:after="0" w:afterAutospacing="0" w:line="480" w:lineRule="auto"/>
        <w:ind w:left="720" w:hanging="720"/>
        <w:rPr>
          <w:color w:val="C00000"/>
          <w:sz w:val="20"/>
          <w:szCs w:val="20"/>
        </w:rPr>
      </w:pPr>
      <w:r w:rsidRPr="000539DD">
        <w:rPr>
          <w:color w:val="C00000"/>
          <w:sz w:val="20"/>
          <w:szCs w:val="20"/>
        </w:rPr>
        <w:t xml:space="preserve">Dumas, J. A. (2017). Strategies for preventing cognitive decline in healthy older adults. </w:t>
      </w:r>
      <w:r w:rsidRPr="000539DD">
        <w:rPr>
          <w:i/>
          <w:iCs/>
          <w:color w:val="C00000"/>
          <w:sz w:val="20"/>
          <w:szCs w:val="20"/>
        </w:rPr>
        <w:t>The Canadian Journal of Psychiatry</w:t>
      </w:r>
      <w:r w:rsidRPr="000539DD">
        <w:rPr>
          <w:color w:val="C00000"/>
          <w:sz w:val="20"/>
          <w:szCs w:val="20"/>
        </w:rPr>
        <w:t xml:space="preserve">, </w:t>
      </w:r>
      <w:r w:rsidRPr="000539DD">
        <w:rPr>
          <w:i/>
          <w:iCs/>
          <w:color w:val="C00000"/>
          <w:sz w:val="20"/>
          <w:szCs w:val="20"/>
        </w:rPr>
        <w:t>62</w:t>
      </w:r>
      <w:r w:rsidRPr="000539DD">
        <w:rPr>
          <w:color w:val="C00000"/>
          <w:sz w:val="20"/>
          <w:szCs w:val="20"/>
        </w:rPr>
        <w:t xml:space="preserve">(11), 754–760. </w:t>
      </w:r>
      <w:r w:rsidRPr="000539DD">
        <w:rPr>
          <w:rStyle w:val="url"/>
          <w:rFonts w:eastAsiaTheme="majorEastAsia"/>
          <w:color w:val="C00000"/>
          <w:sz w:val="20"/>
          <w:szCs w:val="20"/>
        </w:rPr>
        <w:t>https://doi.org/10.1177/0706743717720691</w:t>
      </w:r>
    </w:p>
    <w:p w14:paraId="56C9E95F" w14:textId="77777777" w:rsidR="00451219" w:rsidRPr="000539DD" w:rsidRDefault="00451219" w:rsidP="00451219">
      <w:pPr>
        <w:pStyle w:val="NormalWeb"/>
        <w:spacing w:before="0" w:beforeAutospacing="0" w:after="0" w:afterAutospacing="0" w:line="480" w:lineRule="auto"/>
        <w:ind w:left="720" w:hanging="720"/>
        <w:rPr>
          <w:color w:val="C00000"/>
          <w:sz w:val="20"/>
          <w:szCs w:val="20"/>
        </w:rPr>
      </w:pPr>
      <w:r w:rsidRPr="000539DD">
        <w:rPr>
          <w:color w:val="C00000"/>
          <w:sz w:val="20"/>
          <w:szCs w:val="20"/>
        </w:rPr>
        <w:t xml:space="preserve">Eason, A. (2024, May 22). </w:t>
      </w:r>
      <w:r w:rsidRPr="000539DD">
        <w:rPr>
          <w:i/>
          <w:iCs/>
          <w:color w:val="C00000"/>
          <w:sz w:val="20"/>
          <w:szCs w:val="20"/>
        </w:rPr>
        <w:t>Ways to stave off cognitive Decline</w:t>
      </w:r>
      <w:r w:rsidRPr="000539DD">
        <w:rPr>
          <w:color w:val="C00000"/>
          <w:sz w:val="20"/>
          <w:szCs w:val="20"/>
        </w:rPr>
        <w:t xml:space="preserve">. Adam Eason. </w:t>
      </w:r>
      <w:r w:rsidRPr="000539DD">
        <w:rPr>
          <w:rStyle w:val="url"/>
          <w:rFonts w:eastAsiaTheme="majorEastAsia"/>
          <w:color w:val="C00000"/>
          <w:sz w:val="20"/>
          <w:szCs w:val="20"/>
        </w:rPr>
        <w:t>https://www.adam-eason.com/ways-to-stave-off-cognitive-decline/</w:t>
      </w:r>
    </w:p>
    <w:p w14:paraId="1B0AC4DF" w14:textId="77777777" w:rsidR="00451219" w:rsidRPr="000539DD" w:rsidRDefault="00451219" w:rsidP="00451219">
      <w:pPr>
        <w:pStyle w:val="NormalWeb"/>
        <w:spacing w:before="0" w:beforeAutospacing="0" w:after="0" w:afterAutospacing="0" w:line="480" w:lineRule="auto"/>
        <w:ind w:left="720" w:hanging="720"/>
        <w:rPr>
          <w:color w:val="C00000"/>
          <w:sz w:val="20"/>
          <w:szCs w:val="20"/>
        </w:rPr>
      </w:pPr>
      <w:r w:rsidRPr="000539DD">
        <w:rPr>
          <w:color w:val="C00000"/>
          <w:sz w:val="20"/>
          <w:szCs w:val="20"/>
        </w:rPr>
        <w:lastRenderedPageBreak/>
        <w:t xml:space="preserve">Evans, I. (2019). </w:t>
      </w:r>
      <w:r w:rsidRPr="000539DD">
        <w:rPr>
          <w:i/>
          <w:iCs/>
          <w:color w:val="C00000"/>
          <w:sz w:val="20"/>
          <w:szCs w:val="20"/>
        </w:rPr>
        <w:t>Social connections, cognitive reserve, and cognitive function in later life</w:t>
      </w:r>
      <w:r w:rsidRPr="000539DD">
        <w:rPr>
          <w:color w:val="C00000"/>
          <w:sz w:val="20"/>
          <w:szCs w:val="20"/>
        </w:rPr>
        <w:t xml:space="preserve">. </w:t>
      </w:r>
      <w:r w:rsidRPr="000539DD">
        <w:rPr>
          <w:rStyle w:val="url"/>
          <w:rFonts w:eastAsiaTheme="majorEastAsia"/>
          <w:color w:val="C00000"/>
          <w:sz w:val="20"/>
          <w:szCs w:val="20"/>
        </w:rPr>
        <w:t>https://doi.org/10.17863/cam.27236</w:t>
      </w:r>
    </w:p>
    <w:p w14:paraId="072F4CF2" w14:textId="77777777" w:rsidR="00451219" w:rsidRPr="000539DD" w:rsidRDefault="00451219" w:rsidP="00451219">
      <w:pPr>
        <w:pStyle w:val="NormalWeb"/>
        <w:spacing w:before="0" w:beforeAutospacing="0" w:after="0" w:afterAutospacing="0" w:line="480" w:lineRule="auto"/>
        <w:ind w:left="720" w:hanging="720"/>
        <w:rPr>
          <w:color w:val="C00000"/>
          <w:sz w:val="20"/>
          <w:szCs w:val="20"/>
        </w:rPr>
      </w:pPr>
      <w:r w:rsidRPr="000539DD">
        <w:rPr>
          <w:color w:val="C00000"/>
          <w:sz w:val="20"/>
          <w:szCs w:val="20"/>
        </w:rPr>
        <w:t xml:space="preserve">Freedman, M., Alladi, S., Chertkow, H., Bialystok, E., Craik, F. I. M., Phillips, N. A., Duggirala, V., Raju, S. B., &amp; Bak, T. H. (2014). Delaying onset of dementia: Are two languages enough? </w:t>
      </w:r>
      <w:r w:rsidRPr="000539DD">
        <w:rPr>
          <w:i/>
          <w:iCs/>
          <w:color w:val="C00000"/>
          <w:sz w:val="20"/>
          <w:szCs w:val="20"/>
        </w:rPr>
        <w:t>Behavioural Neurology</w:t>
      </w:r>
      <w:r w:rsidRPr="000539DD">
        <w:rPr>
          <w:color w:val="C00000"/>
          <w:sz w:val="20"/>
          <w:szCs w:val="20"/>
        </w:rPr>
        <w:t xml:space="preserve">, </w:t>
      </w:r>
      <w:r w:rsidRPr="000539DD">
        <w:rPr>
          <w:i/>
          <w:iCs/>
          <w:color w:val="C00000"/>
          <w:sz w:val="20"/>
          <w:szCs w:val="20"/>
        </w:rPr>
        <w:t>2014</w:t>
      </w:r>
      <w:r w:rsidRPr="000539DD">
        <w:rPr>
          <w:color w:val="C00000"/>
          <w:sz w:val="20"/>
          <w:szCs w:val="20"/>
        </w:rPr>
        <w:t xml:space="preserve">, 1–8. </w:t>
      </w:r>
      <w:r w:rsidRPr="000539DD">
        <w:rPr>
          <w:rStyle w:val="url"/>
          <w:rFonts w:eastAsiaTheme="majorEastAsia"/>
          <w:color w:val="C00000"/>
          <w:sz w:val="20"/>
          <w:szCs w:val="20"/>
        </w:rPr>
        <w:t>https://doi.org/10.1155/2014/808137</w:t>
      </w:r>
    </w:p>
    <w:p w14:paraId="3CA7A0A7" w14:textId="347F6CFE" w:rsidR="00451219" w:rsidRPr="0065283C" w:rsidRDefault="00451219" w:rsidP="00451219">
      <w:pPr>
        <w:pStyle w:val="NormalWeb"/>
        <w:spacing w:before="0" w:beforeAutospacing="0" w:after="0" w:afterAutospacing="0" w:line="480" w:lineRule="auto"/>
        <w:ind w:left="720" w:hanging="720"/>
        <w:rPr>
          <w:color w:val="C00000"/>
          <w:sz w:val="20"/>
          <w:szCs w:val="20"/>
        </w:rPr>
      </w:pPr>
      <w:r w:rsidRPr="0065283C">
        <w:rPr>
          <w:color w:val="C00000"/>
          <w:sz w:val="20"/>
          <w:szCs w:val="20"/>
        </w:rPr>
        <w:t xml:space="preserve">Fujita, S. (2024). Optimizing Strategies to prevent Cognitive decline with 20-Year Brain Imaging. </w:t>
      </w:r>
      <w:r w:rsidRPr="0065283C">
        <w:rPr>
          <w:i/>
          <w:iCs/>
          <w:color w:val="C00000"/>
          <w:sz w:val="20"/>
          <w:szCs w:val="20"/>
        </w:rPr>
        <w:t>JAMA Network Open</w:t>
      </w:r>
      <w:r w:rsidRPr="0065283C">
        <w:rPr>
          <w:color w:val="C00000"/>
          <w:sz w:val="20"/>
          <w:szCs w:val="20"/>
        </w:rPr>
        <w:t xml:space="preserve">, </w:t>
      </w:r>
      <w:r w:rsidRPr="0065283C">
        <w:rPr>
          <w:i/>
          <w:iCs/>
          <w:color w:val="C00000"/>
          <w:sz w:val="20"/>
          <w:szCs w:val="20"/>
        </w:rPr>
        <w:t>7</w:t>
      </w:r>
      <w:r w:rsidRPr="0065283C">
        <w:rPr>
          <w:color w:val="C00000"/>
          <w:sz w:val="20"/>
          <w:szCs w:val="20"/>
        </w:rPr>
        <w:t xml:space="preserve">(10), e2441466. </w:t>
      </w:r>
      <w:r w:rsidRPr="0065283C">
        <w:rPr>
          <w:rStyle w:val="url"/>
          <w:rFonts w:eastAsiaTheme="majorEastAsia"/>
          <w:color w:val="C00000"/>
          <w:sz w:val="20"/>
          <w:szCs w:val="20"/>
        </w:rPr>
        <w:t>https://doi.org/10.1001/jamanetworkopen.2024.41466</w:t>
      </w:r>
    </w:p>
    <w:p w14:paraId="57835109" w14:textId="77777777" w:rsidR="00451219" w:rsidRPr="000539DD" w:rsidRDefault="00451219" w:rsidP="00451219">
      <w:pPr>
        <w:pStyle w:val="NormalWeb"/>
        <w:spacing w:before="0" w:beforeAutospacing="0" w:after="0" w:afterAutospacing="0" w:line="480" w:lineRule="auto"/>
        <w:ind w:left="720" w:hanging="720"/>
        <w:rPr>
          <w:color w:val="C00000"/>
          <w:sz w:val="20"/>
          <w:szCs w:val="20"/>
        </w:rPr>
      </w:pPr>
      <w:r w:rsidRPr="000539DD">
        <w:rPr>
          <w:color w:val="C00000"/>
          <w:sz w:val="20"/>
          <w:szCs w:val="20"/>
        </w:rPr>
        <w:t xml:space="preserve">Iso-Markku, P., Aaltonen, S., Kujala, U. M., Halme, H., Phipps, D., Knittle, K., Vuoksimaa, E., &amp; Waller, K. (2024). Physical activity and cognitive decline among older adults. </w:t>
      </w:r>
      <w:r w:rsidRPr="000539DD">
        <w:rPr>
          <w:i/>
          <w:iCs/>
          <w:color w:val="C00000"/>
          <w:sz w:val="20"/>
          <w:szCs w:val="20"/>
        </w:rPr>
        <w:t>JAMA Network Open</w:t>
      </w:r>
      <w:r w:rsidRPr="000539DD">
        <w:rPr>
          <w:color w:val="C00000"/>
          <w:sz w:val="20"/>
          <w:szCs w:val="20"/>
        </w:rPr>
        <w:t xml:space="preserve">, </w:t>
      </w:r>
      <w:r w:rsidRPr="000539DD">
        <w:rPr>
          <w:i/>
          <w:iCs/>
          <w:color w:val="C00000"/>
          <w:sz w:val="20"/>
          <w:szCs w:val="20"/>
        </w:rPr>
        <w:t>7</w:t>
      </w:r>
      <w:r w:rsidRPr="000539DD">
        <w:rPr>
          <w:color w:val="C00000"/>
          <w:sz w:val="20"/>
          <w:szCs w:val="20"/>
        </w:rPr>
        <w:t xml:space="preserve">(2), e2354285. </w:t>
      </w:r>
      <w:r w:rsidRPr="000539DD">
        <w:rPr>
          <w:rStyle w:val="url"/>
          <w:rFonts w:eastAsiaTheme="majorEastAsia"/>
          <w:color w:val="C00000"/>
          <w:sz w:val="20"/>
          <w:szCs w:val="20"/>
        </w:rPr>
        <w:t>https://doi.org/10.1001/jamanetworkopen.2023.54285</w:t>
      </w:r>
    </w:p>
    <w:p w14:paraId="63C8B071" w14:textId="77777777" w:rsidR="00451219" w:rsidRPr="000539DD" w:rsidRDefault="00451219" w:rsidP="00451219">
      <w:pPr>
        <w:pStyle w:val="NormalWeb"/>
        <w:spacing w:before="0" w:beforeAutospacing="0" w:after="0" w:afterAutospacing="0" w:line="480" w:lineRule="auto"/>
        <w:ind w:left="720" w:hanging="720"/>
        <w:rPr>
          <w:color w:val="C00000"/>
          <w:sz w:val="20"/>
          <w:szCs w:val="20"/>
        </w:rPr>
      </w:pPr>
      <w:r w:rsidRPr="000539DD">
        <w:rPr>
          <w:color w:val="C00000"/>
          <w:sz w:val="20"/>
          <w:szCs w:val="20"/>
        </w:rPr>
        <w:t xml:space="preserve">James, C., Stucker, C., Junker-Tschopp, C., Fernandes, A., Revol, A., Mili, I., Kliegel, M., Frisoni, G., Guevara, A. B., &amp; Marie, D. (2023). Musical and psychomotor interventions for cognitive, sensorimotor, and cerebral decline in patients with Mild Cognitive Impairment (COPE): a study protocol for a multicentric randomized controlled study. </w:t>
      </w:r>
      <w:r w:rsidRPr="000539DD">
        <w:rPr>
          <w:i/>
          <w:iCs/>
          <w:color w:val="C00000"/>
          <w:sz w:val="20"/>
          <w:szCs w:val="20"/>
        </w:rPr>
        <w:t>BMC Geriatrics</w:t>
      </w:r>
      <w:r w:rsidRPr="000539DD">
        <w:rPr>
          <w:color w:val="C00000"/>
          <w:sz w:val="20"/>
          <w:szCs w:val="20"/>
        </w:rPr>
        <w:t xml:space="preserve">, </w:t>
      </w:r>
      <w:r w:rsidRPr="000539DD">
        <w:rPr>
          <w:i/>
          <w:iCs/>
          <w:color w:val="C00000"/>
          <w:sz w:val="20"/>
          <w:szCs w:val="20"/>
        </w:rPr>
        <w:t>23</w:t>
      </w:r>
      <w:r w:rsidRPr="000539DD">
        <w:rPr>
          <w:color w:val="C00000"/>
          <w:sz w:val="20"/>
          <w:szCs w:val="20"/>
        </w:rPr>
        <w:t xml:space="preserve">(1). </w:t>
      </w:r>
      <w:r w:rsidRPr="000539DD">
        <w:rPr>
          <w:rStyle w:val="url"/>
          <w:rFonts w:eastAsiaTheme="majorEastAsia"/>
          <w:color w:val="C00000"/>
          <w:sz w:val="20"/>
          <w:szCs w:val="20"/>
        </w:rPr>
        <w:t>https://doi.org/10.1186/s12877-022-03678-0</w:t>
      </w:r>
    </w:p>
    <w:p w14:paraId="2525C7A7" w14:textId="77777777" w:rsidR="00451219" w:rsidRPr="00814132" w:rsidRDefault="00451219" w:rsidP="00451219">
      <w:pPr>
        <w:pStyle w:val="NormalWeb"/>
        <w:spacing w:before="0" w:beforeAutospacing="0" w:after="0" w:afterAutospacing="0" w:line="480" w:lineRule="auto"/>
        <w:ind w:left="720" w:hanging="720"/>
        <w:rPr>
          <w:color w:val="C00000"/>
          <w:sz w:val="20"/>
          <w:szCs w:val="20"/>
        </w:rPr>
      </w:pPr>
      <w:r w:rsidRPr="00814132">
        <w:rPr>
          <w:color w:val="C00000"/>
          <w:sz w:val="20"/>
          <w:szCs w:val="20"/>
        </w:rPr>
        <w:t xml:space="preserve">Kivipelto, M., Mangialasche, F., Snyder, H. M., Allegri, R., Andrieu, S., Arai, H., Baker, L., Belleville, S., Brodaty, H., Brucki, S. M., Calandri, I., Caramelli, P., Chen, C., Chertkow, H., Chew, E., Choi, S. H., Chowdhary, N., Crivelli, L., De La Torre, R., . . . Carrillo, M. C. (2020). World‐Wide FINGERS Network: A global approach to risk reduction and prevention of dementia. </w:t>
      </w:r>
      <w:r w:rsidRPr="00814132">
        <w:rPr>
          <w:i/>
          <w:iCs/>
          <w:color w:val="C00000"/>
          <w:sz w:val="20"/>
          <w:szCs w:val="20"/>
        </w:rPr>
        <w:t>Alzheimer S &amp; Dementia</w:t>
      </w:r>
      <w:r w:rsidRPr="00814132">
        <w:rPr>
          <w:color w:val="C00000"/>
          <w:sz w:val="20"/>
          <w:szCs w:val="20"/>
        </w:rPr>
        <w:t xml:space="preserve">, </w:t>
      </w:r>
      <w:r w:rsidRPr="00814132">
        <w:rPr>
          <w:i/>
          <w:iCs/>
          <w:color w:val="C00000"/>
          <w:sz w:val="20"/>
          <w:szCs w:val="20"/>
        </w:rPr>
        <w:t>16</w:t>
      </w:r>
      <w:r w:rsidRPr="00814132">
        <w:rPr>
          <w:color w:val="C00000"/>
          <w:sz w:val="20"/>
          <w:szCs w:val="20"/>
        </w:rPr>
        <w:t xml:space="preserve">(7), 1078–1094. </w:t>
      </w:r>
      <w:r w:rsidRPr="00814132">
        <w:rPr>
          <w:rStyle w:val="url"/>
          <w:rFonts w:eastAsiaTheme="majorEastAsia"/>
          <w:color w:val="C00000"/>
          <w:sz w:val="20"/>
          <w:szCs w:val="20"/>
        </w:rPr>
        <w:t>https://doi.org/10.1002/alz.12123</w:t>
      </w:r>
    </w:p>
    <w:p w14:paraId="35691B06" w14:textId="77777777" w:rsidR="00451219" w:rsidRPr="0065283C" w:rsidRDefault="00451219" w:rsidP="00451219">
      <w:pPr>
        <w:pStyle w:val="NormalWeb"/>
        <w:spacing w:before="0" w:beforeAutospacing="0" w:after="0" w:afterAutospacing="0" w:line="480" w:lineRule="auto"/>
        <w:ind w:left="720" w:hanging="720"/>
        <w:rPr>
          <w:color w:val="C00000"/>
          <w:sz w:val="20"/>
          <w:szCs w:val="20"/>
        </w:rPr>
      </w:pPr>
      <w:r w:rsidRPr="0065283C">
        <w:rPr>
          <w:color w:val="C00000"/>
          <w:sz w:val="20"/>
          <w:szCs w:val="20"/>
        </w:rPr>
        <w:t xml:space="preserve">Li, X., Feng, X., Sun, X., Hou, N., Han, F., &amp; Liu, Y. (2022). Global, regional, and national burden of Alzheimer’s disease and other dementias, 1990–2019. </w:t>
      </w:r>
      <w:r w:rsidRPr="0065283C">
        <w:rPr>
          <w:i/>
          <w:iCs/>
          <w:color w:val="C00000"/>
          <w:sz w:val="20"/>
          <w:szCs w:val="20"/>
        </w:rPr>
        <w:t>Frontiers in Aging Neuroscience</w:t>
      </w:r>
      <w:r w:rsidRPr="0065283C">
        <w:rPr>
          <w:color w:val="C00000"/>
          <w:sz w:val="20"/>
          <w:szCs w:val="20"/>
        </w:rPr>
        <w:t xml:space="preserve">, </w:t>
      </w:r>
      <w:r w:rsidRPr="0065283C">
        <w:rPr>
          <w:i/>
          <w:iCs/>
          <w:color w:val="C00000"/>
          <w:sz w:val="20"/>
          <w:szCs w:val="20"/>
        </w:rPr>
        <w:t>14</w:t>
      </w:r>
      <w:r w:rsidRPr="0065283C">
        <w:rPr>
          <w:color w:val="C00000"/>
          <w:sz w:val="20"/>
          <w:szCs w:val="20"/>
        </w:rPr>
        <w:t xml:space="preserve">. </w:t>
      </w:r>
      <w:r w:rsidRPr="0065283C">
        <w:rPr>
          <w:rStyle w:val="url"/>
          <w:rFonts w:eastAsiaTheme="majorEastAsia"/>
          <w:color w:val="C00000"/>
          <w:sz w:val="20"/>
          <w:szCs w:val="20"/>
        </w:rPr>
        <w:t>https://doi.org/10.3389/fnagi.2022.937486</w:t>
      </w:r>
    </w:p>
    <w:p w14:paraId="1C3E885A" w14:textId="77777777" w:rsidR="00451219" w:rsidRPr="000539DD" w:rsidRDefault="00451219" w:rsidP="00451219">
      <w:pPr>
        <w:pStyle w:val="NormalWeb"/>
        <w:spacing w:before="0" w:beforeAutospacing="0" w:after="0" w:afterAutospacing="0" w:line="480" w:lineRule="auto"/>
        <w:ind w:left="720" w:hanging="720"/>
        <w:rPr>
          <w:color w:val="C00000"/>
          <w:sz w:val="20"/>
          <w:szCs w:val="20"/>
        </w:rPr>
      </w:pPr>
      <w:r w:rsidRPr="000539DD">
        <w:rPr>
          <w:color w:val="C00000"/>
          <w:sz w:val="20"/>
          <w:szCs w:val="20"/>
        </w:rPr>
        <w:t xml:space="preserve">Livingston, G., Huntley, J., Liu, K. Y., Costafreda, S. G., Selbæk, G., Alladi, S., Ames, D., Banerjee, S., Burns, A., Brayne, C., Fox, N. C., Ferri, C. P., Gitlin, L. N., Howard, R., Kales, H. C., Kivimäki, M., Larson, E. B., Nakasujja, N., Rockwood, K., . . . Mukadam, N. (2024). Dementia prevention, intervention, and care: 2024 report of the Lancet standing Commission. </w:t>
      </w:r>
      <w:r w:rsidRPr="000539DD">
        <w:rPr>
          <w:i/>
          <w:iCs/>
          <w:color w:val="C00000"/>
          <w:sz w:val="20"/>
          <w:szCs w:val="20"/>
        </w:rPr>
        <w:t>The Lancet</w:t>
      </w:r>
      <w:r w:rsidRPr="000539DD">
        <w:rPr>
          <w:color w:val="C00000"/>
          <w:sz w:val="20"/>
          <w:szCs w:val="20"/>
        </w:rPr>
        <w:t xml:space="preserve">, </w:t>
      </w:r>
      <w:r w:rsidRPr="000539DD">
        <w:rPr>
          <w:i/>
          <w:iCs/>
          <w:color w:val="C00000"/>
          <w:sz w:val="20"/>
          <w:szCs w:val="20"/>
        </w:rPr>
        <w:t>404</w:t>
      </w:r>
      <w:r w:rsidRPr="000539DD">
        <w:rPr>
          <w:color w:val="C00000"/>
          <w:sz w:val="20"/>
          <w:szCs w:val="20"/>
        </w:rPr>
        <w:t xml:space="preserve">(10452), 572–628. </w:t>
      </w:r>
      <w:r w:rsidRPr="000539DD">
        <w:rPr>
          <w:rStyle w:val="url"/>
          <w:rFonts w:eastAsiaTheme="majorEastAsia"/>
          <w:color w:val="C00000"/>
          <w:sz w:val="20"/>
          <w:szCs w:val="20"/>
        </w:rPr>
        <w:t>https://doi.org/10.1016/s0140-6736(24)01296-0</w:t>
      </w:r>
    </w:p>
    <w:p w14:paraId="2601B000" w14:textId="77777777" w:rsidR="00451219" w:rsidRPr="000539DD" w:rsidRDefault="00451219" w:rsidP="00451219">
      <w:pPr>
        <w:pStyle w:val="NormalWeb"/>
        <w:spacing w:before="0" w:beforeAutospacing="0" w:after="0" w:afterAutospacing="0" w:line="480" w:lineRule="auto"/>
        <w:ind w:left="720" w:hanging="720"/>
        <w:rPr>
          <w:color w:val="C00000"/>
          <w:sz w:val="20"/>
          <w:szCs w:val="20"/>
        </w:rPr>
      </w:pPr>
      <w:r w:rsidRPr="000539DD">
        <w:rPr>
          <w:color w:val="C00000"/>
          <w:sz w:val="20"/>
          <w:szCs w:val="20"/>
        </w:rPr>
        <w:lastRenderedPageBreak/>
        <w:t xml:space="preserve">Marselli, G., Favieri, F., Forte, G., Corbo, I., Agostini, F., Guarino, A., &amp; Casagrande, M. (2024). The protective role of cognitive reserve: an empirical study in mild cognitive impairment. </w:t>
      </w:r>
      <w:r w:rsidRPr="000539DD">
        <w:rPr>
          <w:i/>
          <w:iCs/>
          <w:color w:val="C00000"/>
          <w:sz w:val="20"/>
          <w:szCs w:val="20"/>
        </w:rPr>
        <w:t>BMC Psychology</w:t>
      </w:r>
      <w:r w:rsidRPr="000539DD">
        <w:rPr>
          <w:color w:val="C00000"/>
          <w:sz w:val="20"/>
          <w:szCs w:val="20"/>
        </w:rPr>
        <w:t xml:space="preserve">, </w:t>
      </w:r>
      <w:r w:rsidRPr="000539DD">
        <w:rPr>
          <w:i/>
          <w:iCs/>
          <w:color w:val="C00000"/>
          <w:sz w:val="20"/>
          <w:szCs w:val="20"/>
        </w:rPr>
        <w:t>12</w:t>
      </w:r>
      <w:r w:rsidRPr="000539DD">
        <w:rPr>
          <w:color w:val="C00000"/>
          <w:sz w:val="20"/>
          <w:szCs w:val="20"/>
        </w:rPr>
        <w:t xml:space="preserve">(1). </w:t>
      </w:r>
      <w:r w:rsidRPr="000539DD">
        <w:rPr>
          <w:rStyle w:val="url"/>
          <w:rFonts w:eastAsiaTheme="majorEastAsia"/>
          <w:color w:val="C00000"/>
          <w:sz w:val="20"/>
          <w:szCs w:val="20"/>
        </w:rPr>
        <w:t>https://doi.org/10.1186/s40359-024-01831-5</w:t>
      </w:r>
    </w:p>
    <w:p w14:paraId="29C9B888" w14:textId="77777777" w:rsidR="00451219" w:rsidRPr="000539DD" w:rsidRDefault="00451219" w:rsidP="00451219">
      <w:pPr>
        <w:pStyle w:val="NormalWeb"/>
        <w:spacing w:before="0" w:beforeAutospacing="0" w:after="0" w:afterAutospacing="0" w:line="480" w:lineRule="auto"/>
        <w:ind w:left="720" w:hanging="720"/>
        <w:rPr>
          <w:color w:val="C00000"/>
          <w:sz w:val="20"/>
          <w:szCs w:val="20"/>
        </w:rPr>
      </w:pPr>
      <w:r w:rsidRPr="000539DD">
        <w:rPr>
          <w:color w:val="C00000"/>
          <w:sz w:val="20"/>
          <w:szCs w:val="20"/>
        </w:rPr>
        <w:t xml:space="preserve">Matared, S. a. a. A., Al-Haddad, A. A., Aldbey, A. M. M. A., Alfuhayd, R. N. M., Alsharif, H. A., Mansour, N. M. a. A., Alyami, S. a. M., Almansour, A. B. M., Sayhab, A. H. B. A., Alsawidan, H. M., &amp; Sulaiman, A. a. a. A. (2023). The impact of aging on neurological function and cognitive decline. </w:t>
      </w:r>
      <w:r w:rsidRPr="000539DD">
        <w:rPr>
          <w:i/>
          <w:iCs/>
          <w:color w:val="C00000"/>
          <w:sz w:val="20"/>
          <w:szCs w:val="20"/>
        </w:rPr>
        <w:t>Deleted Journal</w:t>
      </w:r>
      <w:r w:rsidRPr="000539DD">
        <w:rPr>
          <w:color w:val="C00000"/>
          <w:sz w:val="20"/>
          <w:szCs w:val="20"/>
        </w:rPr>
        <w:t xml:space="preserve">, </w:t>
      </w:r>
      <w:r w:rsidRPr="000539DD">
        <w:rPr>
          <w:i/>
          <w:iCs/>
          <w:color w:val="C00000"/>
          <w:sz w:val="20"/>
          <w:szCs w:val="20"/>
        </w:rPr>
        <w:t>4</w:t>
      </w:r>
      <w:r w:rsidRPr="000539DD">
        <w:rPr>
          <w:color w:val="C00000"/>
          <w:sz w:val="20"/>
          <w:szCs w:val="20"/>
        </w:rPr>
        <w:t xml:space="preserve">(1), 57–63. </w:t>
      </w:r>
      <w:r w:rsidRPr="000539DD">
        <w:rPr>
          <w:rStyle w:val="url"/>
          <w:rFonts w:eastAsiaTheme="majorEastAsia"/>
          <w:color w:val="C00000"/>
          <w:sz w:val="20"/>
          <w:szCs w:val="20"/>
        </w:rPr>
        <w:t>https://doi.org/10.54293/smhj.v4i1.99</w:t>
      </w:r>
    </w:p>
    <w:p w14:paraId="3AB90CA7" w14:textId="77777777" w:rsidR="00451219" w:rsidRPr="00814132" w:rsidRDefault="00451219" w:rsidP="00451219">
      <w:pPr>
        <w:pStyle w:val="NormalWeb"/>
        <w:spacing w:before="0" w:beforeAutospacing="0" w:after="0" w:afterAutospacing="0" w:line="480" w:lineRule="auto"/>
        <w:ind w:left="720" w:hanging="720"/>
        <w:rPr>
          <w:color w:val="C00000"/>
          <w:sz w:val="20"/>
          <w:szCs w:val="20"/>
        </w:rPr>
      </w:pPr>
      <w:r w:rsidRPr="00814132">
        <w:rPr>
          <w:color w:val="C00000"/>
          <w:sz w:val="20"/>
          <w:szCs w:val="20"/>
        </w:rPr>
        <w:t xml:space="preserve">Meiner, Z., Ayers, E., &amp; Verghese, J. (2020). Motoric Cognitive Risk Syndrome: a risk factor for cognitive impairment and dementia in different populations. </w:t>
      </w:r>
      <w:r w:rsidRPr="00814132">
        <w:rPr>
          <w:i/>
          <w:iCs/>
          <w:color w:val="C00000"/>
          <w:sz w:val="20"/>
          <w:szCs w:val="20"/>
        </w:rPr>
        <w:t>Annals of Geriatric Medicine and Research</w:t>
      </w:r>
      <w:r w:rsidRPr="00814132">
        <w:rPr>
          <w:color w:val="C00000"/>
          <w:sz w:val="20"/>
          <w:szCs w:val="20"/>
        </w:rPr>
        <w:t xml:space="preserve">, </w:t>
      </w:r>
      <w:r w:rsidRPr="00814132">
        <w:rPr>
          <w:i/>
          <w:iCs/>
          <w:color w:val="C00000"/>
          <w:sz w:val="20"/>
          <w:szCs w:val="20"/>
        </w:rPr>
        <w:t>24</w:t>
      </w:r>
      <w:r w:rsidRPr="00814132">
        <w:rPr>
          <w:color w:val="C00000"/>
          <w:sz w:val="20"/>
          <w:szCs w:val="20"/>
        </w:rPr>
        <w:t xml:space="preserve">(1), 3–14. </w:t>
      </w:r>
      <w:r w:rsidRPr="00814132">
        <w:rPr>
          <w:rStyle w:val="url"/>
          <w:rFonts w:eastAsiaTheme="majorEastAsia"/>
          <w:color w:val="C00000"/>
          <w:sz w:val="20"/>
          <w:szCs w:val="20"/>
        </w:rPr>
        <w:t>https://doi.org/10.4235/agmr.20.0001</w:t>
      </w:r>
    </w:p>
    <w:p w14:paraId="682734F0" w14:textId="77777777" w:rsidR="00451219" w:rsidRPr="000539DD" w:rsidRDefault="00451219" w:rsidP="00451219">
      <w:pPr>
        <w:pStyle w:val="NormalWeb"/>
        <w:spacing w:before="0" w:beforeAutospacing="0" w:after="0" w:afterAutospacing="0" w:line="480" w:lineRule="auto"/>
        <w:ind w:left="720" w:hanging="720"/>
        <w:rPr>
          <w:color w:val="C00000"/>
          <w:sz w:val="20"/>
          <w:szCs w:val="20"/>
        </w:rPr>
      </w:pPr>
      <w:r w:rsidRPr="000539DD">
        <w:rPr>
          <w:color w:val="C00000"/>
          <w:sz w:val="20"/>
          <w:szCs w:val="20"/>
        </w:rPr>
        <w:t xml:space="preserve">Nelson, M. E., Jester, D. J., Petkus, A. J., &amp; Andel, R. (2021). Cognitive Reserve, Alzheimer’s Neuropathology, and Risk of Dementia: A Systematic Review and Meta-Analysis. </w:t>
      </w:r>
      <w:r w:rsidRPr="000539DD">
        <w:rPr>
          <w:i/>
          <w:iCs/>
          <w:color w:val="C00000"/>
          <w:sz w:val="20"/>
          <w:szCs w:val="20"/>
        </w:rPr>
        <w:t>Neuropsychology Review</w:t>
      </w:r>
      <w:r w:rsidRPr="000539DD">
        <w:rPr>
          <w:color w:val="C00000"/>
          <w:sz w:val="20"/>
          <w:szCs w:val="20"/>
        </w:rPr>
        <w:t xml:space="preserve">, </w:t>
      </w:r>
      <w:r w:rsidRPr="000539DD">
        <w:rPr>
          <w:i/>
          <w:iCs/>
          <w:color w:val="C00000"/>
          <w:sz w:val="20"/>
          <w:szCs w:val="20"/>
        </w:rPr>
        <w:t>31</w:t>
      </w:r>
      <w:r w:rsidRPr="000539DD">
        <w:rPr>
          <w:color w:val="C00000"/>
          <w:sz w:val="20"/>
          <w:szCs w:val="20"/>
        </w:rPr>
        <w:t xml:space="preserve">(2), 233–250. </w:t>
      </w:r>
      <w:r w:rsidRPr="000539DD">
        <w:rPr>
          <w:rStyle w:val="url"/>
          <w:rFonts w:eastAsiaTheme="majorEastAsia"/>
          <w:color w:val="C00000"/>
          <w:sz w:val="20"/>
          <w:szCs w:val="20"/>
        </w:rPr>
        <w:t>https://doi.org/10.1007/s11065-021-09478-4</w:t>
      </w:r>
    </w:p>
    <w:p w14:paraId="4326C5F6" w14:textId="77777777" w:rsidR="00451219" w:rsidRPr="0065283C" w:rsidRDefault="00451219" w:rsidP="00451219">
      <w:pPr>
        <w:pStyle w:val="NormalWeb"/>
        <w:spacing w:before="0" w:beforeAutospacing="0" w:after="0" w:afterAutospacing="0" w:line="480" w:lineRule="auto"/>
        <w:ind w:left="720" w:hanging="720"/>
        <w:rPr>
          <w:color w:val="C00000"/>
          <w:sz w:val="20"/>
          <w:szCs w:val="20"/>
        </w:rPr>
      </w:pPr>
      <w:r w:rsidRPr="0065283C">
        <w:rPr>
          <w:color w:val="C00000"/>
          <w:sz w:val="20"/>
          <w:szCs w:val="20"/>
        </w:rPr>
        <w:t xml:space="preserve">Oosterhuis, E. J., Slade, K., May, P. J. C., &amp; Nuttall, H. E. (2022). Toward an understanding of healthy cognitive aging: the importance of lifestyle in cognitive reserve and the scaffolding theory of aging and cognition. </w:t>
      </w:r>
      <w:r w:rsidRPr="0065283C">
        <w:rPr>
          <w:i/>
          <w:iCs/>
          <w:color w:val="C00000"/>
          <w:sz w:val="20"/>
          <w:szCs w:val="20"/>
        </w:rPr>
        <w:t>The Journals of Gerontology Series B</w:t>
      </w:r>
      <w:r w:rsidRPr="0065283C">
        <w:rPr>
          <w:color w:val="C00000"/>
          <w:sz w:val="20"/>
          <w:szCs w:val="20"/>
        </w:rPr>
        <w:t xml:space="preserve">, </w:t>
      </w:r>
      <w:r w:rsidRPr="0065283C">
        <w:rPr>
          <w:i/>
          <w:iCs/>
          <w:color w:val="C00000"/>
          <w:sz w:val="20"/>
          <w:szCs w:val="20"/>
        </w:rPr>
        <w:t>78</w:t>
      </w:r>
      <w:r w:rsidRPr="0065283C">
        <w:rPr>
          <w:color w:val="C00000"/>
          <w:sz w:val="20"/>
          <w:szCs w:val="20"/>
        </w:rPr>
        <w:t xml:space="preserve">(5), 777–788. </w:t>
      </w:r>
      <w:r w:rsidRPr="0065283C">
        <w:rPr>
          <w:rStyle w:val="url"/>
          <w:rFonts w:eastAsiaTheme="majorEastAsia"/>
          <w:color w:val="C00000"/>
          <w:sz w:val="20"/>
          <w:szCs w:val="20"/>
        </w:rPr>
        <w:t>https://doi.org/10.1093/geronb/gbac197</w:t>
      </w:r>
    </w:p>
    <w:p w14:paraId="418541FD" w14:textId="77777777" w:rsidR="00451219" w:rsidRPr="000539DD" w:rsidRDefault="00451219" w:rsidP="00451219">
      <w:pPr>
        <w:pStyle w:val="NormalWeb"/>
        <w:spacing w:before="0" w:beforeAutospacing="0" w:after="0" w:afterAutospacing="0" w:line="480" w:lineRule="auto"/>
        <w:ind w:left="720" w:hanging="720"/>
        <w:rPr>
          <w:color w:val="C00000"/>
          <w:sz w:val="20"/>
          <w:szCs w:val="20"/>
        </w:rPr>
      </w:pPr>
      <w:r w:rsidRPr="000539DD">
        <w:rPr>
          <w:color w:val="C00000"/>
          <w:sz w:val="20"/>
          <w:szCs w:val="20"/>
        </w:rPr>
        <w:t xml:space="preserve">Rashid, M. H., Zahid, M. F., Zain, S., Kabir, A., &amp; Hassan, S. U. (2020). The Neuroprotective Effects of exercise on Cognitive Decline: A Preventive approach to Alzheimer disease. </w:t>
      </w:r>
      <w:r w:rsidRPr="000539DD">
        <w:rPr>
          <w:i/>
          <w:iCs/>
          <w:color w:val="C00000"/>
          <w:sz w:val="20"/>
          <w:szCs w:val="20"/>
        </w:rPr>
        <w:t>Cureus</w:t>
      </w:r>
      <w:r w:rsidRPr="000539DD">
        <w:rPr>
          <w:color w:val="C00000"/>
          <w:sz w:val="20"/>
          <w:szCs w:val="20"/>
        </w:rPr>
        <w:t xml:space="preserve">. </w:t>
      </w:r>
      <w:r w:rsidRPr="000539DD">
        <w:rPr>
          <w:rStyle w:val="url"/>
          <w:rFonts w:eastAsiaTheme="majorEastAsia"/>
          <w:color w:val="C00000"/>
          <w:sz w:val="20"/>
          <w:szCs w:val="20"/>
        </w:rPr>
        <w:t>https://doi.org/10.7759/cureus.6958</w:t>
      </w:r>
    </w:p>
    <w:p w14:paraId="304155A9" w14:textId="77777777" w:rsidR="00451219" w:rsidRPr="000539DD" w:rsidRDefault="00451219" w:rsidP="00451219">
      <w:pPr>
        <w:pStyle w:val="NormalWeb"/>
        <w:spacing w:before="0" w:beforeAutospacing="0" w:after="0" w:afterAutospacing="0" w:line="480" w:lineRule="auto"/>
        <w:ind w:left="720" w:hanging="720"/>
        <w:rPr>
          <w:color w:val="C00000"/>
          <w:sz w:val="20"/>
          <w:szCs w:val="20"/>
        </w:rPr>
      </w:pPr>
      <w:r w:rsidRPr="000539DD">
        <w:rPr>
          <w:color w:val="C00000"/>
          <w:sz w:val="20"/>
          <w:szCs w:val="20"/>
        </w:rPr>
        <w:t xml:space="preserve">Richards, S. E. (2024, March 1). </w:t>
      </w:r>
      <w:r w:rsidRPr="000539DD">
        <w:rPr>
          <w:i/>
          <w:iCs/>
          <w:color w:val="C00000"/>
          <w:sz w:val="20"/>
          <w:szCs w:val="20"/>
        </w:rPr>
        <w:t>ARE OLDER BRAINS BETTER BRAINS?</w:t>
      </w:r>
      <w:r w:rsidRPr="000539DD">
        <w:rPr>
          <w:color w:val="C00000"/>
          <w:sz w:val="20"/>
          <w:szCs w:val="20"/>
        </w:rPr>
        <w:t xml:space="preserve"> Document - Gale OneFile: Health and Medicine. </w:t>
      </w:r>
      <w:r w:rsidRPr="000539DD">
        <w:rPr>
          <w:rStyle w:val="url"/>
          <w:rFonts w:eastAsiaTheme="majorEastAsia"/>
          <w:color w:val="C00000"/>
          <w:sz w:val="20"/>
          <w:szCs w:val="20"/>
        </w:rPr>
        <w:t>https://go.gale.com/ps/i.do?id=GALE%7CA787784914&amp;sid=googleScholar&amp;v=2.1&amp;it=r&amp;linkaccess=abs&amp;issn=10544836&amp;p=HRCA&amp;sw=w</w:t>
      </w:r>
    </w:p>
    <w:p w14:paraId="55800A90" w14:textId="77777777" w:rsidR="00451219" w:rsidRPr="000539DD" w:rsidRDefault="00451219" w:rsidP="00451219">
      <w:pPr>
        <w:pStyle w:val="NormalWeb"/>
        <w:spacing w:before="0" w:beforeAutospacing="0" w:after="0" w:afterAutospacing="0" w:line="480" w:lineRule="auto"/>
        <w:ind w:left="720" w:hanging="720"/>
        <w:rPr>
          <w:color w:val="C00000"/>
          <w:sz w:val="20"/>
          <w:szCs w:val="20"/>
        </w:rPr>
      </w:pPr>
      <w:r w:rsidRPr="000539DD">
        <w:rPr>
          <w:color w:val="C00000"/>
          <w:sz w:val="20"/>
          <w:szCs w:val="20"/>
        </w:rPr>
        <w:t xml:space="preserve">Rosenich, E., Hordacre, B., Paquet, C., Koblar, S. A., &amp; Hillier, S. L. (2020). Cognitive reserve as an emerging concept in stroke recovery. </w:t>
      </w:r>
      <w:r w:rsidRPr="000539DD">
        <w:rPr>
          <w:i/>
          <w:iCs/>
          <w:color w:val="C00000"/>
          <w:sz w:val="20"/>
          <w:szCs w:val="20"/>
        </w:rPr>
        <w:t>Neurorehabilitation and Neural Repair</w:t>
      </w:r>
      <w:r w:rsidRPr="000539DD">
        <w:rPr>
          <w:color w:val="C00000"/>
          <w:sz w:val="20"/>
          <w:szCs w:val="20"/>
        </w:rPr>
        <w:t xml:space="preserve">, </w:t>
      </w:r>
      <w:r w:rsidRPr="000539DD">
        <w:rPr>
          <w:i/>
          <w:iCs/>
          <w:color w:val="C00000"/>
          <w:sz w:val="20"/>
          <w:szCs w:val="20"/>
        </w:rPr>
        <w:t>34</w:t>
      </w:r>
      <w:r w:rsidRPr="000539DD">
        <w:rPr>
          <w:color w:val="C00000"/>
          <w:sz w:val="20"/>
          <w:szCs w:val="20"/>
        </w:rPr>
        <w:t xml:space="preserve">(3), 187–199. </w:t>
      </w:r>
      <w:r w:rsidRPr="000539DD">
        <w:rPr>
          <w:rStyle w:val="url"/>
          <w:rFonts w:eastAsiaTheme="majorEastAsia"/>
          <w:color w:val="C00000"/>
          <w:sz w:val="20"/>
          <w:szCs w:val="20"/>
        </w:rPr>
        <w:t>https://doi.org/10.1177/1545968320907071</w:t>
      </w:r>
    </w:p>
    <w:p w14:paraId="2C220BCF" w14:textId="77777777" w:rsidR="00451219" w:rsidRPr="000539DD" w:rsidRDefault="00451219" w:rsidP="00451219">
      <w:pPr>
        <w:pStyle w:val="NormalWeb"/>
        <w:spacing w:before="0" w:beforeAutospacing="0" w:after="0" w:afterAutospacing="0" w:line="480" w:lineRule="auto"/>
        <w:ind w:left="720" w:hanging="720"/>
        <w:rPr>
          <w:color w:val="C00000"/>
          <w:sz w:val="20"/>
          <w:szCs w:val="20"/>
        </w:rPr>
      </w:pPr>
      <w:r w:rsidRPr="000539DD">
        <w:rPr>
          <w:color w:val="C00000"/>
          <w:sz w:val="20"/>
          <w:szCs w:val="20"/>
        </w:rPr>
        <w:t xml:space="preserve">Rothman, J. (2024). Harnessing the bilingual descent down the mountain of life: Charting novel paths for Cognitive and Brain Reserves research. </w:t>
      </w:r>
      <w:r w:rsidRPr="000539DD">
        <w:rPr>
          <w:i/>
          <w:iCs/>
          <w:color w:val="C00000"/>
          <w:sz w:val="20"/>
          <w:szCs w:val="20"/>
        </w:rPr>
        <w:t>Bilingualism Language and Cognition</w:t>
      </w:r>
      <w:r w:rsidRPr="000539DD">
        <w:rPr>
          <w:color w:val="C00000"/>
          <w:sz w:val="20"/>
          <w:szCs w:val="20"/>
        </w:rPr>
        <w:t xml:space="preserve">, 1–9. </w:t>
      </w:r>
      <w:r w:rsidRPr="000539DD">
        <w:rPr>
          <w:rStyle w:val="url"/>
          <w:rFonts w:eastAsiaTheme="majorEastAsia"/>
          <w:color w:val="C00000"/>
          <w:sz w:val="20"/>
          <w:szCs w:val="20"/>
        </w:rPr>
        <w:t>https://doi.org/10.1017/s1366728924000026</w:t>
      </w:r>
    </w:p>
    <w:p w14:paraId="312BC158" w14:textId="77777777" w:rsidR="00451219" w:rsidRPr="000539DD" w:rsidRDefault="00451219" w:rsidP="00451219">
      <w:pPr>
        <w:pStyle w:val="NormalWeb"/>
        <w:spacing w:before="0" w:beforeAutospacing="0" w:after="0" w:afterAutospacing="0" w:line="480" w:lineRule="auto"/>
        <w:ind w:left="720" w:hanging="720"/>
        <w:rPr>
          <w:color w:val="C00000"/>
          <w:sz w:val="20"/>
          <w:szCs w:val="20"/>
        </w:rPr>
      </w:pPr>
      <w:r w:rsidRPr="000539DD">
        <w:rPr>
          <w:color w:val="C00000"/>
          <w:sz w:val="20"/>
          <w:szCs w:val="20"/>
        </w:rPr>
        <w:lastRenderedPageBreak/>
        <w:t xml:space="preserve">Sardella, A., Catalano, A., Lenzo, V., Bellone, F., Corica, F., Quattropani, M. C., &amp; Basile, G. (2020). Association between cognitive reserve dimensions and frailty among older adults: A structured narrative review. </w:t>
      </w:r>
      <w:r w:rsidRPr="000539DD">
        <w:rPr>
          <w:i/>
          <w:iCs/>
          <w:color w:val="C00000"/>
          <w:sz w:val="20"/>
          <w:szCs w:val="20"/>
        </w:rPr>
        <w:t>Geriatrics and Gerontology International/Geriatrics &amp; Gerontology International</w:t>
      </w:r>
      <w:r w:rsidRPr="000539DD">
        <w:rPr>
          <w:color w:val="C00000"/>
          <w:sz w:val="20"/>
          <w:szCs w:val="20"/>
        </w:rPr>
        <w:t xml:space="preserve">, </w:t>
      </w:r>
      <w:r w:rsidRPr="000539DD">
        <w:rPr>
          <w:i/>
          <w:iCs/>
          <w:color w:val="C00000"/>
          <w:sz w:val="20"/>
          <w:szCs w:val="20"/>
        </w:rPr>
        <w:t>20</w:t>
      </w:r>
      <w:r w:rsidRPr="000539DD">
        <w:rPr>
          <w:color w:val="C00000"/>
          <w:sz w:val="20"/>
          <w:szCs w:val="20"/>
        </w:rPr>
        <w:t xml:space="preserve">(11), 1005–1023. </w:t>
      </w:r>
      <w:r w:rsidRPr="000539DD">
        <w:rPr>
          <w:rStyle w:val="url"/>
          <w:rFonts w:eastAsiaTheme="majorEastAsia"/>
          <w:color w:val="C00000"/>
          <w:sz w:val="20"/>
          <w:szCs w:val="20"/>
        </w:rPr>
        <w:t>https://doi.org/10.1111/ggi.14040</w:t>
      </w:r>
    </w:p>
    <w:p w14:paraId="2ECDFF89" w14:textId="77777777" w:rsidR="00463D87" w:rsidRPr="000539DD" w:rsidRDefault="00463D87" w:rsidP="00463D87">
      <w:pPr>
        <w:pStyle w:val="NormalWeb"/>
        <w:spacing w:after="0" w:line="480" w:lineRule="auto"/>
        <w:ind w:left="720" w:hanging="720"/>
        <w:rPr>
          <w:color w:val="C00000"/>
          <w:sz w:val="20"/>
          <w:szCs w:val="20"/>
        </w:rPr>
      </w:pPr>
      <w:bookmarkStart w:id="0" w:name="_Hlk182676153"/>
      <w:r w:rsidRPr="000539DD">
        <w:rPr>
          <w:color w:val="C00000"/>
          <w:sz w:val="20"/>
          <w:szCs w:val="20"/>
        </w:rPr>
        <w:t xml:space="preserve">Soldan </w:t>
      </w:r>
      <w:bookmarkEnd w:id="0"/>
      <w:r w:rsidRPr="000539DD">
        <w:rPr>
          <w:color w:val="C00000"/>
          <w:sz w:val="20"/>
          <w:szCs w:val="20"/>
        </w:rPr>
        <w:t xml:space="preserve">A, Pettigrew C, Albert M. Cognitive Reserve from the Perspective of Preclinical Alzheimer Disease: 2020 Update. </w:t>
      </w:r>
      <w:r w:rsidRPr="000539DD">
        <w:rPr>
          <w:i/>
          <w:iCs/>
          <w:color w:val="C00000"/>
          <w:sz w:val="20"/>
          <w:szCs w:val="20"/>
        </w:rPr>
        <w:t>Clin Geriatr Med. 2020 May</w:t>
      </w:r>
      <w:r w:rsidRPr="000539DD">
        <w:rPr>
          <w:color w:val="C00000"/>
          <w:sz w:val="20"/>
          <w:szCs w:val="20"/>
        </w:rPr>
        <w:t xml:space="preserve">;36(2):247-263. doi: 10.1016/j.cger.2019.11.006. Epub 2019 Nov 15. PMID: 32222300; PMCID: PMC7837205. </w:t>
      </w:r>
    </w:p>
    <w:p w14:paraId="58A045C9" w14:textId="77777777" w:rsidR="00451219" w:rsidRPr="000539DD" w:rsidRDefault="00451219" w:rsidP="00451219">
      <w:pPr>
        <w:pStyle w:val="NormalWeb"/>
        <w:spacing w:after="0" w:line="480" w:lineRule="auto"/>
        <w:ind w:left="720" w:hanging="720"/>
        <w:rPr>
          <w:color w:val="C00000"/>
          <w:sz w:val="20"/>
          <w:szCs w:val="20"/>
        </w:rPr>
      </w:pPr>
      <w:r w:rsidRPr="000539DD">
        <w:rPr>
          <w:color w:val="C00000"/>
          <w:sz w:val="20"/>
          <w:szCs w:val="20"/>
        </w:rPr>
        <w:t xml:space="preserve">Song S, Stern Y, Gu Y. Modifiable lifestyle factors and cognitive reserve: A systematic review of current evidence. </w:t>
      </w:r>
      <w:r w:rsidRPr="000539DD">
        <w:rPr>
          <w:i/>
          <w:iCs/>
          <w:color w:val="C00000"/>
          <w:sz w:val="20"/>
          <w:szCs w:val="20"/>
        </w:rPr>
        <w:t>Ageing Res Rev. 2022 Feb</w:t>
      </w:r>
      <w:r w:rsidRPr="000539DD">
        <w:rPr>
          <w:color w:val="C00000"/>
          <w:sz w:val="20"/>
          <w:szCs w:val="20"/>
        </w:rPr>
        <w:t>;74:101551. doi: 10.1016/j.arr.2021.101551. Epub 2021 Dec 21. PMID: 34952208; PMCID: PMC8794051.</w:t>
      </w:r>
    </w:p>
    <w:p w14:paraId="76A508D5" w14:textId="77777777" w:rsidR="00451219" w:rsidRPr="0065283C" w:rsidRDefault="00451219" w:rsidP="00451219">
      <w:pPr>
        <w:pStyle w:val="NormalWeb"/>
        <w:spacing w:before="0" w:beforeAutospacing="0" w:after="0" w:afterAutospacing="0" w:line="480" w:lineRule="auto"/>
        <w:ind w:left="720" w:hanging="720"/>
        <w:rPr>
          <w:color w:val="C00000"/>
          <w:sz w:val="20"/>
          <w:szCs w:val="20"/>
        </w:rPr>
      </w:pPr>
      <w:r w:rsidRPr="0065283C">
        <w:rPr>
          <w:color w:val="C00000"/>
          <w:sz w:val="20"/>
          <w:szCs w:val="20"/>
        </w:rPr>
        <w:t xml:space="preserve">Testo, A. A., Roundy, G., &amp; Dumas, J. A. (2024). Cognitive decline in Alzheimer’s disease. </w:t>
      </w:r>
      <w:r w:rsidRPr="0065283C">
        <w:rPr>
          <w:i/>
          <w:iCs/>
          <w:color w:val="C00000"/>
          <w:sz w:val="20"/>
          <w:szCs w:val="20"/>
        </w:rPr>
        <w:t>Current Topics in Behavioral Neurosciences</w:t>
      </w:r>
      <w:r w:rsidRPr="0065283C">
        <w:rPr>
          <w:color w:val="C00000"/>
          <w:sz w:val="20"/>
          <w:szCs w:val="20"/>
        </w:rPr>
        <w:t xml:space="preserve">. </w:t>
      </w:r>
      <w:r w:rsidRPr="0065283C">
        <w:rPr>
          <w:rStyle w:val="url"/>
          <w:rFonts w:eastAsiaTheme="majorEastAsia"/>
          <w:color w:val="C00000"/>
          <w:sz w:val="20"/>
          <w:szCs w:val="20"/>
        </w:rPr>
        <w:t>https://doi.org/10.1007/7854_2024_527</w:t>
      </w:r>
    </w:p>
    <w:p w14:paraId="3450D89A" w14:textId="77777777" w:rsidR="00451219" w:rsidRPr="000539DD" w:rsidRDefault="00451219" w:rsidP="00451219">
      <w:pPr>
        <w:pStyle w:val="NormalWeb"/>
        <w:spacing w:before="0" w:beforeAutospacing="0" w:after="0" w:afterAutospacing="0" w:line="480" w:lineRule="auto"/>
        <w:ind w:left="720" w:hanging="720"/>
        <w:rPr>
          <w:color w:val="C00000"/>
          <w:sz w:val="20"/>
          <w:szCs w:val="20"/>
        </w:rPr>
      </w:pPr>
      <w:r w:rsidRPr="000539DD">
        <w:rPr>
          <w:color w:val="C00000"/>
          <w:sz w:val="20"/>
          <w:szCs w:val="20"/>
        </w:rPr>
        <w:t xml:space="preserve">Xu, A. &amp; Angelina Xu. (2024). Mind over Matter: Flexing cognitive muscles through exercise, training, and dieting to combat age-related cognitive decline. In </w:t>
      </w:r>
      <w:r w:rsidRPr="000539DD">
        <w:rPr>
          <w:i/>
          <w:iCs/>
          <w:color w:val="C00000"/>
          <w:sz w:val="20"/>
          <w:szCs w:val="20"/>
        </w:rPr>
        <w:t>Journal of High School Science</w:t>
      </w:r>
      <w:r w:rsidRPr="000539DD">
        <w:rPr>
          <w:color w:val="C00000"/>
          <w:sz w:val="20"/>
          <w:szCs w:val="20"/>
        </w:rPr>
        <w:t xml:space="preserve"> (pp. 191–192) [Journal-article]. </w:t>
      </w:r>
      <w:r w:rsidRPr="000539DD">
        <w:rPr>
          <w:rStyle w:val="url"/>
          <w:rFonts w:eastAsiaTheme="majorEastAsia"/>
          <w:color w:val="C00000"/>
          <w:sz w:val="20"/>
          <w:szCs w:val="20"/>
        </w:rPr>
        <w:t>https://jhss.scholasticahq.com/article/121969.pdf</w:t>
      </w:r>
    </w:p>
    <w:p w14:paraId="1C92644A" w14:textId="77777777" w:rsidR="00451219" w:rsidRPr="000539DD" w:rsidRDefault="00451219" w:rsidP="00451219">
      <w:pPr>
        <w:pStyle w:val="NormalWeb"/>
        <w:spacing w:before="0" w:beforeAutospacing="0" w:after="0" w:afterAutospacing="0" w:line="480" w:lineRule="auto"/>
        <w:ind w:left="720" w:hanging="720"/>
        <w:rPr>
          <w:color w:val="C00000"/>
          <w:sz w:val="20"/>
          <w:szCs w:val="20"/>
        </w:rPr>
      </w:pPr>
      <w:r w:rsidRPr="000539DD">
        <w:rPr>
          <w:color w:val="C00000"/>
          <w:sz w:val="20"/>
          <w:szCs w:val="20"/>
        </w:rPr>
        <w:t xml:space="preserve">Yang, Y. C., Walsh, C. E., Shartle, K., Stebbins, R. C., Aiello, A. E., Belsky, D. W., Harris, K. M., Chanti-Ketterl, M., &amp; Plassman, B. L. (2023). An Early and Unequal Decline: Life Course trajectories of cognitive aging in the United States. </w:t>
      </w:r>
      <w:r w:rsidRPr="000539DD">
        <w:rPr>
          <w:i/>
          <w:iCs/>
          <w:color w:val="C00000"/>
          <w:sz w:val="20"/>
          <w:szCs w:val="20"/>
        </w:rPr>
        <w:t>Journal of Aging and Health</w:t>
      </w:r>
      <w:r w:rsidRPr="000539DD">
        <w:rPr>
          <w:color w:val="C00000"/>
          <w:sz w:val="20"/>
          <w:szCs w:val="20"/>
        </w:rPr>
        <w:t xml:space="preserve">, </w:t>
      </w:r>
      <w:r w:rsidRPr="000539DD">
        <w:rPr>
          <w:i/>
          <w:iCs/>
          <w:color w:val="C00000"/>
          <w:sz w:val="20"/>
          <w:szCs w:val="20"/>
        </w:rPr>
        <w:t>36</w:t>
      </w:r>
      <w:r w:rsidRPr="000539DD">
        <w:rPr>
          <w:color w:val="C00000"/>
          <w:sz w:val="20"/>
          <w:szCs w:val="20"/>
        </w:rPr>
        <w:t xml:space="preserve">(3–4), 230–245. </w:t>
      </w:r>
      <w:r w:rsidRPr="000539DD">
        <w:rPr>
          <w:rStyle w:val="url"/>
          <w:rFonts w:eastAsiaTheme="majorEastAsia"/>
          <w:color w:val="C00000"/>
          <w:sz w:val="20"/>
          <w:szCs w:val="20"/>
        </w:rPr>
        <w:t>https://doi.org/10.1177/08982643231184593</w:t>
      </w:r>
    </w:p>
    <w:p w14:paraId="371E2447" w14:textId="77777777" w:rsidR="00451219" w:rsidRPr="000539DD" w:rsidRDefault="00451219" w:rsidP="00451219">
      <w:pPr>
        <w:pStyle w:val="NormalWeb"/>
        <w:spacing w:before="0" w:beforeAutospacing="0" w:after="0" w:afterAutospacing="0" w:line="480" w:lineRule="auto"/>
        <w:ind w:left="720" w:hanging="720"/>
        <w:rPr>
          <w:color w:val="C00000"/>
          <w:sz w:val="20"/>
          <w:szCs w:val="20"/>
        </w:rPr>
      </w:pPr>
      <w:r w:rsidRPr="000539DD">
        <w:rPr>
          <w:color w:val="C00000"/>
          <w:sz w:val="20"/>
          <w:szCs w:val="20"/>
        </w:rPr>
        <w:t xml:space="preserve">Yow, W. Q., Sou, K. L., &amp; Wong, A. C. (2024). A novel Dual-Language Touch-Screen intervention to slow down cognitive decline in older adults: a randomized controlled trial. </w:t>
      </w:r>
      <w:r w:rsidRPr="000539DD">
        <w:rPr>
          <w:i/>
          <w:iCs/>
          <w:color w:val="C00000"/>
          <w:sz w:val="20"/>
          <w:szCs w:val="20"/>
        </w:rPr>
        <w:t>Innovation in Aging</w:t>
      </w:r>
      <w:r w:rsidRPr="000539DD">
        <w:rPr>
          <w:color w:val="C00000"/>
          <w:sz w:val="20"/>
          <w:szCs w:val="20"/>
        </w:rPr>
        <w:t xml:space="preserve">, </w:t>
      </w:r>
      <w:r w:rsidRPr="000539DD">
        <w:rPr>
          <w:i/>
          <w:iCs/>
          <w:color w:val="C00000"/>
          <w:sz w:val="20"/>
          <w:szCs w:val="20"/>
        </w:rPr>
        <w:t>8</w:t>
      </w:r>
      <w:r w:rsidRPr="000539DD">
        <w:rPr>
          <w:color w:val="C00000"/>
          <w:sz w:val="20"/>
          <w:szCs w:val="20"/>
        </w:rPr>
        <w:t xml:space="preserve">(7). </w:t>
      </w:r>
      <w:r w:rsidRPr="000539DD">
        <w:rPr>
          <w:rStyle w:val="url"/>
          <w:rFonts w:eastAsiaTheme="majorEastAsia"/>
          <w:color w:val="C00000"/>
          <w:sz w:val="20"/>
          <w:szCs w:val="20"/>
        </w:rPr>
        <w:t>https://doi.org/10.1093/geroni/igae052</w:t>
      </w:r>
    </w:p>
    <w:p w14:paraId="7210A314" w14:textId="77777777" w:rsidR="00451219" w:rsidRPr="0088402A" w:rsidRDefault="00451219"/>
    <w:sectPr w:rsidR="00451219" w:rsidRPr="008840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AF2"/>
    <w:rsid w:val="0003350D"/>
    <w:rsid w:val="0003462C"/>
    <w:rsid w:val="000430B7"/>
    <w:rsid w:val="000539DD"/>
    <w:rsid w:val="000636CB"/>
    <w:rsid w:val="0007492E"/>
    <w:rsid w:val="000A0C52"/>
    <w:rsid w:val="000A198E"/>
    <w:rsid w:val="00110F91"/>
    <w:rsid w:val="001156BC"/>
    <w:rsid w:val="00117306"/>
    <w:rsid w:val="001207F1"/>
    <w:rsid w:val="001326D1"/>
    <w:rsid w:val="00161D4A"/>
    <w:rsid w:val="00170B14"/>
    <w:rsid w:val="00206F92"/>
    <w:rsid w:val="00226709"/>
    <w:rsid w:val="00242C8D"/>
    <w:rsid w:val="002A3505"/>
    <w:rsid w:val="002E1C8E"/>
    <w:rsid w:val="002F392B"/>
    <w:rsid w:val="003010A2"/>
    <w:rsid w:val="0034452D"/>
    <w:rsid w:val="003571B7"/>
    <w:rsid w:val="00372E17"/>
    <w:rsid w:val="003A4C75"/>
    <w:rsid w:val="003D7AF2"/>
    <w:rsid w:val="003E6679"/>
    <w:rsid w:val="003F289D"/>
    <w:rsid w:val="003F747A"/>
    <w:rsid w:val="00405F0B"/>
    <w:rsid w:val="0042464B"/>
    <w:rsid w:val="00451219"/>
    <w:rsid w:val="00463D87"/>
    <w:rsid w:val="00482892"/>
    <w:rsid w:val="004A17B7"/>
    <w:rsid w:val="004B50D3"/>
    <w:rsid w:val="004E701D"/>
    <w:rsid w:val="004F0892"/>
    <w:rsid w:val="004F1626"/>
    <w:rsid w:val="004F5E78"/>
    <w:rsid w:val="00507CBA"/>
    <w:rsid w:val="0051096A"/>
    <w:rsid w:val="005208CD"/>
    <w:rsid w:val="00525CA5"/>
    <w:rsid w:val="00574994"/>
    <w:rsid w:val="005A4749"/>
    <w:rsid w:val="005C7741"/>
    <w:rsid w:val="005D5A76"/>
    <w:rsid w:val="005F76F6"/>
    <w:rsid w:val="006127F0"/>
    <w:rsid w:val="006148E6"/>
    <w:rsid w:val="0065283C"/>
    <w:rsid w:val="00654B99"/>
    <w:rsid w:val="006B64DF"/>
    <w:rsid w:val="006B67FD"/>
    <w:rsid w:val="006C0DC7"/>
    <w:rsid w:val="007319F5"/>
    <w:rsid w:val="00756FCC"/>
    <w:rsid w:val="00785D61"/>
    <w:rsid w:val="007D0420"/>
    <w:rsid w:val="007D712B"/>
    <w:rsid w:val="008015B2"/>
    <w:rsid w:val="00814132"/>
    <w:rsid w:val="00833277"/>
    <w:rsid w:val="00834D6E"/>
    <w:rsid w:val="00847A0C"/>
    <w:rsid w:val="008531A4"/>
    <w:rsid w:val="008557F6"/>
    <w:rsid w:val="0088402A"/>
    <w:rsid w:val="008B33BF"/>
    <w:rsid w:val="008C77FD"/>
    <w:rsid w:val="008F14A9"/>
    <w:rsid w:val="009016A7"/>
    <w:rsid w:val="00912565"/>
    <w:rsid w:val="00974C1A"/>
    <w:rsid w:val="00993FB7"/>
    <w:rsid w:val="00994247"/>
    <w:rsid w:val="00995191"/>
    <w:rsid w:val="009B5CD6"/>
    <w:rsid w:val="009C02A7"/>
    <w:rsid w:val="009C3AF8"/>
    <w:rsid w:val="009D18BD"/>
    <w:rsid w:val="009D4947"/>
    <w:rsid w:val="009D66D4"/>
    <w:rsid w:val="009F6C6C"/>
    <w:rsid w:val="00A306E1"/>
    <w:rsid w:val="00A502B0"/>
    <w:rsid w:val="00A66FAA"/>
    <w:rsid w:val="00AB3F3E"/>
    <w:rsid w:val="00AF42FB"/>
    <w:rsid w:val="00B20F0A"/>
    <w:rsid w:val="00B22B36"/>
    <w:rsid w:val="00B37B65"/>
    <w:rsid w:val="00B54B5F"/>
    <w:rsid w:val="00BA406E"/>
    <w:rsid w:val="00C3184C"/>
    <w:rsid w:val="00C533D7"/>
    <w:rsid w:val="00C5437B"/>
    <w:rsid w:val="00C7544A"/>
    <w:rsid w:val="00CB4DB4"/>
    <w:rsid w:val="00CD0F2B"/>
    <w:rsid w:val="00D06D89"/>
    <w:rsid w:val="00D10F03"/>
    <w:rsid w:val="00D260B2"/>
    <w:rsid w:val="00D56154"/>
    <w:rsid w:val="00DB0B6F"/>
    <w:rsid w:val="00DB2B55"/>
    <w:rsid w:val="00DB5B50"/>
    <w:rsid w:val="00E41587"/>
    <w:rsid w:val="00E47596"/>
    <w:rsid w:val="00E720D0"/>
    <w:rsid w:val="00E83D76"/>
    <w:rsid w:val="00E93EFC"/>
    <w:rsid w:val="00EB2E5F"/>
    <w:rsid w:val="00EE0587"/>
    <w:rsid w:val="00F25C78"/>
    <w:rsid w:val="00F55359"/>
    <w:rsid w:val="00F657F8"/>
    <w:rsid w:val="00F8138B"/>
    <w:rsid w:val="00F86801"/>
    <w:rsid w:val="00F91599"/>
    <w:rsid w:val="00F95BE1"/>
    <w:rsid w:val="00FA5103"/>
    <w:rsid w:val="00FB1856"/>
    <w:rsid w:val="00FD2831"/>
    <w:rsid w:val="00FE6E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11D215"/>
  <w15:chartTrackingRefBased/>
  <w15:docId w15:val="{FB817A63-4227-48EB-BD39-6E4609384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7A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7A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7A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7A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7A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7A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7A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7A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7A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7A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7A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7A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7A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7A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7A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7A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7A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7AF2"/>
    <w:rPr>
      <w:rFonts w:eastAsiaTheme="majorEastAsia" w:cstheme="majorBidi"/>
      <w:color w:val="272727" w:themeColor="text1" w:themeTint="D8"/>
    </w:rPr>
  </w:style>
  <w:style w:type="paragraph" w:styleId="Title">
    <w:name w:val="Title"/>
    <w:basedOn w:val="Normal"/>
    <w:next w:val="Normal"/>
    <w:link w:val="TitleChar"/>
    <w:uiPriority w:val="10"/>
    <w:qFormat/>
    <w:rsid w:val="003D7A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7A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7A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7A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7AF2"/>
    <w:pPr>
      <w:spacing w:before="160"/>
      <w:jc w:val="center"/>
    </w:pPr>
    <w:rPr>
      <w:i/>
      <w:iCs/>
      <w:color w:val="404040" w:themeColor="text1" w:themeTint="BF"/>
    </w:rPr>
  </w:style>
  <w:style w:type="character" w:customStyle="1" w:styleId="QuoteChar">
    <w:name w:val="Quote Char"/>
    <w:basedOn w:val="DefaultParagraphFont"/>
    <w:link w:val="Quote"/>
    <w:uiPriority w:val="29"/>
    <w:rsid w:val="003D7AF2"/>
    <w:rPr>
      <w:i/>
      <w:iCs/>
      <w:color w:val="404040" w:themeColor="text1" w:themeTint="BF"/>
    </w:rPr>
  </w:style>
  <w:style w:type="paragraph" w:styleId="ListParagraph">
    <w:name w:val="List Paragraph"/>
    <w:basedOn w:val="Normal"/>
    <w:uiPriority w:val="34"/>
    <w:qFormat/>
    <w:rsid w:val="003D7AF2"/>
    <w:pPr>
      <w:ind w:left="720"/>
      <w:contextualSpacing/>
    </w:pPr>
  </w:style>
  <w:style w:type="character" w:styleId="IntenseEmphasis">
    <w:name w:val="Intense Emphasis"/>
    <w:basedOn w:val="DefaultParagraphFont"/>
    <w:uiPriority w:val="21"/>
    <w:qFormat/>
    <w:rsid w:val="003D7AF2"/>
    <w:rPr>
      <w:i/>
      <w:iCs/>
      <w:color w:val="0F4761" w:themeColor="accent1" w:themeShade="BF"/>
    </w:rPr>
  </w:style>
  <w:style w:type="paragraph" w:styleId="IntenseQuote">
    <w:name w:val="Intense Quote"/>
    <w:basedOn w:val="Normal"/>
    <w:next w:val="Normal"/>
    <w:link w:val="IntenseQuoteChar"/>
    <w:uiPriority w:val="30"/>
    <w:qFormat/>
    <w:rsid w:val="003D7A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7AF2"/>
    <w:rPr>
      <w:i/>
      <w:iCs/>
      <w:color w:val="0F4761" w:themeColor="accent1" w:themeShade="BF"/>
    </w:rPr>
  </w:style>
  <w:style w:type="character" w:styleId="IntenseReference">
    <w:name w:val="Intense Reference"/>
    <w:basedOn w:val="DefaultParagraphFont"/>
    <w:uiPriority w:val="32"/>
    <w:qFormat/>
    <w:rsid w:val="003D7AF2"/>
    <w:rPr>
      <w:b/>
      <w:bCs/>
      <w:smallCaps/>
      <w:color w:val="0F4761" w:themeColor="accent1" w:themeShade="BF"/>
      <w:spacing w:val="5"/>
    </w:rPr>
  </w:style>
  <w:style w:type="character" w:styleId="Hyperlink">
    <w:name w:val="Hyperlink"/>
    <w:basedOn w:val="DefaultParagraphFont"/>
    <w:uiPriority w:val="99"/>
    <w:unhideWhenUsed/>
    <w:rsid w:val="00405F0B"/>
    <w:rPr>
      <w:color w:val="467886" w:themeColor="hyperlink"/>
      <w:u w:val="single"/>
    </w:rPr>
  </w:style>
  <w:style w:type="character" w:styleId="UnresolvedMention">
    <w:name w:val="Unresolved Mention"/>
    <w:basedOn w:val="DefaultParagraphFont"/>
    <w:uiPriority w:val="99"/>
    <w:semiHidden/>
    <w:unhideWhenUsed/>
    <w:rsid w:val="00405F0B"/>
    <w:rPr>
      <w:color w:val="605E5C"/>
      <w:shd w:val="clear" w:color="auto" w:fill="E1DFDD"/>
    </w:rPr>
  </w:style>
  <w:style w:type="paragraph" w:styleId="NormalWeb">
    <w:name w:val="Normal (Web)"/>
    <w:basedOn w:val="Normal"/>
    <w:uiPriority w:val="99"/>
    <w:semiHidden/>
    <w:unhideWhenUsed/>
    <w:rsid w:val="0045121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url">
    <w:name w:val="url"/>
    <w:basedOn w:val="DefaultParagraphFont"/>
    <w:rsid w:val="004512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623956">
      <w:bodyDiv w:val="1"/>
      <w:marLeft w:val="0"/>
      <w:marRight w:val="0"/>
      <w:marTop w:val="0"/>
      <w:marBottom w:val="0"/>
      <w:divBdr>
        <w:top w:val="none" w:sz="0" w:space="0" w:color="auto"/>
        <w:left w:val="none" w:sz="0" w:space="0" w:color="auto"/>
        <w:bottom w:val="none" w:sz="0" w:space="0" w:color="auto"/>
        <w:right w:val="none" w:sz="0" w:space="0" w:color="auto"/>
      </w:divBdr>
    </w:div>
    <w:div w:id="102268874">
      <w:bodyDiv w:val="1"/>
      <w:marLeft w:val="0"/>
      <w:marRight w:val="0"/>
      <w:marTop w:val="0"/>
      <w:marBottom w:val="0"/>
      <w:divBdr>
        <w:top w:val="none" w:sz="0" w:space="0" w:color="auto"/>
        <w:left w:val="none" w:sz="0" w:space="0" w:color="auto"/>
        <w:bottom w:val="none" w:sz="0" w:space="0" w:color="auto"/>
        <w:right w:val="none" w:sz="0" w:space="0" w:color="auto"/>
      </w:divBdr>
    </w:div>
    <w:div w:id="174274966">
      <w:bodyDiv w:val="1"/>
      <w:marLeft w:val="0"/>
      <w:marRight w:val="0"/>
      <w:marTop w:val="0"/>
      <w:marBottom w:val="0"/>
      <w:divBdr>
        <w:top w:val="none" w:sz="0" w:space="0" w:color="auto"/>
        <w:left w:val="none" w:sz="0" w:space="0" w:color="auto"/>
        <w:bottom w:val="none" w:sz="0" w:space="0" w:color="auto"/>
        <w:right w:val="none" w:sz="0" w:space="0" w:color="auto"/>
      </w:divBdr>
    </w:div>
    <w:div w:id="212473466">
      <w:bodyDiv w:val="1"/>
      <w:marLeft w:val="0"/>
      <w:marRight w:val="0"/>
      <w:marTop w:val="0"/>
      <w:marBottom w:val="0"/>
      <w:divBdr>
        <w:top w:val="none" w:sz="0" w:space="0" w:color="auto"/>
        <w:left w:val="none" w:sz="0" w:space="0" w:color="auto"/>
        <w:bottom w:val="none" w:sz="0" w:space="0" w:color="auto"/>
        <w:right w:val="none" w:sz="0" w:space="0" w:color="auto"/>
      </w:divBdr>
    </w:div>
    <w:div w:id="336660302">
      <w:bodyDiv w:val="1"/>
      <w:marLeft w:val="0"/>
      <w:marRight w:val="0"/>
      <w:marTop w:val="0"/>
      <w:marBottom w:val="0"/>
      <w:divBdr>
        <w:top w:val="none" w:sz="0" w:space="0" w:color="auto"/>
        <w:left w:val="none" w:sz="0" w:space="0" w:color="auto"/>
        <w:bottom w:val="none" w:sz="0" w:space="0" w:color="auto"/>
        <w:right w:val="none" w:sz="0" w:space="0" w:color="auto"/>
      </w:divBdr>
    </w:div>
    <w:div w:id="349382319">
      <w:bodyDiv w:val="1"/>
      <w:marLeft w:val="0"/>
      <w:marRight w:val="0"/>
      <w:marTop w:val="0"/>
      <w:marBottom w:val="0"/>
      <w:divBdr>
        <w:top w:val="none" w:sz="0" w:space="0" w:color="auto"/>
        <w:left w:val="none" w:sz="0" w:space="0" w:color="auto"/>
        <w:bottom w:val="none" w:sz="0" w:space="0" w:color="auto"/>
        <w:right w:val="none" w:sz="0" w:space="0" w:color="auto"/>
      </w:divBdr>
    </w:div>
    <w:div w:id="364402675">
      <w:bodyDiv w:val="1"/>
      <w:marLeft w:val="0"/>
      <w:marRight w:val="0"/>
      <w:marTop w:val="0"/>
      <w:marBottom w:val="0"/>
      <w:divBdr>
        <w:top w:val="none" w:sz="0" w:space="0" w:color="auto"/>
        <w:left w:val="none" w:sz="0" w:space="0" w:color="auto"/>
        <w:bottom w:val="none" w:sz="0" w:space="0" w:color="auto"/>
        <w:right w:val="none" w:sz="0" w:space="0" w:color="auto"/>
      </w:divBdr>
    </w:div>
    <w:div w:id="396779691">
      <w:bodyDiv w:val="1"/>
      <w:marLeft w:val="0"/>
      <w:marRight w:val="0"/>
      <w:marTop w:val="0"/>
      <w:marBottom w:val="0"/>
      <w:divBdr>
        <w:top w:val="none" w:sz="0" w:space="0" w:color="auto"/>
        <w:left w:val="none" w:sz="0" w:space="0" w:color="auto"/>
        <w:bottom w:val="none" w:sz="0" w:space="0" w:color="auto"/>
        <w:right w:val="none" w:sz="0" w:space="0" w:color="auto"/>
      </w:divBdr>
    </w:div>
    <w:div w:id="486942742">
      <w:bodyDiv w:val="1"/>
      <w:marLeft w:val="0"/>
      <w:marRight w:val="0"/>
      <w:marTop w:val="0"/>
      <w:marBottom w:val="0"/>
      <w:divBdr>
        <w:top w:val="none" w:sz="0" w:space="0" w:color="auto"/>
        <w:left w:val="none" w:sz="0" w:space="0" w:color="auto"/>
        <w:bottom w:val="none" w:sz="0" w:space="0" w:color="auto"/>
        <w:right w:val="none" w:sz="0" w:space="0" w:color="auto"/>
      </w:divBdr>
    </w:div>
    <w:div w:id="491871409">
      <w:bodyDiv w:val="1"/>
      <w:marLeft w:val="0"/>
      <w:marRight w:val="0"/>
      <w:marTop w:val="0"/>
      <w:marBottom w:val="0"/>
      <w:divBdr>
        <w:top w:val="none" w:sz="0" w:space="0" w:color="auto"/>
        <w:left w:val="none" w:sz="0" w:space="0" w:color="auto"/>
        <w:bottom w:val="none" w:sz="0" w:space="0" w:color="auto"/>
        <w:right w:val="none" w:sz="0" w:space="0" w:color="auto"/>
      </w:divBdr>
    </w:div>
    <w:div w:id="494734628">
      <w:bodyDiv w:val="1"/>
      <w:marLeft w:val="0"/>
      <w:marRight w:val="0"/>
      <w:marTop w:val="0"/>
      <w:marBottom w:val="0"/>
      <w:divBdr>
        <w:top w:val="none" w:sz="0" w:space="0" w:color="auto"/>
        <w:left w:val="none" w:sz="0" w:space="0" w:color="auto"/>
        <w:bottom w:val="none" w:sz="0" w:space="0" w:color="auto"/>
        <w:right w:val="none" w:sz="0" w:space="0" w:color="auto"/>
      </w:divBdr>
    </w:div>
    <w:div w:id="510725024">
      <w:bodyDiv w:val="1"/>
      <w:marLeft w:val="0"/>
      <w:marRight w:val="0"/>
      <w:marTop w:val="0"/>
      <w:marBottom w:val="0"/>
      <w:divBdr>
        <w:top w:val="none" w:sz="0" w:space="0" w:color="auto"/>
        <w:left w:val="none" w:sz="0" w:space="0" w:color="auto"/>
        <w:bottom w:val="none" w:sz="0" w:space="0" w:color="auto"/>
        <w:right w:val="none" w:sz="0" w:space="0" w:color="auto"/>
      </w:divBdr>
    </w:div>
    <w:div w:id="513305195">
      <w:bodyDiv w:val="1"/>
      <w:marLeft w:val="0"/>
      <w:marRight w:val="0"/>
      <w:marTop w:val="0"/>
      <w:marBottom w:val="0"/>
      <w:divBdr>
        <w:top w:val="none" w:sz="0" w:space="0" w:color="auto"/>
        <w:left w:val="none" w:sz="0" w:space="0" w:color="auto"/>
        <w:bottom w:val="none" w:sz="0" w:space="0" w:color="auto"/>
        <w:right w:val="none" w:sz="0" w:space="0" w:color="auto"/>
      </w:divBdr>
    </w:div>
    <w:div w:id="548424015">
      <w:bodyDiv w:val="1"/>
      <w:marLeft w:val="0"/>
      <w:marRight w:val="0"/>
      <w:marTop w:val="0"/>
      <w:marBottom w:val="0"/>
      <w:divBdr>
        <w:top w:val="none" w:sz="0" w:space="0" w:color="auto"/>
        <w:left w:val="none" w:sz="0" w:space="0" w:color="auto"/>
        <w:bottom w:val="none" w:sz="0" w:space="0" w:color="auto"/>
        <w:right w:val="none" w:sz="0" w:space="0" w:color="auto"/>
      </w:divBdr>
    </w:div>
    <w:div w:id="560947952">
      <w:bodyDiv w:val="1"/>
      <w:marLeft w:val="0"/>
      <w:marRight w:val="0"/>
      <w:marTop w:val="0"/>
      <w:marBottom w:val="0"/>
      <w:divBdr>
        <w:top w:val="none" w:sz="0" w:space="0" w:color="auto"/>
        <w:left w:val="none" w:sz="0" w:space="0" w:color="auto"/>
        <w:bottom w:val="none" w:sz="0" w:space="0" w:color="auto"/>
        <w:right w:val="none" w:sz="0" w:space="0" w:color="auto"/>
      </w:divBdr>
    </w:div>
    <w:div w:id="640185898">
      <w:bodyDiv w:val="1"/>
      <w:marLeft w:val="0"/>
      <w:marRight w:val="0"/>
      <w:marTop w:val="0"/>
      <w:marBottom w:val="0"/>
      <w:divBdr>
        <w:top w:val="none" w:sz="0" w:space="0" w:color="auto"/>
        <w:left w:val="none" w:sz="0" w:space="0" w:color="auto"/>
        <w:bottom w:val="none" w:sz="0" w:space="0" w:color="auto"/>
        <w:right w:val="none" w:sz="0" w:space="0" w:color="auto"/>
      </w:divBdr>
    </w:div>
    <w:div w:id="687561720">
      <w:bodyDiv w:val="1"/>
      <w:marLeft w:val="0"/>
      <w:marRight w:val="0"/>
      <w:marTop w:val="0"/>
      <w:marBottom w:val="0"/>
      <w:divBdr>
        <w:top w:val="none" w:sz="0" w:space="0" w:color="auto"/>
        <w:left w:val="none" w:sz="0" w:space="0" w:color="auto"/>
        <w:bottom w:val="none" w:sz="0" w:space="0" w:color="auto"/>
        <w:right w:val="none" w:sz="0" w:space="0" w:color="auto"/>
      </w:divBdr>
    </w:div>
    <w:div w:id="721909310">
      <w:bodyDiv w:val="1"/>
      <w:marLeft w:val="0"/>
      <w:marRight w:val="0"/>
      <w:marTop w:val="0"/>
      <w:marBottom w:val="0"/>
      <w:divBdr>
        <w:top w:val="none" w:sz="0" w:space="0" w:color="auto"/>
        <w:left w:val="none" w:sz="0" w:space="0" w:color="auto"/>
        <w:bottom w:val="none" w:sz="0" w:space="0" w:color="auto"/>
        <w:right w:val="none" w:sz="0" w:space="0" w:color="auto"/>
      </w:divBdr>
    </w:div>
    <w:div w:id="796992616">
      <w:bodyDiv w:val="1"/>
      <w:marLeft w:val="0"/>
      <w:marRight w:val="0"/>
      <w:marTop w:val="0"/>
      <w:marBottom w:val="0"/>
      <w:divBdr>
        <w:top w:val="none" w:sz="0" w:space="0" w:color="auto"/>
        <w:left w:val="none" w:sz="0" w:space="0" w:color="auto"/>
        <w:bottom w:val="none" w:sz="0" w:space="0" w:color="auto"/>
        <w:right w:val="none" w:sz="0" w:space="0" w:color="auto"/>
      </w:divBdr>
    </w:div>
    <w:div w:id="825784039">
      <w:bodyDiv w:val="1"/>
      <w:marLeft w:val="0"/>
      <w:marRight w:val="0"/>
      <w:marTop w:val="0"/>
      <w:marBottom w:val="0"/>
      <w:divBdr>
        <w:top w:val="none" w:sz="0" w:space="0" w:color="auto"/>
        <w:left w:val="none" w:sz="0" w:space="0" w:color="auto"/>
        <w:bottom w:val="none" w:sz="0" w:space="0" w:color="auto"/>
        <w:right w:val="none" w:sz="0" w:space="0" w:color="auto"/>
      </w:divBdr>
    </w:div>
    <w:div w:id="888226965">
      <w:bodyDiv w:val="1"/>
      <w:marLeft w:val="0"/>
      <w:marRight w:val="0"/>
      <w:marTop w:val="0"/>
      <w:marBottom w:val="0"/>
      <w:divBdr>
        <w:top w:val="none" w:sz="0" w:space="0" w:color="auto"/>
        <w:left w:val="none" w:sz="0" w:space="0" w:color="auto"/>
        <w:bottom w:val="none" w:sz="0" w:space="0" w:color="auto"/>
        <w:right w:val="none" w:sz="0" w:space="0" w:color="auto"/>
      </w:divBdr>
    </w:div>
    <w:div w:id="934047080">
      <w:bodyDiv w:val="1"/>
      <w:marLeft w:val="0"/>
      <w:marRight w:val="0"/>
      <w:marTop w:val="0"/>
      <w:marBottom w:val="0"/>
      <w:divBdr>
        <w:top w:val="none" w:sz="0" w:space="0" w:color="auto"/>
        <w:left w:val="none" w:sz="0" w:space="0" w:color="auto"/>
        <w:bottom w:val="none" w:sz="0" w:space="0" w:color="auto"/>
        <w:right w:val="none" w:sz="0" w:space="0" w:color="auto"/>
      </w:divBdr>
    </w:div>
    <w:div w:id="963122560">
      <w:bodyDiv w:val="1"/>
      <w:marLeft w:val="0"/>
      <w:marRight w:val="0"/>
      <w:marTop w:val="0"/>
      <w:marBottom w:val="0"/>
      <w:divBdr>
        <w:top w:val="none" w:sz="0" w:space="0" w:color="auto"/>
        <w:left w:val="none" w:sz="0" w:space="0" w:color="auto"/>
        <w:bottom w:val="none" w:sz="0" w:space="0" w:color="auto"/>
        <w:right w:val="none" w:sz="0" w:space="0" w:color="auto"/>
      </w:divBdr>
    </w:div>
    <w:div w:id="969019414">
      <w:bodyDiv w:val="1"/>
      <w:marLeft w:val="0"/>
      <w:marRight w:val="0"/>
      <w:marTop w:val="0"/>
      <w:marBottom w:val="0"/>
      <w:divBdr>
        <w:top w:val="none" w:sz="0" w:space="0" w:color="auto"/>
        <w:left w:val="none" w:sz="0" w:space="0" w:color="auto"/>
        <w:bottom w:val="none" w:sz="0" w:space="0" w:color="auto"/>
        <w:right w:val="none" w:sz="0" w:space="0" w:color="auto"/>
      </w:divBdr>
    </w:div>
    <w:div w:id="1022174083">
      <w:bodyDiv w:val="1"/>
      <w:marLeft w:val="0"/>
      <w:marRight w:val="0"/>
      <w:marTop w:val="0"/>
      <w:marBottom w:val="0"/>
      <w:divBdr>
        <w:top w:val="none" w:sz="0" w:space="0" w:color="auto"/>
        <w:left w:val="none" w:sz="0" w:space="0" w:color="auto"/>
        <w:bottom w:val="none" w:sz="0" w:space="0" w:color="auto"/>
        <w:right w:val="none" w:sz="0" w:space="0" w:color="auto"/>
      </w:divBdr>
    </w:div>
    <w:div w:id="1118765703">
      <w:bodyDiv w:val="1"/>
      <w:marLeft w:val="0"/>
      <w:marRight w:val="0"/>
      <w:marTop w:val="0"/>
      <w:marBottom w:val="0"/>
      <w:divBdr>
        <w:top w:val="none" w:sz="0" w:space="0" w:color="auto"/>
        <w:left w:val="none" w:sz="0" w:space="0" w:color="auto"/>
        <w:bottom w:val="none" w:sz="0" w:space="0" w:color="auto"/>
        <w:right w:val="none" w:sz="0" w:space="0" w:color="auto"/>
      </w:divBdr>
    </w:div>
    <w:div w:id="1120345117">
      <w:bodyDiv w:val="1"/>
      <w:marLeft w:val="0"/>
      <w:marRight w:val="0"/>
      <w:marTop w:val="0"/>
      <w:marBottom w:val="0"/>
      <w:divBdr>
        <w:top w:val="none" w:sz="0" w:space="0" w:color="auto"/>
        <w:left w:val="none" w:sz="0" w:space="0" w:color="auto"/>
        <w:bottom w:val="none" w:sz="0" w:space="0" w:color="auto"/>
        <w:right w:val="none" w:sz="0" w:space="0" w:color="auto"/>
      </w:divBdr>
    </w:div>
    <w:div w:id="1144081038">
      <w:bodyDiv w:val="1"/>
      <w:marLeft w:val="0"/>
      <w:marRight w:val="0"/>
      <w:marTop w:val="0"/>
      <w:marBottom w:val="0"/>
      <w:divBdr>
        <w:top w:val="none" w:sz="0" w:space="0" w:color="auto"/>
        <w:left w:val="none" w:sz="0" w:space="0" w:color="auto"/>
        <w:bottom w:val="none" w:sz="0" w:space="0" w:color="auto"/>
        <w:right w:val="none" w:sz="0" w:space="0" w:color="auto"/>
      </w:divBdr>
    </w:div>
    <w:div w:id="1192263639">
      <w:bodyDiv w:val="1"/>
      <w:marLeft w:val="0"/>
      <w:marRight w:val="0"/>
      <w:marTop w:val="0"/>
      <w:marBottom w:val="0"/>
      <w:divBdr>
        <w:top w:val="none" w:sz="0" w:space="0" w:color="auto"/>
        <w:left w:val="none" w:sz="0" w:space="0" w:color="auto"/>
        <w:bottom w:val="none" w:sz="0" w:space="0" w:color="auto"/>
        <w:right w:val="none" w:sz="0" w:space="0" w:color="auto"/>
      </w:divBdr>
    </w:div>
    <w:div w:id="1209729862">
      <w:bodyDiv w:val="1"/>
      <w:marLeft w:val="0"/>
      <w:marRight w:val="0"/>
      <w:marTop w:val="0"/>
      <w:marBottom w:val="0"/>
      <w:divBdr>
        <w:top w:val="none" w:sz="0" w:space="0" w:color="auto"/>
        <w:left w:val="none" w:sz="0" w:space="0" w:color="auto"/>
        <w:bottom w:val="none" w:sz="0" w:space="0" w:color="auto"/>
        <w:right w:val="none" w:sz="0" w:space="0" w:color="auto"/>
      </w:divBdr>
    </w:div>
    <w:div w:id="1265071681">
      <w:bodyDiv w:val="1"/>
      <w:marLeft w:val="0"/>
      <w:marRight w:val="0"/>
      <w:marTop w:val="0"/>
      <w:marBottom w:val="0"/>
      <w:divBdr>
        <w:top w:val="none" w:sz="0" w:space="0" w:color="auto"/>
        <w:left w:val="none" w:sz="0" w:space="0" w:color="auto"/>
        <w:bottom w:val="none" w:sz="0" w:space="0" w:color="auto"/>
        <w:right w:val="none" w:sz="0" w:space="0" w:color="auto"/>
      </w:divBdr>
    </w:div>
    <w:div w:id="1280989219">
      <w:bodyDiv w:val="1"/>
      <w:marLeft w:val="0"/>
      <w:marRight w:val="0"/>
      <w:marTop w:val="0"/>
      <w:marBottom w:val="0"/>
      <w:divBdr>
        <w:top w:val="none" w:sz="0" w:space="0" w:color="auto"/>
        <w:left w:val="none" w:sz="0" w:space="0" w:color="auto"/>
        <w:bottom w:val="none" w:sz="0" w:space="0" w:color="auto"/>
        <w:right w:val="none" w:sz="0" w:space="0" w:color="auto"/>
      </w:divBdr>
    </w:div>
    <w:div w:id="1288046922">
      <w:bodyDiv w:val="1"/>
      <w:marLeft w:val="0"/>
      <w:marRight w:val="0"/>
      <w:marTop w:val="0"/>
      <w:marBottom w:val="0"/>
      <w:divBdr>
        <w:top w:val="none" w:sz="0" w:space="0" w:color="auto"/>
        <w:left w:val="none" w:sz="0" w:space="0" w:color="auto"/>
        <w:bottom w:val="none" w:sz="0" w:space="0" w:color="auto"/>
        <w:right w:val="none" w:sz="0" w:space="0" w:color="auto"/>
      </w:divBdr>
    </w:div>
    <w:div w:id="1289816472">
      <w:bodyDiv w:val="1"/>
      <w:marLeft w:val="0"/>
      <w:marRight w:val="0"/>
      <w:marTop w:val="0"/>
      <w:marBottom w:val="0"/>
      <w:divBdr>
        <w:top w:val="none" w:sz="0" w:space="0" w:color="auto"/>
        <w:left w:val="none" w:sz="0" w:space="0" w:color="auto"/>
        <w:bottom w:val="none" w:sz="0" w:space="0" w:color="auto"/>
        <w:right w:val="none" w:sz="0" w:space="0" w:color="auto"/>
      </w:divBdr>
    </w:div>
    <w:div w:id="1290431398">
      <w:bodyDiv w:val="1"/>
      <w:marLeft w:val="0"/>
      <w:marRight w:val="0"/>
      <w:marTop w:val="0"/>
      <w:marBottom w:val="0"/>
      <w:divBdr>
        <w:top w:val="none" w:sz="0" w:space="0" w:color="auto"/>
        <w:left w:val="none" w:sz="0" w:space="0" w:color="auto"/>
        <w:bottom w:val="none" w:sz="0" w:space="0" w:color="auto"/>
        <w:right w:val="none" w:sz="0" w:space="0" w:color="auto"/>
      </w:divBdr>
    </w:div>
    <w:div w:id="1313873126">
      <w:bodyDiv w:val="1"/>
      <w:marLeft w:val="0"/>
      <w:marRight w:val="0"/>
      <w:marTop w:val="0"/>
      <w:marBottom w:val="0"/>
      <w:divBdr>
        <w:top w:val="none" w:sz="0" w:space="0" w:color="auto"/>
        <w:left w:val="none" w:sz="0" w:space="0" w:color="auto"/>
        <w:bottom w:val="none" w:sz="0" w:space="0" w:color="auto"/>
        <w:right w:val="none" w:sz="0" w:space="0" w:color="auto"/>
      </w:divBdr>
    </w:div>
    <w:div w:id="1321272978">
      <w:bodyDiv w:val="1"/>
      <w:marLeft w:val="0"/>
      <w:marRight w:val="0"/>
      <w:marTop w:val="0"/>
      <w:marBottom w:val="0"/>
      <w:divBdr>
        <w:top w:val="none" w:sz="0" w:space="0" w:color="auto"/>
        <w:left w:val="none" w:sz="0" w:space="0" w:color="auto"/>
        <w:bottom w:val="none" w:sz="0" w:space="0" w:color="auto"/>
        <w:right w:val="none" w:sz="0" w:space="0" w:color="auto"/>
      </w:divBdr>
    </w:div>
    <w:div w:id="1450705620">
      <w:bodyDiv w:val="1"/>
      <w:marLeft w:val="0"/>
      <w:marRight w:val="0"/>
      <w:marTop w:val="0"/>
      <w:marBottom w:val="0"/>
      <w:divBdr>
        <w:top w:val="none" w:sz="0" w:space="0" w:color="auto"/>
        <w:left w:val="none" w:sz="0" w:space="0" w:color="auto"/>
        <w:bottom w:val="none" w:sz="0" w:space="0" w:color="auto"/>
        <w:right w:val="none" w:sz="0" w:space="0" w:color="auto"/>
      </w:divBdr>
    </w:div>
    <w:div w:id="1463041498">
      <w:bodyDiv w:val="1"/>
      <w:marLeft w:val="0"/>
      <w:marRight w:val="0"/>
      <w:marTop w:val="0"/>
      <w:marBottom w:val="0"/>
      <w:divBdr>
        <w:top w:val="none" w:sz="0" w:space="0" w:color="auto"/>
        <w:left w:val="none" w:sz="0" w:space="0" w:color="auto"/>
        <w:bottom w:val="none" w:sz="0" w:space="0" w:color="auto"/>
        <w:right w:val="none" w:sz="0" w:space="0" w:color="auto"/>
      </w:divBdr>
    </w:div>
    <w:div w:id="1478377067">
      <w:bodyDiv w:val="1"/>
      <w:marLeft w:val="0"/>
      <w:marRight w:val="0"/>
      <w:marTop w:val="0"/>
      <w:marBottom w:val="0"/>
      <w:divBdr>
        <w:top w:val="none" w:sz="0" w:space="0" w:color="auto"/>
        <w:left w:val="none" w:sz="0" w:space="0" w:color="auto"/>
        <w:bottom w:val="none" w:sz="0" w:space="0" w:color="auto"/>
        <w:right w:val="none" w:sz="0" w:space="0" w:color="auto"/>
      </w:divBdr>
    </w:div>
    <w:div w:id="1497115980">
      <w:bodyDiv w:val="1"/>
      <w:marLeft w:val="0"/>
      <w:marRight w:val="0"/>
      <w:marTop w:val="0"/>
      <w:marBottom w:val="0"/>
      <w:divBdr>
        <w:top w:val="none" w:sz="0" w:space="0" w:color="auto"/>
        <w:left w:val="none" w:sz="0" w:space="0" w:color="auto"/>
        <w:bottom w:val="none" w:sz="0" w:space="0" w:color="auto"/>
        <w:right w:val="none" w:sz="0" w:space="0" w:color="auto"/>
      </w:divBdr>
    </w:div>
    <w:div w:id="1497262687">
      <w:bodyDiv w:val="1"/>
      <w:marLeft w:val="0"/>
      <w:marRight w:val="0"/>
      <w:marTop w:val="0"/>
      <w:marBottom w:val="0"/>
      <w:divBdr>
        <w:top w:val="none" w:sz="0" w:space="0" w:color="auto"/>
        <w:left w:val="none" w:sz="0" w:space="0" w:color="auto"/>
        <w:bottom w:val="none" w:sz="0" w:space="0" w:color="auto"/>
        <w:right w:val="none" w:sz="0" w:space="0" w:color="auto"/>
      </w:divBdr>
    </w:div>
    <w:div w:id="1506045593">
      <w:bodyDiv w:val="1"/>
      <w:marLeft w:val="0"/>
      <w:marRight w:val="0"/>
      <w:marTop w:val="0"/>
      <w:marBottom w:val="0"/>
      <w:divBdr>
        <w:top w:val="none" w:sz="0" w:space="0" w:color="auto"/>
        <w:left w:val="none" w:sz="0" w:space="0" w:color="auto"/>
        <w:bottom w:val="none" w:sz="0" w:space="0" w:color="auto"/>
        <w:right w:val="none" w:sz="0" w:space="0" w:color="auto"/>
      </w:divBdr>
    </w:div>
    <w:div w:id="1632175593">
      <w:bodyDiv w:val="1"/>
      <w:marLeft w:val="0"/>
      <w:marRight w:val="0"/>
      <w:marTop w:val="0"/>
      <w:marBottom w:val="0"/>
      <w:divBdr>
        <w:top w:val="none" w:sz="0" w:space="0" w:color="auto"/>
        <w:left w:val="none" w:sz="0" w:space="0" w:color="auto"/>
        <w:bottom w:val="none" w:sz="0" w:space="0" w:color="auto"/>
        <w:right w:val="none" w:sz="0" w:space="0" w:color="auto"/>
      </w:divBdr>
    </w:div>
    <w:div w:id="1695572553">
      <w:bodyDiv w:val="1"/>
      <w:marLeft w:val="0"/>
      <w:marRight w:val="0"/>
      <w:marTop w:val="0"/>
      <w:marBottom w:val="0"/>
      <w:divBdr>
        <w:top w:val="none" w:sz="0" w:space="0" w:color="auto"/>
        <w:left w:val="none" w:sz="0" w:space="0" w:color="auto"/>
        <w:bottom w:val="none" w:sz="0" w:space="0" w:color="auto"/>
        <w:right w:val="none" w:sz="0" w:space="0" w:color="auto"/>
      </w:divBdr>
    </w:div>
    <w:div w:id="1707750868">
      <w:bodyDiv w:val="1"/>
      <w:marLeft w:val="0"/>
      <w:marRight w:val="0"/>
      <w:marTop w:val="0"/>
      <w:marBottom w:val="0"/>
      <w:divBdr>
        <w:top w:val="none" w:sz="0" w:space="0" w:color="auto"/>
        <w:left w:val="none" w:sz="0" w:space="0" w:color="auto"/>
        <w:bottom w:val="none" w:sz="0" w:space="0" w:color="auto"/>
        <w:right w:val="none" w:sz="0" w:space="0" w:color="auto"/>
      </w:divBdr>
    </w:div>
    <w:div w:id="1733119732">
      <w:bodyDiv w:val="1"/>
      <w:marLeft w:val="0"/>
      <w:marRight w:val="0"/>
      <w:marTop w:val="0"/>
      <w:marBottom w:val="0"/>
      <w:divBdr>
        <w:top w:val="none" w:sz="0" w:space="0" w:color="auto"/>
        <w:left w:val="none" w:sz="0" w:space="0" w:color="auto"/>
        <w:bottom w:val="none" w:sz="0" w:space="0" w:color="auto"/>
        <w:right w:val="none" w:sz="0" w:space="0" w:color="auto"/>
      </w:divBdr>
    </w:div>
    <w:div w:id="1748531451">
      <w:bodyDiv w:val="1"/>
      <w:marLeft w:val="0"/>
      <w:marRight w:val="0"/>
      <w:marTop w:val="0"/>
      <w:marBottom w:val="0"/>
      <w:divBdr>
        <w:top w:val="none" w:sz="0" w:space="0" w:color="auto"/>
        <w:left w:val="none" w:sz="0" w:space="0" w:color="auto"/>
        <w:bottom w:val="none" w:sz="0" w:space="0" w:color="auto"/>
        <w:right w:val="none" w:sz="0" w:space="0" w:color="auto"/>
      </w:divBdr>
    </w:div>
    <w:div w:id="1797141019">
      <w:bodyDiv w:val="1"/>
      <w:marLeft w:val="0"/>
      <w:marRight w:val="0"/>
      <w:marTop w:val="0"/>
      <w:marBottom w:val="0"/>
      <w:divBdr>
        <w:top w:val="none" w:sz="0" w:space="0" w:color="auto"/>
        <w:left w:val="none" w:sz="0" w:space="0" w:color="auto"/>
        <w:bottom w:val="none" w:sz="0" w:space="0" w:color="auto"/>
        <w:right w:val="none" w:sz="0" w:space="0" w:color="auto"/>
      </w:divBdr>
    </w:div>
    <w:div w:id="1814908921">
      <w:bodyDiv w:val="1"/>
      <w:marLeft w:val="0"/>
      <w:marRight w:val="0"/>
      <w:marTop w:val="0"/>
      <w:marBottom w:val="0"/>
      <w:divBdr>
        <w:top w:val="none" w:sz="0" w:space="0" w:color="auto"/>
        <w:left w:val="none" w:sz="0" w:space="0" w:color="auto"/>
        <w:bottom w:val="none" w:sz="0" w:space="0" w:color="auto"/>
        <w:right w:val="none" w:sz="0" w:space="0" w:color="auto"/>
      </w:divBdr>
    </w:div>
    <w:div w:id="1870952449">
      <w:bodyDiv w:val="1"/>
      <w:marLeft w:val="0"/>
      <w:marRight w:val="0"/>
      <w:marTop w:val="0"/>
      <w:marBottom w:val="0"/>
      <w:divBdr>
        <w:top w:val="none" w:sz="0" w:space="0" w:color="auto"/>
        <w:left w:val="none" w:sz="0" w:space="0" w:color="auto"/>
        <w:bottom w:val="none" w:sz="0" w:space="0" w:color="auto"/>
        <w:right w:val="none" w:sz="0" w:space="0" w:color="auto"/>
      </w:divBdr>
    </w:div>
    <w:div w:id="1875801752">
      <w:bodyDiv w:val="1"/>
      <w:marLeft w:val="0"/>
      <w:marRight w:val="0"/>
      <w:marTop w:val="0"/>
      <w:marBottom w:val="0"/>
      <w:divBdr>
        <w:top w:val="none" w:sz="0" w:space="0" w:color="auto"/>
        <w:left w:val="none" w:sz="0" w:space="0" w:color="auto"/>
        <w:bottom w:val="none" w:sz="0" w:space="0" w:color="auto"/>
        <w:right w:val="none" w:sz="0" w:space="0" w:color="auto"/>
      </w:divBdr>
    </w:div>
    <w:div w:id="2017270409">
      <w:bodyDiv w:val="1"/>
      <w:marLeft w:val="0"/>
      <w:marRight w:val="0"/>
      <w:marTop w:val="0"/>
      <w:marBottom w:val="0"/>
      <w:divBdr>
        <w:top w:val="none" w:sz="0" w:space="0" w:color="auto"/>
        <w:left w:val="none" w:sz="0" w:space="0" w:color="auto"/>
        <w:bottom w:val="none" w:sz="0" w:space="0" w:color="auto"/>
        <w:right w:val="none" w:sz="0" w:space="0" w:color="auto"/>
      </w:divBdr>
    </w:div>
    <w:div w:id="2021660657">
      <w:bodyDiv w:val="1"/>
      <w:marLeft w:val="0"/>
      <w:marRight w:val="0"/>
      <w:marTop w:val="0"/>
      <w:marBottom w:val="0"/>
      <w:divBdr>
        <w:top w:val="none" w:sz="0" w:space="0" w:color="auto"/>
        <w:left w:val="none" w:sz="0" w:space="0" w:color="auto"/>
        <w:bottom w:val="none" w:sz="0" w:space="0" w:color="auto"/>
        <w:right w:val="none" w:sz="0" w:space="0" w:color="auto"/>
      </w:divBdr>
      <w:divsChild>
        <w:div w:id="937759545">
          <w:marLeft w:val="-720"/>
          <w:marRight w:val="0"/>
          <w:marTop w:val="0"/>
          <w:marBottom w:val="0"/>
          <w:divBdr>
            <w:top w:val="none" w:sz="0" w:space="0" w:color="auto"/>
            <w:left w:val="none" w:sz="0" w:space="0" w:color="auto"/>
            <w:bottom w:val="none" w:sz="0" w:space="0" w:color="auto"/>
            <w:right w:val="none" w:sz="0" w:space="0" w:color="auto"/>
          </w:divBdr>
        </w:div>
      </w:divsChild>
    </w:div>
    <w:div w:id="2061902392">
      <w:bodyDiv w:val="1"/>
      <w:marLeft w:val="0"/>
      <w:marRight w:val="0"/>
      <w:marTop w:val="0"/>
      <w:marBottom w:val="0"/>
      <w:divBdr>
        <w:top w:val="none" w:sz="0" w:space="0" w:color="auto"/>
        <w:left w:val="none" w:sz="0" w:space="0" w:color="auto"/>
        <w:bottom w:val="none" w:sz="0" w:space="0" w:color="auto"/>
        <w:right w:val="none" w:sz="0" w:space="0" w:color="auto"/>
      </w:divBdr>
    </w:div>
    <w:div w:id="2074040163">
      <w:bodyDiv w:val="1"/>
      <w:marLeft w:val="0"/>
      <w:marRight w:val="0"/>
      <w:marTop w:val="0"/>
      <w:marBottom w:val="0"/>
      <w:divBdr>
        <w:top w:val="none" w:sz="0" w:space="0" w:color="auto"/>
        <w:left w:val="none" w:sz="0" w:space="0" w:color="auto"/>
        <w:bottom w:val="none" w:sz="0" w:space="0" w:color="auto"/>
        <w:right w:val="none" w:sz="0" w:space="0" w:color="auto"/>
      </w:divBdr>
    </w:div>
    <w:div w:id="2129615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152</TotalTime>
  <Pages>13</Pages>
  <Words>3791</Words>
  <Characters>22747</Characters>
  <Application>Microsoft Office Word</Application>
  <DocSecurity>0</DocSecurity>
  <Lines>355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Lis (2219634)</dc:creator>
  <cp:keywords/>
  <dc:description/>
  <cp:lastModifiedBy>Alina Lis (2219634)</cp:lastModifiedBy>
  <cp:revision>7</cp:revision>
  <dcterms:created xsi:type="dcterms:W3CDTF">2024-11-22T20:03:00Z</dcterms:created>
  <dcterms:modified xsi:type="dcterms:W3CDTF">2024-11-23T11:23:00Z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0a68faec-8dd8-4fa9-ab6c-8727b58771ea</vt:lpwstr>
  </property>
</Properties>
</file>