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75176"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3396A4E" wp14:editId="0CAFFA3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D52B19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E2DD8E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3396A4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D52B19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E2DD8E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61E0B0F" wp14:editId="599B0F7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704FBD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53DCCF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61E0B0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704FBD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53DCCF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30CD32A"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CAC6FD1" wp14:editId="6E4A71E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66DE622" w14:textId="77777777" w:rsidR="00530E16" w:rsidRDefault="004468F8">
                            <w:pPr>
                              <w:spacing w:after="0" w:line="240" w:lineRule="auto"/>
                              <w:textDirection w:val="btLr"/>
                            </w:pPr>
                            <w:r>
                              <w:rPr>
                                <w:rFonts w:ascii="Play" w:eastAsia="Play" w:hAnsi="Play" w:cs="Play"/>
                                <w:color w:val="262626"/>
                                <w:sz w:val="72"/>
                              </w:rPr>
                              <w:t>Individual Report</w:t>
                            </w:r>
                          </w:p>
                          <w:p w14:paraId="71229671" w14:textId="77777777" w:rsidR="00530E16" w:rsidRDefault="004468F8">
                            <w:pPr>
                              <w:spacing w:before="120" w:line="277" w:lineRule="auto"/>
                              <w:textDirection w:val="btLr"/>
                            </w:pPr>
                            <w:r>
                              <w:rPr>
                                <w:color w:val="404040"/>
                                <w:sz w:val="36"/>
                              </w:rPr>
                              <w:t>Module Name: Digital Skills and Research Methods</w:t>
                            </w:r>
                          </w:p>
                          <w:p w14:paraId="56F26310" w14:textId="77777777" w:rsidR="00530E16" w:rsidRDefault="004468F8">
                            <w:pPr>
                              <w:spacing w:before="120" w:line="277" w:lineRule="auto"/>
                              <w:textDirection w:val="btLr"/>
                            </w:pPr>
                            <w:r>
                              <w:rPr>
                                <w:color w:val="404040"/>
                                <w:sz w:val="36"/>
                              </w:rPr>
                              <w:t>Module Code: LCHS 4007</w:t>
                            </w:r>
                          </w:p>
                          <w:p w14:paraId="2BCF39F3" w14:textId="4A5B1961" w:rsidR="00530E16" w:rsidRDefault="004468F8">
                            <w:pPr>
                              <w:spacing w:before="120" w:line="277" w:lineRule="auto"/>
                              <w:textDirection w:val="btLr"/>
                            </w:pPr>
                            <w:r>
                              <w:rPr>
                                <w:color w:val="404040"/>
                                <w:sz w:val="36"/>
                              </w:rPr>
                              <w:t xml:space="preserve">Student name: </w:t>
                            </w:r>
                            <w:proofErr w:type="spellStart"/>
                            <w:r w:rsidR="002F31AB">
                              <w:rPr>
                                <w:color w:val="404040"/>
                                <w:sz w:val="36"/>
                              </w:rPr>
                              <w:t>Ismihan</w:t>
                            </w:r>
                            <w:proofErr w:type="spellEnd"/>
                            <w:r w:rsidR="002F31AB">
                              <w:rPr>
                                <w:color w:val="404040"/>
                                <w:sz w:val="36"/>
                              </w:rPr>
                              <w:t xml:space="preserve"> BOZYIGIT</w:t>
                            </w:r>
                          </w:p>
                          <w:p w14:paraId="47EEF0A6" w14:textId="1BA7E4E5" w:rsidR="00530E16" w:rsidRDefault="004468F8">
                            <w:pPr>
                              <w:spacing w:before="120" w:line="277" w:lineRule="auto"/>
                              <w:textDirection w:val="btLr"/>
                            </w:pPr>
                            <w:r>
                              <w:rPr>
                                <w:color w:val="404040"/>
                                <w:sz w:val="36"/>
                              </w:rPr>
                              <w:t>Student ID:</w:t>
                            </w:r>
                            <w:r w:rsidR="002F31AB">
                              <w:rPr>
                                <w:color w:val="404040"/>
                                <w:sz w:val="36"/>
                              </w:rPr>
                              <w:t xml:space="preserve"> 2513136</w:t>
                            </w:r>
                          </w:p>
                          <w:p w14:paraId="3492F42F" w14:textId="69524303" w:rsidR="00530E16" w:rsidRDefault="004468F8">
                            <w:pPr>
                              <w:spacing w:before="120" w:line="277" w:lineRule="auto"/>
                              <w:textDirection w:val="btLr"/>
                            </w:pPr>
                            <w:r>
                              <w:rPr>
                                <w:color w:val="404040"/>
                                <w:sz w:val="36"/>
                              </w:rPr>
                              <w:t xml:space="preserve">Lecturer’s Name: </w:t>
                            </w:r>
                            <w:r w:rsidR="002F31AB">
                              <w:rPr>
                                <w:color w:val="404040"/>
                                <w:sz w:val="36"/>
                              </w:rPr>
                              <w:t>Arif AHMED</w:t>
                            </w:r>
                          </w:p>
                        </w:txbxContent>
                      </wps:txbx>
                      <wps:bodyPr spcFirstLastPara="1" wrap="square" lIns="0" tIns="0" rIns="0" bIns="0" anchor="t" anchorCtr="0">
                        <a:noAutofit/>
                      </wps:bodyPr>
                    </wps:wsp>
                  </a:graphicData>
                </a:graphic>
              </wp:anchor>
            </w:drawing>
          </mc:Choice>
          <mc:Fallback>
            <w:pict>
              <v:rect w14:anchorId="2CAC6FD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66DE622" w14:textId="77777777" w:rsidR="00530E16" w:rsidRDefault="004468F8">
                      <w:pPr>
                        <w:spacing w:after="0" w:line="240" w:lineRule="auto"/>
                        <w:textDirection w:val="btLr"/>
                      </w:pPr>
                      <w:r>
                        <w:rPr>
                          <w:rFonts w:ascii="Play" w:eastAsia="Play" w:hAnsi="Play" w:cs="Play"/>
                          <w:color w:val="262626"/>
                          <w:sz w:val="72"/>
                        </w:rPr>
                        <w:t>Individual Report</w:t>
                      </w:r>
                    </w:p>
                    <w:p w14:paraId="71229671" w14:textId="77777777" w:rsidR="00530E16" w:rsidRDefault="004468F8">
                      <w:pPr>
                        <w:spacing w:before="120" w:line="277" w:lineRule="auto"/>
                        <w:textDirection w:val="btLr"/>
                      </w:pPr>
                      <w:r>
                        <w:rPr>
                          <w:color w:val="404040"/>
                          <w:sz w:val="36"/>
                        </w:rPr>
                        <w:t>Module Name: Digital Skills and Research Methods</w:t>
                      </w:r>
                    </w:p>
                    <w:p w14:paraId="56F26310" w14:textId="77777777" w:rsidR="00530E16" w:rsidRDefault="004468F8">
                      <w:pPr>
                        <w:spacing w:before="120" w:line="277" w:lineRule="auto"/>
                        <w:textDirection w:val="btLr"/>
                      </w:pPr>
                      <w:r>
                        <w:rPr>
                          <w:color w:val="404040"/>
                          <w:sz w:val="36"/>
                        </w:rPr>
                        <w:t>Module Code: LCHS 4007</w:t>
                      </w:r>
                    </w:p>
                    <w:p w14:paraId="2BCF39F3" w14:textId="4A5B1961" w:rsidR="00530E16" w:rsidRDefault="004468F8">
                      <w:pPr>
                        <w:spacing w:before="120" w:line="277" w:lineRule="auto"/>
                        <w:textDirection w:val="btLr"/>
                      </w:pPr>
                      <w:r>
                        <w:rPr>
                          <w:color w:val="404040"/>
                          <w:sz w:val="36"/>
                        </w:rPr>
                        <w:t xml:space="preserve">Student name: </w:t>
                      </w:r>
                      <w:proofErr w:type="spellStart"/>
                      <w:r w:rsidR="002F31AB">
                        <w:rPr>
                          <w:color w:val="404040"/>
                          <w:sz w:val="36"/>
                        </w:rPr>
                        <w:t>Ismihan</w:t>
                      </w:r>
                      <w:proofErr w:type="spellEnd"/>
                      <w:r w:rsidR="002F31AB">
                        <w:rPr>
                          <w:color w:val="404040"/>
                          <w:sz w:val="36"/>
                        </w:rPr>
                        <w:t xml:space="preserve"> BOZYIGIT</w:t>
                      </w:r>
                    </w:p>
                    <w:p w14:paraId="47EEF0A6" w14:textId="1BA7E4E5" w:rsidR="00530E16" w:rsidRDefault="004468F8">
                      <w:pPr>
                        <w:spacing w:before="120" w:line="277" w:lineRule="auto"/>
                        <w:textDirection w:val="btLr"/>
                      </w:pPr>
                      <w:r>
                        <w:rPr>
                          <w:color w:val="404040"/>
                          <w:sz w:val="36"/>
                        </w:rPr>
                        <w:t>Student ID:</w:t>
                      </w:r>
                      <w:r w:rsidR="002F31AB">
                        <w:rPr>
                          <w:color w:val="404040"/>
                          <w:sz w:val="36"/>
                        </w:rPr>
                        <w:t xml:space="preserve"> 2513136</w:t>
                      </w:r>
                    </w:p>
                    <w:p w14:paraId="3492F42F" w14:textId="69524303" w:rsidR="00530E16" w:rsidRDefault="004468F8">
                      <w:pPr>
                        <w:spacing w:before="120" w:line="277" w:lineRule="auto"/>
                        <w:textDirection w:val="btLr"/>
                      </w:pPr>
                      <w:r>
                        <w:rPr>
                          <w:color w:val="404040"/>
                          <w:sz w:val="36"/>
                        </w:rPr>
                        <w:t xml:space="preserve">Lecturer’s Name: </w:t>
                      </w:r>
                      <w:r w:rsidR="002F31AB">
                        <w:rPr>
                          <w:color w:val="404040"/>
                          <w:sz w:val="36"/>
                        </w:rPr>
                        <w:t>Arif AHMED</w:t>
                      </w:r>
                    </w:p>
                  </w:txbxContent>
                </v:textbox>
                <w10:wrap anchorx="page" anchory="page"/>
              </v:rect>
            </w:pict>
          </mc:Fallback>
        </mc:AlternateContent>
      </w:r>
      <w:r>
        <w:br w:type="page"/>
      </w:r>
    </w:p>
    <w:p w14:paraId="0E0DCE0C" w14:textId="77777777" w:rsidR="00530E16" w:rsidRDefault="00530E16">
      <w:pPr>
        <w:rPr>
          <w:rFonts w:ascii="Arial" w:eastAsia="Arial" w:hAnsi="Arial" w:cs="Arial"/>
        </w:rPr>
      </w:pPr>
    </w:p>
    <w:p w14:paraId="42A6696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52602AA" w14:textId="67B1BFD2" w:rsidR="00DB181C" w:rsidRDefault="002F31AB">
          <w:pPr>
            <w:pStyle w:val="TOC1"/>
            <w:tabs>
              <w:tab w:val="right" w:leader="dot" w:pos="9016"/>
            </w:tabs>
            <w:rPr>
              <w:rFonts w:asciiTheme="minorHAnsi" w:eastAsiaTheme="minorEastAsia" w:hAnsiTheme="minorHAnsi" w:cstheme="minorBidi"/>
              <w:noProof/>
              <w:sz w:val="22"/>
              <w:szCs w:val="22"/>
            </w:rPr>
          </w:pPr>
          <w:r>
            <w:t>1</w:t>
          </w:r>
          <w:r w:rsidR="00E66BF2">
            <w:t xml:space="preserve"> </w:t>
          </w:r>
          <w:r w:rsidR="004468F8">
            <w:fldChar w:fldCharType="begin"/>
          </w:r>
          <w:r w:rsidR="004468F8">
            <w:instrText xml:space="preserve"> TOC \h \u \z \t "Heading 1,1,Heading 2,2,Heading 3,3,"</w:instrText>
          </w:r>
          <w:r w:rsidR="004468F8">
            <w:fldChar w:fldCharType="separate"/>
          </w:r>
          <w:hyperlink w:anchor="_Toc213674530" w:history="1">
            <w:r w:rsidR="00DB181C" w:rsidRPr="005D132F">
              <w:rPr>
                <w:rStyle w:val="Hyperlink"/>
                <w:noProof/>
              </w:rPr>
              <w:t>Research Topic:</w:t>
            </w:r>
            <w:r w:rsidRPr="002F31AB">
              <w:rPr>
                <w:rFonts w:asciiTheme="majorHAnsi" w:hAnsiTheme="majorHAnsi" w:cs="Arial"/>
              </w:rPr>
              <w:t xml:space="preserve"> Chronic Staff Shortages in the UK Health and Social Care Sector</w:t>
            </w:r>
            <w:r w:rsidR="00DB181C">
              <w:rPr>
                <w:noProof/>
                <w:webHidden/>
              </w:rPr>
              <w:tab/>
            </w:r>
            <w:r w:rsidR="00DD6F49">
              <w:rPr>
                <w:noProof/>
                <w:webHidden/>
              </w:rPr>
              <w:t>1</w:t>
            </w:r>
          </w:hyperlink>
        </w:p>
        <w:p w14:paraId="1E40E55D" w14:textId="0FC8E40C" w:rsidR="00DB181C" w:rsidRDefault="002F31AB">
          <w:pPr>
            <w:pStyle w:val="TOC1"/>
            <w:tabs>
              <w:tab w:val="right" w:leader="dot" w:pos="9016"/>
            </w:tabs>
            <w:rPr>
              <w:rFonts w:asciiTheme="minorHAnsi" w:eastAsiaTheme="minorEastAsia" w:hAnsiTheme="minorHAnsi" w:cstheme="minorBidi"/>
              <w:noProof/>
              <w:sz w:val="22"/>
              <w:szCs w:val="22"/>
            </w:rPr>
          </w:pPr>
          <w:r>
            <w:t xml:space="preserve">1.1 </w:t>
          </w:r>
          <w:hyperlink w:anchor="_Toc213674531" w:history="1">
            <w:r w:rsidR="00DB181C" w:rsidRPr="005D132F">
              <w:rPr>
                <w:rStyle w:val="Hyperlink"/>
                <w:noProof/>
              </w:rPr>
              <w:t>Introduction</w:t>
            </w:r>
            <w:r w:rsidR="00DB181C">
              <w:rPr>
                <w:noProof/>
                <w:webHidden/>
              </w:rPr>
              <w:tab/>
            </w:r>
            <w:r w:rsidR="00DD6F49">
              <w:rPr>
                <w:noProof/>
                <w:webHidden/>
              </w:rPr>
              <w:t>1</w:t>
            </w:r>
          </w:hyperlink>
        </w:p>
        <w:p w14:paraId="3AABDDB4" w14:textId="67B8E625"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 xml:space="preserve">1.2 </w:t>
          </w:r>
          <w:hyperlink w:anchor="_Toc213674532" w:history="1">
            <w:r w:rsidR="00DB181C" w:rsidRPr="005D132F">
              <w:rPr>
                <w:rStyle w:val="Hyperlink"/>
                <w:noProof/>
              </w:rPr>
              <w:t>Problem Statement</w:t>
            </w:r>
            <w:r w:rsidR="00DB181C">
              <w:rPr>
                <w:noProof/>
                <w:webHidden/>
              </w:rPr>
              <w:tab/>
            </w:r>
            <w:r w:rsidR="00DD6F49">
              <w:rPr>
                <w:noProof/>
                <w:webHidden/>
              </w:rPr>
              <w:t>1</w:t>
            </w:r>
          </w:hyperlink>
        </w:p>
        <w:p w14:paraId="6E650FB7" w14:textId="6381E24A"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1.3</w:t>
          </w:r>
          <w:hyperlink w:anchor="_Toc213674533" w:history="1">
            <w:r w:rsidR="00DB181C" w:rsidRPr="005D132F">
              <w:rPr>
                <w:rStyle w:val="Hyperlink"/>
                <w:noProof/>
              </w:rPr>
              <w:t>Justification</w:t>
            </w:r>
            <w:r w:rsidR="00DB181C">
              <w:rPr>
                <w:noProof/>
                <w:webHidden/>
              </w:rPr>
              <w:tab/>
            </w:r>
            <w:r w:rsidR="00DB181C">
              <w:rPr>
                <w:noProof/>
                <w:webHidden/>
              </w:rPr>
              <w:fldChar w:fldCharType="begin"/>
            </w:r>
            <w:r w:rsidR="00DB181C">
              <w:rPr>
                <w:noProof/>
                <w:webHidden/>
              </w:rPr>
              <w:instrText xml:space="preserve"> PAGEREF _Toc213674533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3618CAB4" w14:textId="020B5A79"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 xml:space="preserve">1.4 </w:t>
          </w:r>
          <w:hyperlink w:anchor="_Toc213674534" w:history="1">
            <w:r w:rsidR="00DB181C" w:rsidRPr="005D132F">
              <w:rPr>
                <w:rStyle w:val="Hyperlink"/>
                <w:noProof/>
              </w:rPr>
              <w:t>Information Sources and Justification</w:t>
            </w:r>
            <w:r w:rsidR="00DB181C">
              <w:rPr>
                <w:noProof/>
                <w:webHidden/>
              </w:rPr>
              <w:tab/>
            </w:r>
            <w:r w:rsidR="00DB181C">
              <w:rPr>
                <w:noProof/>
                <w:webHidden/>
              </w:rPr>
              <w:fldChar w:fldCharType="begin"/>
            </w:r>
            <w:r w:rsidR="00DB181C">
              <w:rPr>
                <w:noProof/>
                <w:webHidden/>
              </w:rPr>
              <w:instrText xml:space="preserve"> PAGEREF _Toc213674534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70253288" w14:textId="3A4B6579" w:rsidR="00DB181C" w:rsidRDefault="002F31AB">
          <w:pPr>
            <w:pStyle w:val="TOC1"/>
            <w:tabs>
              <w:tab w:val="right" w:leader="dot" w:pos="9016"/>
            </w:tabs>
            <w:rPr>
              <w:rFonts w:asciiTheme="minorHAnsi" w:eastAsiaTheme="minorEastAsia" w:hAnsiTheme="minorHAnsi" w:cstheme="minorBidi"/>
              <w:noProof/>
              <w:sz w:val="22"/>
              <w:szCs w:val="22"/>
            </w:rPr>
          </w:pPr>
          <w:r>
            <w:t xml:space="preserve">2 </w:t>
          </w:r>
          <w:hyperlink w:anchor="_Toc213674535" w:history="1">
            <w:r w:rsidR="00DB181C" w:rsidRPr="005D132F">
              <w:rPr>
                <w:rStyle w:val="Hyperlink"/>
                <w:noProof/>
              </w:rPr>
              <w:t xml:space="preserve">Task 2: </w:t>
            </w:r>
            <w:r w:rsidR="00DB181C" w:rsidRPr="005D132F">
              <w:rPr>
                <w:rStyle w:val="Hyperlink"/>
                <w:rFonts w:cs="Arial"/>
                <w:bCs/>
                <w:noProof/>
                <w:kern w:val="2"/>
                <w:lang w:eastAsia="en-US"/>
                <w14:ligatures w14:val="standardContextual"/>
              </w:rPr>
              <w:t>Research Methodologies</w:t>
            </w:r>
            <w:r w:rsidR="00DB181C">
              <w:rPr>
                <w:noProof/>
                <w:webHidden/>
              </w:rPr>
              <w:tab/>
            </w:r>
            <w:r w:rsidR="00DD6F49">
              <w:rPr>
                <w:noProof/>
                <w:webHidden/>
              </w:rPr>
              <w:t>3</w:t>
            </w:r>
          </w:hyperlink>
        </w:p>
        <w:p w14:paraId="5E106EC2" w14:textId="6423173A"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2.</w:t>
          </w:r>
          <w:r w:rsidR="00DD6F49">
            <w:t xml:space="preserve">1 </w:t>
          </w:r>
          <w:hyperlink w:anchor="_Toc213674536" w:history="1">
            <w:r w:rsidR="00DB181C" w:rsidRPr="005D132F">
              <w:rPr>
                <w:rStyle w:val="Hyperlink"/>
                <w:rFonts w:cs="Arial"/>
                <w:noProof/>
                <w:kern w:val="2"/>
                <w:lang w:eastAsia="en-US"/>
                <w14:ligatures w14:val="standardContextual"/>
              </w:rPr>
              <w:t>Give a brief overview of quantitative and qualitative research.</w:t>
            </w:r>
            <w:r w:rsidR="00DB181C">
              <w:rPr>
                <w:noProof/>
                <w:webHidden/>
              </w:rPr>
              <w:tab/>
            </w:r>
            <w:r w:rsidR="00DD6F49">
              <w:rPr>
                <w:noProof/>
                <w:webHidden/>
              </w:rPr>
              <w:t>3</w:t>
            </w:r>
          </w:hyperlink>
        </w:p>
        <w:p w14:paraId="37760349" w14:textId="18FC7F28"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 xml:space="preserve">2.2 </w:t>
          </w:r>
          <w:hyperlink w:anchor="_Toc213674537" w:history="1">
            <w:r w:rsidR="00DB181C" w:rsidRPr="005D132F">
              <w:rPr>
                <w:rStyle w:val="Hyperlink"/>
                <w:noProof/>
                <w:lang w:eastAsia="en-US"/>
              </w:rPr>
              <w:t>What type of research methodology will you use for your research and why?</w:t>
            </w:r>
            <w:r w:rsidR="00DB181C">
              <w:rPr>
                <w:noProof/>
                <w:webHidden/>
              </w:rPr>
              <w:tab/>
            </w:r>
            <w:r w:rsidR="00DB181C">
              <w:rPr>
                <w:noProof/>
                <w:webHidden/>
              </w:rPr>
              <w:fldChar w:fldCharType="begin"/>
            </w:r>
            <w:r w:rsidR="00DB181C">
              <w:rPr>
                <w:noProof/>
                <w:webHidden/>
              </w:rPr>
              <w:instrText xml:space="preserve"> PAGEREF _Toc213674537 \h </w:instrText>
            </w:r>
            <w:r w:rsidR="00DB181C">
              <w:rPr>
                <w:noProof/>
                <w:webHidden/>
              </w:rPr>
            </w:r>
            <w:r w:rsidR="00DB181C">
              <w:rPr>
                <w:noProof/>
                <w:webHidden/>
              </w:rPr>
              <w:fldChar w:fldCharType="separate"/>
            </w:r>
            <w:r w:rsidR="00DB181C">
              <w:rPr>
                <w:noProof/>
                <w:webHidden/>
              </w:rPr>
              <w:t>3</w:t>
            </w:r>
            <w:r w:rsidR="00DB181C">
              <w:rPr>
                <w:noProof/>
                <w:webHidden/>
              </w:rPr>
              <w:fldChar w:fldCharType="end"/>
            </w:r>
          </w:hyperlink>
        </w:p>
        <w:p w14:paraId="4568D632" w14:textId="58F2202E" w:rsidR="00DB181C" w:rsidRDefault="002F31AB">
          <w:pPr>
            <w:pStyle w:val="TOC1"/>
            <w:tabs>
              <w:tab w:val="right" w:leader="dot" w:pos="9016"/>
            </w:tabs>
            <w:rPr>
              <w:rFonts w:asciiTheme="minorHAnsi" w:eastAsiaTheme="minorEastAsia" w:hAnsiTheme="minorHAnsi" w:cstheme="minorBidi"/>
              <w:noProof/>
              <w:sz w:val="22"/>
              <w:szCs w:val="22"/>
            </w:rPr>
          </w:pPr>
          <w:r>
            <w:t xml:space="preserve">3 </w:t>
          </w:r>
          <w:hyperlink w:anchor="_Toc213674538" w:history="1">
            <w:r w:rsidR="00DB181C" w:rsidRPr="005D132F">
              <w:rPr>
                <w:rStyle w:val="Hyperlink"/>
                <w:noProof/>
              </w:rPr>
              <w:t>Task 3: Data Collection</w:t>
            </w:r>
            <w:r w:rsidR="00DB181C">
              <w:rPr>
                <w:noProof/>
                <w:webHidden/>
              </w:rPr>
              <w:tab/>
            </w:r>
            <w:r w:rsidR="00DD6F49">
              <w:rPr>
                <w:noProof/>
                <w:webHidden/>
              </w:rPr>
              <w:t>4</w:t>
            </w:r>
          </w:hyperlink>
        </w:p>
        <w:p w14:paraId="61EE0B5D" w14:textId="30515856"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 xml:space="preserve">3.1 </w:t>
          </w:r>
          <w:hyperlink w:anchor="_Toc213674539" w:history="1">
            <w:r w:rsidR="00DB181C" w:rsidRPr="005D132F">
              <w:rPr>
                <w:rStyle w:val="Hyperlink"/>
                <w:noProof/>
                <w:lang w:eastAsia="en-US"/>
              </w:rPr>
              <w:t>Overview of primary and secondary data collection</w:t>
            </w:r>
            <w:r w:rsidR="00DB181C">
              <w:rPr>
                <w:noProof/>
                <w:webHidden/>
              </w:rPr>
              <w:tab/>
            </w:r>
            <w:r w:rsidR="00DD6F49">
              <w:rPr>
                <w:noProof/>
                <w:webHidden/>
              </w:rPr>
              <w:t>4</w:t>
            </w:r>
          </w:hyperlink>
        </w:p>
        <w:p w14:paraId="0436C867" w14:textId="69E66877" w:rsidR="00DB181C" w:rsidRDefault="002F31AB" w:rsidP="002F31AB">
          <w:pPr>
            <w:pStyle w:val="TOC2"/>
            <w:tabs>
              <w:tab w:val="right" w:leader="dot" w:pos="9016"/>
            </w:tabs>
            <w:ind w:left="0"/>
            <w:rPr>
              <w:rFonts w:asciiTheme="minorHAnsi" w:eastAsiaTheme="minorEastAsia" w:hAnsiTheme="minorHAnsi" w:cstheme="minorBidi"/>
              <w:noProof/>
              <w:sz w:val="22"/>
              <w:szCs w:val="22"/>
            </w:rPr>
          </w:pPr>
          <w:r>
            <w:t xml:space="preserve">3.2 </w:t>
          </w:r>
          <w:hyperlink w:anchor="_Toc213674540" w:history="1">
            <w:r w:rsidR="00DB181C" w:rsidRPr="005D132F">
              <w:rPr>
                <w:rStyle w:val="Hyperlink"/>
                <w:noProof/>
                <w:lang w:eastAsia="en-US"/>
              </w:rPr>
              <w:t>What form of data will be used to address your research problem, and why?</w:t>
            </w:r>
            <w:r w:rsidR="00DB181C">
              <w:rPr>
                <w:noProof/>
                <w:webHidden/>
              </w:rPr>
              <w:tab/>
            </w:r>
            <w:r w:rsidR="00DD6F49">
              <w:rPr>
                <w:noProof/>
                <w:webHidden/>
              </w:rPr>
              <w:t>5</w:t>
            </w:r>
          </w:hyperlink>
        </w:p>
        <w:p w14:paraId="44B2D42F" w14:textId="5E4303AA" w:rsidR="00DB181C" w:rsidRDefault="002F31AB">
          <w:pPr>
            <w:pStyle w:val="TOC1"/>
            <w:tabs>
              <w:tab w:val="right" w:leader="dot" w:pos="9016"/>
            </w:tabs>
            <w:rPr>
              <w:rFonts w:asciiTheme="minorHAnsi" w:eastAsiaTheme="minorEastAsia" w:hAnsiTheme="minorHAnsi" w:cstheme="minorBidi"/>
              <w:noProof/>
              <w:sz w:val="22"/>
              <w:szCs w:val="22"/>
            </w:rPr>
          </w:pPr>
          <w:r>
            <w:t xml:space="preserve">4 </w:t>
          </w:r>
          <w:hyperlink w:anchor="_Toc213674541" w:history="1">
            <w:r w:rsidR="00DB181C" w:rsidRPr="005D132F">
              <w:rPr>
                <w:rStyle w:val="Hyperlink"/>
                <w:noProof/>
              </w:rPr>
              <w:t>Conclusion</w:t>
            </w:r>
            <w:r w:rsidR="00DB181C">
              <w:rPr>
                <w:noProof/>
                <w:webHidden/>
              </w:rPr>
              <w:tab/>
            </w:r>
            <w:r w:rsidR="00DD6F49">
              <w:rPr>
                <w:noProof/>
                <w:webHidden/>
              </w:rPr>
              <w:t>5</w:t>
            </w:r>
          </w:hyperlink>
        </w:p>
        <w:p w14:paraId="1B82F4D4" w14:textId="61D45A24" w:rsidR="00DB181C" w:rsidRDefault="002F31AB">
          <w:pPr>
            <w:pStyle w:val="TOC1"/>
            <w:tabs>
              <w:tab w:val="right" w:leader="dot" w:pos="9016"/>
            </w:tabs>
            <w:rPr>
              <w:rFonts w:asciiTheme="minorHAnsi" w:eastAsiaTheme="minorEastAsia" w:hAnsiTheme="minorHAnsi" w:cstheme="minorBidi"/>
              <w:noProof/>
              <w:sz w:val="22"/>
              <w:szCs w:val="22"/>
            </w:rPr>
          </w:pPr>
          <w:r>
            <w:t xml:space="preserve">5 </w:t>
          </w:r>
          <w:hyperlink w:anchor="_Toc213674542" w:history="1">
            <w:r w:rsidR="00DB181C" w:rsidRPr="005D132F">
              <w:rPr>
                <w:rStyle w:val="Hyperlink"/>
                <w:noProof/>
              </w:rPr>
              <w:t>References</w:t>
            </w:r>
            <w:r w:rsidR="00DB181C">
              <w:rPr>
                <w:noProof/>
                <w:webHidden/>
              </w:rPr>
              <w:tab/>
            </w:r>
            <w:r w:rsidR="00DD6F49">
              <w:rPr>
                <w:noProof/>
                <w:webHidden/>
              </w:rPr>
              <w:t>6</w:t>
            </w:r>
          </w:hyperlink>
        </w:p>
        <w:p w14:paraId="09F7361F" w14:textId="77777777" w:rsidR="00530E16" w:rsidRPr="00CF650B" w:rsidRDefault="004468F8">
          <w:r>
            <w:fldChar w:fldCharType="end"/>
          </w:r>
        </w:p>
      </w:sdtContent>
    </w:sdt>
    <w:p w14:paraId="6BE3F337" w14:textId="77777777" w:rsidR="00530E16" w:rsidRDefault="00530E16">
      <w:pPr>
        <w:rPr>
          <w:rFonts w:ascii="Arial" w:eastAsia="Arial" w:hAnsi="Arial" w:cs="Arial"/>
        </w:rPr>
      </w:pPr>
    </w:p>
    <w:p w14:paraId="22F6686A" w14:textId="77777777" w:rsidR="00530E16" w:rsidRDefault="00530E16">
      <w:pPr>
        <w:rPr>
          <w:rFonts w:ascii="Arial" w:eastAsia="Arial" w:hAnsi="Arial" w:cs="Arial"/>
        </w:rPr>
      </w:pPr>
    </w:p>
    <w:p w14:paraId="62105F7B" w14:textId="77777777" w:rsidR="00530E16" w:rsidRDefault="00530E16">
      <w:pPr>
        <w:rPr>
          <w:rFonts w:ascii="Arial" w:eastAsia="Arial" w:hAnsi="Arial" w:cs="Arial"/>
        </w:rPr>
      </w:pPr>
    </w:p>
    <w:p w14:paraId="292BDBA2" w14:textId="77777777" w:rsidR="00530E16" w:rsidRDefault="00530E16">
      <w:pPr>
        <w:rPr>
          <w:rFonts w:ascii="Arial" w:eastAsia="Arial" w:hAnsi="Arial" w:cs="Arial"/>
        </w:rPr>
      </w:pPr>
    </w:p>
    <w:p w14:paraId="1295A98D" w14:textId="77777777" w:rsidR="00530E16" w:rsidRDefault="00530E16">
      <w:pPr>
        <w:rPr>
          <w:rFonts w:ascii="Arial" w:eastAsia="Arial" w:hAnsi="Arial" w:cs="Arial"/>
        </w:rPr>
      </w:pPr>
    </w:p>
    <w:p w14:paraId="12963595" w14:textId="77777777" w:rsidR="00530E16" w:rsidRDefault="00530E16">
      <w:pPr>
        <w:rPr>
          <w:rFonts w:ascii="Arial" w:eastAsia="Arial" w:hAnsi="Arial" w:cs="Arial"/>
        </w:rPr>
      </w:pPr>
    </w:p>
    <w:p w14:paraId="279240D0" w14:textId="77777777" w:rsidR="00530E16" w:rsidRDefault="00530E16">
      <w:pPr>
        <w:rPr>
          <w:rFonts w:ascii="Arial" w:eastAsia="Arial" w:hAnsi="Arial" w:cs="Arial"/>
        </w:rPr>
      </w:pPr>
    </w:p>
    <w:p w14:paraId="30CD416E" w14:textId="77777777" w:rsidR="00530E16" w:rsidRDefault="00530E16">
      <w:pPr>
        <w:rPr>
          <w:rFonts w:ascii="Arial" w:eastAsia="Arial" w:hAnsi="Arial" w:cs="Arial"/>
        </w:rPr>
      </w:pPr>
    </w:p>
    <w:p w14:paraId="4D53F8F2" w14:textId="77777777" w:rsidR="00530E16" w:rsidRDefault="00530E16">
      <w:pPr>
        <w:rPr>
          <w:rFonts w:ascii="Arial" w:eastAsia="Arial" w:hAnsi="Arial" w:cs="Arial"/>
        </w:rPr>
      </w:pPr>
    </w:p>
    <w:p w14:paraId="2982298B" w14:textId="77777777" w:rsidR="00530E16" w:rsidRDefault="00530E16">
      <w:pPr>
        <w:rPr>
          <w:rFonts w:ascii="Arial" w:eastAsia="Arial" w:hAnsi="Arial" w:cs="Arial"/>
        </w:rPr>
      </w:pPr>
    </w:p>
    <w:p w14:paraId="018073DF" w14:textId="77777777" w:rsidR="00530E16" w:rsidRDefault="00530E16">
      <w:pPr>
        <w:rPr>
          <w:rFonts w:ascii="Arial" w:eastAsia="Arial" w:hAnsi="Arial" w:cs="Arial"/>
        </w:rPr>
      </w:pPr>
    </w:p>
    <w:p w14:paraId="37E9D23B" w14:textId="77777777" w:rsidR="00530E16" w:rsidRDefault="00530E16">
      <w:pPr>
        <w:rPr>
          <w:rFonts w:ascii="Arial" w:eastAsia="Arial" w:hAnsi="Arial" w:cs="Arial"/>
        </w:rPr>
      </w:pPr>
    </w:p>
    <w:p w14:paraId="2032FF52" w14:textId="77777777" w:rsidR="00530E16" w:rsidRDefault="00530E16">
      <w:pPr>
        <w:rPr>
          <w:rFonts w:ascii="Arial" w:eastAsia="Arial" w:hAnsi="Arial" w:cs="Arial"/>
        </w:rPr>
      </w:pPr>
    </w:p>
    <w:p w14:paraId="5F79C295" w14:textId="77777777" w:rsidR="00530E16" w:rsidRDefault="00530E16">
      <w:pPr>
        <w:rPr>
          <w:rFonts w:ascii="Arial" w:eastAsia="Arial" w:hAnsi="Arial" w:cs="Arial"/>
        </w:rPr>
      </w:pPr>
    </w:p>
    <w:p w14:paraId="5D2AA72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85B0830" w14:textId="77777777" w:rsidR="00530E16" w:rsidRDefault="00530E16">
      <w:pPr>
        <w:rPr>
          <w:rFonts w:ascii="Arial" w:eastAsia="Arial" w:hAnsi="Arial" w:cs="Arial"/>
        </w:rPr>
      </w:pPr>
    </w:p>
    <w:p w14:paraId="6755F9CB" w14:textId="60DDF6E2" w:rsidR="00530E16" w:rsidRDefault="004468F8">
      <w:pPr>
        <w:pStyle w:val="Heading1"/>
      </w:pPr>
      <w:bookmarkStart w:id="0" w:name="_Toc213674530"/>
      <w:r>
        <w:t xml:space="preserve">Research Topic: </w:t>
      </w:r>
      <w:bookmarkEnd w:id="0"/>
      <w:r w:rsidR="002F31AB" w:rsidRPr="002F31AB">
        <w:t>Chronic Staff Shortages in the UK Health and Social Care Sector</w:t>
      </w:r>
    </w:p>
    <w:p w14:paraId="685CD136" w14:textId="77777777" w:rsidR="00530E16" w:rsidRPr="004468F8" w:rsidRDefault="00BA0043">
      <w:pPr>
        <w:pStyle w:val="Heading1"/>
        <w:rPr>
          <w:sz w:val="32"/>
          <w:szCs w:val="32"/>
        </w:rPr>
      </w:pPr>
      <w:bookmarkStart w:id="1" w:name="_Toc213674531"/>
      <w:r>
        <w:rPr>
          <w:sz w:val="32"/>
          <w:szCs w:val="32"/>
        </w:rPr>
        <w:t>Introduction</w:t>
      </w:r>
      <w:bookmarkEnd w:id="1"/>
    </w:p>
    <w:p w14:paraId="2C59F23C" w14:textId="77777777" w:rsidR="002F31AB" w:rsidRPr="003478F3" w:rsidRDefault="002F31AB" w:rsidP="002F31AB">
      <w:pPr>
        <w:rPr>
          <w:rFonts w:ascii="Arial" w:hAnsi="Arial" w:cs="Arial"/>
          <w:sz w:val="22"/>
          <w:szCs w:val="22"/>
        </w:rPr>
      </w:pPr>
      <w:r w:rsidRPr="003478F3">
        <w:rPr>
          <w:rFonts w:ascii="Arial" w:hAnsi="Arial" w:cs="Arial"/>
          <w:sz w:val="22"/>
          <w:szCs w:val="22"/>
        </w:rPr>
        <w:t>The sustainability of the UK’s NHS and adult social care system faces a critical threat from persistent staff shortages. This report seeks to diagnose the root causes of this crisis, with a focus on high early-career attrition, competitive recruitment challenges, and endemic burnout. It will assess their severe repercussions for patient safety, service capacity, and workforce morale. By evaluating evidence within the current policy context, the analysis aims to provide actionable recommendations for building a more resilient and sustainable workforce.</w:t>
      </w:r>
    </w:p>
    <w:p w14:paraId="076AADC5" w14:textId="77777777" w:rsidR="004468F8" w:rsidRDefault="004468F8" w:rsidP="004468F8"/>
    <w:p w14:paraId="22990EBF" w14:textId="77777777" w:rsidR="004468F8" w:rsidRDefault="004468F8" w:rsidP="004468F8"/>
    <w:p w14:paraId="64D7875B" w14:textId="77777777" w:rsidR="004468F8" w:rsidRDefault="004468F8" w:rsidP="004468F8"/>
    <w:p w14:paraId="3B70A352" w14:textId="77777777" w:rsidR="004468F8" w:rsidRDefault="004468F8" w:rsidP="004468F8"/>
    <w:p w14:paraId="6B3664E4" w14:textId="77777777" w:rsidR="00530E16" w:rsidRDefault="004468F8">
      <w:pPr>
        <w:pStyle w:val="Heading2"/>
        <w:jc w:val="both"/>
      </w:pPr>
      <w:bookmarkStart w:id="2" w:name="_Toc213674532"/>
      <w:r>
        <w:t>Problem Statement</w:t>
      </w:r>
      <w:bookmarkEnd w:id="2"/>
    </w:p>
    <w:p w14:paraId="321B194D" w14:textId="77777777" w:rsidR="002F31AB" w:rsidRPr="003478F3" w:rsidRDefault="002F31AB" w:rsidP="002F31AB">
      <w:pPr>
        <w:rPr>
          <w:rFonts w:ascii="Arial" w:hAnsi="Arial" w:cs="Arial"/>
          <w:sz w:val="22"/>
          <w:szCs w:val="22"/>
        </w:rPr>
      </w:pPr>
      <w:r w:rsidRPr="003478F3">
        <w:rPr>
          <w:rFonts w:ascii="Arial" w:hAnsi="Arial" w:cs="Arial"/>
          <w:sz w:val="22"/>
          <w:szCs w:val="22"/>
        </w:rPr>
        <w:t>A profound workforce crisis defines the current state of the UK's health and social care sector. The scale of the deficit is starkly illustrated by the 131,596 vacant full-time equivalent posts within the NHS in England as of September 2022 (NHS Digital, 2022). Recognising the existential threat this poses, the government’s central policy response is the NHS Long Term workforce Plan (2023), which explicitly aims to retain130,000 existing staff who might otherwise leave-a number that almost precisely mirrors the current vacancy count.</w:t>
      </w:r>
    </w:p>
    <w:p w14:paraId="54A66CAC" w14:textId="77777777" w:rsidR="002F31AB" w:rsidRPr="003478F3" w:rsidRDefault="002F31AB" w:rsidP="002F31AB">
      <w:pPr>
        <w:rPr>
          <w:rFonts w:ascii="Arial" w:hAnsi="Arial" w:cs="Arial"/>
          <w:sz w:val="22"/>
          <w:szCs w:val="22"/>
        </w:rPr>
      </w:pPr>
      <w:r w:rsidRPr="003478F3">
        <w:rPr>
          <w:rFonts w:ascii="Arial" w:hAnsi="Arial" w:cs="Arial"/>
          <w:sz w:val="22"/>
          <w:szCs w:val="22"/>
        </w:rPr>
        <w:t>This chronic shortfall triggers a detrimental chain reaction. For patients and service users, it translates into prolonged waiting times for appointments, diagnoses, and treatment, with delays leading to potential deterioration of conditions and a negative impact on daily life. This is exacerbated for the growing ageing population, who often cannot access timely, adequate care. For the workforce itself, insufficient staffing leads to unsustainable nurse-to-patient ratios, forcing existing staff into excessive workloads. This fuels burnout, moral injury, and dissatisfaction-factors that, combined with perceived low pay, actively deter new entrants and perpetuate the cycle of shortage. Consequently, organizations face severe operational and financial strain, diverting resources to costly agency staff while struggling to meet performance targets and maintain safe, consistent care quality.</w:t>
      </w:r>
    </w:p>
    <w:p w14:paraId="6B383D61" w14:textId="77777777" w:rsidR="00D62A9C" w:rsidRDefault="00D62A9C" w:rsidP="004468F8"/>
    <w:p w14:paraId="67979464" w14:textId="77777777" w:rsidR="004468F8" w:rsidRDefault="004468F8" w:rsidP="004468F8"/>
    <w:p w14:paraId="3D24BEBC" w14:textId="77777777" w:rsidR="004468F8" w:rsidRDefault="004468F8" w:rsidP="004468F8"/>
    <w:p w14:paraId="45B5F62F" w14:textId="77777777" w:rsidR="004468F8" w:rsidRPr="004468F8" w:rsidRDefault="004468F8" w:rsidP="004468F8"/>
    <w:p w14:paraId="70B23247" w14:textId="77777777" w:rsidR="00530E16" w:rsidRDefault="004468F8">
      <w:pPr>
        <w:pStyle w:val="Heading2"/>
        <w:jc w:val="both"/>
      </w:pPr>
      <w:bookmarkStart w:id="3" w:name="_Toc213674533"/>
      <w:r>
        <w:t>Justification</w:t>
      </w:r>
      <w:bookmarkEnd w:id="3"/>
    </w:p>
    <w:p w14:paraId="0822A609" w14:textId="77777777" w:rsidR="002F31AB" w:rsidRPr="003478F3" w:rsidRDefault="002F31AB" w:rsidP="002F31AB">
      <w:pPr>
        <w:rPr>
          <w:rFonts w:ascii="Arial" w:hAnsi="Arial" w:cs="Arial"/>
          <w:sz w:val="22"/>
          <w:szCs w:val="22"/>
        </w:rPr>
      </w:pPr>
      <w:r w:rsidRPr="003478F3">
        <w:rPr>
          <w:rFonts w:ascii="Arial" w:hAnsi="Arial" w:cs="Arial"/>
          <w:sz w:val="22"/>
          <w:szCs w:val="22"/>
        </w:rPr>
        <w:t xml:space="preserve">Research into this workforce crisis is an urgent practical and strategic imperative to prevent systemic failure. Without intervention, the system moves closer to collapse: emergency treatments face delays, overstretched institutions struggle to cope, and public health is endangered. The reliance on costly agency staff creates an unsustainable financial drain, diverting resources from long-term service improvement. Crucially, there exists a significant evidence gap regarding effective solutions. While policy documents outline recruitment targets, there is a lack of synthesised analysis and concrete strategies addressing the foundational requirement for sustainable working conditions-how to ensure well-trained personnel can work reasonable hours in well-supported environment. Therefore, this research is justified in seeking evidence – based strategies for retention, fair compensation, and workload management. Ultimately, resolving this crisis extends beyond the sector: a stable, efficient care system is vital for a heathier, more productive population a stronger economy, making this investigation a matter of broad socio-economic importance. </w:t>
      </w:r>
    </w:p>
    <w:p w14:paraId="34485248" w14:textId="77777777" w:rsidR="002F31AB" w:rsidRPr="004468F8" w:rsidRDefault="002F31AB" w:rsidP="002F31AB"/>
    <w:p w14:paraId="4AB804DF" w14:textId="77777777" w:rsidR="004468F8" w:rsidRDefault="004468F8" w:rsidP="004468F8"/>
    <w:p w14:paraId="109FCD3C" w14:textId="77777777" w:rsidR="004468F8" w:rsidRDefault="004468F8" w:rsidP="004468F8"/>
    <w:p w14:paraId="5D9131B0" w14:textId="77777777" w:rsidR="004468F8" w:rsidRPr="004468F8" w:rsidRDefault="004468F8" w:rsidP="004468F8"/>
    <w:p w14:paraId="262C244D" w14:textId="77777777" w:rsidR="00530E16" w:rsidRDefault="004468F8">
      <w:pPr>
        <w:pStyle w:val="Heading2"/>
        <w:jc w:val="both"/>
      </w:pPr>
      <w:bookmarkStart w:id="4" w:name="_Toc213674534"/>
      <w:r>
        <w:t>Information Sources and Justification</w:t>
      </w:r>
      <w:bookmarkEnd w:id="4"/>
    </w:p>
    <w:p w14:paraId="64B3DEDD" w14:textId="77777777" w:rsidR="002F31AB" w:rsidRPr="003478F3" w:rsidRDefault="002F31AB" w:rsidP="002F31AB">
      <w:pPr>
        <w:rPr>
          <w:rFonts w:ascii="Arial" w:hAnsi="Arial" w:cs="Arial"/>
          <w:sz w:val="22"/>
          <w:szCs w:val="22"/>
        </w:rPr>
      </w:pPr>
      <w:r w:rsidRPr="003478F3">
        <w:rPr>
          <w:rFonts w:ascii="Arial" w:hAnsi="Arial" w:cs="Arial"/>
          <w:sz w:val="22"/>
          <w:szCs w:val="22"/>
        </w:rPr>
        <w:t>This analysis is underpinned by three pivotal sources selected for their authority, relevance, and complementary perspectives.</w:t>
      </w:r>
    </w:p>
    <w:p w14:paraId="6379B8A6" w14:textId="5DC6CBFC" w:rsidR="002F31AB" w:rsidRPr="003478F3" w:rsidRDefault="002F31AB" w:rsidP="002F31AB">
      <w:pPr>
        <w:rPr>
          <w:rFonts w:ascii="Arial" w:hAnsi="Arial" w:cs="Arial"/>
          <w:sz w:val="22"/>
          <w:szCs w:val="22"/>
        </w:rPr>
      </w:pPr>
      <w:r w:rsidRPr="003478F3">
        <w:rPr>
          <w:rFonts w:ascii="Arial" w:hAnsi="Arial" w:cs="Arial"/>
          <w:sz w:val="22"/>
          <w:szCs w:val="22"/>
        </w:rPr>
        <w:t>1.NHS England (2023). NHS Long Term workforce Plan</w:t>
      </w:r>
    </w:p>
    <w:p w14:paraId="4FAD9584" w14:textId="77777777" w:rsidR="002F31AB" w:rsidRPr="003478F3" w:rsidRDefault="002F31AB" w:rsidP="002F31AB">
      <w:pPr>
        <w:rPr>
          <w:rFonts w:ascii="Arial" w:hAnsi="Arial" w:cs="Arial"/>
          <w:sz w:val="22"/>
          <w:szCs w:val="22"/>
        </w:rPr>
      </w:pPr>
      <w:r w:rsidRPr="003478F3">
        <w:rPr>
          <w:rFonts w:ascii="Arial" w:hAnsi="Arial" w:cs="Arial"/>
          <w:sz w:val="22"/>
          <w:szCs w:val="22"/>
        </w:rPr>
        <w:t>This is the UK government’s primary 15-year strategic document to address the NHS workforce shortage. It sets out ambitious targets to expand domestic training, reform roles, and improve retention. This source was selected for its foundational authority, as it provides the official policy framework and quantitative benchmarks against which all other responses are measured, marking indispensable for understanding the scale of the intended intervention.</w:t>
      </w:r>
    </w:p>
    <w:p w14:paraId="514DC14B" w14:textId="2DAED7EA" w:rsidR="002F31AB" w:rsidRPr="003478F3" w:rsidRDefault="002F31AB" w:rsidP="002F31AB">
      <w:pPr>
        <w:rPr>
          <w:rFonts w:ascii="Arial" w:hAnsi="Arial" w:cs="Arial"/>
          <w:sz w:val="22"/>
          <w:szCs w:val="22"/>
        </w:rPr>
      </w:pPr>
      <w:r w:rsidRPr="003478F3">
        <w:rPr>
          <w:rFonts w:ascii="Arial" w:hAnsi="Arial" w:cs="Arial"/>
          <w:sz w:val="22"/>
          <w:szCs w:val="22"/>
        </w:rPr>
        <w:t>2.</w:t>
      </w:r>
      <w:r w:rsidRPr="003478F3">
        <w:rPr>
          <w:rFonts w:ascii="Arial" w:hAnsi="Arial" w:cs="Arial"/>
          <w:color w:val="000000"/>
          <w:sz w:val="22"/>
          <w:szCs w:val="22"/>
          <w:shd w:val="clear" w:color="auto" w:fill="F4F2F1"/>
        </w:rPr>
        <w:t xml:space="preserve"> </w:t>
      </w:r>
      <w:r w:rsidRPr="003478F3">
        <w:rPr>
          <w:rFonts w:ascii="Arial" w:hAnsi="Arial" w:cs="Arial"/>
          <w:sz w:val="22"/>
          <w:szCs w:val="22"/>
        </w:rPr>
        <w:t xml:space="preserve">NHS Workforce Projections </w:t>
      </w:r>
      <w:r w:rsidR="00DC1D0D">
        <w:rPr>
          <w:rFonts w:ascii="Arial" w:hAnsi="Arial" w:cs="Arial"/>
          <w:sz w:val="22"/>
          <w:szCs w:val="22"/>
        </w:rPr>
        <w:t>(</w:t>
      </w:r>
      <w:r w:rsidRPr="003478F3">
        <w:rPr>
          <w:rFonts w:ascii="Arial" w:hAnsi="Arial" w:cs="Arial"/>
          <w:sz w:val="22"/>
          <w:szCs w:val="22"/>
        </w:rPr>
        <w:t>2022</w:t>
      </w:r>
      <w:r w:rsidR="00DC1D0D">
        <w:rPr>
          <w:rFonts w:ascii="Arial" w:hAnsi="Arial" w:cs="Arial"/>
          <w:sz w:val="22"/>
          <w:szCs w:val="22"/>
        </w:rPr>
        <w:t>)</w:t>
      </w:r>
      <w:r w:rsidRPr="003478F3">
        <w:rPr>
          <w:rFonts w:ascii="Arial" w:hAnsi="Arial" w:cs="Arial"/>
          <w:sz w:val="22"/>
          <w:szCs w:val="22"/>
        </w:rPr>
        <w:t>. The King’s Fund</w:t>
      </w:r>
    </w:p>
    <w:p w14:paraId="2EFD3A01" w14:textId="77777777" w:rsidR="002F31AB" w:rsidRPr="003478F3" w:rsidRDefault="002F31AB" w:rsidP="002F31AB">
      <w:pPr>
        <w:rPr>
          <w:rFonts w:ascii="Arial" w:hAnsi="Arial" w:cs="Arial"/>
          <w:sz w:val="22"/>
          <w:szCs w:val="22"/>
        </w:rPr>
      </w:pPr>
      <w:r w:rsidRPr="003478F3">
        <w:rPr>
          <w:rFonts w:ascii="Arial" w:hAnsi="Arial" w:cs="Arial"/>
          <w:sz w:val="22"/>
          <w:szCs w:val="22"/>
        </w:rPr>
        <w:t>This independent think-tank report provides a critical analysis of the workforce crisis, examining root causes such as workload, morale, and pay. It evaluates policy responses and offers pragmatic recommendations. It was chosen to introduce a vital, evidence-based external critique that challenges and complements the official plan, ensuring the research consider the practical implementation gaps and systemic critiques often highlighted by independent analysts.</w:t>
      </w:r>
    </w:p>
    <w:p w14:paraId="43A71773" w14:textId="5E899C8B" w:rsidR="002F31AB" w:rsidRPr="003478F3" w:rsidRDefault="002F31AB" w:rsidP="002F31AB">
      <w:pPr>
        <w:rPr>
          <w:rFonts w:ascii="Arial" w:hAnsi="Arial" w:cs="Arial"/>
          <w:sz w:val="22"/>
          <w:szCs w:val="22"/>
        </w:rPr>
      </w:pPr>
      <w:r w:rsidRPr="003478F3">
        <w:rPr>
          <w:rFonts w:ascii="Arial" w:hAnsi="Arial" w:cs="Arial"/>
          <w:sz w:val="22"/>
          <w:szCs w:val="22"/>
        </w:rPr>
        <w:t>3.Skills for Care (2023). The state of the adult social care sector and workforce in England</w:t>
      </w:r>
    </w:p>
    <w:p w14:paraId="7C3B5D82" w14:textId="77777777" w:rsidR="002F31AB" w:rsidRPr="003478F3" w:rsidRDefault="002F31AB" w:rsidP="002F31AB">
      <w:pPr>
        <w:rPr>
          <w:rFonts w:ascii="Arial" w:hAnsi="Arial" w:cs="Arial"/>
          <w:sz w:val="22"/>
          <w:szCs w:val="22"/>
        </w:rPr>
      </w:pPr>
      <w:r w:rsidRPr="003478F3">
        <w:rPr>
          <w:rFonts w:ascii="Arial" w:hAnsi="Arial" w:cs="Arial"/>
          <w:sz w:val="22"/>
          <w:szCs w:val="22"/>
        </w:rPr>
        <w:lastRenderedPageBreak/>
        <w:t>This annual report is the definitive source of statistics data on the adult social care workforce, detailing vacancy rates, turnover and workforce, detailing vacancy rates, turnover, and workforce demographics. It was selected to ensure the research scope fully encompasses the social care sector, which faces unique and often more acute challenges than the NHS. Its data is crucial for quantifying the parallel crisis in social care, preventing an NHS-centric analysis and providing a complete picture of the integrated care system’s fragility.</w:t>
      </w:r>
    </w:p>
    <w:p w14:paraId="0C7F300D" w14:textId="77777777" w:rsidR="002F31AB" w:rsidRPr="003478F3" w:rsidRDefault="002F31AB" w:rsidP="002F31AB">
      <w:pPr>
        <w:rPr>
          <w:rFonts w:ascii="Arial" w:hAnsi="Arial" w:cs="Arial"/>
          <w:sz w:val="22"/>
          <w:szCs w:val="22"/>
        </w:rPr>
      </w:pPr>
    </w:p>
    <w:p w14:paraId="793EC30A" w14:textId="77777777" w:rsidR="00172AD1" w:rsidRDefault="00172AD1" w:rsidP="004468F8"/>
    <w:p w14:paraId="77CD4560"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18EB5FB3" w14:textId="23A93574"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0150DF6A"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Research methodologies are broadly divided into quantitative and qualitative approaches. Quantitative research is objective and deductive. It addresses questions like "how many?" or "how much?" by collecting numerical data via structured tools such as surveys. This data is statistically analysed to measure variables, identify broad patterns, and produce generalisable findings-for example, calculating national staff vacancy rates.</w:t>
      </w:r>
    </w:p>
    <w:p w14:paraId="169783EE"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 xml:space="preserve"> Conversely, qualitative research is subjective and inductive. It seeks to answer "why?" and "how?" by gathering descriptive data through flexible methods like interviews. This explores underlying reasons, motivations, and lived experiences to provide deep, narrative insight, such as understanding the causes of staff burnout. The core distinction lies in their data and logic: quantitative research tests hypotheses for breadth, while qualitative research generates theories for depth. Both are vital; one reveals a problem's scale, the other explains its causes</w:t>
      </w:r>
    </w:p>
    <w:p w14:paraId="4DAD118F" w14:textId="77777777" w:rsidR="002F31AB" w:rsidRPr="004468F8" w:rsidRDefault="002F31AB" w:rsidP="002F31AB">
      <w:pPr>
        <w:rPr>
          <w:lang w:eastAsia="en-US"/>
        </w:rPr>
      </w:pPr>
    </w:p>
    <w:p w14:paraId="0F83D231" w14:textId="77777777" w:rsidR="004468F8" w:rsidRDefault="004468F8" w:rsidP="004468F8">
      <w:pPr>
        <w:rPr>
          <w:lang w:eastAsia="en-US"/>
        </w:rPr>
      </w:pPr>
    </w:p>
    <w:p w14:paraId="4F2352BA" w14:textId="77777777" w:rsidR="004468F8" w:rsidRDefault="004468F8" w:rsidP="004468F8">
      <w:pPr>
        <w:rPr>
          <w:lang w:eastAsia="en-US"/>
        </w:rPr>
      </w:pPr>
    </w:p>
    <w:p w14:paraId="19299ADD" w14:textId="77777777" w:rsidR="004468F8" w:rsidRDefault="004468F8" w:rsidP="004468F8">
      <w:pPr>
        <w:rPr>
          <w:lang w:eastAsia="en-US"/>
        </w:rPr>
      </w:pPr>
    </w:p>
    <w:p w14:paraId="6C26DC56" w14:textId="77777777" w:rsidR="004468F8" w:rsidRPr="004468F8" w:rsidRDefault="004468F8" w:rsidP="004468F8">
      <w:pPr>
        <w:rPr>
          <w:lang w:eastAsia="en-US"/>
        </w:rPr>
      </w:pPr>
    </w:p>
    <w:p w14:paraId="29DFB718"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p>
    <w:p w14:paraId="013E5AB7" w14:textId="77777777" w:rsidR="004468F8" w:rsidRPr="004468F8" w:rsidRDefault="004468F8" w:rsidP="004468F8"/>
    <w:p w14:paraId="502ABE53" w14:textId="77777777" w:rsidR="00530E16" w:rsidRDefault="00530E16">
      <w:pPr>
        <w:spacing w:line="360" w:lineRule="auto"/>
        <w:jc w:val="both"/>
      </w:pPr>
    </w:p>
    <w:p w14:paraId="3E832F74"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 xml:space="preserve">For this investigation into the UK's health and social care workforce crisis, a mixed-methods approach is adopted. This choice is justified by the problem's complexity, requiring both objective measurement and subjective understanding. The quantitative component will </w:t>
      </w:r>
      <w:r w:rsidRPr="003478F3">
        <w:rPr>
          <w:rFonts w:ascii="Arial" w:hAnsi="Arial" w:cs="Arial"/>
          <w:sz w:val="22"/>
          <w:szCs w:val="22"/>
          <w:lang w:eastAsia="en-US"/>
        </w:rPr>
        <w:lastRenderedPageBreak/>
        <w:t>establish the factual scale by analysing official statistics, such as vacancy data from NHS Digital (2022). However, as leading analyses argue, statistics alone are insufficient for developing solutions.</w:t>
      </w:r>
    </w:p>
    <w:p w14:paraId="49C0477D" w14:textId="77777777" w:rsidR="002F31AB" w:rsidRPr="003478F3" w:rsidRDefault="002F31AB" w:rsidP="002F31AB">
      <w:pPr>
        <w:rPr>
          <w:sz w:val="22"/>
          <w:szCs w:val="22"/>
          <w:lang w:eastAsia="en-US"/>
        </w:rPr>
      </w:pPr>
      <w:r w:rsidRPr="003478F3">
        <w:rPr>
          <w:rFonts w:ascii="Arial" w:hAnsi="Arial" w:cs="Arial"/>
          <w:sz w:val="22"/>
          <w:szCs w:val="22"/>
          <w:lang w:eastAsia="en-US"/>
        </w:rPr>
        <w:t xml:space="preserve"> Organisations like The Health Foundation (2022) stress the need to combine data with insights into staff experience. Therefore, a qualitative component is essential to explore the human drivers behind the numbers such as morale and retention challenges potentially through interviews with frontline staff. By integrating both, the research will achieve a comprehensive evidence base: quantitative data to validate the problem's magnitude and qualitative insights to inform practical, actionable recommendations. This integrated strategy ensures the findings are both empirically robust and contextually rich, directly supporting the report's aim to propose sustainable solutions</w:t>
      </w:r>
      <w:r w:rsidRPr="003478F3">
        <w:rPr>
          <w:sz w:val="22"/>
          <w:szCs w:val="22"/>
          <w:lang w:eastAsia="en-US"/>
        </w:rPr>
        <w:t>.</w:t>
      </w:r>
    </w:p>
    <w:p w14:paraId="708351C9" w14:textId="77777777" w:rsidR="002F31AB" w:rsidRDefault="002F31AB" w:rsidP="002F31AB">
      <w:pPr>
        <w:spacing w:line="360" w:lineRule="auto"/>
        <w:jc w:val="both"/>
      </w:pPr>
    </w:p>
    <w:p w14:paraId="12D45790" w14:textId="77777777" w:rsidR="004468F8" w:rsidRDefault="004468F8">
      <w:pPr>
        <w:spacing w:line="360" w:lineRule="auto"/>
        <w:jc w:val="both"/>
      </w:pPr>
    </w:p>
    <w:p w14:paraId="772FF358" w14:textId="77777777" w:rsidR="004468F8" w:rsidRDefault="004468F8">
      <w:pPr>
        <w:spacing w:line="360" w:lineRule="auto"/>
        <w:jc w:val="both"/>
        <w:rPr>
          <w:rFonts w:ascii="Arial" w:eastAsia="Arial" w:hAnsi="Arial" w:cs="Arial"/>
          <w:sz w:val="22"/>
          <w:szCs w:val="22"/>
        </w:rPr>
      </w:pPr>
    </w:p>
    <w:p w14:paraId="0597747A" w14:textId="77777777" w:rsidR="00530E16" w:rsidRDefault="004468F8">
      <w:pPr>
        <w:pStyle w:val="Heading1"/>
        <w:jc w:val="both"/>
      </w:pPr>
      <w:bookmarkStart w:id="8" w:name="_Toc213674538"/>
      <w:r>
        <w:t>Task 3: Data Collection</w:t>
      </w:r>
      <w:bookmarkEnd w:id="8"/>
      <w:r>
        <w:t xml:space="preserve"> </w:t>
      </w:r>
    </w:p>
    <w:p w14:paraId="1E5C2964"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2F3E0ECC"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Data collection is categorised as primary or secondary, based on its originality and source. Primary data is first-hand, original information collected directly by the researcher for a specific study. It is gathered through methods like surveys, interviews, or observations, offering high relevance and control but requiring significant time and resources. In health and social care research, this could involve conducting interviews with nurses to understand their experiences of burnout.</w:t>
      </w:r>
    </w:p>
    <w:p w14:paraId="7ACA671F"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Secondary data, in contrast, refers to existing information that was previously collected by others for different purposes. This includes published reports, academic articles, and official statistics from bodies like NHS Digital or Skills for Care. Its key advantage is efficiency, providing readily available, often large-scale contextual data, such as national vacancy rates.</w:t>
      </w:r>
    </w:p>
    <w:p w14:paraId="41E30740" w14:textId="77777777" w:rsidR="002F31AB" w:rsidRPr="003478F3" w:rsidRDefault="002F31AB" w:rsidP="002F31AB">
      <w:pPr>
        <w:rPr>
          <w:rFonts w:ascii="Arial" w:hAnsi="Arial" w:cs="Arial"/>
          <w:sz w:val="22"/>
          <w:szCs w:val="22"/>
          <w:lang w:eastAsia="en-US"/>
        </w:rPr>
      </w:pPr>
      <w:r w:rsidRPr="003478F3">
        <w:rPr>
          <w:sz w:val="22"/>
          <w:szCs w:val="22"/>
          <w:lang w:eastAsia="en-US"/>
        </w:rPr>
        <w:t xml:space="preserve"> </w:t>
      </w:r>
      <w:r w:rsidRPr="003478F3">
        <w:rPr>
          <w:rFonts w:ascii="Arial" w:hAnsi="Arial" w:cs="Arial"/>
          <w:sz w:val="22"/>
          <w:szCs w:val="22"/>
          <w:lang w:eastAsia="en-US"/>
        </w:rPr>
        <w:t>The principal difference lies in origin and purpose: primary data is custom generated to answer specific new questions, while secondary data involves the novel analysis of pre-existing information to address current research aims.</w:t>
      </w:r>
    </w:p>
    <w:p w14:paraId="3D99E6CF" w14:textId="77777777" w:rsidR="002F31AB" w:rsidRPr="004468F8" w:rsidRDefault="002F31AB" w:rsidP="002F31AB">
      <w:pPr>
        <w:rPr>
          <w:lang w:eastAsia="en-US"/>
        </w:rPr>
      </w:pPr>
    </w:p>
    <w:p w14:paraId="080C120E" w14:textId="77777777" w:rsidR="004468F8" w:rsidRDefault="004468F8" w:rsidP="004468F8">
      <w:pPr>
        <w:rPr>
          <w:lang w:eastAsia="en-US"/>
        </w:rPr>
      </w:pPr>
    </w:p>
    <w:p w14:paraId="521D548A" w14:textId="77777777" w:rsidR="004468F8" w:rsidRDefault="004468F8" w:rsidP="004468F8">
      <w:pPr>
        <w:rPr>
          <w:lang w:eastAsia="en-US"/>
        </w:rPr>
      </w:pPr>
    </w:p>
    <w:p w14:paraId="4A41077A" w14:textId="77777777" w:rsidR="004468F8" w:rsidRPr="004468F8" w:rsidRDefault="004468F8" w:rsidP="004468F8">
      <w:pPr>
        <w:rPr>
          <w:lang w:eastAsia="en-US"/>
        </w:rPr>
      </w:pPr>
    </w:p>
    <w:p w14:paraId="3BC8A8E4" w14:textId="77777777" w:rsidR="004468F8" w:rsidRDefault="004468F8" w:rsidP="004468F8">
      <w:pPr>
        <w:pStyle w:val="Heading2"/>
        <w:rPr>
          <w:rFonts w:eastAsia="Aptos"/>
          <w:lang w:eastAsia="en-US"/>
        </w:rPr>
      </w:pPr>
      <w:bookmarkStart w:id="10" w:name="_Toc213674540"/>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012EC306"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Secondary data forms the core of this investigation, a choice that aligns with the mixed-methods framework for rigorous yet efficient analysis. This approach leverages established, authoritative sources to address the UK-wide scope of the crisis.</w:t>
      </w:r>
    </w:p>
    <w:p w14:paraId="79FC645D"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The quantitative element utilises datasets such as NHS Digital's (2022) vacancy statistics and The Nuffield Trust's (2024) trend analyses to measure the problem's scale. The qualitative element draws on evaluative reports from The King's Fund (2022) and Skills for Care (2023), which provide essential context on systemic causes and workforce experiences.</w:t>
      </w:r>
    </w:p>
    <w:p w14:paraId="62A343E9" w14:textId="77777777" w:rsidR="002F31AB" w:rsidRPr="003478F3" w:rsidRDefault="002F31AB" w:rsidP="002F31AB">
      <w:pPr>
        <w:rPr>
          <w:rFonts w:ascii="Arial" w:hAnsi="Arial" w:cs="Arial"/>
          <w:sz w:val="22"/>
          <w:szCs w:val="22"/>
          <w:lang w:eastAsia="en-US"/>
        </w:rPr>
      </w:pPr>
      <w:r w:rsidRPr="003478F3">
        <w:rPr>
          <w:rFonts w:ascii="Arial" w:hAnsi="Arial" w:cs="Arial"/>
          <w:sz w:val="22"/>
          <w:szCs w:val="22"/>
          <w:lang w:eastAsia="en-US"/>
        </w:rPr>
        <w:t>Thus, using curated secondary sources allows this research to execute its mixed methods design effectively, ensuring findings are both authoritatively grounded and analytically nuanced to support credible recommendations.</w:t>
      </w:r>
    </w:p>
    <w:p w14:paraId="2C713E40" w14:textId="77777777" w:rsidR="002F31AB" w:rsidRPr="00562395" w:rsidRDefault="002F31AB" w:rsidP="002F31AB">
      <w:pPr>
        <w:rPr>
          <w:rFonts w:ascii="Arial" w:hAnsi="Arial" w:cs="Arial"/>
        </w:rPr>
      </w:pPr>
    </w:p>
    <w:p w14:paraId="312DC9D8" w14:textId="77777777" w:rsidR="004468F8" w:rsidRDefault="004468F8" w:rsidP="004468F8"/>
    <w:p w14:paraId="44A53823" w14:textId="77777777" w:rsidR="004468F8" w:rsidRDefault="004468F8" w:rsidP="004468F8"/>
    <w:p w14:paraId="11677A4C" w14:textId="77777777" w:rsidR="00530E16" w:rsidRDefault="004468F8">
      <w:pPr>
        <w:pStyle w:val="Heading1"/>
        <w:jc w:val="both"/>
      </w:pPr>
      <w:bookmarkStart w:id="11" w:name="_Toc213674541"/>
      <w:r>
        <w:t>Conclusion</w:t>
      </w:r>
      <w:bookmarkEnd w:id="11"/>
    </w:p>
    <w:p w14:paraId="67D75FE3" w14:textId="77777777" w:rsidR="002F31AB" w:rsidRPr="003478F3" w:rsidRDefault="002F31AB" w:rsidP="002F31AB">
      <w:pPr>
        <w:rPr>
          <w:rFonts w:ascii="Arial" w:hAnsi="Arial" w:cs="Arial"/>
          <w:sz w:val="22"/>
          <w:szCs w:val="22"/>
        </w:rPr>
      </w:pPr>
      <w:r w:rsidRPr="003478F3">
        <w:rPr>
          <w:rFonts w:ascii="Arial" w:hAnsi="Arial" w:cs="Arial"/>
          <w:sz w:val="22"/>
          <w:szCs w:val="22"/>
        </w:rPr>
        <w:t>This report has systematically investigated the critical of chronic staff shortages within the UK's health and care sectors. Utilising a mixed-methods approach, the analysis synthesised quantitative data on vacancy rates with qualitative insights into workforce experiences. The core revelation is that the crisis stems from systemic vulnerabilities affecting current staff, not just a lack of new hires.</w:t>
      </w:r>
    </w:p>
    <w:p w14:paraId="4C86716A" w14:textId="77777777" w:rsidR="002F31AB" w:rsidRPr="003478F3" w:rsidRDefault="002F31AB" w:rsidP="002F31AB">
      <w:pPr>
        <w:rPr>
          <w:rFonts w:ascii="Arial" w:hAnsi="Arial" w:cs="Arial"/>
          <w:sz w:val="22"/>
          <w:szCs w:val="22"/>
        </w:rPr>
      </w:pPr>
      <w:r w:rsidRPr="003478F3">
        <w:rPr>
          <w:rFonts w:ascii="Arial" w:hAnsi="Arial" w:cs="Arial"/>
          <w:sz w:val="22"/>
          <w:szCs w:val="22"/>
        </w:rPr>
        <w:t>Instead, it is fundamentally exacerbated by systemic problems affecting existing staff, such as unsustainable workloads and burnout, which fuel high attrition rates. Therefore, the evidence compels a strategic shift in policy focus. Sustainable improvement requires integrated systemic reforms that prioritise staff retention and wellbeing with the same urgency as recruitment. This includes implementing practical measures for workload management, enhancing support structures, and improving career pathways. Ultimately, building a resilient workforce demands solutions that are both immediate to stabilise services and sustainable to ensure long term system health.</w:t>
      </w:r>
    </w:p>
    <w:p w14:paraId="1DD88828" w14:textId="77777777" w:rsidR="004468F8" w:rsidRPr="004468F8" w:rsidRDefault="004468F8" w:rsidP="004468F8"/>
    <w:p w14:paraId="16EC18BC" w14:textId="77777777" w:rsidR="00530E16" w:rsidRDefault="004468F8">
      <w:pPr>
        <w:pStyle w:val="Heading1"/>
      </w:pPr>
      <w:bookmarkStart w:id="12" w:name="_Toc213674542"/>
      <w:r>
        <w:t>References</w:t>
      </w:r>
      <w:bookmarkEnd w:id="12"/>
    </w:p>
    <w:p w14:paraId="3FACCC0E" w14:textId="77777777" w:rsidR="002F31AB" w:rsidRPr="003478F3" w:rsidRDefault="002F31AB" w:rsidP="002F31AB">
      <w:pPr>
        <w:rPr>
          <w:sz w:val="22"/>
          <w:szCs w:val="22"/>
        </w:rPr>
      </w:pPr>
      <w:r w:rsidRPr="003478F3">
        <w:rPr>
          <w:sz w:val="22"/>
          <w:szCs w:val="22"/>
        </w:rPr>
        <w:t>Health Foundation (2022) Closing the gap: key areas for action on the health and care workforce. London: The Health Foundation.</w:t>
      </w:r>
    </w:p>
    <w:p w14:paraId="631D19B6" w14:textId="77777777" w:rsidR="002F31AB" w:rsidRPr="003478F3" w:rsidRDefault="002F31AB" w:rsidP="002F31AB">
      <w:pPr>
        <w:rPr>
          <w:sz w:val="22"/>
          <w:szCs w:val="22"/>
        </w:rPr>
      </w:pPr>
    </w:p>
    <w:p w14:paraId="6E705925" w14:textId="77777777" w:rsidR="002F31AB" w:rsidRPr="003478F3" w:rsidRDefault="002F31AB" w:rsidP="002F31AB">
      <w:pPr>
        <w:rPr>
          <w:sz w:val="22"/>
          <w:szCs w:val="22"/>
        </w:rPr>
      </w:pPr>
      <w:r w:rsidRPr="003478F3">
        <w:rPr>
          <w:sz w:val="22"/>
          <w:szCs w:val="22"/>
        </w:rPr>
        <w:lastRenderedPageBreak/>
        <w:t>NHS Digital (2022) NHS Vacancy Statistics England April 2015 - September 2022. Available at: https://digital.nhs.uk/data-and-information/publications/statistical/nhs-vacancies-survey (Accessed: 5 December 2025).</w:t>
      </w:r>
    </w:p>
    <w:p w14:paraId="6718CE36" w14:textId="77777777" w:rsidR="002F31AB" w:rsidRPr="003478F3" w:rsidRDefault="002F31AB" w:rsidP="002F31AB">
      <w:pPr>
        <w:rPr>
          <w:sz w:val="22"/>
          <w:szCs w:val="22"/>
        </w:rPr>
      </w:pPr>
    </w:p>
    <w:p w14:paraId="3DABCB81" w14:textId="77777777" w:rsidR="002F31AB" w:rsidRPr="003478F3" w:rsidRDefault="002F31AB" w:rsidP="002F31AB">
      <w:pPr>
        <w:rPr>
          <w:sz w:val="22"/>
          <w:szCs w:val="22"/>
        </w:rPr>
      </w:pPr>
      <w:r w:rsidRPr="003478F3">
        <w:rPr>
          <w:sz w:val="22"/>
          <w:szCs w:val="22"/>
        </w:rPr>
        <w:t>NHS England (2023) NHS Long Term Workforce Plan. Available at: https://www.england.nhs.uk/publication/nhs-long-term-workforce-plan/ (Accessed: 5 December 2025).</w:t>
      </w:r>
    </w:p>
    <w:p w14:paraId="02AADE32" w14:textId="77777777" w:rsidR="002F31AB" w:rsidRPr="003478F3" w:rsidRDefault="002F31AB" w:rsidP="002F31AB">
      <w:pPr>
        <w:rPr>
          <w:sz w:val="22"/>
          <w:szCs w:val="22"/>
        </w:rPr>
      </w:pPr>
    </w:p>
    <w:p w14:paraId="701ADED5" w14:textId="77777777" w:rsidR="002F31AB" w:rsidRPr="003478F3" w:rsidRDefault="002F31AB" w:rsidP="002F31AB">
      <w:pPr>
        <w:rPr>
          <w:sz w:val="22"/>
          <w:szCs w:val="22"/>
        </w:rPr>
      </w:pPr>
      <w:r w:rsidRPr="003478F3">
        <w:rPr>
          <w:sz w:val="22"/>
          <w:szCs w:val="22"/>
        </w:rPr>
        <w:t>Nuffield Trust (2024) The NHS workforce in numbers. Available at: https://www.nuffieldtrust.org.uk/resource/the-nhs-workforce-in-numbers (Accessed: 5 December 2025).</w:t>
      </w:r>
    </w:p>
    <w:p w14:paraId="51E373D6" w14:textId="77777777" w:rsidR="002F31AB" w:rsidRPr="003478F3" w:rsidRDefault="002F31AB" w:rsidP="002F31AB">
      <w:pPr>
        <w:rPr>
          <w:sz w:val="22"/>
          <w:szCs w:val="22"/>
        </w:rPr>
      </w:pPr>
    </w:p>
    <w:p w14:paraId="1DDFBD39" w14:textId="77777777" w:rsidR="002F31AB" w:rsidRPr="003478F3" w:rsidRDefault="002F31AB" w:rsidP="002F31AB">
      <w:pPr>
        <w:rPr>
          <w:sz w:val="22"/>
          <w:szCs w:val="22"/>
        </w:rPr>
      </w:pPr>
      <w:r w:rsidRPr="003478F3">
        <w:rPr>
          <w:sz w:val="22"/>
          <w:szCs w:val="22"/>
        </w:rPr>
        <w:t>Skills for Care (2023) The state of the adult social care sector and workforce in England. Leeds: Skills for Care.</w:t>
      </w:r>
    </w:p>
    <w:p w14:paraId="2B6AFD70" w14:textId="77777777" w:rsidR="002F31AB" w:rsidRPr="003478F3" w:rsidRDefault="002F31AB" w:rsidP="002F31AB">
      <w:pPr>
        <w:rPr>
          <w:sz w:val="22"/>
          <w:szCs w:val="22"/>
        </w:rPr>
      </w:pPr>
    </w:p>
    <w:p w14:paraId="42898156" w14:textId="77777777" w:rsidR="002F31AB" w:rsidRPr="003478F3" w:rsidRDefault="002F31AB" w:rsidP="002F31AB">
      <w:pPr>
        <w:rPr>
          <w:sz w:val="22"/>
          <w:szCs w:val="22"/>
        </w:rPr>
      </w:pPr>
      <w:r w:rsidRPr="003478F3">
        <w:rPr>
          <w:sz w:val="22"/>
          <w:szCs w:val="22"/>
        </w:rPr>
        <w:t>The King's Fund (2022) The NHS workforce: our position. Available at: https://www.kingsfund.org.uk/topics/nhs-workforce (Accessed: 5 December 2025).</w:t>
      </w:r>
    </w:p>
    <w:p w14:paraId="7A7DB298" w14:textId="3AECC3FD" w:rsidR="00530E16" w:rsidRPr="007637E9" w:rsidRDefault="00530E16">
      <w:pPr>
        <w:rPr>
          <w:rFonts w:ascii="Arial" w:eastAsia="Arial" w:hAnsi="Arial" w:cs="Arial"/>
          <w:color w:val="FF0000"/>
          <w:sz w:val="22"/>
          <w:szCs w:val="22"/>
        </w:rPr>
      </w:pP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697DF" w14:textId="77777777" w:rsidR="00F957B8" w:rsidRDefault="00F957B8" w:rsidP="002A1842">
      <w:pPr>
        <w:spacing w:after="0" w:line="240" w:lineRule="auto"/>
      </w:pPr>
      <w:r>
        <w:separator/>
      </w:r>
    </w:p>
  </w:endnote>
  <w:endnote w:type="continuationSeparator" w:id="0">
    <w:p w14:paraId="7E074BA6" w14:textId="77777777" w:rsidR="00F957B8" w:rsidRDefault="00F957B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D6BA3F9"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57E3F6D"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345171E"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C94A62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FD454" w14:textId="77777777" w:rsidR="00F957B8" w:rsidRDefault="00F957B8" w:rsidP="002A1842">
      <w:pPr>
        <w:spacing w:after="0" w:line="240" w:lineRule="auto"/>
      </w:pPr>
      <w:r>
        <w:separator/>
      </w:r>
    </w:p>
  </w:footnote>
  <w:footnote w:type="continuationSeparator" w:id="0">
    <w:p w14:paraId="54F51C77" w14:textId="77777777" w:rsidR="00F957B8" w:rsidRDefault="00F957B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42111904">
    <w:abstractNumId w:val="5"/>
  </w:num>
  <w:num w:numId="2" w16cid:durableId="2010938471">
    <w:abstractNumId w:val="3"/>
  </w:num>
  <w:num w:numId="3" w16cid:durableId="1957637567">
    <w:abstractNumId w:val="2"/>
  </w:num>
  <w:num w:numId="4" w16cid:durableId="1825197650">
    <w:abstractNumId w:val="1"/>
  </w:num>
  <w:num w:numId="5" w16cid:durableId="547499674">
    <w:abstractNumId w:val="4"/>
  </w:num>
  <w:num w:numId="6" w16cid:durableId="1786997776">
    <w:abstractNumId w:val="0"/>
  </w:num>
  <w:num w:numId="7" w16cid:durableId="362940973">
    <w:abstractNumId w:val="7"/>
  </w:num>
  <w:num w:numId="8" w16cid:durableId="10586996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2A65"/>
    <w:rsid w:val="000445CB"/>
    <w:rsid w:val="00172AD1"/>
    <w:rsid w:val="001813E7"/>
    <w:rsid w:val="001865EE"/>
    <w:rsid w:val="00245261"/>
    <w:rsid w:val="002A1208"/>
    <w:rsid w:val="002A1842"/>
    <w:rsid w:val="002F31AB"/>
    <w:rsid w:val="003148BD"/>
    <w:rsid w:val="003C0B42"/>
    <w:rsid w:val="00423DAD"/>
    <w:rsid w:val="004468F8"/>
    <w:rsid w:val="00530E16"/>
    <w:rsid w:val="00722EFE"/>
    <w:rsid w:val="0073614F"/>
    <w:rsid w:val="007637E9"/>
    <w:rsid w:val="008E7834"/>
    <w:rsid w:val="00975D72"/>
    <w:rsid w:val="009F4C20"/>
    <w:rsid w:val="009F60D1"/>
    <w:rsid w:val="009F69B6"/>
    <w:rsid w:val="00A75B15"/>
    <w:rsid w:val="00AC3C8A"/>
    <w:rsid w:val="00AE06EA"/>
    <w:rsid w:val="00B65ED6"/>
    <w:rsid w:val="00BA0043"/>
    <w:rsid w:val="00CF650B"/>
    <w:rsid w:val="00D62A9C"/>
    <w:rsid w:val="00DB181C"/>
    <w:rsid w:val="00DC1D0D"/>
    <w:rsid w:val="00DD6F49"/>
    <w:rsid w:val="00E66BF2"/>
    <w:rsid w:val="00F618F2"/>
    <w:rsid w:val="00F95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B155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1902</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ISMIHAN BOZYIGIT</cp:lastModifiedBy>
  <cp:revision>2</cp:revision>
  <dcterms:created xsi:type="dcterms:W3CDTF">2025-12-10T13:51:00Z</dcterms:created>
  <dcterms:modified xsi:type="dcterms:W3CDTF">2025-12-10T13:51:00Z</dcterms:modified>
</cp:coreProperties>
</file>