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D48944" w14:textId="77777777" w:rsidR="00485155" w:rsidRDefault="00485155" w:rsidP="00485155">
      <w:pPr>
        <w:pStyle w:val="Heading1"/>
      </w:pPr>
      <w:bookmarkStart w:id="0" w:name="_Toc222340247"/>
      <w:r>
        <w:t>CHAPTER 3: METHODS AND SEARCH STRATEGY</w:t>
      </w:r>
      <w:bookmarkEnd w:id="0"/>
    </w:p>
    <w:p w14:paraId="7EA2A97A" w14:textId="77777777" w:rsidR="00485155" w:rsidRDefault="00485155" w:rsidP="00485155">
      <w:pPr>
        <w:pStyle w:val="Heading2"/>
      </w:pPr>
      <w:bookmarkStart w:id="1" w:name="_Toc222340248"/>
      <w:r>
        <w:t>3.1 Introduction</w:t>
      </w:r>
      <w:bookmarkEnd w:id="1"/>
    </w:p>
    <w:p w14:paraId="414C9ADE" w14:textId="77777777" w:rsidR="00485155" w:rsidRDefault="00485155" w:rsidP="00485155">
      <w:pPr>
        <w:spacing w:line="360" w:lineRule="auto"/>
        <w:rPr>
          <w:rFonts w:ascii="Arial" w:hAnsi="Arial" w:cs="Arial"/>
          <w:sz w:val="22"/>
          <w:szCs w:val="22"/>
        </w:rPr>
      </w:pPr>
      <w:r>
        <w:rPr>
          <w:rFonts w:ascii="Arial" w:hAnsi="Arial" w:cs="Arial"/>
          <w:sz w:val="22"/>
          <w:szCs w:val="22"/>
        </w:rPr>
        <w:t>This chapter outlines the methodological framework adopted for this dissertation. Given the sensitivity of obesity</w:t>
      </w:r>
      <w:r>
        <w:rPr>
          <w:rFonts w:ascii="Cambria Math" w:hAnsi="Cambria Math" w:cs="Cambria Math"/>
          <w:sz w:val="22"/>
          <w:szCs w:val="22"/>
        </w:rPr>
        <w:noBreakHyphen/>
      </w:r>
      <w:r>
        <w:rPr>
          <w:rFonts w:ascii="Arial" w:hAnsi="Arial" w:cs="Arial"/>
          <w:sz w:val="22"/>
          <w:szCs w:val="22"/>
        </w:rPr>
        <w:t>related stigma and the ethical complexities of engaging directly with potentially vulnerable populations, a secondary qualitative research design was selected. This approach enables the systematic collection, synthesis, and critical evaluation of existing literature, including peer</w:t>
      </w:r>
      <w:r>
        <w:rPr>
          <w:rFonts w:ascii="Cambria Math" w:hAnsi="Cambria Math" w:cs="Cambria Math"/>
          <w:sz w:val="22"/>
          <w:szCs w:val="22"/>
        </w:rPr>
        <w:noBreakHyphen/>
      </w:r>
      <w:r>
        <w:rPr>
          <w:rFonts w:ascii="Arial" w:hAnsi="Arial" w:cs="Arial"/>
          <w:sz w:val="22"/>
          <w:szCs w:val="22"/>
        </w:rPr>
        <w:t xml:space="preserve">reviewed journal articles, government reports, policy documents, and national datasets. The chapter details the research approach, search strategy, inclusion and exclusion criteria, thematic coding process, quality appraisal, ethical considerations, and limitations. </w:t>
      </w:r>
    </w:p>
    <w:p w14:paraId="32DDFFB4" w14:textId="77777777" w:rsidR="00485155" w:rsidRDefault="00485155" w:rsidP="00485155">
      <w:pPr>
        <w:pStyle w:val="Heading2"/>
      </w:pPr>
      <w:bookmarkStart w:id="2" w:name="_Toc222340249"/>
      <w:r>
        <w:t>3.2 Research Approach</w:t>
      </w:r>
      <w:bookmarkEnd w:id="2"/>
    </w:p>
    <w:p w14:paraId="09A77A0E" w14:textId="77777777" w:rsidR="00485155" w:rsidRDefault="00485155" w:rsidP="00485155">
      <w:pPr>
        <w:spacing w:line="360" w:lineRule="auto"/>
        <w:rPr>
          <w:rFonts w:ascii="Arial" w:hAnsi="Arial" w:cs="Arial"/>
          <w:sz w:val="22"/>
          <w:szCs w:val="22"/>
        </w:rPr>
      </w:pPr>
      <w:r>
        <w:rPr>
          <w:rFonts w:ascii="Arial" w:hAnsi="Arial" w:cs="Arial"/>
          <w:sz w:val="22"/>
          <w:szCs w:val="22"/>
        </w:rPr>
        <w:t>A qualitative secondary research design was chosen as the most appropriate methodology for exploring the psychological impact of obesity among ethnic minority communities in the UK. Secondary research involves analysing existing data rather than collecting new primary data (Cohen, Manion &amp; Morrison, 2018). This approach is particularly suitable for topics involving sensitive issues such as mental health, stigma, and ethnicity, where direct engagement may pose ethical risks or require specialist clinical support (</w:t>
      </w:r>
      <w:proofErr w:type="spellStart"/>
      <w:r>
        <w:rPr>
          <w:rFonts w:ascii="Arial" w:hAnsi="Arial" w:cs="Arial"/>
          <w:sz w:val="22"/>
          <w:szCs w:val="22"/>
        </w:rPr>
        <w:t>Bhui</w:t>
      </w:r>
      <w:proofErr w:type="spellEnd"/>
      <w:r>
        <w:rPr>
          <w:rFonts w:ascii="Arial" w:hAnsi="Arial" w:cs="Arial"/>
          <w:sz w:val="22"/>
          <w:szCs w:val="22"/>
        </w:rPr>
        <w:t xml:space="preserve"> et al., 2018).</w:t>
      </w:r>
    </w:p>
    <w:p w14:paraId="79022082" w14:textId="77777777" w:rsidR="00485155" w:rsidRDefault="00485155" w:rsidP="00485155">
      <w:pPr>
        <w:spacing w:line="360" w:lineRule="auto"/>
        <w:rPr>
          <w:rFonts w:ascii="Arial" w:hAnsi="Arial" w:cs="Arial"/>
          <w:sz w:val="22"/>
          <w:szCs w:val="22"/>
        </w:rPr>
      </w:pPr>
      <w:r>
        <w:rPr>
          <w:rFonts w:ascii="Arial" w:hAnsi="Arial" w:cs="Arial"/>
          <w:sz w:val="22"/>
          <w:szCs w:val="22"/>
        </w:rPr>
        <w:t>Secondary qualitative research offers several advantages:</w:t>
      </w:r>
    </w:p>
    <w:p w14:paraId="61A6089F" w14:textId="77777777" w:rsidR="00485155" w:rsidRDefault="00485155" w:rsidP="00485155">
      <w:pPr>
        <w:pStyle w:val="ListParagraph"/>
        <w:numPr>
          <w:ilvl w:val="0"/>
          <w:numId w:val="1"/>
        </w:numPr>
        <w:spacing w:line="360" w:lineRule="auto"/>
        <w:rPr>
          <w:rFonts w:ascii="Arial" w:hAnsi="Arial" w:cs="Arial"/>
          <w:sz w:val="22"/>
          <w:szCs w:val="22"/>
        </w:rPr>
      </w:pPr>
      <w:r>
        <w:rPr>
          <w:rFonts w:ascii="Arial" w:hAnsi="Arial" w:cs="Arial"/>
          <w:sz w:val="22"/>
          <w:szCs w:val="22"/>
        </w:rPr>
        <w:t>Ethical safety: avoids direct contact with individuals who may be experiencing psychological distress or weight</w:t>
      </w:r>
      <w:r>
        <w:rPr>
          <w:rFonts w:ascii="Cambria Math" w:hAnsi="Cambria Math" w:cs="Cambria Math"/>
          <w:sz w:val="22"/>
          <w:szCs w:val="22"/>
        </w:rPr>
        <w:noBreakHyphen/>
      </w:r>
      <w:r>
        <w:rPr>
          <w:rFonts w:ascii="Arial" w:hAnsi="Arial" w:cs="Arial"/>
          <w:sz w:val="22"/>
          <w:szCs w:val="22"/>
        </w:rPr>
        <w:t>related stigma (NHS Health Research Authority, 2023).</w:t>
      </w:r>
    </w:p>
    <w:p w14:paraId="39A59D18" w14:textId="77777777" w:rsidR="00485155" w:rsidRDefault="00485155" w:rsidP="00485155">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Breadth of </w:t>
      </w:r>
      <w:proofErr w:type="gramStart"/>
      <w:r>
        <w:rPr>
          <w:rFonts w:ascii="Arial" w:hAnsi="Arial" w:cs="Arial"/>
          <w:sz w:val="22"/>
          <w:szCs w:val="22"/>
        </w:rPr>
        <w:t>evidence:</w:t>
      </w:r>
      <w:proofErr w:type="gramEnd"/>
      <w:r>
        <w:rPr>
          <w:rFonts w:ascii="Arial" w:hAnsi="Arial" w:cs="Arial"/>
          <w:sz w:val="22"/>
          <w:szCs w:val="22"/>
        </w:rPr>
        <w:t xml:space="preserve"> allows synthesis of diverse sources, including longitudinal studies, national datasets, and culturally specific research (ONS, 2023; Public Health England, 2022).</w:t>
      </w:r>
    </w:p>
    <w:p w14:paraId="218879B0" w14:textId="77777777" w:rsidR="00485155" w:rsidRDefault="00485155" w:rsidP="00485155">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Depth of </w:t>
      </w:r>
      <w:proofErr w:type="gramStart"/>
      <w:r>
        <w:rPr>
          <w:rFonts w:ascii="Arial" w:hAnsi="Arial" w:cs="Arial"/>
          <w:sz w:val="22"/>
          <w:szCs w:val="22"/>
        </w:rPr>
        <w:t>analysis:</w:t>
      </w:r>
      <w:proofErr w:type="gramEnd"/>
      <w:r>
        <w:rPr>
          <w:rFonts w:ascii="Arial" w:hAnsi="Arial" w:cs="Arial"/>
          <w:sz w:val="22"/>
          <w:szCs w:val="22"/>
        </w:rPr>
        <w:t xml:space="preserve"> supports thematic interpretation across multiple contexts, enabling identification of recurring patterns such as stigma, cultural beliefs, and barriers to support (Braun &amp; Clarke, 2006).</w:t>
      </w:r>
    </w:p>
    <w:p w14:paraId="0BB111DC" w14:textId="77777777" w:rsidR="00485155" w:rsidRDefault="00485155" w:rsidP="00485155">
      <w:pPr>
        <w:pStyle w:val="ListParagraph"/>
        <w:numPr>
          <w:ilvl w:val="0"/>
          <w:numId w:val="1"/>
        </w:numPr>
        <w:spacing w:line="360" w:lineRule="auto"/>
        <w:rPr>
          <w:rFonts w:ascii="Arial" w:hAnsi="Arial" w:cs="Arial"/>
          <w:sz w:val="22"/>
          <w:szCs w:val="22"/>
        </w:rPr>
      </w:pPr>
      <w:r>
        <w:rPr>
          <w:rFonts w:ascii="Arial" w:hAnsi="Arial" w:cs="Arial"/>
          <w:sz w:val="22"/>
          <w:szCs w:val="22"/>
        </w:rPr>
        <w:t>Feasibility: aligns with undergraduate research constraints while maintaining academic rigour.</w:t>
      </w:r>
    </w:p>
    <w:p w14:paraId="2306CBE3" w14:textId="77777777" w:rsidR="00485155" w:rsidRDefault="00485155" w:rsidP="00485155">
      <w:pPr>
        <w:pStyle w:val="ListParagraph"/>
        <w:numPr>
          <w:ilvl w:val="0"/>
          <w:numId w:val="1"/>
        </w:numPr>
        <w:spacing w:line="360" w:lineRule="auto"/>
        <w:rPr>
          <w:rFonts w:ascii="Arial" w:hAnsi="Arial" w:cs="Arial"/>
          <w:sz w:val="22"/>
          <w:szCs w:val="22"/>
        </w:rPr>
      </w:pPr>
      <w:r>
        <w:rPr>
          <w:rFonts w:ascii="Arial" w:hAnsi="Arial" w:cs="Arial"/>
          <w:sz w:val="22"/>
          <w:szCs w:val="22"/>
        </w:rPr>
        <w:t>This approach is consistent with contemporary health and social care research, where secondary analysis is increasingly used to explore complex social issues (Greenwood, 2024; Largan &amp; Morris, 2024).</w:t>
      </w:r>
    </w:p>
    <w:p w14:paraId="56C88853" w14:textId="77777777" w:rsidR="00485155" w:rsidRDefault="00485155" w:rsidP="00485155">
      <w:pPr>
        <w:pStyle w:val="Heading2"/>
      </w:pPr>
      <w:bookmarkStart w:id="3" w:name="_Toc222340250"/>
      <w:r>
        <w:lastRenderedPageBreak/>
        <w:t>3.3 Search Strategy</w:t>
      </w:r>
      <w:bookmarkEnd w:id="3"/>
    </w:p>
    <w:p w14:paraId="6622AF38" w14:textId="77777777" w:rsidR="00485155" w:rsidRDefault="00485155" w:rsidP="00485155">
      <w:pPr>
        <w:spacing w:line="360" w:lineRule="auto"/>
        <w:rPr>
          <w:rFonts w:ascii="Arial" w:hAnsi="Arial" w:cs="Arial"/>
          <w:sz w:val="22"/>
          <w:szCs w:val="22"/>
        </w:rPr>
      </w:pPr>
      <w:r>
        <w:rPr>
          <w:rFonts w:ascii="Arial" w:hAnsi="Arial" w:cs="Arial"/>
          <w:sz w:val="22"/>
          <w:szCs w:val="22"/>
        </w:rPr>
        <w:t>A systematic search strategy was employed to ensure transparency and replicability. Searches were conducted across multiple academic and governmental databases:</w:t>
      </w:r>
    </w:p>
    <w:p w14:paraId="5BA8D3BB" w14:textId="77777777" w:rsidR="00485155" w:rsidRDefault="00485155" w:rsidP="00485155">
      <w:pPr>
        <w:pStyle w:val="ListParagraph"/>
        <w:numPr>
          <w:ilvl w:val="0"/>
          <w:numId w:val="2"/>
        </w:numPr>
        <w:spacing w:line="360" w:lineRule="auto"/>
        <w:rPr>
          <w:rFonts w:ascii="Arial" w:hAnsi="Arial" w:cs="Arial"/>
          <w:sz w:val="22"/>
          <w:szCs w:val="22"/>
        </w:rPr>
      </w:pPr>
      <w:r>
        <w:rPr>
          <w:rFonts w:ascii="Arial" w:hAnsi="Arial" w:cs="Arial"/>
          <w:sz w:val="22"/>
          <w:szCs w:val="22"/>
        </w:rPr>
        <w:t>Google Scholar</w:t>
      </w:r>
    </w:p>
    <w:p w14:paraId="76CF8559" w14:textId="77777777" w:rsidR="00485155" w:rsidRDefault="00485155" w:rsidP="00485155">
      <w:pPr>
        <w:pStyle w:val="ListParagraph"/>
        <w:numPr>
          <w:ilvl w:val="0"/>
          <w:numId w:val="2"/>
        </w:numPr>
        <w:spacing w:line="360" w:lineRule="auto"/>
        <w:rPr>
          <w:rFonts w:ascii="Arial" w:hAnsi="Arial" w:cs="Arial"/>
          <w:sz w:val="22"/>
          <w:szCs w:val="22"/>
        </w:rPr>
      </w:pPr>
      <w:r>
        <w:rPr>
          <w:rFonts w:ascii="Arial" w:hAnsi="Arial" w:cs="Arial"/>
          <w:sz w:val="22"/>
          <w:szCs w:val="22"/>
        </w:rPr>
        <w:t>Scopus</w:t>
      </w:r>
    </w:p>
    <w:p w14:paraId="123B8E10" w14:textId="77777777" w:rsidR="00485155" w:rsidRDefault="00485155" w:rsidP="00485155">
      <w:pPr>
        <w:pStyle w:val="ListParagraph"/>
        <w:numPr>
          <w:ilvl w:val="0"/>
          <w:numId w:val="2"/>
        </w:numPr>
        <w:spacing w:line="360" w:lineRule="auto"/>
        <w:rPr>
          <w:rFonts w:ascii="Arial" w:hAnsi="Arial" w:cs="Arial"/>
          <w:sz w:val="22"/>
          <w:szCs w:val="22"/>
        </w:rPr>
      </w:pPr>
      <w:r>
        <w:rPr>
          <w:rFonts w:ascii="Arial" w:hAnsi="Arial" w:cs="Arial"/>
          <w:sz w:val="22"/>
          <w:szCs w:val="22"/>
        </w:rPr>
        <w:t>PsycINFO</w:t>
      </w:r>
    </w:p>
    <w:p w14:paraId="11C5B07E" w14:textId="77777777" w:rsidR="00485155" w:rsidRDefault="00485155" w:rsidP="00485155">
      <w:pPr>
        <w:pStyle w:val="ListParagraph"/>
        <w:numPr>
          <w:ilvl w:val="0"/>
          <w:numId w:val="2"/>
        </w:numPr>
        <w:spacing w:line="360" w:lineRule="auto"/>
        <w:rPr>
          <w:rFonts w:ascii="Arial" w:hAnsi="Arial" w:cs="Arial"/>
          <w:sz w:val="22"/>
          <w:szCs w:val="22"/>
        </w:rPr>
      </w:pPr>
      <w:r>
        <w:rPr>
          <w:rFonts w:ascii="Arial" w:hAnsi="Arial" w:cs="Arial"/>
          <w:sz w:val="22"/>
          <w:szCs w:val="22"/>
        </w:rPr>
        <w:t>PubMed</w:t>
      </w:r>
    </w:p>
    <w:p w14:paraId="6810797C" w14:textId="77777777" w:rsidR="00485155" w:rsidRDefault="00485155" w:rsidP="00485155">
      <w:pPr>
        <w:pStyle w:val="ListParagraph"/>
        <w:numPr>
          <w:ilvl w:val="0"/>
          <w:numId w:val="2"/>
        </w:numPr>
        <w:spacing w:line="360" w:lineRule="auto"/>
        <w:rPr>
          <w:rFonts w:ascii="Arial" w:hAnsi="Arial" w:cs="Arial"/>
          <w:sz w:val="22"/>
          <w:szCs w:val="22"/>
        </w:rPr>
      </w:pPr>
      <w:r>
        <w:rPr>
          <w:rFonts w:ascii="Arial" w:hAnsi="Arial" w:cs="Arial"/>
          <w:sz w:val="22"/>
          <w:szCs w:val="22"/>
        </w:rPr>
        <w:t>Office for National Statistics (ONS)</w:t>
      </w:r>
    </w:p>
    <w:p w14:paraId="5B116E3A" w14:textId="77777777" w:rsidR="00485155" w:rsidRDefault="00485155" w:rsidP="00485155">
      <w:pPr>
        <w:pStyle w:val="ListParagraph"/>
        <w:numPr>
          <w:ilvl w:val="0"/>
          <w:numId w:val="2"/>
        </w:numPr>
        <w:spacing w:line="360" w:lineRule="auto"/>
        <w:rPr>
          <w:rFonts w:ascii="Arial" w:hAnsi="Arial" w:cs="Arial"/>
          <w:sz w:val="22"/>
          <w:szCs w:val="22"/>
        </w:rPr>
      </w:pPr>
      <w:r>
        <w:rPr>
          <w:rFonts w:ascii="Arial" w:hAnsi="Arial" w:cs="Arial"/>
          <w:sz w:val="22"/>
          <w:szCs w:val="22"/>
        </w:rPr>
        <w:t>NHS Digital</w:t>
      </w:r>
    </w:p>
    <w:p w14:paraId="46BE7B4A" w14:textId="77777777" w:rsidR="00485155" w:rsidRDefault="00485155" w:rsidP="00485155">
      <w:pPr>
        <w:pStyle w:val="ListParagraph"/>
        <w:numPr>
          <w:ilvl w:val="0"/>
          <w:numId w:val="2"/>
        </w:numPr>
        <w:spacing w:line="360" w:lineRule="auto"/>
        <w:rPr>
          <w:rFonts w:ascii="Arial" w:hAnsi="Arial" w:cs="Arial"/>
          <w:sz w:val="22"/>
          <w:szCs w:val="22"/>
        </w:rPr>
      </w:pPr>
      <w:r>
        <w:rPr>
          <w:rFonts w:ascii="Arial" w:hAnsi="Arial" w:cs="Arial"/>
          <w:sz w:val="22"/>
          <w:szCs w:val="22"/>
        </w:rPr>
        <w:t>Public Health England (PHE)</w:t>
      </w:r>
    </w:p>
    <w:p w14:paraId="148CA605" w14:textId="77777777" w:rsidR="00485155" w:rsidRDefault="00485155" w:rsidP="00485155">
      <w:pPr>
        <w:pStyle w:val="ListParagraph"/>
        <w:numPr>
          <w:ilvl w:val="0"/>
          <w:numId w:val="2"/>
        </w:numPr>
        <w:spacing w:line="360" w:lineRule="auto"/>
        <w:rPr>
          <w:rFonts w:ascii="Arial" w:hAnsi="Arial" w:cs="Arial"/>
          <w:sz w:val="22"/>
          <w:szCs w:val="22"/>
        </w:rPr>
      </w:pPr>
      <w:proofErr w:type="gramStart"/>
      <w:r>
        <w:rPr>
          <w:rFonts w:ascii="Arial" w:hAnsi="Arial" w:cs="Arial"/>
          <w:sz w:val="22"/>
          <w:szCs w:val="22"/>
        </w:rPr>
        <w:t>Gov.uk  policy</w:t>
      </w:r>
      <w:proofErr w:type="gramEnd"/>
      <w:r>
        <w:rPr>
          <w:rFonts w:ascii="Arial" w:hAnsi="Arial" w:cs="Arial"/>
          <w:sz w:val="22"/>
          <w:szCs w:val="22"/>
        </w:rPr>
        <w:t xml:space="preserve"> archives</w:t>
      </w:r>
    </w:p>
    <w:p w14:paraId="72C9C303"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Keywords and Boolean Operators</w:t>
      </w:r>
    </w:p>
    <w:p w14:paraId="414B48F2" w14:textId="77777777" w:rsidR="00485155" w:rsidRDefault="00485155" w:rsidP="00485155">
      <w:pPr>
        <w:spacing w:line="360" w:lineRule="auto"/>
        <w:rPr>
          <w:rFonts w:ascii="Arial" w:hAnsi="Arial" w:cs="Arial"/>
          <w:sz w:val="22"/>
          <w:szCs w:val="22"/>
        </w:rPr>
      </w:pPr>
      <w:r>
        <w:rPr>
          <w:rFonts w:ascii="Arial" w:hAnsi="Arial" w:cs="Arial"/>
          <w:b/>
          <w:bCs/>
          <w:sz w:val="22"/>
          <w:szCs w:val="22"/>
        </w:rPr>
        <w:t>Search terms were developed using Boolean operators to refine results</w:t>
      </w:r>
      <w:r>
        <w:rPr>
          <w:rFonts w:ascii="Arial" w:hAnsi="Arial" w:cs="Arial"/>
          <w:sz w:val="22"/>
          <w:szCs w:val="22"/>
        </w:rPr>
        <w:t>:</w:t>
      </w:r>
    </w:p>
    <w:p w14:paraId="003A3353" w14:textId="77777777" w:rsidR="00485155" w:rsidRDefault="00485155" w:rsidP="00485155">
      <w:pPr>
        <w:pStyle w:val="ListParagraph"/>
        <w:numPr>
          <w:ilvl w:val="0"/>
          <w:numId w:val="3"/>
        </w:numPr>
        <w:spacing w:line="360" w:lineRule="auto"/>
        <w:rPr>
          <w:rFonts w:ascii="Arial" w:hAnsi="Arial" w:cs="Arial"/>
          <w:sz w:val="22"/>
          <w:szCs w:val="22"/>
        </w:rPr>
      </w:pPr>
      <w:r>
        <w:rPr>
          <w:rFonts w:ascii="Arial" w:hAnsi="Arial" w:cs="Arial"/>
          <w:sz w:val="22"/>
          <w:szCs w:val="22"/>
        </w:rPr>
        <w:t>“Obesity” AND “ethnic minorities”</w:t>
      </w:r>
    </w:p>
    <w:p w14:paraId="53CFAE99" w14:textId="77777777" w:rsidR="00485155" w:rsidRDefault="00485155" w:rsidP="00485155">
      <w:pPr>
        <w:pStyle w:val="ListParagraph"/>
        <w:numPr>
          <w:ilvl w:val="0"/>
          <w:numId w:val="3"/>
        </w:numPr>
        <w:spacing w:line="360" w:lineRule="auto"/>
        <w:rPr>
          <w:rFonts w:ascii="Arial" w:hAnsi="Arial" w:cs="Arial"/>
          <w:sz w:val="22"/>
          <w:szCs w:val="22"/>
        </w:rPr>
      </w:pPr>
      <w:r>
        <w:rPr>
          <w:rFonts w:ascii="Arial" w:hAnsi="Arial" w:cs="Arial"/>
          <w:sz w:val="22"/>
          <w:szCs w:val="22"/>
        </w:rPr>
        <w:t>“Psychological impact” OR “mental health”</w:t>
      </w:r>
    </w:p>
    <w:p w14:paraId="616A0D4E" w14:textId="77777777" w:rsidR="00485155" w:rsidRDefault="00485155" w:rsidP="00485155">
      <w:pPr>
        <w:pStyle w:val="ListParagraph"/>
        <w:numPr>
          <w:ilvl w:val="0"/>
          <w:numId w:val="3"/>
        </w:numPr>
        <w:spacing w:line="360" w:lineRule="auto"/>
        <w:rPr>
          <w:rFonts w:ascii="Arial" w:hAnsi="Arial" w:cs="Arial"/>
          <w:sz w:val="22"/>
          <w:szCs w:val="22"/>
        </w:rPr>
      </w:pPr>
      <w:r>
        <w:rPr>
          <w:rFonts w:ascii="Arial" w:hAnsi="Arial" w:cs="Arial"/>
          <w:sz w:val="22"/>
          <w:szCs w:val="22"/>
        </w:rPr>
        <w:t>“Weight stigma” OR “self</w:t>
      </w:r>
      <w:r>
        <w:rPr>
          <w:rFonts w:ascii="Cambria Math" w:hAnsi="Cambria Math" w:cs="Cambria Math"/>
          <w:sz w:val="22"/>
          <w:szCs w:val="22"/>
        </w:rPr>
        <w:noBreakHyphen/>
      </w:r>
      <w:r>
        <w:rPr>
          <w:rFonts w:ascii="Arial" w:hAnsi="Arial" w:cs="Arial"/>
          <w:sz w:val="22"/>
          <w:szCs w:val="22"/>
        </w:rPr>
        <w:t>esteem”</w:t>
      </w:r>
    </w:p>
    <w:p w14:paraId="3C8D5CE0" w14:textId="77777777" w:rsidR="00485155" w:rsidRDefault="00485155" w:rsidP="00485155">
      <w:pPr>
        <w:pStyle w:val="ListParagraph"/>
        <w:numPr>
          <w:ilvl w:val="0"/>
          <w:numId w:val="3"/>
        </w:numPr>
        <w:spacing w:line="360" w:lineRule="auto"/>
        <w:rPr>
          <w:rFonts w:ascii="Arial" w:hAnsi="Arial" w:cs="Arial"/>
          <w:sz w:val="22"/>
          <w:szCs w:val="22"/>
        </w:rPr>
      </w:pPr>
      <w:r>
        <w:rPr>
          <w:rFonts w:ascii="Arial" w:hAnsi="Arial" w:cs="Arial"/>
          <w:sz w:val="22"/>
          <w:szCs w:val="22"/>
        </w:rPr>
        <w:t>“UK” AND “health inequalities”</w:t>
      </w:r>
    </w:p>
    <w:p w14:paraId="1630DAAA" w14:textId="77777777" w:rsidR="00485155" w:rsidRDefault="00485155" w:rsidP="00485155">
      <w:pPr>
        <w:pStyle w:val="ListParagraph"/>
        <w:numPr>
          <w:ilvl w:val="0"/>
          <w:numId w:val="3"/>
        </w:numPr>
        <w:spacing w:line="360" w:lineRule="auto"/>
        <w:rPr>
          <w:rFonts w:ascii="Arial" w:hAnsi="Arial" w:cs="Arial"/>
          <w:sz w:val="22"/>
          <w:szCs w:val="22"/>
        </w:rPr>
      </w:pPr>
      <w:r>
        <w:rPr>
          <w:rFonts w:ascii="Arial" w:hAnsi="Arial" w:cs="Arial"/>
          <w:sz w:val="22"/>
          <w:szCs w:val="22"/>
        </w:rPr>
        <w:t>“Depression” AND “obesity” AND “ethnicity”</w:t>
      </w:r>
    </w:p>
    <w:p w14:paraId="6B4164B3" w14:textId="77777777" w:rsidR="00485155" w:rsidRDefault="00485155" w:rsidP="00485155">
      <w:pPr>
        <w:pStyle w:val="ListParagraph"/>
        <w:numPr>
          <w:ilvl w:val="0"/>
          <w:numId w:val="3"/>
        </w:numPr>
        <w:spacing w:line="360" w:lineRule="auto"/>
        <w:rPr>
          <w:rFonts w:ascii="Arial" w:hAnsi="Arial" w:cs="Arial"/>
          <w:sz w:val="22"/>
          <w:szCs w:val="22"/>
        </w:rPr>
      </w:pPr>
      <w:r>
        <w:rPr>
          <w:rFonts w:ascii="Arial" w:hAnsi="Arial" w:cs="Arial"/>
          <w:sz w:val="22"/>
          <w:szCs w:val="22"/>
        </w:rPr>
        <w:t>“Cultural beliefs” AND “body image”</w:t>
      </w:r>
    </w:p>
    <w:p w14:paraId="46C12907" w14:textId="77777777" w:rsidR="00485155" w:rsidRDefault="00485155" w:rsidP="00485155">
      <w:pPr>
        <w:pStyle w:val="ListParagraph"/>
        <w:numPr>
          <w:ilvl w:val="0"/>
          <w:numId w:val="3"/>
        </w:numPr>
        <w:spacing w:line="360" w:lineRule="auto"/>
        <w:rPr>
          <w:rFonts w:ascii="Arial" w:hAnsi="Arial" w:cs="Arial"/>
          <w:sz w:val="22"/>
          <w:szCs w:val="22"/>
        </w:rPr>
      </w:pPr>
      <w:r>
        <w:rPr>
          <w:rFonts w:ascii="Arial" w:hAnsi="Arial" w:cs="Arial"/>
          <w:sz w:val="22"/>
          <w:szCs w:val="22"/>
        </w:rPr>
        <w:t>“Structural racism” AND “healthcare access”</w:t>
      </w:r>
    </w:p>
    <w:p w14:paraId="7B4FD113"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Search Filters</w:t>
      </w:r>
    </w:p>
    <w:p w14:paraId="4014B672" w14:textId="77777777" w:rsidR="00485155" w:rsidRDefault="00485155" w:rsidP="00485155">
      <w:pPr>
        <w:pStyle w:val="ListParagraph"/>
        <w:numPr>
          <w:ilvl w:val="0"/>
          <w:numId w:val="4"/>
        </w:numPr>
        <w:spacing w:line="360" w:lineRule="auto"/>
        <w:rPr>
          <w:rFonts w:ascii="Arial" w:hAnsi="Arial" w:cs="Arial"/>
          <w:sz w:val="22"/>
          <w:szCs w:val="22"/>
        </w:rPr>
      </w:pPr>
      <w:r>
        <w:rPr>
          <w:rFonts w:ascii="Arial" w:hAnsi="Arial" w:cs="Arial"/>
          <w:sz w:val="22"/>
          <w:szCs w:val="22"/>
        </w:rPr>
        <w:t>English language</w:t>
      </w:r>
    </w:p>
    <w:p w14:paraId="75A806A8" w14:textId="77777777" w:rsidR="00485155" w:rsidRDefault="00485155" w:rsidP="00485155">
      <w:pPr>
        <w:pStyle w:val="ListParagraph"/>
        <w:numPr>
          <w:ilvl w:val="0"/>
          <w:numId w:val="4"/>
        </w:numPr>
        <w:spacing w:line="360" w:lineRule="auto"/>
        <w:rPr>
          <w:rFonts w:ascii="Arial" w:hAnsi="Arial" w:cs="Arial"/>
          <w:sz w:val="22"/>
          <w:szCs w:val="22"/>
        </w:rPr>
      </w:pPr>
      <w:r>
        <w:rPr>
          <w:rFonts w:ascii="Arial" w:hAnsi="Arial" w:cs="Arial"/>
          <w:sz w:val="22"/>
          <w:szCs w:val="22"/>
        </w:rPr>
        <w:t>2014–2025</w:t>
      </w:r>
    </w:p>
    <w:p w14:paraId="4A1453AA" w14:textId="77777777" w:rsidR="00485155" w:rsidRDefault="00485155" w:rsidP="00485155">
      <w:pPr>
        <w:pStyle w:val="ListParagraph"/>
        <w:numPr>
          <w:ilvl w:val="0"/>
          <w:numId w:val="4"/>
        </w:numPr>
        <w:spacing w:line="360" w:lineRule="auto"/>
        <w:rPr>
          <w:rFonts w:ascii="Arial" w:hAnsi="Arial" w:cs="Arial"/>
          <w:sz w:val="22"/>
          <w:szCs w:val="22"/>
        </w:rPr>
      </w:pPr>
      <w:r>
        <w:rPr>
          <w:rFonts w:ascii="Arial" w:hAnsi="Arial" w:cs="Arial"/>
          <w:sz w:val="22"/>
          <w:szCs w:val="22"/>
        </w:rPr>
        <w:t>UK</w:t>
      </w:r>
      <w:r>
        <w:rPr>
          <w:rFonts w:ascii="Cambria Math" w:hAnsi="Cambria Math" w:cs="Cambria Math"/>
          <w:sz w:val="22"/>
          <w:szCs w:val="22"/>
        </w:rPr>
        <w:noBreakHyphen/>
      </w:r>
      <w:r>
        <w:rPr>
          <w:rFonts w:ascii="Arial" w:hAnsi="Arial" w:cs="Arial"/>
          <w:sz w:val="22"/>
          <w:szCs w:val="22"/>
        </w:rPr>
        <w:t>based or UK</w:t>
      </w:r>
      <w:r>
        <w:rPr>
          <w:rFonts w:ascii="Cambria Math" w:hAnsi="Cambria Math" w:cs="Cambria Math"/>
          <w:sz w:val="22"/>
          <w:szCs w:val="22"/>
        </w:rPr>
        <w:noBreakHyphen/>
      </w:r>
      <w:r>
        <w:rPr>
          <w:rFonts w:ascii="Arial" w:hAnsi="Arial" w:cs="Arial"/>
          <w:sz w:val="22"/>
          <w:szCs w:val="22"/>
        </w:rPr>
        <w:t>relevant</w:t>
      </w:r>
    </w:p>
    <w:p w14:paraId="08DA8BAF" w14:textId="77777777" w:rsidR="00485155" w:rsidRDefault="00485155" w:rsidP="00485155">
      <w:pPr>
        <w:pStyle w:val="ListParagraph"/>
        <w:numPr>
          <w:ilvl w:val="0"/>
          <w:numId w:val="4"/>
        </w:numPr>
        <w:spacing w:line="360" w:lineRule="auto"/>
        <w:rPr>
          <w:rFonts w:ascii="Arial" w:hAnsi="Arial" w:cs="Arial"/>
          <w:sz w:val="22"/>
          <w:szCs w:val="22"/>
        </w:rPr>
      </w:pPr>
      <w:r>
        <w:rPr>
          <w:rFonts w:ascii="Arial" w:hAnsi="Arial" w:cs="Arial"/>
          <w:sz w:val="22"/>
          <w:szCs w:val="22"/>
        </w:rPr>
        <w:t>Peer</w:t>
      </w:r>
      <w:r>
        <w:rPr>
          <w:rFonts w:ascii="Cambria Math" w:hAnsi="Cambria Math" w:cs="Cambria Math"/>
          <w:sz w:val="22"/>
          <w:szCs w:val="22"/>
        </w:rPr>
        <w:noBreakHyphen/>
      </w:r>
      <w:r>
        <w:rPr>
          <w:rFonts w:ascii="Arial" w:hAnsi="Arial" w:cs="Arial"/>
          <w:sz w:val="22"/>
          <w:szCs w:val="22"/>
        </w:rPr>
        <w:t>reviewed or official reports</w:t>
      </w:r>
    </w:p>
    <w:p w14:paraId="432D73C5" w14:textId="77777777" w:rsidR="00485155" w:rsidRDefault="00485155" w:rsidP="00485155">
      <w:pPr>
        <w:pStyle w:val="ListParagraph"/>
        <w:numPr>
          <w:ilvl w:val="0"/>
          <w:numId w:val="4"/>
        </w:numPr>
        <w:spacing w:line="360" w:lineRule="auto"/>
        <w:rPr>
          <w:rFonts w:ascii="Arial" w:hAnsi="Arial" w:cs="Arial"/>
          <w:sz w:val="22"/>
          <w:szCs w:val="22"/>
        </w:rPr>
      </w:pPr>
      <w:r>
        <w:rPr>
          <w:rFonts w:ascii="Arial" w:hAnsi="Arial" w:cs="Arial"/>
          <w:sz w:val="22"/>
          <w:szCs w:val="22"/>
        </w:rPr>
        <w:t>Human subjects</w:t>
      </w:r>
    </w:p>
    <w:p w14:paraId="41BF1313"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Search Outcomes</w:t>
      </w:r>
    </w:p>
    <w:p w14:paraId="5A4B96D1" w14:textId="77777777" w:rsidR="00485155" w:rsidRDefault="00485155" w:rsidP="00485155">
      <w:pPr>
        <w:pStyle w:val="ListParagraph"/>
        <w:numPr>
          <w:ilvl w:val="0"/>
          <w:numId w:val="5"/>
        </w:numPr>
        <w:spacing w:line="360" w:lineRule="auto"/>
        <w:rPr>
          <w:rFonts w:ascii="Arial" w:hAnsi="Arial" w:cs="Arial"/>
          <w:sz w:val="22"/>
          <w:szCs w:val="22"/>
        </w:rPr>
      </w:pPr>
      <w:r>
        <w:rPr>
          <w:rFonts w:ascii="Arial" w:hAnsi="Arial" w:cs="Arial"/>
          <w:sz w:val="22"/>
          <w:szCs w:val="22"/>
        </w:rPr>
        <w:t>Initial results: 310 sources</w:t>
      </w:r>
    </w:p>
    <w:p w14:paraId="20E5C4BE" w14:textId="77777777" w:rsidR="00485155" w:rsidRDefault="00485155" w:rsidP="00485155">
      <w:pPr>
        <w:pStyle w:val="ListParagraph"/>
        <w:numPr>
          <w:ilvl w:val="0"/>
          <w:numId w:val="5"/>
        </w:numPr>
        <w:spacing w:line="360" w:lineRule="auto"/>
        <w:rPr>
          <w:rFonts w:ascii="Arial" w:hAnsi="Arial" w:cs="Arial"/>
          <w:sz w:val="22"/>
          <w:szCs w:val="22"/>
        </w:rPr>
      </w:pPr>
      <w:r>
        <w:rPr>
          <w:rFonts w:ascii="Arial" w:hAnsi="Arial" w:cs="Arial"/>
          <w:sz w:val="22"/>
          <w:szCs w:val="22"/>
        </w:rPr>
        <w:t>After title/abstract screening: 72 sources</w:t>
      </w:r>
    </w:p>
    <w:p w14:paraId="29B96752" w14:textId="77777777" w:rsidR="00485155" w:rsidRDefault="00485155" w:rsidP="00485155">
      <w:pPr>
        <w:pStyle w:val="ListParagraph"/>
        <w:numPr>
          <w:ilvl w:val="0"/>
          <w:numId w:val="5"/>
        </w:numPr>
        <w:spacing w:line="360" w:lineRule="auto"/>
        <w:rPr>
          <w:rFonts w:ascii="Arial" w:hAnsi="Arial" w:cs="Arial"/>
          <w:sz w:val="22"/>
          <w:szCs w:val="22"/>
        </w:rPr>
      </w:pPr>
      <w:r>
        <w:rPr>
          <w:rFonts w:ascii="Arial" w:hAnsi="Arial" w:cs="Arial"/>
          <w:sz w:val="22"/>
          <w:szCs w:val="22"/>
        </w:rPr>
        <w:t>Final included sources: 38 high</w:t>
      </w:r>
      <w:r>
        <w:rPr>
          <w:rFonts w:ascii="Cambria Math" w:hAnsi="Cambria Math" w:cs="Cambria Math"/>
          <w:sz w:val="22"/>
          <w:szCs w:val="22"/>
        </w:rPr>
        <w:noBreakHyphen/>
      </w:r>
      <w:r>
        <w:rPr>
          <w:rFonts w:ascii="Arial" w:hAnsi="Arial" w:cs="Arial"/>
          <w:sz w:val="22"/>
          <w:szCs w:val="22"/>
        </w:rPr>
        <w:t>quality sources</w:t>
      </w:r>
    </w:p>
    <w:p w14:paraId="48BD7467" w14:textId="77777777" w:rsidR="00485155" w:rsidRDefault="00485155" w:rsidP="00485155">
      <w:pPr>
        <w:spacing w:line="360" w:lineRule="auto"/>
        <w:rPr>
          <w:rFonts w:ascii="Arial" w:hAnsi="Arial" w:cs="Arial"/>
          <w:sz w:val="22"/>
          <w:szCs w:val="22"/>
        </w:rPr>
      </w:pPr>
      <w:r>
        <w:rPr>
          <w:rFonts w:ascii="Arial" w:hAnsi="Arial" w:cs="Arial"/>
          <w:sz w:val="22"/>
          <w:szCs w:val="22"/>
        </w:rPr>
        <w:t>This process ensured that only relevant, credible, and contemporary literature was included.</w:t>
      </w:r>
    </w:p>
    <w:p w14:paraId="2727756D" w14:textId="77777777" w:rsidR="00485155" w:rsidRDefault="00485155" w:rsidP="00485155">
      <w:pPr>
        <w:pStyle w:val="Heading2"/>
      </w:pPr>
      <w:bookmarkStart w:id="4" w:name="_Toc222340251"/>
      <w:r>
        <w:lastRenderedPageBreak/>
        <w:t>3.4 Inclusion and Exclusion Criteria</w:t>
      </w:r>
      <w:bookmarkEnd w:id="4"/>
    </w:p>
    <w:p w14:paraId="2FD0A08E"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Inclusion Criteria</w:t>
      </w:r>
    </w:p>
    <w:p w14:paraId="71AC25C6"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Sources were included if they:</w:t>
      </w:r>
    </w:p>
    <w:p w14:paraId="743213FD" w14:textId="77777777" w:rsidR="00485155" w:rsidRDefault="00485155" w:rsidP="00485155">
      <w:pPr>
        <w:pStyle w:val="ListParagraph"/>
        <w:numPr>
          <w:ilvl w:val="0"/>
          <w:numId w:val="6"/>
        </w:numPr>
        <w:spacing w:line="360" w:lineRule="auto"/>
        <w:rPr>
          <w:rFonts w:ascii="Arial" w:hAnsi="Arial" w:cs="Arial"/>
          <w:sz w:val="22"/>
          <w:szCs w:val="22"/>
        </w:rPr>
      </w:pPr>
      <w:r>
        <w:rPr>
          <w:rFonts w:ascii="Arial" w:hAnsi="Arial" w:cs="Arial"/>
          <w:sz w:val="22"/>
          <w:szCs w:val="22"/>
        </w:rPr>
        <w:t>Were published within the last 10 years (2014–2025)</w:t>
      </w:r>
    </w:p>
    <w:p w14:paraId="4035C2E0" w14:textId="77777777" w:rsidR="00485155" w:rsidRDefault="00485155" w:rsidP="00485155">
      <w:pPr>
        <w:pStyle w:val="ListParagraph"/>
        <w:numPr>
          <w:ilvl w:val="0"/>
          <w:numId w:val="6"/>
        </w:numPr>
        <w:spacing w:line="360" w:lineRule="auto"/>
        <w:rPr>
          <w:rFonts w:ascii="Arial" w:hAnsi="Arial" w:cs="Arial"/>
          <w:sz w:val="22"/>
          <w:szCs w:val="22"/>
        </w:rPr>
      </w:pPr>
      <w:r>
        <w:rPr>
          <w:rFonts w:ascii="Arial" w:hAnsi="Arial" w:cs="Arial"/>
          <w:sz w:val="22"/>
          <w:szCs w:val="22"/>
        </w:rPr>
        <w:t>Focused on obesity within UK ethnic minority populations</w:t>
      </w:r>
    </w:p>
    <w:p w14:paraId="6981EFDA" w14:textId="77777777" w:rsidR="00485155" w:rsidRDefault="00485155" w:rsidP="00485155">
      <w:pPr>
        <w:pStyle w:val="ListParagraph"/>
        <w:numPr>
          <w:ilvl w:val="0"/>
          <w:numId w:val="6"/>
        </w:numPr>
        <w:spacing w:line="360" w:lineRule="auto"/>
        <w:rPr>
          <w:rFonts w:ascii="Arial" w:hAnsi="Arial" w:cs="Arial"/>
          <w:sz w:val="22"/>
          <w:szCs w:val="22"/>
        </w:rPr>
      </w:pPr>
      <w:r>
        <w:rPr>
          <w:rFonts w:ascii="Arial" w:hAnsi="Arial" w:cs="Arial"/>
          <w:sz w:val="22"/>
          <w:szCs w:val="22"/>
        </w:rPr>
        <w:t>Examined psychological outcomes (e.g., depression, anxiety, self</w:t>
      </w:r>
      <w:r>
        <w:rPr>
          <w:rFonts w:ascii="Cambria Math" w:hAnsi="Cambria Math" w:cs="Cambria Math"/>
          <w:sz w:val="22"/>
          <w:szCs w:val="22"/>
        </w:rPr>
        <w:noBreakHyphen/>
      </w:r>
      <w:r>
        <w:rPr>
          <w:rFonts w:ascii="Arial" w:hAnsi="Arial" w:cs="Arial"/>
          <w:sz w:val="22"/>
          <w:szCs w:val="22"/>
        </w:rPr>
        <w:t>esteem)</w:t>
      </w:r>
    </w:p>
    <w:p w14:paraId="38DB6E4A" w14:textId="77777777" w:rsidR="00485155" w:rsidRDefault="00485155" w:rsidP="00485155">
      <w:pPr>
        <w:pStyle w:val="ListParagraph"/>
        <w:numPr>
          <w:ilvl w:val="0"/>
          <w:numId w:val="6"/>
        </w:numPr>
        <w:spacing w:line="360" w:lineRule="auto"/>
        <w:rPr>
          <w:rFonts w:ascii="Arial" w:hAnsi="Arial" w:cs="Arial"/>
          <w:sz w:val="22"/>
          <w:szCs w:val="22"/>
        </w:rPr>
      </w:pPr>
      <w:r>
        <w:rPr>
          <w:rFonts w:ascii="Arial" w:hAnsi="Arial" w:cs="Arial"/>
          <w:sz w:val="22"/>
          <w:szCs w:val="22"/>
        </w:rPr>
        <w:t>Discussed stigma, cultural beliefs, or mental health inequalities</w:t>
      </w:r>
    </w:p>
    <w:p w14:paraId="5522DC88" w14:textId="77777777" w:rsidR="00485155" w:rsidRDefault="00485155" w:rsidP="00485155">
      <w:pPr>
        <w:pStyle w:val="ListParagraph"/>
        <w:numPr>
          <w:ilvl w:val="0"/>
          <w:numId w:val="6"/>
        </w:numPr>
        <w:spacing w:line="360" w:lineRule="auto"/>
        <w:rPr>
          <w:rFonts w:ascii="Arial" w:hAnsi="Arial" w:cs="Arial"/>
          <w:sz w:val="22"/>
          <w:szCs w:val="22"/>
        </w:rPr>
      </w:pPr>
      <w:r>
        <w:rPr>
          <w:rFonts w:ascii="Arial" w:hAnsi="Arial" w:cs="Arial"/>
          <w:sz w:val="22"/>
          <w:szCs w:val="22"/>
        </w:rPr>
        <w:t>Were peer</w:t>
      </w:r>
      <w:r>
        <w:rPr>
          <w:rFonts w:ascii="Cambria Math" w:hAnsi="Cambria Math" w:cs="Cambria Math"/>
          <w:sz w:val="22"/>
          <w:szCs w:val="22"/>
        </w:rPr>
        <w:noBreakHyphen/>
      </w:r>
      <w:r>
        <w:rPr>
          <w:rFonts w:ascii="Arial" w:hAnsi="Arial" w:cs="Arial"/>
          <w:sz w:val="22"/>
          <w:szCs w:val="22"/>
        </w:rPr>
        <w:t>reviewed or produced by reputable organisations (e.g., ONS, NHS Digital, WHO)</w:t>
      </w:r>
    </w:p>
    <w:p w14:paraId="35732A78"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Exclusion Criteria</w:t>
      </w:r>
    </w:p>
    <w:p w14:paraId="1E310800"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Sources were excluded if they:</w:t>
      </w:r>
    </w:p>
    <w:p w14:paraId="5A0CA9A3" w14:textId="77777777" w:rsidR="00485155" w:rsidRDefault="00485155" w:rsidP="00485155">
      <w:pPr>
        <w:pStyle w:val="ListParagraph"/>
        <w:numPr>
          <w:ilvl w:val="0"/>
          <w:numId w:val="7"/>
        </w:numPr>
        <w:spacing w:line="360" w:lineRule="auto"/>
        <w:rPr>
          <w:rFonts w:ascii="Arial" w:hAnsi="Arial" w:cs="Arial"/>
          <w:sz w:val="22"/>
          <w:szCs w:val="22"/>
        </w:rPr>
      </w:pPr>
      <w:r>
        <w:rPr>
          <w:rFonts w:ascii="Arial" w:hAnsi="Arial" w:cs="Arial"/>
          <w:sz w:val="22"/>
          <w:szCs w:val="22"/>
        </w:rPr>
        <w:t>Focused solely on physical health outcomes without psychological relevance</w:t>
      </w:r>
    </w:p>
    <w:p w14:paraId="32D4B08D" w14:textId="77777777" w:rsidR="00485155" w:rsidRDefault="00485155" w:rsidP="00485155">
      <w:pPr>
        <w:pStyle w:val="ListParagraph"/>
        <w:numPr>
          <w:ilvl w:val="0"/>
          <w:numId w:val="7"/>
        </w:numPr>
        <w:spacing w:line="360" w:lineRule="auto"/>
        <w:rPr>
          <w:rFonts w:ascii="Arial" w:hAnsi="Arial" w:cs="Arial"/>
          <w:sz w:val="22"/>
          <w:szCs w:val="22"/>
        </w:rPr>
      </w:pPr>
      <w:r>
        <w:rPr>
          <w:rFonts w:ascii="Arial" w:hAnsi="Arial" w:cs="Arial"/>
          <w:sz w:val="22"/>
          <w:szCs w:val="22"/>
        </w:rPr>
        <w:t>Were non</w:t>
      </w:r>
      <w:r>
        <w:rPr>
          <w:rFonts w:ascii="Cambria Math" w:hAnsi="Cambria Math" w:cs="Cambria Math"/>
          <w:sz w:val="22"/>
          <w:szCs w:val="22"/>
        </w:rPr>
        <w:noBreakHyphen/>
      </w:r>
      <w:r>
        <w:rPr>
          <w:rFonts w:ascii="Arial" w:hAnsi="Arial" w:cs="Arial"/>
          <w:sz w:val="22"/>
          <w:szCs w:val="22"/>
        </w:rPr>
        <w:t>UK based unless offering transferable theoretical insight</w:t>
      </w:r>
    </w:p>
    <w:p w14:paraId="2485DF00" w14:textId="77777777" w:rsidR="00485155" w:rsidRDefault="00485155" w:rsidP="00485155">
      <w:pPr>
        <w:pStyle w:val="ListParagraph"/>
        <w:numPr>
          <w:ilvl w:val="0"/>
          <w:numId w:val="7"/>
        </w:numPr>
        <w:spacing w:line="360" w:lineRule="auto"/>
        <w:rPr>
          <w:rFonts w:ascii="Arial" w:hAnsi="Arial" w:cs="Arial"/>
          <w:sz w:val="22"/>
          <w:szCs w:val="22"/>
        </w:rPr>
      </w:pPr>
      <w:r>
        <w:rPr>
          <w:rFonts w:ascii="Arial" w:hAnsi="Arial" w:cs="Arial"/>
          <w:sz w:val="22"/>
          <w:szCs w:val="22"/>
        </w:rPr>
        <w:t>Were opinion pieces, blogs, or non</w:t>
      </w:r>
      <w:r>
        <w:rPr>
          <w:rFonts w:ascii="Cambria Math" w:hAnsi="Cambria Math" w:cs="Cambria Math"/>
          <w:sz w:val="22"/>
          <w:szCs w:val="22"/>
        </w:rPr>
        <w:noBreakHyphen/>
      </w:r>
      <w:r>
        <w:rPr>
          <w:rFonts w:ascii="Arial" w:hAnsi="Arial" w:cs="Arial"/>
          <w:sz w:val="22"/>
          <w:szCs w:val="22"/>
        </w:rPr>
        <w:t>academic sources</w:t>
      </w:r>
    </w:p>
    <w:p w14:paraId="3EC8CB4E" w14:textId="77777777" w:rsidR="00485155" w:rsidRDefault="00485155" w:rsidP="00485155">
      <w:pPr>
        <w:pStyle w:val="ListParagraph"/>
        <w:numPr>
          <w:ilvl w:val="0"/>
          <w:numId w:val="7"/>
        </w:numPr>
        <w:spacing w:line="360" w:lineRule="auto"/>
        <w:rPr>
          <w:rFonts w:ascii="Arial" w:hAnsi="Arial" w:cs="Arial"/>
          <w:sz w:val="22"/>
          <w:szCs w:val="22"/>
        </w:rPr>
      </w:pPr>
      <w:r>
        <w:rPr>
          <w:rFonts w:ascii="Arial" w:hAnsi="Arial" w:cs="Arial"/>
          <w:sz w:val="22"/>
          <w:szCs w:val="22"/>
        </w:rPr>
        <w:t>Were published before 2014 unless historically essential</w:t>
      </w:r>
    </w:p>
    <w:p w14:paraId="382C540A" w14:textId="77777777" w:rsidR="00485155" w:rsidRDefault="00485155" w:rsidP="00485155">
      <w:pPr>
        <w:pStyle w:val="ListParagraph"/>
        <w:numPr>
          <w:ilvl w:val="0"/>
          <w:numId w:val="7"/>
        </w:numPr>
        <w:spacing w:line="360" w:lineRule="auto"/>
        <w:rPr>
          <w:rFonts w:ascii="Arial" w:hAnsi="Arial" w:cs="Arial"/>
          <w:sz w:val="22"/>
          <w:szCs w:val="22"/>
        </w:rPr>
      </w:pPr>
      <w:r>
        <w:rPr>
          <w:rFonts w:ascii="Arial" w:hAnsi="Arial" w:cs="Arial"/>
          <w:sz w:val="22"/>
          <w:szCs w:val="22"/>
        </w:rPr>
        <w:t>Lacked methodological transparency or credibility (CRAAP score &lt;70%)</w:t>
      </w:r>
    </w:p>
    <w:p w14:paraId="17A0E245" w14:textId="77777777" w:rsidR="00485155" w:rsidRDefault="00485155" w:rsidP="00485155">
      <w:pPr>
        <w:pStyle w:val="ListParagraph"/>
        <w:numPr>
          <w:ilvl w:val="0"/>
          <w:numId w:val="7"/>
        </w:numPr>
        <w:spacing w:line="360" w:lineRule="auto"/>
        <w:rPr>
          <w:rFonts w:ascii="Arial" w:hAnsi="Arial" w:cs="Arial"/>
          <w:sz w:val="22"/>
          <w:szCs w:val="22"/>
        </w:rPr>
      </w:pPr>
      <w:r>
        <w:rPr>
          <w:rFonts w:ascii="Arial" w:hAnsi="Arial" w:cs="Arial"/>
          <w:sz w:val="22"/>
          <w:szCs w:val="22"/>
        </w:rPr>
        <w:t>This ensured methodological rigour and relevance to the research aims.</w:t>
      </w:r>
    </w:p>
    <w:p w14:paraId="1215345B" w14:textId="77777777" w:rsidR="00485155" w:rsidRDefault="00485155" w:rsidP="00485155">
      <w:pPr>
        <w:pStyle w:val="Heading2"/>
      </w:pPr>
      <w:bookmarkStart w:id="5" w:name="_Toc222340252"/>
      <w:r>
        <w:t>3.5 Source Tracking and Coding</w:t>
      </w:r>
      <w:bookmarkEnd w:id="5"/>
    </w:p>
    <w:p w14:paraId="52863EE1"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A structured source</w:t>
      </w:r>
      <w:r>
        <w:rPr>
          <w:rFonts w:ascii="Cambria Math" w:hAnsi="Cambria Math" w:cs="Cambria Math"/>
          <w:b/>
          <w:bCs/>
          <w:sz w:val="22"/>
          <w:szCs w:val="22"/>
        </w:rPr>
        <w:noBreakHyphen/>
      </w:r>
      <w:r>
        <w:rPr>
          <w:rFonts w:ascii="Arial" w:hAnsi="Arial" w:cs="Arial"/>
          <w:b/>
          <w:bCs/>
          <w:sz w:val="22"/>
          <w:szCs w:val="22"/>
        </w:rPr>
        <w:t>tracking table was used to record:</w:t>
      </w:r>
    </w:p>
    <w:p w14:paraId="032723F2" w14:textId="77777777" w:rsidR="00485155" w:rsidRDefault="00485155" w:rsidP="00485155">
      <w:pPr>
        <w:pStyle w:val="ListParagraph"/>
        <w:numPr>
          <w:ilvl w:val="0"/>
          <w:numId w:val="8"/>
        </w:numPr>
        <w:spacing w:line="360" w:lineRule="auto"/>
        <w:rPr>
          <w:rFonts w:ascii="Arial" w:hAnsi="Arial" w:cs="Arial"/>
          <w:sz w:val="22"/>
          <w:szCs w:val="22"/>
        </w:rPr>
      </w:pPr>
      <w:r>
        <w:rPr>
          <w:rFonts w:ascii="Arial" w:hAnsi="Arial" w:cs="Arial"/>
          <w:sz w:val="22"/>
          <w:szCs w:val="22"/>
        </w:rPr>
        <w:t>Author(s)</w:t>
      </w:r>
    </w:p>
    <w:p w14:paraId="0F9AA51A" w14:textId="77777777" w:rsidR="00485155" w:rsidRDefault="00485155" w:rsidP="00485155">
      <w:pPr>
        <w:pStyle w:val="ListParagraph"/>
        <w:numPr>
          <w:ilvl w:val="0"/>
          <w:numId w:val="8"/>
        </w:numPr>
        <w:spacing w:line="360" w:lineRule="auto"/>
        <w:rPr>
          <w:rFonts w:ascii="Arial" w:hAnsi="Arial" w:cs="Arial"/>
          <w:sz w:val="22"/>
          <w:szCs w:val="22"/>
        </w:rPr>
      </w:pPr>
      <w:r>
        <w:rPr>
          <w:rFonts w:ascii="Arial" w:hAnsi="Arial" w:cs="Arial"/>
          <w:sz w:val="22"/>
          <w:szCs w:val="22"/>
        </w:rPr>
        <w:t>Year</w:t>
      </w:r>
    </w:p>
    <w:p w14:paraId="3ABC940A" w14:textId="77777777" w:rsidR="00485155" w:rsidRDefault="00485155" w:rsidP="00485155">
      <w:pPr>
        <w:pStyle w:val="ListParagraph"/>
        <w:numPr>
          <w:ilvl w:val="0"/>
          <w:numId w:val="8"/>
        </w:numPr>
        <w:spacing w:line="360" w:lineRule="auto"/>
        <w:rPr>
          <w:rFonts w:ascii="Arial" w:hAnsi="Arial" w:cs="Arial"/>
          <w:sz w:val="22"/>
          <w:szCs w:val="22"/>
        </w:rPr>
      </w:pPr>
      <w:r>
        <w:rPr>
          <w:rFonts w:ascii="Arial" w:hAnsi="Arial" w:cs="Arial"/>
          <w:sz w:val="22"/>
          <w:szCs w:val="22"/>
        </w:rPr>
        <w:t>Title</w:t>
      </w:r>
    </w:p>
    <w:p w14:paraId="6F8819F3" w14:textId="77777777" w:rsidR="00485155" w:rsidRDefault="00485155" w:rsidP="00485155">
      <w:pPr>
        <w:pStyle w:val="ListParagraph"/>
        <w:numPr>
          <w:ilvl w:val="0"/>
          <w:numId w:val="8"/>
        </w:numPr>
        <w:spacing w:line="360" w:lineRule="auto"/>
        <w:rPr>
          <w:rFonts w:ascii="Arial" w:hAnsi="Arial" w:cs="Arial"/>
          <w:sz w:val="22"/>
          <w:szCs w:val="22"/>
        </w:rPr>
      </w:pPr>
      <w:r>
        <w:rPr>
          <w:rFonts w:ascii="Arial" w:hAnsi="Arial" w:cs="Arial"/>
          <w:sz w:val="22"/>
          <w:szCs w:val="22"/>
        </w:rPr>
        <w:t>Methodology</w:t>
      </w:r>
    </w:p>
    <w:p w14:paraId="535862B5" w14:textId="77777777" w:rsidR="00485155" w:rsidRDefault="00485155" w:rsidP="00485155">
      <w:pPr>
        <w:pStyle w:val="ListParagraph"/>
        <w:numPr>
          <w:ilvl w:val="0"/>
          <w:numId w:val="8"/>
        </w:numPr>
        <w:spacing w:line="360" w:lineRule="auto"/>
        <w:rPr>
          <w:rFonts w:ascii="Arial" w:hAnsi="Arial" w:cs="Arial"/>
          <w:sz w:val="22"/>
          <w:szCs w:val="22"/>
        </w:rPr>
      </w:pPr>
      <w:r>
        <w:rPr>
          <w:rFonts w:ascii="Arial" w:hAnsi="Arial" w:cs="Arial"/>
          <w:sz w:val="22"/>
          <w:szCs w:val="22"/>
        </w:rPr>
        <w:t>Key findings</w:t>
      </w:r>
    </w:p>
    <w:p w14:paraId="00CF9518" w14:textId="77777777" w:rsidR="00485155" w:rsidRDefault="00485155" w:rsidP="00485155">
      <w:pPr>
        <w:pStyle w:val="ListParagraph"/>
        <w:numPr>
          <w:ilvl w:val="0"/>
          <w:numId w:val="8"/>
        </w:numPr>
        <w:spacing w:line="360" w:lineRule="auto"/>
        <w:rPr>
          <w:rFonts w:ascii="Arial" w:hAnsi="Arial" w:cs="Arial"/>
          <w:sz w:val="22"/>
          <w:szCs w:val="22"/>
        </w:rPr>
      </w:pPr>
      <w:r>
        <w:rPr>
          <w:rFonts w:ascii="Arial" w:hAnsi="Arial" w:cs="Arial"/>
          <w:sz w:val="22"/>
          <w:szCs w:val="22"/>
        </w:rPr>
        <w:t>Relevance to research objectives</w:t>
      </w:r>
    </w:p>
    <w:p w14:paraId="36977D4E"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Thematic Coding</w:t>
      </w:r>
    </w:p>
    <w:p w14:paraId="6CAEED08"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Thematic analysis followed Braun and Clarke’s (2006) six</w:t>
      </w:r>
      <w:r>
        <w:rPr>
          <w:rFonts w:ascii="Cambria Math" w:hAnsi="Cambria Math" w:cs="Cambria Math"/>
          <w:b/>
          <w:bCs/>
          <w:sz w:val="22"/>
          <w:szCs w:val="22"/>
        </w:rPr>
        <w:noBreakHyphen/>
      </w:r>
      <w:r>
        <w:rPr>
          <w:rFonts w:ascii="Arial" w:hAnsi="Arial" w:cs="Arial"/>
          <w:b/>
          <w:bCs/>
          <w:sz w:val="22"/>
          <w:szCs w:val="22"/>
        </w:rPr>
        <w:t>phase framework:</w:t>
      </w:r>
    </w:p>
    <w:p w14:paraId="0DC82D17" w14:textId="77777777" w:rsidR="00485155" w:rsidRDefault="00485155" w:rsidP="00485155">
      <w:pPr>
        <w:pStyle w:val="ListParagraph"/>
        <w:numPr>
          <w:ilvl w:val="0"/>
          <w:numId w:val="9"/>
        </w:numPr>
        <w:spacing w:line="360" w:lineRule="auto"/>
        <w:rPr>
          <w:rFonts w:ascii="Arial" w:hAnsi="Arial" w:cs="Arial"/>
          <w:sz w:val="22"/>
          <w:szCs w:val="22"/>
        </w:rPr>
      </w:pPr>
      <w:r>
        <w:rPr>
          <w:rFonts w:ascii="Arial" w:hAnsi="Arial" w:cs="Arial"/>
          <w:sz w:val="22"/>
          <w:szCs w:val="22"/>
        </w:rPr>
        <w:t>Familiarisation: reading and re</w:t>
      </w:r>
      <w:r>
        <w:rPr>
          <w:rFonts w:ascii="Cambria Math" w:hAnsi="Cambria Math" w:cs="Cambria Math"/>
          <w:sz w:val="22"/>
          <w:szCs w:val="22"/>
        </w:rPr>
        <w:noBreakHyphen/>
      </w:r>
      <w:r>
        <w:rPr>
          <w:rFonts w:ascii="Arial" w:hAnsi="Arial" w:cs="Arial"/>
          <w:sz w:val="22"/>
          <w:szCs w:val="22"/>
        </w:rPr>
        <w:t>reading sources</w:t>
      </w:r>
    </w:p>
    <w:p w14:paraId="53769575" w14:textId="77777777" w:rsidR="00485155" w:rsidRDefault="00485155" w:rsidP="00485155">
      <w:pPr>
        <w:pStyle w:val="ListParagraph"/>
        <w:numPr>
          <w:ilvl w:val="0"/>
          <w:numId w:val="9"/>
        </w:numPr>
        <w:spacing w:line="360" w:lineRule="auto"/>
        <w:rPr>
          <w:rFonts w:ascii="Arial" w:hAnsi="Arial" w:cs="Arial"/>
          <w:sz w:val="22"/>
          <w:szCs w:val="22"/>
        </w:rPr>
      </w:pPr>
      <w:r>
        <w:rPr>
          <w:rFonts w:ascii="Arial" w:hAnsi="Arial" w:cs="Arial"/>
          <w:sz w:val="22"/>
          <w:szCs w:val="22"/>
        </w:rPr>
        <w:t>Initial coding: identifying meaningful units of data</w:t>
      </w:r>
    </w:p>
    <w:p w14:paraId="07509C00" w14:textId="77777777" w:rsidR="00485155" w:rsidRDefault="00485155" w:rsidP="00485155">
      <w:pPr>
        <w:pStyle w:val="ListParagraph"/>
        <w:numPr>
          <w:ilvl w:val="0"/>
          <w:numId w:val="9"/>
        </w:numPr>
        <w:spacing w:line="360" w:lineRule="auto"/>
        <w:rPr>
          <w:rFonts w:ascii="Arial" w:hAnsi="Arial" w:cs="Arial"/>
          <w:sz w:val="22"/>
          <w:szCs w:val="22"/>
        </w:rPr>
      </w:pPr>
      <w:r>
        <w:rPr>
          <w:rFonts w:ascii="Arial" w:hAnsi="Arial" w:cs="Arial"/>
          <w:sz w:val="22"/>
          <w:szCs w:val="22"/>
        </w:rPr>
        <w:t>Theme development: grouping codes into broader categories</w:t>
      </w:r>
    </w:p>
    <w:p w14:paraId="3A7D4E18" w14:textId="77777777" w:rsidR="00485155" w:rsidRDefault="00485155" w:rsidP="00485155">
      <w:pPr>
        <w:pStyle w:val="ListParagraph"/>
        <w:numPr>
          <w:ilvl w:val="0"/>
          <w:numId w:val="9"/>
        </w:numPr>
        <w:spacing w:line="360" w:lineRule="auto"/>
        <w:rPr>
          <w:rFonts w:ascii="Arial" w:hAnsi="Arial" w:cs="Arial"/>
          <w:sz w:val="22"/>
          <w:szCs w:val="22"/>
        </w:rPr>
      </w:pPr>
      <w:r>
        <w:rPr>
          <w:rFonts w:ascii="Arial" w:hAnsi="Arial" w:cs="Arial"/>
          <w:sz w:val="22"/>
          <w:szCs w:val="22"/>
        </w:rPr>
        <w:t>Reviewing themes: refining and merging overlapping themes</w:t>
      </w:r>
    </w:p>
    <w:p w14:paraId="7429BAFE" w14:textId="77777777" w:rsidR="00485155" w:rsidRDefault="00485155" w:rsidP="00485155">
      <w:pPr>
        <w:pStyle w:val="ListParagraph"/>
        <w:numPr>
          <w:ilvl w:val="0"/>
          <w:numId w:val="9"/>
        </w:numPr>
        <w:spacing w:line="360" w:lineRule="auto"/>
        <w:rPr>
          <w:rFonts w:ascii="Arial" w:hAnsi="Arial" w:cs="Arial"/>
          <w:sz w:val="22"/>
          <w:szCs w:val="22"/>
        </w:rPr>
      </w:pPr>
      <w:r>
        <w:rPr>
          <w:rFonts w:ascii="Arial" w:hAnsi="Arial" w:cs="Arial"/>
          <w:sz w:val="22"/>
          <w:szCs w:val="22"/>
        </w:rPr>
        <w:lastRenderedPageBreak/>
        <w:t>Defining themes: ensuring clarity and coherence</w:t>
      </w:r>
    </w:p>
    <w:p w14:paraId="7FF79F07" w14:textId="77777777" w:rsidR="00485155" w:rsidRDefault="00485155" w:rsidP="00485155">
      <w:pPr>
        <w:pStyle w:val="ListParagraph"/>
        <w:numPr>
          <w:ilvl w:val="0"/>
          <w:numId w:val="9"/>
        </w:numPr>
        <w:spacing w:line="360" w:lineRule="auto"/>
        <w:rPr>
          <w:rFonts w:ascii="Arial" w:hAnsi="Arial" w:cs="Arial"/>
          <w:sz w:val="22"/>
          <w:szCs w:val="22"/>
        </w:rPr>
      </w:pPr>
      <w:r>
        <w:rPr>
          <w:rFonts w:ascii="Arial" w:hAnsi="Arial" w:cs="Arial"/>
          <w:sz w:val="22"/>
          <w:szCs w:val="22"/>
        </w:rPr>
        <w:t>Producing the analysis: integrating themes into the findings chapter</w:t>
      </w:r>
    </w:p>
    <w:p w14:paraId="599CBA04"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Key Coding Categories</w:t>
      </w:r>
    </w:p>
    <w:p w14:paraId="6C9909A3" w14:textId="77777777" w:rsidR="00485155" w:rsidRDefault="00485155" w:rsidP="00485155">
      <w:pPr>
        <w:pStyle w:val="ListParagraph"/>
        <w:numPr>
          <w:ilvl w:val="0"/>
          <w:numId w:val="10"/>
        </w:numPr>
        <w:spacing w:line="360" w:lineRule="auto"/>
        <w:rPr>
          <w:rFonts w:ascii="Arial" w:hAnsi="Arial" w:cs="Arial"/>
          <w:sz w:val="22"/>
          <w:szCs w:val="22"/>
        </w:rPr>
      </w:pPr>
      <w:r>
        <w:rPr>
          <w:rFonts w:ascii="Arial" w:hAnsi="Arial" w:cs="Arial"/>
          <w:sz w:val="22"/>
          <w:szCs w:val="22"/>
        </w:rPr>
        <w:t>Psychological outcomes (depression, anxiety, self</w:t>
      </w:r>
      <w:r>
        <w:rPr>
          <w:rFonts w:ascii="Cambria Math" w:hAnsi="Cambria Math" w:cs="Cambria Math"/>
          <w:sz w:val="22"/>
          <w:szCs w:val="22"/>
        </w:rPr>
        <w:noBreakHyphen/>
      </w:r>
      <w:r>
        <w:rPr>
          <w:rFonts w:ascii="Arial" w:hAnsi="Arial" w:cs="Arial"/>
          <w:sz w:val="22"/>
          <w:szCs w:val="22"/>
        </w:rPr>
        <w:t>harm risk)</w:t>
      </w:r>
    </w:p>
    <w:p w14:paraId="4613986B" w14:textId="77777777" w:rsidR="00485155" w:rsidRDefault="00485155" w:rsidP="00485155">
      <w:pPr>
        <w:pStyle w:val="ListParagraph"/>
        <w:numPr>
          <w:ilvl w:val="0"/>
          <w:numId w:val="10"/>
        </w:numPr>
        <w:spacing w:line="360" w:lineRule="auto"/>
        <w:rPr>
          <w:rFonts w:ascii="Arial" w:hAnsi="Arial" w:cs="Arial"/>
          <w:sz w:val="22"/>
          <w:szCs w:val="22"/>
        </w:rPr>
      </w:pPr>
      <w:r>
        <w:rPr>
          <w:rFonts w:ascii="Arial" w:hAnsi="Arial" w:cs="Arial"/>
          <w:sz w:val="22"/>
          <w:szCs w:val="22"/>
        </w:rPr>
        <w:t>Weight stigma and internalised shame</w:t>
      </w:r>
    </w:p>
    <w:p w14:paraId="78CB116A" w14:textId="77777777" w:rsidR="00485155" w:rsidRDefault="00485155" w:rsidP="00485155">
      <w:pPr>
        <w:pStyle w:val="ListParagraph"/>
        <w:numPr>
          <w:ilvl w:val="0"/>
          <w:numId w:val="10"/>
        </w:numPr>
        <w:spacing w:line="360" w:lineRule="auto"/>
        <w:rPr>
          <w:rFonts w:ascii="Arial" w:hAnsi="Arial" w:cs="Arial"/>
          <w:sz w:val="22"/>
          <w:szCs w:val="22"/>
        </w:rPr>
      </w:pPr>
      <w:r>
        <w:rPr>
          <w:rFonts w:ascii="Arial" w:hAnsi="Arial" w:cs="Arial"/>
          <w:sz w:val="22"/>
          <w:szCs w:val="22"/>
        </w:rPr>
        <w:t>Cultural beliefs about body size</w:t>
      </w:r>
    </w:p>
    <w:p w14:paraId="216819D4" w14:textId="77777777" w:rsidR="00485155" w:rsidRDefault="00485155" w:rsidP="00485155">
      <w:pPr>
        <w:pStyle w:val="ListParagraph"/>
        <w:numPr>
          <w:ilvl w:val="0"/>
          <w:numId w:val="10"/>
        </w:numPr>
        <w:spacing w:line="360" w:lineRule="auto"/>
        <w:rPr>
          <w:rFonts w:ascii="Arial" w:hAnsi="Arial" w:cs="Arial"/>
          <w:sz w:val="22"/>
          <w:szCs w:val="22"/>
        </w:rPr>
      </w:pPr>
      <w:r>
        <w:rPr>
          <w:rFonts w:ascii="Arial" w:hAnsi="Arial" w:cs="Arial"/>
          <w:sz w:val="22"/>
          <w:szCs w:val="22"/>
        </w:rPr>
        <w:t>Identity conflict and acculturation</w:t>
      </w:r>
    </w:p>
    <w:p w14:paraId="31B3997B" w14:textId="77777777" w:rsidR="00485155" w:rsidRDefault="00485155" w:rsidP="00485155">
      <w:pPr>
        <w:pStyle w:val="ListParagraph"/>
        <w:numPr>
          <w:ilvl w:val="0"/>
          <w:numId w:val="10"/>
        </w:numPr>
        <w:spacing w:line="360" w:lineRule="auto"/>
        <w:rPr>
          <w:rFonts w:ascii="Arial" w:hAnsi="Arial" w:cs="Arial"/>
          <w:sz w:val="22"/>
          <w:szCs w:val="22"/>
        </w:rPr>
      </w:pPr>
      <w:r>
        <w:rPr>
          <w:rFonts w:ascii="Arial" w:hAnsi="Arial" w:cs="Arial"/>
          <w:sz w:val="22"/>
          <w:szCs w:val="22"/>
        </w:rPr>
        <w:t>Barriers to mental health support</w:t>
      </w:r>
    </w:p>
    <w:p w14:paraId="5213D7C1" w14:textId="77777777" w:rsidR="00485155" w:rsidRDefault="00485155" w:rsidP="00485155">
      <w:pPr>
        <w:pStyle w:val="ListParagraph"/>
        <w:numPr>
          <w:ilvl w:val="0"/>
          <w:numId w:val="10"/>
        </w:numPr>
        <w:spacing w:line="360" w:lineRule="auto"/>
        <w:rPr>
          <w:rFonts w:ascii="Arial" w:hAnsi="Arial" w:cs="Arial"/>
          <w:sz w:val="22"/>
          <w:szCs w:val="22"/>
        </w:rPr>
      </w:pPr>
      <w:r>
        <w:rPr>
          <w:rFonts w:ascii="Arial" w:hAnsi="Arial" w:cs="Arial"/>
          <w:sz w:val="22"/>
          <w:szCs w:val="22"/>
        </w:rPr>
        <w:t>Structural inequalities (racism, poverty, healthcare access)</w:t>
      </w:r>
    </w:p>
    <w:p w14:paraId="5E48D94F" w14:textId="77777777" w:rsidR="00485155" w:rsidRDefault="00485155" w:rsidP="00485155">
      <w:pPr>
        <w:pStyle w:val="Heading3"/>
      </w:pPr>
      <w:bookmarkStart w:id="6" w:name="_Toc222340253"/>
      <w:r>
        <w:t>Sourcing Table</w:t>
      </w:r>
      <w:bookmarkEnd w:id="6"/>
    </w:p>
    <w:tbl>
      <w:tblPr>
        <w:tblStyle w:val="TableGrid"/>
        <w:tblW w:w="0" w:type="auto"/>
        <w:tblInd w:w="0" w:type="dxa"/>
        <w:tblLook w:val="04A0" w:firstRow="1" w:lastRow="0" w:firstColumn="1" w:lastColumn="0" w:noHBand="0" w:noVBand="1"/>
      </w:tblPr>
      <w:tblGrid>
        <w:gridCol w:w="1414"/>
        <w:gridCol w:w="1318"/>
        <w:gridCol w:w="1586"/>
        <w:gridCol w:w="1635"/>
        <w:gridCol w:w="1586"/>
        <w:gridCol w:w="1477"/>
      </w:tblGrid>
      <w:tr w:rsidR="00485155" w14:paraId="39170744" w14:textId="77777777">
        <w:tc>
          <w:tcPr>
            <w:tcW w:w="1502" w:type="dxa"/>
            <w:tcBorders>
              <w:top w:val="single" w:sz="4" w:space="0" w:color="auto"/>
              <w:left w:val="single" w:sz="4" w:space="0" w:color="auto"/>
              <w:bottom w:val="single" w:sz="4" w:space="0" w:color="auto"/>
              <w:right w:val="single" w:sz="4" w:space="0" w:color="auto"/>
            </w:tcBorders>
            <w:hideMark/>
          </w:tcPr>
          <w:p w14:paraId="2BC58F81" w14:textId="77777777" w:rsidR="00485155" w:rsidRDefault="00485155">
            <w:pPr>
              <w:spacing w:line="360" w:lineRule="auto"/>
              <w:rPr>
                <w:rFonts w:ascii="Arial" w:hAnsi="Arial" w:cs="Arial"/>
                <w:sz w:val="22"/>
                <w:szCs w:val="22"/>
              </w:rPr>
            </w:pPr>
            <w:r>
              <w:rPr>
                <w:rFonts w:ascii="Arial" w:hAnsi="Arial" w:cs="Arial"/>
                <w:sz w:val="22"/>
                <w:szCs w:val="22"/>
              </w:rPr>
              <w:t>Author(s)</w:t>
            </w:r>
          </w:p>
        </w:tc>
        <w:tc>
          <w:tcPr>
            <w:tcW w:w="1502" w:type="dxa"/>
            <w:tcBorders>
              <w:top w:val="single" w:sz="4" w:space="0" w:color="auto"/>
              <w:left w:val="single" w:sz="4" w:space="0" w:color="auto"/>
              <w:bottom w:val="single" w:sz="4" w:space="0" w:color="auto"/>
              <w:right w:val="single" w:sz="4" w:space="0" w:color="auto"/>
            </w:tcBorders>
            <w:hideMark/>
          </w:tcPr>
          <w:p w14:paraId="551F1F9A" w14:textId="77777777" w:rsidR="00485155" w:rsidRDefault="00485155">
            <w:pPr>
              <w:spacing w:line="360" w:lineRule="auto"/>
              <w:rPr>
                <w:rFonts w:ascii="Arial" w:hAnsi="Arial" w:cs="Arial"/>
                <w:sz w:val="22"/>
                <w:szCs w:val="22"/>
              </w:rPr>
            </w:pPr>
            <w:r>
              <w:rPr>
                <w:rFonts w:ascii="Arial" w:hAnsi="Arial" w:cs="Arial"/>
                <w:sz w:val="22"/>
                <w:szCs w:val="22"/>
              </w:rPr>
              <w:t>Year</w:t>
            </w:r>
          </w:p>
        </w:tc>
        <w:tc>
          <w:tcPr>
            <w:tcW w:w="1503" w:type="dxa"/>
            <w:tcBorders>
              <w:top w:val="single" w:sz="4" w:space="0" w:color="auto"/>
              <w:left w:val="single" w:sz="4" w:space="0" w:color="auto"/>
              <w:bottom w:val="single" w:sz="4" w:space="0" w:color="auto"/>
              <w:right w:val="single" w:sz="4" w:space="0" w:color="auto"/>
            </w:tcBorders>
            <w:hideMark/>
          </w:tcPr>
          <w:p w14:paraId="260C4BAF" w14:textId="77777777" w:rsidR="00485155" w:rsidRDefault="00485155">
            <w:pPr>
              <w:spacing w:line="360" w:lineRule="auto"/>
              <w:rPr>
                <w:rFonts w:ascii="Arial" w:hAnsi="Arial" w:cs="Arial"/>
                <w:sz w:val="22"/>
                <w:szCs w:val="22"/>
              </w:rPr>
            </w:pPr>
            <w:r>
              <w:rPr>
                <w:rFonts w:ascii="Arial" w:hAnsi="Arial" w:cs="Arial"/>
                <w:sz w:val="22"/>
                <w:szCs w:val="22"/>
              </w:rPr>
              <w:t>Title</w:t>
            </w:r>
          </w:p>
        </w:tc>
        <w:tc>
          <w:tcPr>
            <w:tcW w:w="1503" w:type="dxa"/>
            <w:tcBorders>
              <w:top w:val="single" w:sz="4" w:space="0" w:color="auto"/>
              <w:left w:val="single" w:sz="4" w:space="0" w:color="auto"/>
              <w:bottom w:val="single" w:sz="4" w:space="0" w:color="auto"/>
              <w:right w:val="single" w:sz="4" w:space="0" w:color="auto"/>
            </w:tcBorders>
            <w:hideMark/>
          </w:tcPr>
          <w:p w14:paraId="40C05243" w14:textId="77777777" w:rsidR="00485155" w:rsidRDefault="00485155">
            <w:pPr>
              <w:spacing w:line="360" w:lineRule="auto"/>
              <w:rPr>
                <w:rFonts w:ascii="Arial" w:hAnsi="Arial" w:cs="Arial"/>
                <w:sz w:val="22"/>
                <w:szCs w:val="22"/>
              </w:rPr>
            </w:pPr>
            <w:r>
              <w:rPr>
                <w:rFonts w:ascii="Arial" w:hAnsi="Arial" w:cs="Arial"/>
                <w:sz w:val="22"/>
                <w:szCs w:val="22"/>
              </w:rPr>
              <w:t>Source Type</w:t>
            </w:r>
          </w:p>
        </w:tc>
        <w:tc>
          <w:tcPr>
            <w:tcW w:w="1503" w:type="dxa"/>
            <w:tcBorders>
              <w:top w:val="single" w:sz="4" w:space="0" w:color="auto"/>
              <w:left w:val="single" w:sz="4" w:space="0" w:color="auto"/>
              <w:bottom w:val="single" w:sz="4" w:space="0" w:color="auto"/>
              <w:right w:val="single" w:sz="4" w:space="0" w:color="auto"/>
            </w:tcBorders>
            <w:hideMark/>
          </w:tcPr>
          <w:p w14:paraId="2D20BE71" w14:textId="77777777" w:rsidR="00485155" w:rsidRDefault="00485155">
            <w:pPr>
              <w:spacing w:line="360" w:lineRule="auto"/>
              <w:rPr>
                <w:rFonts w:ascii="Arial" w:hAnsi="Arial" w:cs="Arial"/>
                <w:sz w:val="22"/>
                <w:szCs w:val="22"/>
              </w:rPr>
            </w:pPr>
            <w:r>
              <w:rPr>
                <w:rFonts w:ascii="Arial" w:hAnsi="Arial" w:cs="Arial"/>
                <w:sz w:val="22"/>
                <w:szCs w:val="22"/>
              </w:rPr>
              <w:t>Key Findings</w:t>
            </w:r>
          </w:p>
        </w:tc>
        <w:tc>
          <w:tcPr>
            <w:tcW w:w="1503" w:type="dxa"/>
            <w:tcBorders>
              <w:top w:val="single" w:sz="4" w:space="0" w:color="auto"/>
              <w:left w:val="single" w:sz="4" w:space="0" w:color="auto"/>
              <w:bottom w:val="single" w:sz="4" w:space="0" w:color="auto"/>
              <w:right w:val="single" w:sz="4" w:space="0" w:color="auto"/>
            </w:tcBorders>
            <w:hideMark/>
          </w:tcPr>
          <w:p w14:paraId="5C36B051" w14:textId="77777777" w:rsidR="00485155" w:rsidRDefault="00485155">
            <w:pPr>
              <w:spacing w:line="360" w:lineRule="auto"/>
              <w:rPr>
                <w:rFonts w:ascii="Arial" w:hAnsi="Arial" w:cs="Arial"/>
                <w:sz w:val="22"/>
                <w:szCs w:val="22"/>
              </w:rPr>
            </w:pPr>
            <w:r>
              <w:rPr>
                <w:rFonts w:ascii="Arial" w:hAnsi="Arial" w:cs="Arial"/>
                <w:sz w:val="22"/>
                <w:szCs w:val="22"/>
              </w:rPr>
              <w:t>Relevance</w:t>
            </w:r>
          </w:p>
        </w:tc>
      </w:tr>
      <w:tr w:rsidR="00485155" w14:paraId="6049044D" w14:textId="77777777">
        <w:tc>
          <w:tcPr>
            <w:tcW w:w="1502" w:type="dxa"/>
            <w:tcBorders>
              <w:top w:val="single" w:sz="4" w:space="0" w:color="auto"/>
              <w:left w:val="single" w:sz="4" w:space="0" w:color="auto"/>
              <w:bottom w:val="single" w:sz="4" w:space="0" w:color="auto"/>
              <w:right w:val="single" w:sz="4" w:space="0" w:color="auto"/>
            </w:tcBorders>
            <w:hideMark/>
          </w:tcPr>
          <w:p w14:paraId="437E8E80" w14:textId="77777777" w:rsidR="00485155" w:rsidRDefault="00485155">
            <w:pPr>
              <w:spacing w:line="360" w:lineRule="auto"/>
              <w:rPr>
                <w:rFonts w:ascii="Arial" w:hAnsi="Arial" w:cs="Arial"/>
                <w:sz w:val="22"/>
                <w:szCs w:val="22"/>
              </w:rPr>
            </w:pPr>
            <w:r>
              <w:rPr>
                <w:rFonts w:ascii="Arial" w:hAnsi="Arial" w:cs="Arial"/>
                <w:sz w:val="22"/>
                <w:szCs w:val="22"/>
              </w:rPr>
              <w:t>Roberts et al.</w:t>
            </w:r>
          </w:p>
        </w:tc>
        <w:tc>
          <w:tcPr>
            <w:tcW w:w="1502" w:type="dxa"/>
            <w:tcBorders>
              <w:top w:val="single" w:sz="4" w:space="0" w:color="auto"/>
              <w:left w:val="single" w:sz="4" w:space="0" w:color="auto"/>
              <w:bottom w:val="single" w:sz="4" w:space="0" w:color="auto"/>
              <w:right w:val="single" w:sz="4" w:space="0" w:color="auto"/>
            </w:tcBorders>
            <w:hideMark/>
          </w:tcPr>
          <w:p w14:paraId="692D9353" w14:textId="77777777" w:rsidR="00485155" w:rsidRDefault="00485155">
            <w:pPr>
              <w:spacing w:line="360" w:lineRule="auto"/>
              <w:rPr>
                <w:rFonts w:ascii="Arial" w:hAnsi="Arial" w:cs="Arial"/>
                <w:sz w:val="22"/>
                <w:szCs w:val="22"/>
              </w:rPr>
            </w:pPr>
            <w:r>
              <w:rPr>
                <w:rFonts w:ascii="Arial" w:hAnsi="Arial" w:cs="Arial"/>
                <w:sz w:val="22"/>
                <w:szCs w:val="22"/>
              </w:rPr>
              <w:t>2020</w:t>
            </w:r>
          </w:p>
        </w:tc>
        <w:tc>
          <w:tcPr>
            <w:tcW w:w="1503" w:type="dxa"/>
            <w:tcBorders>
              <w:top w:val="single" w:sz="4" w:space="0" w:color="auto"/>
              <w:left w:val="single" w:sz="4" w:space="0" w:color="auto"/>
              <w:bottom w:val="single" w:sz="4" w:space="0" w:color="auto"/>
              <w:right w:val="single" w:sz="4" w:space="0" w:color="auto"/>
            </w:tcBorders>
            <w:hideMark/>
          </w:tcPr>
          <w:p w14:paraId="1479B44B" w14:textId="77777777" w:rsidR="00485155" w:rsidRDefault="00485155">
            <w:pPr>
              <w:spacing w:line="360" w:lineRule="auto"/>
              <w:rPr>
                <w:rFonts w:ascii="Arial" w:hAnsi="Arial" w:cs="Arial"/>
                <w:sz w:val="22"/>
                <w:szCs w:val="22"/>
              </w:rPr>
            </w:pPr>
            <w:r>
              <w:rPr>
                <w:rFonts w:ascii="Arial" w:hAnsi="Arial" w:cs="Arial"/>
                <w:sz w:val="22"/>
                <w:szCs w:val="22"/>
              </w:rPr>
              <w:t>Weight misperception and psychological symptoms</w:t>
            </w:r>
          </w:p>
        </w:tc>
        <w:tc>
          <w:tcPr>
            <w:tcW w:w="1503" w:type="dxa"/>
            <w:tcBorders>
              <w:top w:val="single" w:sz="4" w:space="0" w:color="auto"/>
              <w:left w:val="single" w:sz="4" w:space="0" w:color="auto"/>
              <w:bottom w:val="single" w:sz="4" w:space="0" w:color="auto"/>
              <w:right w:val="single" w:sz="4" w:space="0" w:color="auto"/>
            </w:tcBorders>
            <w:hideMark/>
          </w:tcPr>
          <w:p w14:paraId="1C064C42" w14:textId="77777777" w:rsidR="00485155" w:rsidRDefault="00485155">
            <w:pPr>
              <w:spacing w:line="360" w:lineRule="auto"/>
              <w:rPr>
                <w:rFonts w:ascii="Arial" w:hAnsi="Arial" w:cs="Arial"/>
                <w:sz w:val="22"/>
                <w:szCs w:val="22"/>
              </w:rPr>
            </w:pPr>
            <w:r>
              <w:rPr>
                <w:rFonts w:ascii="Arial" w:hAnsi="Arial" w:cs="Arial"/>
                <w:sz w:val="22"/>
                <w:szCs w:val="22"/>
              </w:rPr>
              <w:t>Peer</w:t>
            </w:r>
            <w:r>
              <w:rPr>
                <w:rFonts w:ascii="Cambria Math" w:hAnsi="Cambria Math" w:cs="Cambria Math"/>
                <w:sz w:val="22"/>
                <w:szCs w:val="22"/>
              </w:rPr>
              <w:noBreakHyphen/>
            </w:r>
            <w:r>
              <w:rPr>
                <w:rFonts w:ascii="Arial" w:hAnsi="Arial" w:cs="Arial"/>
                <w:sz w:val="22"/>
                <w:szCs w:val="22"/>
              </w:rPr>
              <w:t>reviewed</w:t>
            </w:r>
          </w:p>
        </w:tc>
        <w:tc>
          <w:tcPr>
            <w:tcW w:w="1503" w:type="dxa"/>
            <w:tcBorders>
              <w:top w:val="single" w:sz="4" w:space="0" w:color="auto"/>
              <w:left w:val="single" w:sz="4" w:space="0" w:color="auto"/>
              <w:bottom w:val="single" w:sz="4" w:space="0" w:color="auto"/>
              <w:right w:val="single" w:sz="4" w:space="0" w:color="auto"/>
            </w:tcBorders>
            <w:hideMark/>
          </w:tcPr>
          <w:p w14:paraId="38A83D7E" w14:textId="77777777" w:rsidR="00485155" w:rsidRDefault="00485155">
            <w:pPr>
              <w:spacing w:line="360" w:lineRule="auto"/>
              <w:rPr>
                <w:rFonts w:ascii="Arial" w:hAnsi="Arial" w:cs="Arial"/>
                <w:sz w:val="22"/>
                <w:szCs w:val="22"/>
              </w:rPr>
            </w:pPr>
            <w:r>
              <w:rPr>
                <w:rFonts w:ascii="Arial" w:hAnsi="Arial" w:cs="Arial"/>
                <w:sz w:val="22"/>
                <w:szCs w:val="22"/>
              </w:rPr>
              <w:t>Weight misperception linked to anxiety and depression</w:t>
            </w:r>
          </w:p>
        </w:tc>
        <w:tc>
          <w:tcPr>
            <w:tcW w:w="1503" w:type="dxa"/>
            <w:tcBorders>
              <w:top w:val="single" w:sz="4" w:space="0" w:color="auto"/>
              <w:left w:val="single" w:sz="4" w:space="0" w:color="auto"/>
              <w:bottom w:val="single" w:sz="4" w:space="0" w:color="auto"/>
              <w:right w:val="single" w:sz="4" w:space="0" w:color="auto"/>
            </w:tcBorders>
            <w:hideMark/>
          </w:tcPr>
          <w:p w14:paraId="294BE97C" w14:textId="77777777" w:rsidR="00485155" w:rsidRDefault="00485155">
            <w:pPr>
              <w:spacing w:line="360" w:lineRule="auto"/>
              <w:rPr>
                <w:rFonts w:ascii="Arial" w:hAnsi="Arial" w:cs="Arial"/>
                <w:sz w:val="22"/>
                <w:szCs w:val="22"/>
              </w:rPr>
            </w:pPr>
            <w:r>
              <w:rPr>
                <w:rFonts w:ascii="Arial" w:hAnsi="Arial" w:cs="Arial"/>
                <w:sz w:val="22"/>
                <w:szCs w:val="22"/>
              </w:rPr>
              <w:t>Supports Theme 1</w:t>
            </w:r>
          </w:p>
        </w:tc>
      </w:tr>
      <w:tr w:rsidR="00485155" w14:paraId="23791357" w14:textId="77777777">
        <w:tc>
          <w:tcPr>
            <w:tcW w:w="1502" w:type="dxa"/>
            <w:tcBorders>
              <w:top w:val="single" w:sz="4" w:space="0" w:color="auto"/>
              <w:left w:val="single" w:sz="4" w:space="0" w:color="auto"/>
              <w:bottom w:val="single" w:sz="4" w:space="0" w:color="auto"/>
              <w:right w:val="single" w:sz="4" w:space="0" w:color="auto"/>
            </w:tcBorders>
            <w:hideMark/>
          </w:tcPr>
          <w:p w14:paraId="6C36D809" w14:textId="77777777" w:rsidR="00485155" w:rsidRDefault="00485155">
            <w:pPr>
              <w:spacing w:line="360" w:lineRule="auto"/>
              <w:rPr>
                <w:rFonts w:ascii="Arial" w:hAnsi="Arial" w:cs="Arial"/>
                <w:sz w:val="22"/>
                <w:szCs w:val="22"/>
              </w:rPr>
            </w:pPr>
            <w:r>
              <w:rPr>
                <w:rFonts w:ascii="Arial" w:hAnsi="Arial" w:cs="Arial"/>
                <w:sz w:val="22"/>
                <w:szCs w:val="22"/>
              </w:rPr>
              <w:t>ONS</w:t>
            </w:r>
          </w:p>
        </w:tc>
        <w:tc>
          <w:tcPr>
            <w:tcW w:w="1502" w:type="dxa"/>
            <w:tcBorders>
              <w:top w:val="single" w:sz="4" w:space="0" w:color="auto"/>
              <w:left w:val="single" w:sz="4" w:space="0" w:color="auto"/>
              <w:bottom w:val="single" w:sz="4" w:space="0" w:color="auto"/>
              <w:right w:val="single" w:sz="4" w:space="0" w:color="auto"/>
            </w:tcBorders>
            <w:hideMark/>
          </w:tcPr>
          <w:p w14:paraId="0F0AB7DA" w14:textId="77777777" w:rsidR="00485155" w:rsidRDefault="00485155">
            <w:pPr>
              <w:spacing w:line="360" w:lineRule="auto"/>
              <w:rPr>
                <w:rFonts w:ascii="Arial" w:hAnsi="Arial" w:cs="Arial"/>
                <w:sz w:val="22"/>
                <w:szCs w:val="22"/>
              </w:rPr>
            </w:pPr>
            <w:r>
              <w:rPr>
                <w:rFonts w:ascii="Arial" w:hAnsi="Arial" w:cs="Arial"/>
                <w:sz w:val="22"/>
                <w:szCs w:val="22"/>
              </w:rPr>
              <w:t>2023</w:t>
            </w:r>
          </w:p>
        </w:tc>
        <w:tc>
          <w:tcPr>
            <w:tcW w:w="1503" w:type="dxa"/>
            <w:tcBorders>
              <w:top w:val="single" w:sz="4" w:space="0" w:color="auto"/>
              <w:left w:val="single" w:sz="4" w:space="0" w:color="auto"/>
              <w:bottom w:val="single" w:sz="4" w:space="0" w:color="auto"/>
              <w:right w:val="single" w:sz="4" w:space="0" w:color="auto"/>
            </w:tcBorders>
            <w:hideMark/>
          </w:tcPr>
          <w:p w14:paraId="293BCCEF" w14:textId="77777777" w:rsidR="00485155" w:rsidRDefault="00485155">
            <w:pPr>
              <w:spacing w:line="360" w:lineRule="auto"/>
              <w:rPr>
                <w:rFonts w:ascii="Arial" w:hAnsi="Arial" w:cs="Arial"/>
                <w:sz w:val="22"/>
                <w:szCs w:val="22"/>
              </w:rPr>
            </w:pPr>
            <w:r>
              <w:rPr>
                <w:rFonts w:ascii="Arial" w:hAnsi="Arial" w:cs="Arial"/>
                <w:sz w:val="22"/>
                <w:szCs w:val="22"/>
              </w:rPr>
              <w:t>NCMP Data</w:t>
            </w:r>
          </w:p>
        </w:tc>
        <w:tc>
          <w:tcPr>
            <w:tcW w:w="1503" w:type="dxa"/>
            <w:tcBorders>
              <w:top w:val="single" w:sz="4" w:space="0" w:color="auto"/>
              <w:left w:val="single" w:sz="4" w:space="0" w:color="auto"/>
              <w:bottom w:val="single" w:sz="4" w:space="0" w:color="auto"/>
              <w:right w:val="single" w:sz="4" w:space="0" w:color="auto"/>
            </w:tcBorders>
            <w:hideMark/>
          </w:tcPr>
          <w:p w14:paraId="7631C323" w14:textId="77777777" w:rsidR="00485155" w:rsidRDefault="00485155">
            <w:pPr>
              <w:spacing w:line="360" w:lineRule="auto"/>
              <w:rPr>
                <w:rFonts w:ascii="Arial" w:hAnsi="Arial" w:cs="Arial"/>
                <w:sz w:val="22"/>
                <w:szCs w:val="22"/>
              </w:rPr>
            </w:pPr>
            <w:r>
              <w:rPr>
                <w:rFonts w:ascii="Arial" w:hAnsi="Arial" w:cs="Arial"/>
                <w:sz w:val="22"/>
                <w:szCs w:val="22"/>
              </w:rPr>
              <w:t>Government</w:t>
            </w:r>
          </w:p>
        </w:tc>
        <w:tc>
          <w:tcPr>
            <w:tcW w:w="1503" w:type="dxa"/>
            <w:tcBorders>
              <w:top w:val="single" w:sz="4" w:space="0" w:color="auto"/>
              <w:left w:val="single" w:sz="4" w:space="0" w:color="auto"/>
              <w:bottom w:val="single" w:sz="4" w:space="0" w:color="auto"/>
              <w:right w:val="single" w:sz="4" w:space="0" w:color="auto"/>
            </w:tcBorders>
            <w:hideMark/>
          </w:tcPr>
          <w:p w14:paraId="6E181F81" w14:textId="77777777" w:rsidR="00485155" w:rsidRDefault="00485155">
            <w:pPr>
              <w:spacing w:line="360" w:lineRule="auto"/>
              <w:rPr>
                <w:rFonts w:ascii="Arial" w:hAnsi="Arial" w:cs="Arial"/>
                <w:sz w:val="22"/>
                <w:szCs w:val="22"/>
              </w:rPr>
            </w:pPr>
            <w:r>
              <w:rPr>
                <w:rFonts w:ascii="Arial" w:hAnsi="Arial" w:cs="Arial"/>
                <w:sz w:val="22"/>
                <w:szCs w:val="22"/>
              </w:rPr>
              <w:t>Ethnic disparities in childhood obesity</w:t>
            </w:r>
          </w:p>
        </w:tc>
        <w:tc>
          <w:tcPr>
            <w:tcW w:w="1503" w:type="dxa"/>
            <w:tcBorders>
              <w:top w:val="single" w:sz="4" w:space="0" w:color="auto"/>
              <w:left w:val="single" w:sz="4" w:space="0" w:color="auto"/>
              <w:bottom w:val="single" w:sz="4" w:space="0" w:color="auto"/>
              <w:right w:val="single" w:sz="4" w:space="0" w:color="auto"/>
            </w:tcBorders>
            <w:hideMark/>
          </w:tcPr>
          <w:p w14:paraId="2E7D9991" w14:textId="77777777" w:rsidR="00485155" w:rsidRDefault="00485155">
            <w:pPr>
              <w:spacing w:line="360" w:lineRule="auto"/>
              <w:rPr>
                <w:rFonts w:ascii="Arial" w:hAnsi="Arial" w:cs="Arial"/>
                <w:sz w:val="22"/>
                <w:szCs w:val="22"/>
              </w:rPr>
            </w:pPr>
            <w:r>
              <w:rPr>
                <w:rFonts w:ascii="Arial" w:hAnsi="Arial" w:cs="Arial"/>
                <w:sz w:val="22"/>
                <w:szCs w:val="22"/>
              </w:rPr>
              <w:t>Supports Background</w:t>
            </w:r>
          </w:p>
        </w:tc>
      </w:tr>
      <w:tr w:rsidR="00485155" w14:paraId="4934173C" w14:textId="77777777">
        <w:tc>
          <w:tcPr>
            <w:tcW w:w="1502" w:type="dxa"/>
            <w:tcBorders>
              <w:top w:val="single" w:sz="4" w:space="0" w:color="auto"/>
              <w:left w:val="single" w:sz="4" w:space="0" w:color="auto"/>
              <w:bottom w:val="single" w:sz="4" w:space="0" w:color="auto"/>
              <w:right w:val="single" w:sz="4" w:space="0" w:color="auto"/>
            </w:tcBorders>
            <w:hideMark/>
          </w:tcPr>
          <w:p w14:paraId="76E7A4E7" w14:textId="77777777" w:rsidR="00485155" w:rsidRDefault="00485155">
            <w:pPr>
              <w:spacing w:line="360" w:lineRule="auto"/>
              <w:rPr>
                <w:rFonts w:ascii="Arial" w:hAnsi="Arial" w:cs="Arial"/>
                <w:sz w:val="22"/>
                <w:szCs w:val="22"/>
              </w:rPr>
            </w:pPr>
            <w:proofErr w:type="spellStart"/>
            <w:r>
              <w:rPr>
                <w:rFonts w:ascii="Arial" w:hAnsi="Arial" w:cs="Arial"/>
                <w:sz w:val="22"/>
                <w:szCs w:val="22"/>
              </w:rPr>
              <w:t>Bhui</w:t>
            </w:r>
            <w:proofErr w:type="spellEnd"/>
            <w:r>
              <w:rPr>
                <w:rFonts w:ascii="Arial" w:hAnsi="Arial" w:cs="Arial"/>
                <w:sz w:val="22"/>
                <w:szCs w:val="22"/>
              </w:rPr>
              <w:t xml:space="preserve"> et al.</w:t>
            </w:r>
          </w:p>
        </w:tc>
        <w:tc>
          <w:tcPr>
            <w:tcW w:w="1502" w:type="dxa"/>
            <w:tcBorders>
              <w:top w:val="single" w:sz="4" w:space="0" w:color="auto"/>
              <w:left w:val="single" w:sz="4" w:space="0" w:color="auto"/>
              <w:bottom w:val="single" w:sz="4" w:space="0" w:color="auto"/>
              <w:right w:val="single" w:sz="4" w:space="0" w:color="auto"/>
            </w:tcBorders>
            <w:hideMark/>
          </w:tcPr>
          <w:p w14:paraId="2FAE29E1" w14:textId="77777777" w:rsidR="00485155" w:rsidRDefault="00485155">
            <w:pPr>
              <w:spacing w:line="360" w:lineRule="auto"/>
              <w:rPr>
                <w:rFonts w:ascii="Arial" w:hAnsi="Arial" w:cs="Arial"/>
                <w:sz w:val="22"/>
                <w:szCs w:val="22"/>
              </w:rPr>
            </w:pPr>
            <w:r>
              <w:rPr>
                <w:rFonts w:ascii="Arial" w:hAnsi="Arial" w:cs="Arial"/>
                <w:sz w:val="22"/>
                <w:szCs w:val="22"/>
              </w:rPr>
              <w:t>2018</w:t>
            </w:r>
          </w:p>
        </w:tc>
        <w:tc>
          <w:tcPr>
            <w:tcW w:w="1503" w:type="dxa"/>
            <w:tcBorders>
              <w:top w:val="single" w:sz="4" w:space="0" w:color="auto"/>
              <w:left w:val="single" w:sz="4" w:space="0" w:color="auto"/>
              <w:bottom w:val="single" w:sz="4" w:space="0" w:color="auto"/>
              <w:right w:val="single" w:sz="4" w:space="0" w:color="auto"/>
            </w:tcBorders>
            <w:hideMark/>
          </w:tcPr>
          <w:p w14:paraId="47896F3C" w14:textId="77777777" w:rsidR="00485155" w:rsidRDefault="00485155">
            <w:pPr>
              <w:spacing w:line="360" w:lineRule="auto"/>
              <w:rPr>
                <w:rFonts w:ascii="Arial" w:hAnsi="Arial" w:cs="Arial"/>
                <w:sz w:val="22"/>
                <w:szCs w:val="22"/>
              </w:rPr>
            </w:pPr>
            <w:r>
              <w:rPr>
                <w:rFonts w:ascii="Arial" w:hAnsi="Arial" w:cs="Arial"/>
                <w:sz w:val="22"/>
                <w:szCs w:val="22"/>
              </w:rPr>
              <w:t>Ethnic variations in mental health pathways</w:t>
            </w:r>
          </w:p>
        </w:tc>
        <w:tc>
          <w:tcPr>
            <w:tcW w:w="1503" w:type="dxa"/>
            <w:tcBorders>
              <w:top w:val="single" w:sz="4" w:space="0" w:color="auto"/>
              <w:left w:val="single" w:sz="4" w:space="0" w:color="auto"/>
              <w:bottom w:val="single" w:sz="4" w:space="0" w:color="auto"/>
              <w:right w:val="single" w:sz="4" w:space="0" w:color="auto"/>
            </w:tcBorders>
            <w:hideMark/>
          </w:tcPr>
          <w:p w14:paraId="7E7D2A1C" w14:textId="77777777" w:rsidR="00485155" w:rsidRDefault="00485155">
            <w:pPr>
              <w:spacing w:line="360" w:lineRule="auto"/>
              <w:rPr>
                <w:rFonts w:ascii="Arial" w:hAnsi="Arial" w:cs="Arial"/>
                <w:sz w:val="22"/>
                <w:szCs w:val="22"/>
              </w:rPr>
            </w:pPr>
            <w:r>
              <w:rPr>
                <w:rFonts w:ascii="Arial" w:hAnsi="Arial" w:cs="Arial"/>
                <w:sz w:val="22"/>
                <w:szCs w:val="22"/>
              </w:rPr>
              <w:t>Peer</w:t>
            </w:r>
            <w:r>
              <w:rPr>
                <w:rFonts w:ascii="Cambria Math" w:hAnsi="Cambria Math" w:cs="Cambria Math"/>
                <w:sz w:val="22"/>
                <w:szCs w:val="22"/>
              </w:rPr>
              <w:noBreakHyphen/>
            </w:r>
            <w:r>
              <w:rPr>
                <w:rFonts w:ascii="Arial" w:hAnsi="Arial" w:cs="Arial"/>
                <w:sz w:val="22"/>
                <w:szCs w:val="22"/>
              </w:rPr>
              <w:t>reviewed</w:t>
            </w:r>
          </w:p>
        </w:tc>
        <w:tc>
          <w:tcPr>
            <w:tcW w:w="1503" w:type="dxa"/>
            <w:tcBorders>
              <w:top w:val="single" w:sz="4" w:space="0" w:color="auto"/>
              <w:left w:val="single" w:sz="4" w:space="0" w:color="auto"/>
              <w:bottom w:val="single" w:sz="4" w:space="0" w:color="auto"/>
              <w:right w:val="single" w:sz="4" w:space="0" w:color="auto"/>
            </w:tcBorders>
            <w:hideMark/>
          </w:tcPr>
          <w:p w14:paraId="22C561CB" w14:textId="77777777" w:rsidR="00485155" w:rsidRDefault="00485155">
            <w:pPr>
              <w:spacing w:line="360" w:lineRule="auto"/>
              <w:rPr>
                <w:rFonts w:ascii="Arial" w:hAnsi="Arial" w:cs="Arial"/>
                <w:sz w:val="22"/>
                <w:szCs w:val="22"/>
              </w:rPr>
            </w:pPr>
            <w:r>
              <w:rPr>
                <w:rFonts w:ascii="Arial" w:hAnsi="Arial" w:cs="Arial"/>
                <w:sz w:val="22"/>
                <w:szCs w:val="22"/>
              </w:rPr>
              <w:t>Barriers to support among minority groups</w:t>
            </w:r>
          </w:p>
        </w:tc>
        <w:tc>
          <w:tcPr>
            <w:tcW w:w="1503" w:type="dxa"/>
            <w:tcBorders>
              <w:top w:val="single" w:sz="4" w:space="0" w:color="auto"/>
              <w:left w:val="single" w:sz="4" w:space="0" w:color="auto"/>
              <w:bottom w:val="single" w:sz="4" w:space="0" w:color="auto"/>
              <w:right w:val="single" w:sz="4" w:space="0" w:color="auto"/>
            </w:tcBorders>
            <w:hideMark/>
          </w:tcPr>
          <w:p w14:paraId="094578B3" w14:textId="77777777" w:rsidR="00485155" w:rsidRDefault="00485155">
            <w:pPr>
              <w:spacing w:line="360" w:lineRule="auto"/>
              <w:rPr>
                <w:rFonts w:ascii="Arial" w:hAnsi="Arial" w:cs="Arial"/>
                <w:sz w:val="22"/>
                <w:szCs w:val="22"/>
              </w:rPr>
            </w:pPr>
            <w:r>
              <w:rPr>
                <w:rFonts w:ascii="Arial" w:hAnsi="Arial" w:cs="Arial"/>
                <w:sz w:val="22"/>
                <w:szCs w:val="22"/>
              </w:rPr>
              <w:t>Supports Theme 2</w:t>
            </w:r>
          </w:p>
        </w:tc>
      </w:tr>
    </w:tbl>
    <w:p w14:paraId="6E6C3914" w14:textId="77777777" w:rsidR="00485155" w:rsidRDefault="00485155" w:rsidP="00485155">
      <w:pPr>
        <w:spacing w:line="360" w:lineRule="auto"/>
        <w:rPr>
          <w:rFonts w:ascii="Arial" w:hAnsi="Arial" w:cs="Arial"/>
          <w:sz w:val="22"/>
          <w:szCs w:val="22"/>
        </w:rPr>
      </w:pPr>
    </w:p>
    <w:p w14:paraId="48D69DC4" w14:textId="77777777" w:rsidR="00485155" w:rsidRDefault="00485155" w:rsidP="00485155">
      <w:pPr>
        <w:pStyle w:val="Heading3"/>
      </w:pPr>
      <w:bookmarkStart w:id="7" w:name="_Toc222340254"/>
      <w:r>
        <w:t>Thematic Analysis Table</w:t>
      </w:r>
      <w:bookmarkEnd w:id="7"/>
    </w:p>
    <w:tbl>
      <w:tblPr>
        <w:tblStyle w:val="TableGrid"/>
        <w:tblW w:w="0" w:type="auto"/>
        <w:tblInd w:w="0" w:type="dxa"/>
        <w:tblLook w:val="04A0" w:firstRow="1" w:lastRow="0" w:firstColumn="1" w:lastColumn="0" w:noHBand="0" w:noVBand="1"/>
      </w:tblPr>
      <w:tblGrid>
        <w:gridCol w:w="3005"/>
        <w:gridCol w:w="3005"/>
        <w:gridCol w:w="3006"/>
      </w:tblGrid>
      <w:tr w:rsidR="00485155" w14:paraId="2CE0C39B" w14:textId="77777777">
        <w:tc>
          <w:tcPr>
            <w:tcW w:w="3005" w:type="dxa"/>
            <w:tcBorders>
              <w:top w:val="single" w:sz="4" w:space="0" w:color="auto"/>
              <w:left w:val="single" w:sz="4" w:space="0" w:color="auto"/>
              <w:bottom w:val="single" w:sz="4" w:space="0" w:color="auto"/>
              <w:right w:val="single" w:sz="4" w:space="0" w:color="auto"/>
            </w:tcBorders>
            <w:hideMark/>
          </w:tcPr>
          <w:p w14:paraId="6C6F3873" w14:textId="77777777" w:rsidR="00485155" w:rsidRDefault="00485155">
            <w:pPr>
              <w:spacing w:line="360" w:lineRule="auto"/>
              <w:rPr>
                <w:rFonts w:ascii="Arial" w:hAnsi="Arial" w:cs="Arial"/>
                <w:sz w:val="22"/>
                <w:szCs w:val="22"/>
              </w:rPr>
            </w:pPr>
            <w:r>
              <w:rPr>
                <w:rFonts w:ascii="Arial" w:hAnsi="Arial" w:cs="Arial"/>
                <w:sz w:val="22"/>
                <w:szCs w:val="22"/>
              </w:rPr>
              <w:t>Initial Codes</w:t>
            </w:r>
          </w:p>
        </w:tc>
        <w:tc>
          <w:tcPr>
            <w:tcW w:w="3005" w:type="dxa"/>
            <w:tcBorders>
              <w:top w:val="single" w:sz="4" w:space="0" w:color="auto"/>
              <w:left w:val="single" w:sz="4" w:space="0" w:color="auto"/>
              <w:bottom w:val="single" w:sz="4" w:space="0" w:color="auto"/>
              <w:right w:val="single" w:sz="4" w:space="0" w:color="auto"/>
            </w:tcBorders>
            <w:hideMark/>
          </w:tcPr>
          <w:p w14:paraId="01D5823A" w14:textId="77777777" w:rsidR="00485155" w:rsidRDefault="00485155">
            <w:pPr>
              <w:spacing w:line="360" w:lineRule="auto"/>
              <w:rPr>
                <w:rFonts w:ascii="Arial" w:hAnsi="Arial" w:cs="Arial"/>
                <w:sz w:val="22"/>
                <w:szCs w:val="22"/>
              </w:rPr>
            </w:pPr>
            <w:r>
              <w:rPr>
                <w:rFonts w:ascii="Arial" w:hAnsi="Arial" w:cs="Arial"/>
                <w:sz w:val="22"/>
                <w:szCs w:val="22"/>
              </w:rPr>
              <w:t>Sub</w:t>
            </w:r>
            <w:r>
              <w:rPr>
                <w:rFonts w:ascii="Cambria Math" w:hAnsi="Cambria Math" w:cs="Cambria Math"/>
                <w:sz w:val="22"/>
                <w:szCs w:val="22"/>
              </w:rPr>
              <w:noBreakHyphen/>
            </w:r>
            <w:r>
              <w:rPr>
                <w:rFonts w:ascii="Arial" w:hAnsi="Arial" w:cs="Arial"/>
                <w:sz w:val="22"/>
                <w:szCs w:val="22"/>
              </w:rPr>
              <w:t>Themes</w:t>
            </w:r>
          </w:p>
        </w:tc>
        <w:tc>
          <w:tcPr>
            <w:tcW w:w="3006" w:type="dxa"/>
            <w:tcBorders>
              <w:top w:val="single" w:sz="4" w:space="0" w:color="auto"/>
              <w:left w:val="single" w:sz="4" w:space="0" w:color="auto"/>
              <w:bottom w:val="single" w:sz="4" w:space="0" w:color="auto"/>
              <w:right w:val="single" w:sz="4" w:space="0" w:color="auto"/>
            </w:tcBorders>
            <w:hideMark/>
          </w:tcPr>
          <w:p w14:paraId="76F194A7" w14:textId="77777777" w:rsidR="00485155" w:rsidRDefault="00485155">
            <w:pPr>
              <w:spacing w:line="360" w:lineRule="auto"/>
              <w:rPr>
                <w:rFonts w:ascii="Arial" w:hAnsi="Arial" w:cs="Arial"/>
                <w:sz w:val="22"/>
                <w:szCs w:val="22"/>
              </w:rPr>
            </w:pPr>
            <w:r>
              <w:rPr>
                <w:rFonts w:ascii="Arial" w:hAnsi="Arial" w:cs="Arial"/>
                <w:sz w:val="22"/>
                <w:szCs w:val="22"/>
              </w:rPr>
              <w:t>Final Themes</w:t>
            </w:r>
          </w:p>
        </w:tc>
      </w:tr>
      <w:tr w:rsidR="00485155" w14:paraId="5DB88B7D" w14:textId="77777777">
        <w:tc>
          <w:tcPr>
            <w:tcW w:w="3005" w:type="dxa"/>
            <w:tcBorders>
              <w:top w:val="single" w:sz="4" w:space="0" w:color="auto"/>
              <w:left w:val="single" w:sz="4" w:space="0" w:color="auto"/>
              <w:bottom w:val="single" w:sz="4" w:space="0" w:color="auto"/>
              <w:right w:val="single" w:sz="4" w:space="0" w:color="auto"/>
            </w:tcBorders>
            <w:hideMark/>
          </w:tcPr>
          <w:p w14:paraId="45BCE24E" w14:textId="77777777" w:rsidR="00485155" w:rsidRDefault="00485155">
            <w:pPr>
              <w:spacing w:line="360" w:lineRule="auto"/>
              <w:rPr>
                <w:rFonts w:ascii="Arial" w:hAnsi="Arial" w:cs="Arial"/>
                <w:sz w:val="22"/>
                <w:szCs w:val="22"/>
              </w:rPr>
            </w:pPr>
            <w:r>
              <w:rPr>
                <w:rFonts w:ascii="Arial" w:hAnsi="Arial" w:cs="Arial"/>
                <w:sz w:val="22"/>
                <w:szCs w:val="22"/>
              </w:rPr>
              <w:t>Depression, anxiety, low self</w:t>
            </w:r>
            <w:r>
              <w:rPr>
                <w:rFonts w:ascii="Cambria Math" w:hAnsi="Cambria Math" w:cs="Cambria Math"/>
                <w:sz w:val="22"/>
                <w:szCs w:val="22"/>
              </w:rPr>
              <w:noBreakHyphen/>
            </w:r>
            <w:r>
              <w:rPr>
                <w:rFonts w:ascii="Arial" w:hAnsi="Arial" w:cs="Arial"/>
                <w:sz w:val="22"/>
                <w:szCs w:val="22"/>
              </w:rPr>
              <w:t>esteem</w:t>
            </w:r>
          </w:p>
        </w:tc>
        <w:tc>
          <w:tcPr>
            <w:tcW w:w="3005" w:type="dxa"/>
            <w:tcBorders>
              <w:top w:val="single" w:sz="4" w:space="0" w:color="auto"/>
              <w:left w:val="single" w:sz="4" w:space="0" w:color="auto"/>
              <w:bottom w:val="single" w:sz="4" w:space="0" w:color="auto"/>
              <w:right w:val="single" w:sz="4" w:space="0" w:color="auto"/>
            </w:tcBorders>
            <w:hideMark/>
          </w:tcPr>
          <w:p w14:paraId="7A42B1BC" w14:textId="77777777" w:rsidR="00485155" w:rsidRDefault="00485155">
            <w:pPr>
              <w:spacing w:line="360" w:lineRule="auto"/>
              <w:rPr>
                <w:rFonts w:ascii="Arial" w:hAnsi="Arial" w:cs="Arial"/>
                <w:sz w:val="22"/>
                <w:szCs w:val="22"/>
              </w:rPr>
            </w:pPr>
            <w:r>
              <w:rPr>
                <w:rFonts w:ascii="Arial" w:hAnsi="Arial" w:cs="Arial"/>
                <w:sz w:val="22"/>
                <w:szCs w:val="22"/>
              </w:rPr>
              <w:t>Psychological distress</w:t>
            </w:r>
          </w:p>
        </w:tc>
        <w:tc>
          <w:tcPr>
            <w:tcW w:w="3006" w:type="dxa"/>
            <w:tcBorders>
              <w:top w:val="single" w:sz="4" w:space="0" w:color="auto"/>
              <w:left w:val="single" w:sz="4" w:space="0" w:color="auto"/>
              <w:bottom w:val="single" w:sz="4" w:space="0" w:color="auto"/>
              <w:right w:val="single" w:sz="4" w:space="0" w:color="auto"/>
            </w:tcBorders>
            <w:hideMark/>
          </w:tcPr>
          <w:p w14:paraId="6BA96C9C" w14:textId="77777777" w:rsidR="00485155" w:rsidRDefault="00485155">
            <w:pPr>
              <w:spacing w:line="360" w:lineRule="auto"/>
              <w:rPr>
                <w:rFonts w:ascii="Arial" w:hAnsi="Arial" w:cs="Arial"/>
                <w:sz w:val="22"/>
                <w:szCs w:val="22"/>
              </w:rPr>
            </w:pPr>
            <w:r>
              <w:rPr>
                <w:rFonts w:ascii="Arial" w:hAnsi="Arial" w:cs="Arial"/>
                <w:sz w:val="22"/>
                <w:szCs w:val="22"/>
              </w:rPr>
              <w:t>Psychological consequences</w:t>
            </w:r>
          </w:p>
        </w:tc>
      </w:tr>
      <w:tr w:rsidR="00485155" w14:paraId="78B3A42A" w14:textId="77777777">
        <w:tc>
          <w:tcPr>
            <w:tcW w:w="3005" w:type="dxa"/>
            <w:tcBorders>
              <w:top w:val="single" w:sz="4" w:space="0" w:color="auto"/>
              <w:left w:val="single" w:sz="4" w:space="0" w:color="auto"/>
              <w:bottom w:val="single" w:sz="4" w:space="0" w:color="auto"/>
              <w:right w:val="single" w:sz="4" w:space="0" w:color="auto"/>
            </w:tcBorders>
            <w:hideMark/>
          </w:tcPr>
          <w:p w14:paraId="0BCC2D21" w14:textId="77777777" w:rsidR="00485155" w:rsidRDefault="00485155">
            <w:pPr>
              <w:spacing w:line="360" w:lineRule="auto"/>
              <w:rPr>
                <w:rFonts w:ascii="Arial" w:hAnsi="Arial" w:cs="Arial"/>
                <w:sz w:val="22"/>
                <w:szCs w:val="22"/>
              </w:rPr>
            </w:pPr>
            <w:r>
              <w:rPr>
                <w:rFonts w:ascii="Arial" w:hAnsi="Arial" w:cs="Arial"/>
                <w:sz w:val="22"/>
                <w:szCs w:val="22"/>
              </w:rPr>
              <w:t>Weight stigma, racial discrimination</w:t>
            </w:r>
          </w:p>
        </w:tc>
        <w:tc>
          <w:tcPr>
            <w:tcW w:w="3005" w:type="dxa"/>
            <w:tcBorders>
              <w:top w:val="single" w:sz="4" w:space="0" w:color="auto"/>
              <w:left w:val="single" w:sz="4" w:space="0" w:color="auto"/>
              <w:bottom w:val="single" w:sz="4" w:space="0" w:color="auto"/>
              <w:right w:val="single" w:sz="4" w:space="0" w:color="auto"/>
            </w:tcBorders>
            <w:hideMark/>
          </w:tcPr>
          <w:p w14:paraId="32EC01FD" w14:textId="77777777" w:rsidR="00485155" w:rsidRDefault="00485155">
            <w:pPr>
              <w:spacing w:line="360" w:lineRule="auto"/>
              <w:rPr>
                <w:rFonts w:ascii="Arial" w:hAnsi="Arial" w:cs="Arial"/>
                <w:sz w:val="22"/>
                <w:szCs w:val="22"/>
              </w:rPr>
            </w:pPr>
            <w:r>
              <w:rPr>
                <w:rFonts w:ascii="Arial" w:hAnsi="Arial" w:cs="Arial"/>
                <w:sz w:val="22"/>
                <w:szCs w:val="22"/>
              </w:rPr>
              <w:t>Double stigma</w:t>
            </w:r>
          </w:p>
        </w:tc>
        <w:tc>
          <w:tcPr>
            <w:tcW w:w="3006" w:type="dxa"/>
            <w:tcBorders>
              <w:top w:val="single" w:sz="4" w:space="0" w:color="auto"/>
              <w:left w:val="single" w:sz="4" w:space="0" w:color="auto"/>
              <w:bottom w:val="single" w:sz="4" w:space="0" w:color="auto"/>
              <w:right w:val="single" w:sz="4" w:space="0" w:color="auto"/>
            </w:tcBorders>
            <w:hideMark/>
          </w:tcPr>
          <w:p w14:paraId="231506D3" w14:textId="77777777" w:rsidR="00485155" w:rsidRDefault="00485155">
            <w:pPr>
              <w:spacing w:line="360" w:lineRule="auto"/>
              <w:rPr>
                <w:rFonts w:ascii="Arial" w:hAnsi="Arial" w:cs="Arial"/>
                <w:sz w:val="22"/>
                <w:szCs w:val="22"/>
              </w:rPr>
            </w:pPr>
            <w:r>
              <w:rPr>
                <w:rFonts w:ascii="Arial" w:hAnsi="Arial" w:cs="Arial"/>
                <w:sz w:val="22"/>
                <w:szCs w:val="22"/>
              </w:rPr>
              <w:t>Intersectionality</w:t>
            </w:r>
          </w:p>
        </w:tc>
      </w:tr>
      <w:tr w:rsidR="00485155" w14:paraId="72884304" w14:textId="77777777">
        <w:tc>
          <w:tcPr>
            <w:tcW w:w="3005" w:type="dxa"/>
            <w:tcBorders>
              <w:top w:val="single" w:sz="4" w:space="0" w:color="auto"/>
              <w:left w:val="single" w:sz="4" w:space="0" w:color="auto"/>
              <w:bottom w:val="single" w:sz="4" w:space="0" w:color="auto"/>
              <w:right w:val="single" w:sz="4" w:space="0" w:color="auto"/>
            </w:tcBorders>
            <w:hideMark/>
          </w:tcPr>
          <w:p w14:paraId="1EADE575" w14:textId="77777777" w:rsidR="00485155" w:rsidRDefault="00485155">
            <w:pPr>
              <w:spacing w:line="360" w:lineRule="auto"/>
              <w:rPr>
                <w:rFonts w:ascii="Arial" w:hAnsi="Arial" w:cs="Arial"/>
                <w:sz w:val="22"/>
                <w:szCs w:val="22"/>
              </w:rPr>
            </w:pPr>
            <w:r>
              <w:rPr>
                <w:rFonts w:ascii="Arial" w:hAnsi="Arial" w:cs="Arial"/>
                <w:sz w:val="22"/>
                <w:szCs w:val="22"/>
              </w:rPr>
              <w:t>Language barriers, mistrust</w:t>
            </w:r>
          </w:p>
        </w:tc>
        <w:tc>
          <w:tcPr>
            <w:tcW w:w="3005" w:type="dxa"/>
            <w:tcBorders>
              <w:top w:val="single" w:sz="4" w:space="0" w:color="auto"/>
              <w:left w:val="single" w:sz="4" w:space="0" w:color="auto"/>
              <w:bottom w:val="single" w:sz="4" w:space="0" w:color="auto"/>
              <w:right w:val="single" w:sz="4" w:space="0" w:color="auto"/>
            </w:tcBorders>
            <w:hideMark/>
          </w:tcPr>
          <w:p w14:paraId="10487945" w14:textId="77777777" w:rsidR="00485155" w:rsidRDefault="00485155">
            <w:pPr>
              <w:spacing w:line="360" w:lineRule="auto"/>
              <w:rPr>
                <w:rFonts w:ascii="Arial" w:hAnsi="Arial" w:cs="Arial"/>
                <w:sz w:val="22"/>
                <w:szCs w:val="22"/>
              </w:rPr>
            </w:pPr>
            <w:r>
              <w:rPr>
                <w:rFonts w:ascii="Arial" w:hAnsi="Arial" w:cs="Arial"/>
                <w:sz w:val="22"/>
                <w:szCs w:val="22"/>
              </w:rPr>
              <w:t>Access issues</w:t>
            </w:r>
          </w:p>
        </w:tc>
        <w:tc>
          <w:tcPr>
            <w:tcW w:w="3006" w:type="dxa"/>
            <w:tcBorders>
              <w:top w:val="single" w:sz="4" w:space="0" w:color="auto"/>
              <w:left w:val="single" w:sz="4" w:space="0" w:color="auto"/>
              <w:bottom w:val="single" w:sz="4" w:space="0" w:color="auto"/>
              <w:right w:val="single" w:sz="4" w:space="0" w:color="auto"/>
            </w:tcBorders>
            <w:hideMark/>
          </w:tcPr>
          <w:p w14:paraId="476115A5" w14:textId="77777777" w:rsidR="00485155" w:rsidRDefault="00485155">
            <w:pPr>
              <w:spacing w:line="360" w:lineRule="auto"/>
              <w:rPr>
                <w:rFonts w:ascii="Arial" w:hAnsi="Arial" w:cs="Arial"/>
                <w:sz w:val="22"/>
                <w:szCs w:val="22"/>
              </w:rPr>
            </w:pPr>
            <w:r>
              <w:rPr>
                <w:rFonts w:ascii="Arial" w:hAnsi="Arial" w:cs="Arial"/>
                <w:sz w:val="22"/>
                <w:szCs w:val="22"/>
              </w:rPr>
              <w:t>Barriers to support</w:t>
            </w:r>
          </w:p>
        </w:tc>
      </w:tr>
      <w:tr w:rsidR="00485155" w14:paraId="17269609" w14:textId="77777777">
        <w:tc>
          <w:tcPr>
            <w:tcW w:w="3005" w:type="dxa"/>
            <w:tcBorders>
              <w:top w:val="single" w:sz="4" w:space="0" w:color="auto"/>
              <w:left w:val="single" w:sz="4" w:space="0" w:color="auto"/>
              <w:bottom w:val="single" w:sz="4" w:space="0" w:color="auto"/>
              <w:right w:val="single" w:sz="4" w:space="0" w:color="auto"/>
            </w:tcBorders>
            <w:hideMark/>
          </w:tcPr>
          <w:p w14:paraId="707FD5C1" w14:textId="77777777" w:rsidR="00485155" w:rsidRDefault="00485155">
            <w:pPr>
              <w:spacing w:line="360" w:lineRule="auto"/>
              <w:rPr>
                <w:rFonts w:ascii="Arial" w:hAnsi="Arial" w:cs="Arial"/>
                <w:sz w:val="22"/>
                <w:szCs w:val="22"/>
              </w:rPr>
            </w:pPr>
            <w:r>
              <w:rPr>
                <w:rFonts w:ascii="Arial" w:hAnsi="Arial" w:cs="Arial"/>
                <w:sz w:val="22"/>
                <w:szCs w:val="22"/>
              </w:rPr>
              <w:lastRenderedPageBreak/>
              <w:t>Cultural norms, identity conflict</w:t>
            </w:r>
          </w:p>
        </w:tc>
        <w:tc>
          <w:tcPr>
            <w:tcW w:w="3005" w:type="dxa"/>
            <w:tcBorders>
              <w:top w:val="single" w:sz="4" w:space="0" w:color="auto"/>
              <w:left w:val="single" w:sz="4" w:space="0" w:color="auto"/>
              <w:bottom w:val="single" w:sz="4" w:space="0" w:color="auto"/>
              <w:right w:val="single" w:sz="4" w:space="0" w:color="auto"/>
            </w:tcBorders>
            <w:hideMark/>
          </w:tcPr>
          <w:p w14:paraId="73383D21" w14:textId="77777777" w:rsidR="00485155" w:rsidRDefault="00485155">
            <w:pPr>
              <w:spacing w:line="360" w:lineRule="auto"/>
              <w:rPr>
                <w:rFonts w:ascii="Arial" w:hAnsi="Arial" w:cs="Arial"/>
                <w:sz w:val="22"/>
                <w:szCs w:val="22"/>
              </w:rPr>
            </w:pPr>
            <w:r>
              <w:rPr>
                <w:rFonts w:ascii="Arial" w:hAnsi="Arial" w:cs="Arial"/>
                <w:sz w:val="22"/>
                <w:szCs w:val="22"/>
              </w:rPr>
              <w:t>Acculturation stress</w:t>
            </w:r>
          </w:p>
        </w:tc>
        <w:tc>
          <w:tcPr>
            <w:tcW w:w="3006" w:type="dxa"/>
            <w:tcBorders>
              <w:top w:val="single" w:sz="4" w:space="0" w:color="auto"/>
              <w:left w:val="single" w:sz="4" w:space="0" w:color="auto"/>
              <w:bottom w:val="single" w:sz="4" w:space="0" w:color="auto"/>
              <w:right w:val="single" w:sz="4" w:space="0" w:color="auto"/>
            </w:tcBorders>
            <w:hideMark/>
          </w:tcPr>
          <w:p w14:paraId="4F8E0A1B" w14:textId="77777777" w:rsidR="00485155" w:rsidRDefault="00485155">
            <w:pPr>
              <w:spacing w:line="360" w:lineRule="auto"/>
              <w:rPr>
                <w:rFonts w:ascii="Arial" w:hAnsi="Arial" w:cs="Arial"/>
                <w:sz w:val="22"/>
                <w:szCs w:val="22"/>
              </w:rPr>
            </w:pPr>
            <w:r>
              <w:rPr>
                <w:rFonts w:ascii="Arial" w:hAnsi="Arial" w:cs="Arial"/>
                <w:sz w:val="22"/>
                <w:szCs w:val="22"/>
              </w:rPr>
              <w:t>Cultural influences</w:t>
            </w:r>
          </w:p>
        </w:tc>
      </w:tr>
    </w:tbl>
    <w:p w14:paraId="3E56A425" w14:textId="77777777" w:rsidR="00485155" w:rsidRDefault="00485155" w:rsidP="00485155">
      <w:pPr>
        <w:spacing w:line="360" w:lineRule="auto"/>
        <w:rPr>
          <w:rFonts w:ascii="Arial" w:hAnsi="Arial" w:cs="Arial"/>
          <w:sz w:val="22"/>
          <w:szCs w:val="22"/>
        </w:rPr>
      </w:pPr>
    </w:p>
    <w:p w14:paraId="1CE40738" w14:textId="77777777" w:rsidR="00485155" w:rsidRDefault="00485155" w:rsidP="00485155">
      <w:pPr>
        <w:pStyle w:val="Heading2"/>
      </w:pPr>
      <w:bookmarkStart w:id="8" w:name="_Toc222340255"/>
      <w:r>
        <w:t>3.6 Quality Appraisal: CRAAP Test</w:t>
      </w:r>
      <w:bookmarkEnd w:id="8"/>
    </w:p>
    <w:p w14:paraId="72F5B8C5"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To ensure academic integrity, all sources were evaluated using the CRAAP test (Currency, Relevance, Authority, Accuracy, Purpose):</w:t>
      </w:r>
    </w:p>
    <w:p w14:paraId="57BE5E11" w14:textId="77777777" w:rsidR="00485155" w:rsidRDefault="00485155" w:rsidP="00485155">
      <w:pPr>
        <w:pStyle w:val="ListParagraph"/>
        <w:numPr>
          <w:ilvl w:val="0"/>
          <w:numId w:val="11"/>
        </w:numPr>
        <w:spacing w:line="360" w:lineRule="auto"/>
        <w:rPr>
          <w:rFonts w:ascii="Arial" w:hAnsi="Arial" w:cs="Arial"/>
          <w:sz w:val="22"/>
          <w:szCs w:val="22"/>
        </w:rPr>
      </w:pPr>
      <w:r>
        <w:rPr>
          <w:rFonts w:ascii="Arial" w:hAnsi="Arial" w:cs="Arial"/>
          <w:sz w:val="22"/>
          <w:szCs w:val="22"/>
        </w:rPr>
        <w:t>Currency: preference for sources published 2014–2025</w:t>
      </w:r>
    </w:p>
    <w:p w14:paraId="3D2B9FCC" w14:textId="77777777" w:rsidR="00485155" w:rsidRDefault="00485155" w:rsidP="00485155">
      <w:pPr>
        <w:pStyle w:val="ListParagraph"/>
        <w:numPr>
          <w:ilvl w:val="0"/>
          <w:numId w:val="11"/>
        </w:numPr>
        <w:spacing w:line="360" w:lineRule="auto"/>
        <w:rPr>
          <w:rFonts w:ascii="Arial" w:hAnsi="Arial" w:cs="Arial"/>
          <w:sz w:val="22"/>
          <w:szCs w:val="22"/>
        </w:rPr>
      </w:pPr>
      <w:r>
        <w:rPr>
          <w:rFonts w:ascii="Arial" w:hAnsi="Arial" w:cs="Arial"/>
          <w:sz w:val="22"/>
          <w:szCs w:val="22"/>
        </w:rPr>
        <w:t>Relevance: direct connection to obesity, ethnicity, and mental health</w:t>
      </w:r>
    </w:p>
    <w:p w14:paraId="4D9E24FC" w14:textId="77777777" w:rsidR="00485155" w:rsidRDefault="00485155" w:rsidP="00485155">
      <w:pPr>
        <w:pStyle w:val="ListParagraph"/>
        <w:numPr>
          <w:ilvl w:val="0"/>
          <w:numId w:val="11"/>
        </w:numPr>
        <w:spacing w:line="360" w:lineRule="auto"/>
        <w:rPr>
          <w:rFonts w:ascii="Arial" w:hAnsi="Arial" w:cs="Arial"/>
          <w:sz w:val="22"/>
          <w:szCs w:val="22"/>
        </w:rPr>
      </w:pPr>
      <w:r>
        <w:rPr>
          <w:rFonts w:ascii="Arial" w:hAnsi="Arial" w:cs="Arial"/>
          <w:sz w:val="22"/>
          <w:szCs w:val="22"/>
        </w:rPr>
        <w:t>Authority: peer</w:t>
      </w:r>
      <w:r>
        <w:rPr>
          <w:rFonts w:ascii="Cambria Math" w:hAnsi="Cambria Math" w:cs="Cambria Math"/>
          <w:sz w:val="22"/>
          <w:szCs w:val="22"/>
        </w:rPr>
        <w:noBreakHyphen/>
      </w:r>
      <w:r>
        <w:rPr>
          <w:rFonts w:ascii="Arial" w:hAnsi="Arial" w:cs="Arial"/>
          <w:sz w:val="22"/>
          <w:szCs w:val="22"/>
        </w:rPr>
        <w:t>reviewed journals, government bodies, WHO, NHS</w:t>
      </w:r>
    </w:p>
    <w:p w14:paraId="46FDA326" w14:textId="77777777" w:rsidR="00485155" w:rsidRDefault="00485155" w:rsidP="00485155">
      <w:pPr>
        <w:pStyle w:val="ListParagraph"/>
        <w:numPr>
          <w:ilvl w:val="0"/>
          <w:numId w:val="11"/>
        </w:numPr>
        <w:spacing w:line="360" w:lineRule="auto"/>
        <w:rPr>
          <w:rFonts w:ascii="Arial" w:hAnsi="Arial" w:cs="Arial"/>
          <w:sz w:val="22"/>
          <w:szCs w:val="22"/>
        </w:rPr>
      </w:pPr>
      <w:r>
        <w:rPr>
          <w:rFonts w:ascii="Arial" w:hAnsi="Arial" w:cs="Arial"/>
          <w:sz w:val="22"/>
          <w:szCs w:val="22"/>
        </w:rPr>
        <w:t>Accuracy: evidence</w:t>
      </w:r>
      <w:r>
        <w:rPr>
          <w:rFonts w:ascii="Cambria Math" w:hAnsi="Cambria Math" w:cs="Cambria Math"/>
          <w:sz w:val="22"/>
          <w:szCs w:val="22"/>
        </w:rPr>
        <w:noBreakHyphen/>
      </w:r>
      <w:r>
        <w:rPr>
          <w:rFonts w:ascii="Arial" w:hAnsi="Arial" w:cs="Arial"/>
          <w:sz w:val="22"/>
          <w:szCs w:val="22"/>
        </w:rPr>
        <w:t>based, methodologically transparent</w:t>
      </w:r>
    </w:p>
    <w:p w14:paraId="0B68CD36" w14:textId="77777777" w:rsidR="00485155" w:rsidRDefault="00485155" w:rsidP="00485155">
      <w:pPr>
        <w:pStyle w:val="ListParagraph"/>
        <w:numPr>
          <w:ilvl w:val="0"/>
          <w:numId w:val="11"/>
        </w:numPr>
        <w:spacing w:line="360" w:lineRule="auto"/>
        <w:rPr>
          <w:rFonts w:ascii="Arial" w:hAnsi="Arial" w:cs="Arial"/>
          <w:sz w:val="22"/>
          <w:szCs w:val="22"/>
        </w:rPr>
      </w:pPr>
      <w:r>
        <w:rPr>
          <w:rFonts w:ascii="Arial" w:hAnsi="Arial" w:cs="Arial"/>
          <w:sz w:val="22"/>
          <w:szCs w:val="22"/>
        </w:rPr>
        <w:t>Purpose: academic, policy, or research</w:t>
      </w:r>
      <w:r>
        <w:rPr>
          <w:rFonts w:ascii="Cambria Math" w:hAnsi="Cambria Math" w:cs="Cambria Math"/>
          <w:sz w:val="22"/>
          <w:szCs w:val="22"/>
        </w:rPr>
        <w:noBreakHyphen/>
      </w:r>
      <w:r>
        <w:rPr>
          <w:rFonts w:ascii="Arial" w:hAnsi="Arial" w:cs="Arial"/>
          <w:sz w:val="22"/>
          <w:szCs w:val="22"/>
        </w:rPr>
        <w:t>driven</w:t>
      </w:r>
    </w:p>
    <w:p w14:paraId="4E955361" w14:textId="77777777" w:rsidR="00485155" w:rsidRDefault="00485155" w:rsidP="00485155">
      <w:pPr>
        <w:pStyle w:val="ListParagraph"/>
        <w:numPr>
          <w:ilvl w:val="0"/>
          <w:numId w:val="11"/>
        </w:numPr>
        <w:spacing w:line="360" w:lineRule="auto"/>
        <w:rPr>
          <w:rFonts w:ascii="Arial" w:hAnsi="Arial" w:cs="Arial"/>
          <w:sz w:val="22"/>
          <w:szCs w:val="22"/>
        </w:rPr>
      </w:pPr>
      <w:r>
        <w:rPr>
          <w:rFonts w:ascii="Arial" w:hAnsi="Arial" w:cs="Arial"/>
          <w:sz w:val="22"/>
          <w:szCs w:val="22"/>
        </w:rPr>
        <w:t>Sources scoring below 70% were excluded. This ensured that only high</w:t>
      </w:r>
      <w:r>
        <w:rPr>
          <w:rFonts w:ascii="Cambria Math" w:hAnsi="Cambria Math" w:cs="Cambria Math"/>
          <w:sz w:val="22"/>
          <w:szCs w:val="22"/>
        </w:rPr>
        <w:noBreakHyphen/>
      </w:r>
      <w:r>
        <w:rPr>
          <w:rFonts w:ascii="Arial" w:hAnsi="Arial" w:cs="Arial"/>
          <w:sz w:val="22"/>
          <w:szCs w:val="22"/>
        </w:rPr>
        <w:t>quality evidence informed the analysis.</w:t>
      </w:r>
    </w:p>
    <w:p w14:paraId="51AC8402" w14:textId="77777777" w:rsidR="00485155" w:rsidRDefault="00485155" w:rsidP="00485155">
      <w:pPr>
        <w:pStyle w:val="Heading3"/>
      </w:pPr>
      <w:bookmarkStart w:id="9" w:name="_Toc222340256"/>
      <w:r>
        <w:t>CRAAP Test Table</w:t>
      </w:r>
      <w:bookmarkEnd w:id="9"/>
    </w:p>
    <w:tbl>
      <w:tblPr>
        <w:tblStyle w:val="TableGrid"/>
        <w:tblW w:w="0" w:type="auto"/>
        <w:tblInd w:w="0" w:type="dxa"/>
        <w:tblLook w:val="04A0" w:firstRow="1" w:lastRow="0" w:firstColumn="1" w:lastColumn="0" w:noHBand="0" w:noVBand="1"/>
      </w:tblPr>
      <w:tblGrid>
        <w:gridCol w:w="1288"/>
        <w:gridCol w:w="1288"/>
        <w:gridCol w:w="1288"/>
        <w:gridCol w:w="1288"/>
        <w:gridCol w:w="1288"/>
        <w:gridCol w:w="1288"/>
        <w:gridCol w:w="1288"/>
      </w:tblGrid>
      <w:tr w:rsidR="00485155" w14:paraId="1E3665C9" w14:textId="77777777">
        <w:tc>
          <w:tcPr>
            <w:tcW w:w="1288" w:type="dxa"/>
            <w:tcBorders>
              <w:top w:val="single" w:sz="4" w:space="0" w:color="auto"/>
              <w:left w:val="single" w:sz="4" w:space="0" w:color="auto"/>
              <w:bottom w:val="single" w:sz="4" w:space="0" w:color="auto"/>
              <w:right w:val="single" w:sz="4" w:space="0" w:color="auto"/>
            </w:tcBorders>
            <w:hideMark/>
          </w:tcPr>
          <w:p w14:paraId="62511D69" w14:textId="77777777" w:rsidR="00485155" w:rsidRDefault="00485155">
            <w:pPr>
              <w:spacing w:line="360" w:lineRule="auto"/>
              <w:rPr>
                <w:rFonts w:ascii="Arial" w:hAnsi="Arial" w:cs="Arial"/>
                <w:sz w:val="22"/>
                <w:szCs w:val="22"/>
              </w:rPr>
            </w:pPr>
            <w:r>
              <w:rPr>
                <w:rFonts w:ascii="Arial" w:hAnsi="Arial" w:cs="Arial"/>
                <w:sz w:val="22"/>
                <w:szCs w:val="22"/>
              </w:rPr>
              <w:t>Source</w:t>
            </w:r>
          </w:p>
        </w:tc>
        <w:tc>
          <w:tcPr>
            <w:tcW w:w="1288" w:type="dxa"/>
            <w:tcBorders>
              <w:top w:val="single" w:sz="4" w:space="0" w:color="auto"/>
              <w:left w:val="single" w:sz="4" w:space="0" w:color="auto"/>
              <w:bottom w:val="single" w:sz="4" w:space="0" w:color="auto"/>
              <w:right w:val="single" w:sz="4" w:space="0" w:color="auto"/>
            </w:tcBorders>
            <w:hideMark/>
          </w:tcPr>
          <w:p w14:paraId="5CE2396F" w14:textId="77777777" w:rsidR="00485155" w:rsidRDefault="00485155">
            <w:pPr>
              <w:spacing w:line="360" w:lineRule="auto"/>
              <w:rPr>
                <w:rFonts w:ascii="Arial" w:hAnsi="Arial" w:cs="Arial"/>
                <w:sz w:val="22"/>
                <w:szCs w:val="22"/>
              </w:rPr>
            </w:pPr>
            <w:r>
              <w:rPr>
                <w:rFonts w:ascii="Arial" w:hAnsi="Arial" w:cs="Arial"/>
                <w:sz w:val="22"/>
                <w:szCs w:val="22"/>
              </w:rPr>
              <w:t>Currency</w:t>
            </w:r>
          </w:p>
        </w:tc>
        <w:tc>
          <w:tcPr>
            <w:tcW w:w="1288" w:type="dxa"/>
            <w:tcBorders>
              <w:top w:val="single" w:sz="4" w:space="0" w:color="auto"/>
              <w:left w:val="single" w:sz="4" w:space="0" w:color="auto"/>
              <w:bottom w:val="single" w:sz="4" w:space="0" w:color="auto"/>
              <w:right w:val="single" w:sz="4" w:space="0" w:color="auto"/>
            </w:tcBorders>
            <w:hideMark/>
          </w:tcPr>
          <w:p w14:paraId="6DC22D90" w14:textId="77777777" w:rsidR="00485155" w:rsidRDefault="00485155">
            <w:pPr>
              <w:spacing w:line="360" w:lineRule="auto"/>
              <w:rPr>
                <w:rFonts w:ascii="Arial" w:hAnsi="Arial" w:cs="Arial"/>
                <w:sz w:val="22"/>
                <w:szCs w:val="22"/>
              </w:rPr>
            </w:pPr>
            <w:r>
              <w:rPr>
                <w:rFonts w:ascii="Arial" w:hAnsi="Arial" w:cs="Arial"/>
                <w:sz w:val="22"/>
                <w:szCs w:val="22"/>
              </w:rPr>
              <w:t>Relevance</w:t>
            </w:r>
          </w:p>
        </w:tc>
        <w:tc>
          <w:tcPr>
            <w:tcW w:w="1288" w:type="dxa"/>
            <w:tcBorders>
              <w:top w:val="single" w:sz="4" w:space="0" w:color="auto"/>
              <w:left w:val="single" w:sz="4" w:space="0" w:color="auto"/>
              <w:bottom w:val="single" w:sz="4" w:space="0" w:color="auto"/>
              <w:right w:val="single" w:sz="4" w:space="0" w:color="auto"/>
            </w:tcBorders>
            <w:hideMark/>
          </w:tcPr>
          <w:p w14:paraId="4D5AF023" w14:textId="77777777" w:rsidR="00485155" w:rsidRDefault="00485155">
            <w:pPr>
              <w:spacing w:line="360" w:lineRule="auto"/>
              <w:rPr>
                <w:rFonts w:ascii="Arial" w:hAnsi="Arial" w:cs="Arial"/>
                <w:sz w:val="22"/>
                <w:szCs w:val="22"/>
              </w:rPr>
            </w:pPr>
            <w:r>
              <w:rPr>
                <w:rFonts w:ascii="Arial" w:hAnsi="Arial" w:cs="Arial"/>
                <w:sz w:val="22"/>
                <w:szCs w:val="22"/>
              </w:rPr>
              <w:t>Authority</w:t>
            </w:r>
          </w:p>
        </w:tc>
        <w:tc>
          <w:tcPr>
            <w:tcW w:w="1288" w:type="dxa"/>
            <w:tcBorders>
              <w:top w:val="single" w:sz="4" w:space="0" w:color="auto"/>
              <w:left w:val="single" w:sz="4" w:space="0" w:color="auto"/>
              <w:bottom w:val="single" w:sz="4" w:space="0" w:color="auto"/>
              <w:right w:val="single" w:sz="4" w:space="0" w:color="auto"/>
            </w:tcBorders>
            <w:hideMark/>
          </w:tcPr>
          <w:p w14:paraId="34BB4E40" w14:textId="77777777" w:rsidR="00485155" w:rsidRDefault="00485155">
            <w:pPr>
              <w:spacing w:line="360" w:lineRule="auto"/>
              <w:rPr>
                <w:rFonts w:ascii="Arial" w:hAnsi="Arial" w:cs="Arial"/>
                <w:sz w:val="22"/>
                <w:szCs w:val="22"/>
              </w:rPr>
            </w:pPr>
            <w:r>
              <w:rPr>
                <w:rFonts w:ascii="Arial" w:hAnsi="Arial" w:cs="Arial"/>
                <w:sz w:val="22"/>
                <w:szCs w:val="22"/>
              </w:rPr>
              <w:t>Accuracy</w:t>
            </w:r>
          </w:p>
        </w:tc>
        <w:tc>
          <w:tcPr>
            <w:tcW w:w="1288" w:type="dxa"/>
            <w:tcBorders>
              <w:top w:val="single" w:sz="4" w:space="0" w:color="auto"/>
              <w:left w:val="single" w:sz="4" w:space="0" w:color="auto"/>
              <w:bottom w:val="single" w:sz="4" w:space="0" w:color="auto"/>
              <w:right w:val="single" w:sz="4" w:space="0" w:color="auto"/>
            </w:tcBorders>
            <w:hideMark/>
          </w:tcPr>
          <w:p w14:paraId="10B5B76F" w14:textId="77777777" w:rsidR="00485155" w:rsidRDefault="00485155">
            <w:pPr>
              <w:spacing w:line="360" w:lineRule="auto"/>
              <w:rPr>
                <w:rFonts w:ascii="Arial" w:hAnsi="Arial" w:cs="Arial"/>
                <w:sz w:val="22"/>
                <w:szCs w:val="22"/>
              </w:rPr>
            </w:pPr>
            <w:r>
              <w:rPr>
                <w:rFonts w:ascii="Arial" w:hAnsi="Arial" w:cs="Arial"/>
                <w:sz w:val="22"/>
                <w:szCs w:val="22"/>
              </w:rPr>
              <w:t>Purpose</w:t>
            </w:r>
          </w:p>
        </w:tc>
        <w:tc>
          <w:tcPr>
            <w:tcW w:w="1288" w:type="dxa"/>
            <w:tcBorders>
              <w:top w:val="single" w:sz="4" w:space="0" w:color="auto"/>
              <w:left w:val="single" w:sz="4" w:space="0" w:color="auto"/>
              <w:bottom w:val="single" w:sz="4" w:space="0" w:color="auto"/>
              <w:right w:val="single" w:sz="4" w:space="0" w:color="auto"/>
            </w:tcBorders>
            <w:hideMark/>
          </w:tcPr>
          <w:p w14:paraId="264ACA0F" w14:textId="77777777" w:rsidR="00485155" w:rsidRDefault="00485155">
            <w:pPr>
              <w:spacing w:line="360" w:lineRule="auto"/>
              <w:rPr>
                <w:rFonts w:ascii="Arial" w:hAnsi="Arial" w:cs="Arial"/>
                <w:sz w:val="22"/>
                <w:szCs w:val="22"/>
              </w:rPr>
            </w:pPr>
            <w:r>
              <w:rPr>
                <w:rFonts w:ascii="Arial" w:hAnsi="Arial" w:cs="Arial"/>
                <w:sz w:val="22"/>
                <w:szCs w:val="22"/>
              </w:rPr>
              <w:t>Score</w:t>
            </w:r>
          </w:p>
        </w:tc>
      </w:tr>
      <w:tr w:rsidR="00485155" w14:paraId="68E91E0F" w14:textId="77777777">
        <w:tc>
          <w:tcPr>
            <w:tcW w:w="1288" w:type="dxa"/>
            <w:tcBorders>
              <w:top w:val="single" w:sz="4" w:space="0" w:color="auto"/>
              <w:left w:val="single" w:sz="4" w:space="0" w:color="auto"/>
              <w:bottom w:val="single" w:sz="4" w:space="0" w:color="auto"/>
              <w:right w:val="single" w:sz="4" w:space="0" w:color="auto"/>
            </w:tcBorders>
            <w:hideMark/>
          </w:tcPr>
          <w:p w14:paraId="27EB9CAC" w14:textId="77777777" w:rsidR="00485155" w:rsidRDefault="00485155">
            <w:pPr>
              <w:spacing w:line="360" w:lineRule="auto"/>
              <w:rPr>
                <w:rFonts w:ascii="Arial" w:hAnsi="Arial" w:cs="Arial"/>
                <w:sz w:val="22"/>
                <w:szCs w:val="22"/>
              </w:rPr>
            </w:pPr>
            <w:r>
              <w:rPr>
                <w:rFonts w:ascii="Arial" w:hAnsi="Arial" w:cs="Arial"/>
                <w:sz w:val="22"/>
                <w:szCs w:val="22"/>
              </w:rPr>
              <w:t>ONS (2023)</w:t>
            </w:r>
          </w:p>
        </w:tc>
        <w:tc>
          <w:tcPr>
            <w:tcW w:w="1288" w:type="dxa"/>
            <w:tcBorders>
              <w:top w:val="single" w:sz="4" w:space="0" w:color="auto"/>
              <w:left w:val="single" w:sz="4" w:space="0" w:color="auto"/>
              <w:bottom w:val="single" w:sz="4" w:space="0" w:color="auto"/>
              <w:right w:val="single" w:sz="4" w:space="0" w:color="auto"/>
            </w:tcBorders>
            <w:hideMark/>
          </w:tcPr>
          <w:p w14:paraId="14E6455C"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60FF89DA"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46584936"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43FD6E5D"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6C7FC624"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7CE1438B" w14:textId="77777777" w:rsidR="00485155" w:rsidRDefault="00485155">
            <w:pPr>
              <w:spacing w:line="360" w:lineRule="auto"/>
              <w:rPr>
                <w:rFonts w:ascii="Arial" w:hAnsi="Arial" w:cs="Arial"/>
                <w:sz w:val="22"/>
                <w:szCs w:val="22"/>
              </w:rPr>
            </w:pPr>
            <w:r>
              <w:rPr>
                <w:rFonts w:ascii="Arial" w:hAnsi="Arial" w:cs="Arial"/>
                <w:sz w:val="22"/>
                <w:szCs w:val="22"/>
              </w:rPr>
              <w:t>25/25</w:t>
            </w:r>
          </w:p>
        </w:tc>
      </w:tr>
      <w:tr w:rsidR="00485155" w14:paraId="6B16DF8D" w14:textId="77777777">
        <w:tc>
          <w:tcPr>
            <w:tcW w:w="1288" w:type="dxa"/>
            <w:tcBorders>
              <w:top w:val="single" w:sz="4" w:space="0" w:color="auto"/>
              <w:left w:val="single" w:sz="4" w:space="0" w:color="auto"/>
              <w:bottom w:val="single" w:sz="4" w:space="0" w:color="auto"/>
              <w:right w:val="single" w:sz="4" w:space="0" w:color="auto"/>
            </w:tcBorders>
            <w:hideMark/>
          </w:tcPr>
          <w:p w14:paraId="52331B50" w14:textId="77777777" w:rsidR="00485155" w:rsidRDefault="00485155">
            <w:pPr>
              <w:spacing w:line="360" w:lineRule="auto"/>
              <w:rPr>
                <w:rFonts w:ascii="Arial" w:hAnsi="Arial" w:cs="Arial"/>
                <w:sz w:val="22"/>
                <w:szCs w:val="22"/>
              </w:rPr>
            </w:pPr>
            <w:r>
              <w:rPr>
                <w:rFonts w:ascii="Arial" w:hAnsi="Arial" w:cs="Arial"/>
                <w:sz w:val="22"/>
                <w:szCs w:val="22"/>
              </w:rPr>
              <w:t>Roberts et al. (2020)</w:t>
            </w:r>
          </w:p>
        </w:tc>
        <w:tc>
          <w:tcPr>
            <w:tcW w:w="1288" w:type="dxa"/>
            <w:tcBorders>
              <w:top w:val="single" w:sz="4" w:space="0" w:color="auto"/>
              <w:left w:val="single" w:sz="4" w:space="0" w:color="auto"/>
              <w:bottom w:val="single" w:sz="4" w:space="0" w:color="auto"/>
              <w:right w:val="single" w:sz="4" w:space="0" w:color="auto"/>
            </w:tcBorders>
            <w:hideMark/>
          </w:tcPr>
          <w:p w14:paraId="0DAB9B31"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0B6D5316"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7C1933E0"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6DE8241D" w14:textId="77777777" w:rsidR="00485155" w:rsidRDefault="00485155">
            <w:pPr>
              <w:spacing w:line="360" w:lineRule="auto"/>
              <w:rPr>
                <w:rFonts w:ascii="Arial" w:hAnsi="Arial" w:cs="Arial"/>
                <w:sz w:val="22"/>
                <w:szCs w:val="22"/>
              </w:rPr>
            </w:pPr>
            <w:r>
              <w:rPr>
                <w:rFonts w:ascii="Arial" w:hAnsi="Arial" w:cs="Arial"/>
                <w:sz w:val="22"/>
                <w:szCs w:val="22"/>
              </w:rPr>
              <w:t>4/5</w:t>
            </w:r>
          </w:p>
        </w:tc>
        <w:tc>
          <w:tcPr>
            <w:tcW w:w="1288" w:type="dxa"/>
            <w:tcBorders>
              <w:top w:val="single" w:sz="4" w:space="0" w:color="auto"/>
              <w:left w:val="single" w:sz="4" w:space="0" w:color="auto"/>
              <w:bottom w:val="single" w:sz="4" w:space="0" w:color="auto"/>
              <w:right w:val="single" w:sz="4" w:space="0" w:color="auto"/>
            </w:tcBorders>
            <w:hideMark/>
          </w:tcPr>
          <w:p w14:paraId="7DBE6398"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0BFFB030" w14:textId="77777777" w:rsidR="00485155" w:rsidRDefault="00485155">
            <w:pPr>
              <w:spacing w:line="360" w:lineRule="auto"/>
              <w:rPr>
                <w:rFonts w:ascii="Arial" w:hAnsi="Arial" w:cs="Arial"/>
                <w:sz w:val="22"/>
                <w:szCs w:val="22"/>
              </w:rPr>
            </w:pPr>
            <w:r>
              <w:rPr>
                <w:rFonts w:ascii="Arial" w:hAnsi="Arial" w:cs="Arial"/>
                <w:sz w:val="22"/>
                <w:szCs w:val="22"/>
              </w:rPr>
              <w:t>24/25</w:t>
            </w:r>
          </w:p>
        </w:tc>
      </w:tr>
      <w:tr w:rsidR="00485155" w14:paraId="69ED92E1" w14:textId="77777777">
        <w:tc>
          <w:tcPr>
            <w:tcW w:w="1288" w:type="dxa"/>
            <w:tcBorders>
              <w:top w:val="single" w:sz="4" w:space="0" w:color="auto"/>
              <w:left w:val="single" w:sz="4" w:space="0" w:color="auto"/>
              <w:bottom w:val="single" w:sz="4" w:space="0" w:color="auto"/>
              <w:right w:val="single" w:sz="4" w:space="0" w:color="auto"/>
            </w:tcBorders>
            <w:hideMark/>
          </w:tcPr>
          <w:p w14:paraId="678B1450" w14:textId="77777777" w:rsidR="00485155" w:rsidRDefault="00485155">
            <w:pPr>
              <w:spacing w:line="360" w:lineRule="auto"/>
              <w:rPr>
                <w:rFonts w:ascii="Arial" w:hAnsi="Arial" w:cs="Arial"/>
                <w:sz w:val="22"/>
                <w:szCs w:val="22"/>
              </w:rPr>
            </w:pPr>
            <w:r>
              <w:rPr>
                <w:rFonts w:ascii="Arial" w:hAnsi="Arial" w:cs="Arial"/>
                <w:sz w:val="22"/>
                <w:szCs w:val="22"/>
              </w:rPr>
              <w:t>Public Health England (2022)</w:t>
            </w:r>
          </w:p>
        </w:tc>
        <w:tc>
          <w:tcPr>
            <w:tcW w:w="1288" w:type="dxa"/>
            <w:tcBorders>
              <w:top w:val="single" w:sz="4" w:space="0" w:color="auto"/>
              <w:left w:val="single" w:sz="4" w:space="0" w:color="auto"/>
              <w:bottom w:val="single" w:sz="4" w:space="0" w:color="auto"/>
              <w:right w:val="single" w:sz="4" w:space="0" w:color="auto"/>
            </w:tcBorders>
            <w:hideMark/>
          </w:tcPr>
          <w:p w14:paraId="5D973713"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0D28B0F7"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6D19BE22"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0FA0065B"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09208909" w14:textId="77777777" w:rsidR="00485155" w:rsidRDefault="00485155">
            <w:pPr>
              <w:spacing w:line="360" w:lineRule="auto"/>
              <w:rPr>
                <w:rFonts w:ascii="Arial" w:hAnsi="Arial" w:cs="Arial"/>
                <w:sz w:val="22"/>
                <w:szCs w:val="22"/>
              </w:rPr>
            </w:pPr>
            <w:r>
              <w:rPr>
                <w:rFonts w:ascii="Arial" w:hAnsi="Arial" w:cs="Arial"/>
                <w:sz w:val="22"/>
                <w:szCs w:val="22"/>
              </w:rPr>
              <w:t>5/5</w:t>
            </w:r>
          </w:p>
        </w:tc>
        <w:tc>
          <w:tcPr>
            <w:tcW w:w="1288" w:type="dxa"/>
            <w:tcBorders>
              <w:top w:val="single" w:sz="4" w:space="0" w:color="auto"/>
              <w:left w:val="single" w:sz="4" w:space="0" w:color="auto"/>
              <w:bottom w:val="single" w:sz="4" w:space="0" w:color="auto"/>
              <w:right w:val="single" w:sz="4" w:space="0" w:color="auto"/>
            </w:tcBorders>
            <w:hideMark/>
          </w:tcPr>
          <w:p w14:paraId="4035C5AF" w14:textId="77777777" w:rsidR="00485155" w:rsidRDefault="00485155">
            <w:pPr>
              <w:spacing w:line="360" w:lineRule="auto"/>
              <w:rPr>
                <w:rFonts w:ascii="Arial" w:hAnsi="Arial" w:cs="Arial"/>
                <w:sz w:val="22"/>
                <w:szCs w:val="22"/>
              </w:rPr>
            </w:pPr>
            <w:r>
              <w:rPr>
                <w:rFonts w:ascii="Arial" w:hAnsi="Arial" w:cs="Arial"/>
                <w:sz w:val="22"/>
                <w:szCs w:val="22"/>
              </w:rPr>
              <w:t>25/25</w:t>
            </w:r>
          </w:p>
        </w:tc>
      </w:tr>
    </w:tbl>
    <w:p w14:paraId="5A28A671" w14:textId="77777777" w:rsidR="00485155" w:rsidRDefault="00485155" w:rsidP="00485155">
      <w:pPr>
        <w:spacing w:line="360" w:lineRule="auto"/>
        <w:rPr>
          <w:rFonts w:ascii="Arial" w:hAnsi="Arial" w:cs="Arial"/>
          <w:sz w:val="22"/>
          <w:szCs w:val="22"/>
        </w:rPr>
      </w:pPr>
    </w:p>
    <w:p w14:paraId="64861BAF" w14:textId="77777777" w:rsidR="00485155" w:rsidRDefault="00485155" w:rsidP="00485155">
      <w:pPr>
        <w:pStyle w:val="Heading2"/>
      </w:pPr>
      <w:bookmarkStart w:id="10" w:name="_Toc222340257"/>
      <w:r>
        <w:t>3.7 Ethical Considerations</w:t>
      </w:r>
      <w:bookmarkEnd w:id="10"/>
    </w:p>
    <w:p w14:paraId="07E0F23A" w14:textId="77777777" w:rsidR="00485155" w:rsidRDefault="00485155" w:rsidP="00485155">
      <w:pPr>
        <w:spacing w:line="360" w:lineRule="auto"/>
        <w:rPr>
          <w:rFonts w:ascii="Arial" w:hAnsi="Arial" w:cs="Arial"/>
          <w:sz w:val="22"/>
          <w:szCs w:val="22"/>
        </w:rPr>
      </w:pPr>
      <w:r>
        <w:rPr>
          <w:rFonts w:ascii="Arial" w:hAnsi="Arial" w:cs="Arial"/>
          <w:sz w:val="22"/>
          <w:szCs w:val="22"/>
        </w:rPr>
        <w:t>Although secondary research does not involve direct human participation, ethical considerations remain essential.</w:t>
      </w:r>
    </w:p>
    <w:p w14:paraId="5BB952E4"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Key Ethical Principles</w:t>
      </w:r>
    </w:p>
    <w:p w14:paraId="6FADDB07" w14:textId="77777777" w:rsidR="00485155" w:rsidRDefault="00485155" w:rsidP="00485155">
      <w:pPr>
        <w:pStyle w:val="ListParagraph"/>
        <w:numPr>
          <w:ilvl w:val="0"/>
          <w:numId w:val="12"/>
        </w:numPr>
        <w:spacing w:line="360" w:lineRule="auto"/>
        <w:rPr>
          <w:rFonts w:ascii="Arial" w:hAnsi="Arial" w:cs="Arial"/>
          <w:sz w:val="22"/>
          <w:szCs w:val="22"/>
        </w:rPr>
      </w:pPr>
      <w:r>
        <w:rPr>
          <w:rFonts w:ascii="Arial" w:hAnsi="Arial" w:cs="Arial"/>
          <w:sz w:val="22"/>
          <w:szCs w:val="22"/>
        </w:rPr>
        <w:t>Respect for sensitive topics: obesity, ethnicity, and mental health require careful, non</w:t>
      </w:r>
      <w:r>
        <w:rPr>
          <w:rFonts w:ascii="Cambria Math" w:hAnsi="Cambria Math" w:cs="Cambria Math"/>
          <w:sz w:val="22"/>
          <w:szCs w:val="22"/>
        </w:rPr>
        <w:noBreakHyphen/>
      </w:r>
      <w:r>
        <w:rPr>
          <w:rFonts w:ascii="Arial" w:hAnsi="Arial" w:cs="Arial"/>
          <w:sz w:val="22"/>
          <w:szCs w:val="22"/>
        </w:rPr>
        <w:t>stigmatising language (Puhl &amp; Heuer, 2010).</w:t>
      </w:r>
    </w:p>
    <w:p w14:paraId="7BB89273" w14:textId="77777777" w:rsidR="00485155" w:rsidRDefault="00485155" w:rsidP="00485155">
      <w:pPr>
        <w:pStyle w:val="ListParagraph"/>
        <w:numPr>
          <w:ilvl w:val="0"/>
          <w:numId w:val="12"/>
        </w:numPr>
        <w:spacing w:line="360" w:lineRule="auto"/>
        <w:rPr>
          <w:rFonts w:ascii="Arial" w:hAnsi="Arial" w:cs="Arial"/>
          <w:sz w:val="22"/>
          <w:szCs w:val="22"/>
        </w:rPr>
      </w:pPr>
      <w:r>
        <w:rPr>
          <w:rFonts w:ascii="Arial" w:hAnsi="Arial" w:cs="Arial"/>
          <w:sz w:val="22"/>
          <w:szCs w:val="22"/>
        </w:rPr>
        <w:t>Avoidance of harm: no primary data collection avoids risk to vulnerable individuals (HRA, 2023).</w:t>
      </w:r>
    </w:p>
    <w:p w14:paraId="72D7502B" w14:textId="77777777" w:rsidR="00485155" w:rsidRDefault="00485155" w:rsidP="00485155">
      <w:pPr>
        <w:pStyle w:val="ListParagraph"/>
        <w:numPr>
          <w:ilvl w:val="0"/>
          <w:numId w:val="12"/>
        </w:numPr>
        <w:spacing w:line="360" w:lineRule="auto"/>
        <w:rPr>
          <w:rFonts w:ascii="Arial" w:hAnsi="Arial" w:cs="Arial"/>
          <w:sz w:val="22"/>
          <w:szCs w:val="22"/>
        </w:rPr>
      </w:pPr>
      <w:r>
        <w:rPr>
          <w:rFonts w:ascii="Arial" w:hAnsi="Arial" w:cs="Arial"/>
          <w:sz w:val="22"/>
          <w:szCs w:val="22"/>
        </w:rPr>
        <w:lastRenderedPageBreak/>
        <w:t>Academic integrity: all sources are cited using Harvard referencing.</w:t>
      </w:r>
    </w:p>
    <w:p w14:paraId="492B6E58" w14:textId="77777777" w:rsidR="00485155" w:rsidRDefault="00485155" w:rsidP="00485155">
      <w:pPr>
        <w:pStyle w:val="ListParagraph"/>
        <w:numPr>
          <w:ilvl w:val="0"/>
          <w:numId w:val="12"/>
        </w:numPr>
        <w:spacing w:line="360" w:lineRule="auto"/>
        <w:rPr>
          <w:rFonts w:ascii="Arial" w:hAnsi="Arial" w:cs="Arial"/>
          <w:sz w:val="22"/>
          <w:szCs w:val="22"/>
        </w:rPr>
      </w:pPr>
      <w:r>
        <w:rPr>
          <w:rFonts w:ascii="Arial" w:hAnsi="Arial" w:cs="Arial"/>
          <w:sz w:val="22"/>
          <w:szCs w:val="22"/>
        </w:rPr>
        <w:t>Cultural sensitivity: awareness of diverse cultural beliefs about body size and mental health (Holdsworth et al., 2017).</w:t>
      </w:r>
    </w:p>
    <w:p w14:paraId="2234EF07" w14:textId="77777777" w:rsidR="00485155" w:rsidRDefault="00485155" w:rsidP="00485155">
      <w:pPr>
        <w:pStyle w:val="ListParagraph"/>
        <w:numPr>
          <w:ilvl w:val="0"/>
          <w:numId w:val="12"/>
        </w:numPr>
        <w:spacing w:line="360" w:lineRule="auto"/>
        <w:rPr>
          <w:rFonts w:ascii="Arial" w:hAnsi="Arial" w:cs="Arial"/>
          <w:sz w:val="22"/>
          <w:szCs w:val="22"/>
        </w:rPr>
      </w:pPr>
      <w:r>
        <w:rPr>
          <w:rFonts w:ascii="Arial" w:hAnsi="Arial" w:cs="Arial"/>
          <w:sz w:val="22"/>
          <w:szCs w:val="22"/>
        </w:rPr>
        <w:t>Avoiding bias: critical evaluation of sources to prevent reinforcing stereotypes or deficit narratives.</w:t>
      </w:r>
    </w:p>
    <w:p w14:paraId="63C296D7" w14:textId="77777777" w:rsidR="00485155" w:rsidRDefault="00485155" w:rsidP="00485155">
      <w:pPr>
        <w:spacing w:line="360" w:lineRule="auto"/>
        <w:rPr>
          <w:rFonts w:ascii="Arial" w:hAnsi="Arial" w:cs="Arial"/>
          <w:sz w:val="22"/>
          <w:szCs w:val="22"/>
        </w:rPr>
      </w:pPr>
      <w:r>
        <w:rPr>
          <w:rFonts w:ascii="Arial" w:hAnsi="Arial" w:cs="Arial"/>
          <w:sz w:val="22"/>
          <w:szCs w:val="22"/>
        </w:rPr>
        <w:t>No ethical approval was required as no primary data was collected.</w:t>
      </w:r>
    </w:p>
    <w:p w14:paraId="3B2191E5" w14:textId="77777777" w:rsidR="00485155" w:rsidRDefault="00485155" w:rsidP="00485155">
      <w:pPr>
        <w:pStyle w:val="Heading3"/>
      </w:pPr>
      <w:bookmarkStart w:id="11" w:name="_Toc222340258"/>
      <w:r>
        <w:t>Ethical Considerations Table</w:t>
      </w:r>
      <w:bookmarkEnd w:id="11"/>
    </w:p>
    <w:tbl>
      <w:tblPr>
        <w:tblStyle w:val="TableGrid"/>
        <w:tblW w:w="0" w:type="auto"/>
        <w:tblInd w:w="0" w:type="dxa"/>
        <w:tblLook w:val="04A0" w:firstRow="1" w:lastRow="0" w:firstColumn="1" w:lastColumn="0" w:noHBand="0" w:noVBand="1"/>
      </w:tblPr>
      <w:tblGrid>
        <w:gridCol w:w="9016"/>
      </w:tblGrid>
      <w:tr w:rsidR="00485155" w14:paraId="5D28FD0A" w14:textId="77777777">
        <w:tc>
          <w:tcPr>
            <w:tcW w:w="9016" w:type="dxa"/>
            <w:tcBorders>
              <w:top w:val="single" w:sz="4" w:space="0" w:color="auto"/>
              <w:left w:val="single" w:sz="4" w:space="0" w:color="auto"/>
              <w:bottom w:val="single" w:sz="4" w:space="0" w:color="auto"/>
              <w:right w:val="single" w:sz="4" w:space="0" w:color="auto"/>
            </w:tcBorders>
            <w:hideMark/>
          </w:tcPr>
          <w:p w14:paraId="11E6C53A" w14:textId="77777777" w:rsidR="00485155" w:rsidRDefault="00485155">
            <w:pPr>
              <w:spacing w:line="360" w:lineRule="auto"/>
              <w:rPr>
                <w:rFonts w:ascii="Arial" w:hAnsi="Arial" w:cs="Arial"/>
                <w:sz w:val="22"/>
                <w:szCs w:val="22"/>
              </w:rPr>
            </w:pPr>
            <w:r>
              <w:rPr>
                <w:rFonts w:ascii="Arial" w:hAnsi="Arial" w:cs="Arial"/>
                <w:sz w:val="22"/>
                <w:szCs w:val="22"/>
              </w:rPr>
              <w:t>Avoiding stigmatising language</w:t>
            </w:r>
          </w:p>
        </w:tc>
      </w:tr>
      <w:tr w:rsidR="00485155" w14:paraId="3B3B10DD" w14:textId="77777777">
        <w:tc>
          <w:tcPr>
            <w:tcW w:w="9016" w:type="dxa"/>
            <w:tcBorders>
              <w:top w:val="single" w:sz="4" w:space="0" w:color="auto"/>
              <w:left w:val="single" w:sz="4" w:space="0" w:color="auto"/>
              <w:bottom w:val="single" w:sz="4" w:space="0" w:color="auto"/>
              <w:right w:val="single" w:sz="4" w:space="0" w:color="auto"/>
            </w:tcBorders>
            <w:hideMark/>
          </w:tcPr>
          <w:p w14:paraId="0880409A" w14:textId="77777777" w:rsidR="00485155" w:rsidRDefault="00485155">
            <w:pPr>
              <w:spacing w:line="360" w:lineRule="auto"/>
              <w:rPr>
                <w:rFonts w:ascii="Arial" w:hAnsi="Arial" w:cs="Arial"/>
                <w:sz w:val="22"/>
                <w:szCs w:val="22"/>
              </w:rPr>
            </w:pPr>
            <w:r>
              <w:rPr>
                <w:rFonts w:ascii="Arial" w:hAnsi="Arial" w:cs="Arial"/>
                <w:sz w:val="22"/>
                <w:szCs w:val="22"/>
              </w:rPr>
              <w:t>Ensuring accurate representation of minority communities</w:t>
            </w:r>
          </w:p>
        </w:tc>
      </w:tr>
      <w:tr w:rsidR="00485155" w14:paraId="57E43AE5" w14:textId="77777777">
        <w:tc>
          <w:tcPr>
            <w:tcW w:w="9016" w:type="dxa"/>
            <w:tcBorders>
              <w:top w:val="single" w:sz="4" w:space="0" w:color="auto"/>
              <w:left w:val="single" w:sz="4" w:space="0" w:color="auto"/>
              <w:bottom w:val="single" w:sz="4" w:space="0" w:color="auto"/>
              <w:right w:val="single" w:sz="4" w:space="0" w:color="auto"/>
            </w:tcBorders>
            <w:hideMark/>
          </w:tcPr>
          <w:p w14:paraId="6402BB9C" w14:textId="77777777" w:rsidR="00485155" w:rsidRDefault="00485155">
            <w:pPr>
              <w:spacing w:line="360" w:lineRule="auto"/>
              <w:rPr>
                <w:rFonts w:ascii="Arial" w:hAnsi="Arial" w:cs="Arial"/>
                <w:sz w:val="22"/>
                <w:szCs w:val="22"/>
              </w:rPr>
            </w:pPr>
            <w:r>
              <w:rPr>
                <w:rFonts w:ascii="Arial" w:hAnsi="Arial" w:cs="Arial"/>
                <w:sz w:val="22"/>
                <w:szCs w:val="22"/>
              </w:rPr>
              <w:t>Using credible, peer</w:t>
            </w:r>
            <w:r>
              <w:rPr>
                <w:rFonts w:ascii="Cambria Math" w:hAnsi="Cambria Math" w:cs="Cambria Math"/>
                <w:sz w:val="22"/>
                <w:szCs w:val="22"/>
              </w:rPr>
              <w:noBreakHyphen/>
            </w:r>
            <w:r>
              <w:rPr>
                <w:rFonts w:ascii="Arial" w:hAnsi="Arial" w:cs="Arial"/>
                <w:sz w:val="22"/>
                <w:szCs w:val="22"/>
              </w:rPr>
              <w:t>reviewed sources</w:t>
            </w:r>
          </w:p>
        </w:tc>
      </w:tr>
      <w:tr w:rsidR="00485155" w14:paraId="422BD25D" w14:textId="77777777">
        <w:tc>
          <w:tcPr>
            <w:tcW w:w="9016" w:type="dxa"/>
            <w:tcBorders>
              <w:top w:val="single" w:sz="4" w:space="0" w:color="auto"/>
              <w:left w:val="single" w:sz="4" w:space="0" w:color="auto"/>
              <w:bottom w:val="single" w:sz="4" w:space="0" w:color="auto"/>
              <w:right w:val="single" w:sz="4" w:space="0" w:color="auto"/>
            </w:tcBorders>
            <w:hideMark/>
          </w:tcPr>
          <w:p w14:paraId="69B43A42" w14:textId="77777777" w:rsidR="00485155" w:rsidRDefault="00485155">
            <w:pPr>
              <w:spacing w:line="360" w:lineRule="auto"/>
              <w:rPr>
                <w:rFonts w:ascii="Arial" w:hAnsi="Arial" w:cs="Arial"/>
                <w:sz w:val="22"/>
                <w:szCs w:val="22"/>
              </w:rPr>
            </w:pPr>
            <w:r>
              <w:rPr>
                <w:rFonts w:ascii="Arial" w:hAnsi="Arial" w:cs="Arial"/>
                <w:sz w:val="22"/>
                <w:szCs w:val="22"/>
              </w:rPr>
              <w:t>Maintaining academic integrity through Harvard referencing</w:t>
            </w:r>
          </w:p>
        </w:tc>
      </w:tr>
      <w:tr w:rsidR="00485155" w14:paraId="69F11540" w14:textId="77777777">
        <w:tc>
          <w:tcPr>
            <w:tcW w:w="9016" w:type="dxa"/>
            <w:tcBorders>
              <w:top w:val="single" w:sz="4" w:space="0" w:color="auto"/>
              <w:left w:val="single" w:sz="4" w:space="0" w:color="auto"/>
              <w:bottom w:val="single" w:sz="4" w:space="0" w:color="auto"/>
              <w:right w:val="single" w:sz="4" w:space="0" w:color="auto"/>
            </w:tcBorders>
            <w:hideMark/>
          </w:tcPr>
          <w:p w14:paraId="26321234" w14:textId="77777777" w:rsidR="00485155" w:rsidRDefault="00485155">
            <w:pPr>
              <w:spacing w:line="360" w:lineRule="auto"/>
              <w:rPr>
                <w:rFonts w:ascii="Arial" w:hAnsi="Arial" w:cs="Arial"/>
                <w:sz w:val="22"/>
                <w:szCs w:val="22"/>
              </w:rPr>
            </w:pPr>
            <w:r>
              <w:rPr>
                <w:rFonts w:ascii="Arial" w:hAnsi="Arial" w:cs="Arial"/>
                <w:sz w:val="22"/>
                <w:szCs w:val="22"/>
              </w:rPr>
              <w:t>Respecting cultural diversity and sensitivity</w:t>
            </w:r>
          </w:p>
        </w:tc>
      </w:tr>
      <w:tr w:rsidR="00485155" w14:paraId="22B2A9E0" w14:textId="77777777">
        <w:tc>
          <w:tcPr>
            <w:tcW w:w="9016" w:type="dxa"/>
            <w:tcBorders>
              <w:top w:val="single" w:sz="4" w:space="0" w:color="auto"/>
              <w:left w:val="single" w:sz="4" w:space="0" w:color="auto"/>
              <w:bottom w:val="single" w:sz="4" w:space="0" w:color="auto"/>
              <w:right w:val="single" w:sz="4" w:space="0" w:color="auto"/>
            </w:tcBorders>
            <w:hideMark/>
          </w:tcPr>
          <w:p w14:paraId="60C93993" w14:textId="77777777" w:rsidR="00485155" w:rsidRDefault="00485155">
            <w:pPr>
              <w:spacing w:line="360" w:lineRule="auto"/>
              <w:rPr>
                <w:rFonts w:ascii="Arial" w:hAnsi="Arial" w:cs="Arial"/>
                <w:sz w:val="22"/>
                <w:szCs w:val="22"/>
              </w:rPr>
            </w:pPr>
            <w:r>
              <w:rPr>
                <w:rFonts w:ascii="Arial" w:hAnsi="Arial" w:cs="Arial"/>
                <w:sz w:val="22"/>
                <w:szCs w:val="22"/>
              </w:rPr>
              <w:t>No ethical approval was required.</w:t>
            </w:r>
          </w:p>
        </w:tc>
      </w:tr>
    </w:tbl>
    <w:p w14:paraId="3B2BB850" w14:textId="77777777" w:rsidR="00485155" w:rsidRDefault="00485155" w:rsidP="00485155">
      <w:pPr>
        <w:spacing w:line="360" w:lineRule="auto"/>
        <w:rPr>
          <w:rFonts w:ascii="Arial" w:hAnsi="Arial" w:cs="Arial"/>
          <w:sz w:val="22"/>
          <w:szCs w:val="22"/>
        </w:rPr>
      </w:pPr>
    </w:p>
    <w:p w14:paraId="174AA8E9" w14:textId="77777777" w:rsidR="00485155" w:rsidRDefault="00485155" w:rsidP="00485155">
      <w:pPr>
        <w:pStyle w:val="Heading2"/>
      </w:pPr>
      <w:bookmarkStart w:id="12" w:name="_Toc222340259"/>
      <w:r>
        <w:t>3.8 Limitations</w:t>
      </w:r>
      <w:bookmarkEnd w:id="12"/>
    </w:p>
    <w:p w14:paraId="263EAFF0" w14:textId="77777777" w:rsidR="00485155" w:rsidRDefault="00485155" w:rsidP="00485155">
      <w:pPr>
        <w:spacing w:line="360" w:lineRule="auto"/>
        <w:rPr>
          <w:rFonts w:ascii="Arial" w:hAnsi="Arial" w:cs="Arial"/>
          <w:b/>
          <w:bCs/>
          <w:sz w:val="22"/>
          <w:szCs w:val="22"/>
        </w:rPr>
      </w:pPr>
      <w:r>
        <w:rPr>
          <w:rFonts w:ascii="Arial" w:hAnsi="Arial" w:cs="Arial"/>
          <w:b/>
          <w:bCs/>
          <w:sz w:val="22"/>
          <w:szCs w:val="22"/>
        </w:rPr>
        <w:t>Secondary research has inherent limitations:</w:t>
      </w:r>
    </w:p>
    <w:p w14:paraId="4DF053FE" w14:textId="77777777" w:rsidR="00485155" w:rsidRDefault="00485155" w:rsidP="00485155">
      <w:pPr>
        <w:pStyle w:val="ListParagraph"/>
        <w:numPr>
          <w:ilvl w:val="0"/>
          <w:numId w:val="13"/>
        </w:numPr>
        <w:spacing w:line="360" w:lineRule="auto"/>
        <w:rPr>
          <w:rFonts w:ascii="Arial" w:hAnsi="Arial" w:cs="Arial"/>
          <w:sz w:val="22"/>
          <w:szCs w:val="22"/>
        </w:rPr>
      </w:pPr>
      <w:r>
        <w:rPr>
          <w:rFonts w:ascii="Arial" w:hAnsi="Arial" w:cs="Arial"/>
          <w:sz w:val="22"/>
          <w:szCs w:val="22"/>
        </w:rPr>
        <w:t>Lack of lived experience: cannot capture personal narratives directly.</w:t>
      </w:r>
    </w:p>
    <w:p w14:paraId="17D30DE5" w14:textId="77777777" w:rsidR="00485155" w:rsidRDefault="00485155" w:rsidP="00485155">
      <w:pPr>
        <w:pStyle w:val="ListParagraph"/>
        <w:numPr>
          <w:ilvl w:val="0"/>
          <w:numId w:val="13"/>
        </w:numPr>
        <w:spacing w:line="360" w:lineRule="auto"/>
        <w:rPr>
          <w:rFonts w:ascii="Arial" w:hAnsi="Arial" w:cs="Arial"/>
          <w:sz w:val="22"/>
          <w:szCs w:val="22"/>
        </w:rPr>
      </w:pPr>
      <w:r>
        <w:rPr>
          <w:rFonts w:ascii="Arial" w:hAnsi="Arial" w:cs="Arial"/>
          <w:sz w:val="22"/>
          <w:szCs w:val="22"/>
        </w:rPr>
        <w:t>Data gaps: limited UK</w:t>
      </w:r>
      <w:r>
        <w:rPr>
          <w:rFonts w:ascii="Cambria Math" w:hAnsi="Cambria Math" w:cs="Cambria Math"/>
          <w:sz w:val="22"/>
          <w:szCs w:val="22"/>
        </w:rPr>
        <w:noBreakHyphen/>
      </w:r>
      <w:r>
        <w:rPr>
          <w:rFonts w:ascii="Arial" w:hAnsi="Arial" w:cs="Arial"/>
          <w:sz w:val="22"/>
          <w:szCs w:val="22"/>
        </w:rPr>
        <w:t>specific psychological research on obesity in minority groups (Williams et al., 2020).</w:t>
      </w:r>
    </w:p>
    <w:p w14:paraId="16C8BCC5" w14:textId="77777777" w:rsidR="00485155" w:rsidRDefault="00485155" w:rsidP="00485155">
      <w:pPr>
        <w:pStyle w:val="ListParagraph"/>
        <w:numPr>
          <w:ilvl w:val="0"/>
          <w:numId w:val="13"/>
        </w:numPr>
        <w:spacing w:line="360" w:lineRule="auto"/>
        <w:rPr>
          <w:rFonts w:ascii="Arial" w:hAnsi="Arial" w:cs="Arial"/>
          <w:sz w:val="22"/>
          <w:szCs w:val="22"/>
        </w:rPr>
      </w:pPr>
      <w:r>
        <w:rPr>
          <w:rFonts w:ascii="Arial" w:hAnsi="Arial" w:cs="Arial"/>
          <w:sz w:val="22"/>
          <w:szCs w:val="22"/>
        </w:rPr>
        <w:t>Publication bias: studies with negative findings may be over</w:t>
      </w:r>
      <w:r>
        <w:rPr>
          <w:rFonts w:ascii="Cambria Math" w:hAnsi="Cambria Math" w:cs="Cambria Math"/>
          <w:sz w:val="22"/>
          <w:szCs w:val="22"/>
        </w:rPr>
        <w:noBreakHyphen/>
      </w:r>
      <w:r>
        <w:rPr>
          <w:rFonts w:ascii="Arial" w:hAnsi="Arial" w:cs="Arial"/>
          <w:sz w:val="22"/>
          <w:szCs w:val="22"/>
        </w:rPr>
        <w:t>represented.</w:t>
      </w:r>
    </w:p>
    <w:p w14:paraId="2DFE9C59" w14:textId="77777777" w:rsidR="00485155" w:rsidRDefault="00485155" w:rsidP="00485155">
      <w:pPr>
        <w:pStyle w:val="ListParagraph"/>
        <w:numPr>
          <w:ilvl w:val="0"/>
          <w:numId w:val="13"/>
        </w:numPr>
        <w:spacing w:line="360" w:lineRule="auto"/>
        <w:rPr>
          <w:rFonts w:ascii="Arial" w:hAnsi="Arial" w:cs="Arial"/>
          <w:sz w:val="22"/>
          <w:szCs w:val="22"/>
        </w:rPr>
      </w:pPr>
      <w:r>
        <w:rPr>
          <w:rFonts w:ascii="Arial" w:hAnsi="Arial" w:cs="Arial"/>
          <w:sz w:val="22"/>
          <w:szCs w:val="22"/>
        </w:rPr>
        <w:t>Variability in definitions: “ethnic minority” and “obesity” are broad categories with internal diversity.</w:t>
      </w:r>
    </w:p>
    <w:p w14:paraId="1BC0C073" w14:textId="77777777" w:rsidR="00485155" w:rsidRDefault="00485155" w:rsidP="00485155">
      <w:pPr>
        <w:pStyle w:val="ListParagraph"/>
        <w:numPr>
          <w:ilvl w:val="0"/>
          <w:numId w:val="13"/>
        </w:numPr>
        <w:spacing w:line="360" w:lineRule="auto"/>
        <w:rPr>
          <w:rFonts w:ascii="Arial" w:hAnsi="Arial" w:cs="Arial"/>
          <w:sz w:val="22"/>
          <w:szCs w:val="22"/>
        </w:rPr>
      </w:pPr>
      <w:r>
        <w:rPr>
          <w:rFonts w:ascii="Arial" w:hAnsi="Arial" w:cs="Arial"/>
          <w:sz w:val="22"/>
          <w:szCs w:val="22"/>
        </w:rPr>
        <w:t>Limited intersectional analysis: many studies fail to consider gender, class, or migration status.</w:t>
      </w:r>
    </w:p>
    <w:p w14:paraId="4CA3C582" w14:textId="77777777" w:rsidR="00485155" w:rsidRDefault="00485155" w:rsidP="00485155">
      <w:pPr>
        <w:pStyle w:val="Heading2"/>
      </w:pPr>
      <w:bookmarkStart w:id="13" w:name="_Toc222340260"/>
      <w:r>
        <w:t>3.9 Conclusion</w:t>
      </w:r>
      <w:bookmarkEnd w:id="13"/>
    </w:p>
    <w:p w14:paraId="41DCDBE0" w14:textId="77777777" w:rsidR="00485155" w:rsidRDefault="00485155" w:rsidP="00485155">
      <w:pPr>
        <w:spacing w:line="360" w:lineRule="auto"/>
        <w:rPr>
          <w:rFonts w:ascii="Arial" w:hAnsi="Arial" w:cs="Arial"/>
          <w:sz w:val="22"/>
          <w:szCs w:val="22"/>
        </w:rPr>
      </w:pPr>
      <w:r>
        <w:rPr>
          <w:rFonts w:ascii="Arial" w:hAnsi="Arial" w:cs="Arial"/>
          <w:sz w:val="22"/>
          <w:szCs w:val="22"/>
        </w:rPr>
        <w:t>This chapter has outlined the methodological approach used to explore the psychological impact of obesity among ethnic minority communities in the UK. A qualitative secondary research design, supported by systematic searching, rigorous inclusion criteria, thematic analysis, and ethical consideration, provides a robust foundation for the findings and discussion presented in the next chapter. Chapter 4 synthesises the themes identified through this methodology, offering a detailed analysis of the psychological experiences of ethnic minority individuals living with obesity.</w:t>
      </w:r>
    </w:p>
    <w:p w14:paraId="121092CF" w14:textId="77777777" w:rsidR="00675AC4" w:rsidRDefault="00675AC4"/>
    <w:sectPr w:rsidR="00675A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D1BB1"/>
    <w:multiLevelType w:val="hybridMultilevel"/>
    <w:tmpl w:val="0E0C4F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C954377"/>
    <w:multiLevelType w:val="hybridMultilevel"/>
    <w:tmpl w:val="C26403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5CB716B"/>
    <w:multiLevelType w:val="hybridMultilevel"/>
    <w:tmpl w:val="BC3E47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A7254EA"/>
    <w:multiLevelType w:val="hybridMultilevel"/>
    <w:tmpl w:val="B50053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B8D46D4"/>
    <w:multiLevelType w:val="hybridMultilevel"/>
    <w:tmpl w:val="07F6D9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ECB40C1"/>
    <w:multiLevelType w:val="hybridMultilevel"/>
    <w:tmpl w:val="FD6CB9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9645267"/>
    <w:multiLevelType w:val="hybridMultilevel"/>
    <w:tmpl w:val="E25EDD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4A8D4005"/>
    <w:multiLevelType w:val="hybridMultilevel"/>
    <w:tmpl w:val="9D427C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5E3B4CD9"/>
    <w:multiLevelType w:val="hybridMultilevel"/>
    <w:tmpl w:val="45CAD1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625F2176"/>
    <w:multiLevelType w:val="hybridMultilevel"/>
    <w:tmpl w:val="A25C1C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6A0504FE"/>
    <w:multiLevelType w:val="hybridMultilevel"/>
    <w:tmpl w:val="7DFEE0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3B073D7"/>
    <w:multiLevelType w:val="hybridMultilevel"/>
    <w:tmpl w:val="7C649B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76D11032"/>
    <w:multiLevelType w:val="hybridMultilevel"/>
    <w:tmpl w:val="01F469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01258769">
    <w:abstractNumId w:val="3"/>
    <w:lvlOverride w:ilvl="0"/>
    <w:lvlOverride w:ilvl="1"/>
    <w:lvlOverride w:ilvl="2"/>
    <w:lvlOverride w:ilvl="3"/>
    <w:lvlOverride w:ilvl="4"/>
    <w:lvlOverride w:ilvl="5"/>
    <w:lvlOverride w:ilvl="6"/>
    <w:lvlOverride w:ilvl="7"/>
    <w:lvlOverride w:ilvl="8"/>
  </w:num>
  <w:num w:numId="2" w16cid:durableId="1571039607">
    <w:abstractNumId w:val="0"/>
    <w:lvlOverride w:ilvl="0"/>
    <w:lvlOverride w:ilvl="1"/>
    <w:lvlOverride w:ilvl="2"/>
    <w:lvlOverride w:ilvl="3"/>
    <w:lvlOverride w:ilvl="4"/>
    <w:lvlOverride w:ilvl="5"/>
    <w:lvlOverride w:ilvl="6"/>
    <w:lvlOverride w:ilvl="7"/>
    <w:lvlOverride w:ilvl="8"/>
  </w:num>
  <w:num w:numId="3" w16cid:durableId="1118403760">
    <w:abstractNumId w:val="9"/>
    <w:lvlOverride w:ilvl="0"/>
    <w:lvlOverride w:ilvl="1"/>
    <w:lvlOverride w:ilvl="2"/>
    <w:lvlOverride w:ilvl="3"/>
    <w:lvlOverride w:ilvl="4"/>
    <w:lvlOverride w:ilvl="5"/>
    <w:lvlOverride w:ilvl="6"/>
    <w:lvlOverride w:ilvl="7"/>
    <w:lvlOverride w:ilvl="8"/>
  </w:num>
  <w:num w:numId="4" w16cid:durableId="1168249174">
    <w:abstractNumId w:val="7"/>
    <w:lvlOverride w:ilvl="0"/>
    <w:lvlOverride w:ilvl="1"/>
    <w:lvlOverride w:ilvl="2"/>
    <w:lvlOverride w:ilvl="3"/>
    <w:lvlOverride w:ilvl="4"/>
    <w:lvlOverride w:ilvl="5"/>
    <w:lvlOverride w:ilvl="6"/>
    <w:lvlOverride w:ilvl="7"/>
    <w:lvlOverride w:ilvl="8"/>
  </w:num>
  <w:num w:numId="5" w16cid:durableId="228618436">
    <w:abstractNumId w:val="10"/>
    <w:lvlOverride w:ilvl="0"/>
    <w:lvlOverride w:ilvl="1"/>
    <w:lvlOverride w:ilvl="2"/>
    <w:lvlOverride w:ilvl="3"/>
    <w:lvlOverride w:ilvl="4"/>
    <w:lvlOverride w:ilvl="5"/>
    <w:lvlOverride w:ilvl="6"/>
    <w:lvlOverride w:ilvl="7"/>
    <w:lvlOverride w:ilvl="8"/>
  </w:num>
  <w:num w:numId="6" w16cid:durableId="1130628034">
    <w:abstractNumId w:val="5"/>
    <w:lvlOverride w:ilvl="0"/>
    <w:lvlOverride w:ilvl="1"/>
    <w:lvlOverride w:ilvl="2"/>
    <w:lvlOverride w:ilvl="3"/>
    <w:lvlOverride w:ilvl="4"/>
    <w:lvlOverride w:ilvl="5"/>
    <w:lvlOverride w:ilvl="6"/>
    <w:lvlOverride w:ilvl="7"/>
    <w:lvlOverride w:ilvl="8"/>
  </w:num>
  <w:num w:numId="7" w16cid:durableId="1371959742">
    <w:abstractNumId w:val="8"/>
    <w:lvlOverride w:ilvl="0"/>
    <w:lvlOverride w:ilvl="1"/>
    <w:lvlOverride w:ilvl="2"/>
    <w:lvlOverride w:ilvl="3"/>
    <w:lvlOverride w:ilvl="4"/>
    <w:lvlOverride w:ilvl="5"/>
    <w:lvlOverride w:ilvl="6"/>
    <w:lvlOverride w:ilvl="7"/>
    <w:lvlOverride w:ilvl="8"/>
  </w:num>
  <w:num w:numId="8" w16cid:durableId="1648391183">
    <w:abstractNumId w:val="2"/>
    <w:lvlOverride w:ilvl="0"/>
    <w:lvlOverride w:ilvl="1"/>
    <w:lvlOverride w:ilvl="2"/>
    <w:lvlOverride w:ilvl="3"/>
    <w:lvlOverride w:ilvl="4"/>
    <w:lvlOverride w:ilvl="5"/>
    <w:lvlOverride w:ilvl="6"/>
    <w:lvlOverride w:ilvl="7"/>
    <w:lvlOverride w:ilvl="8"/>
  </w:num>
  <w:num w:numId="9" w16cid:durableId="735590253">
    <w:abstractNumId w:val="12"/>
    <w:lvlOverride w:ilvl="0"/>
    <w:lvlOverride w:ilvl="1"/>
    <w:lvlOverride w:ilvl="2"/>
    <w:lvlOverride w:ilvl="3"/>
    <w:lvlOverride w:ilvl="4"/>
    <w:lvlOverride w:ilvl="5"/>
    <w:lvlOverride w:ilvl="6"/>
    <w:lvlOverride w:ilvl="7"/>
    <w:lvlOverride w:ilvl="8"/>
  </w:num>
  <w:num w:numId="10" w16cid:durableId="417529856">
    <w:abstractNumId w:val="4"/>
    <w:lvlOverride w:ilvl="0"/>
    <w:lvlOverride w:ilvl="1"/>
    <w:lvlOverride w:ilvl="2"/>
    <w:lvlOverride w:ilvl="3"/>
    <w:lvlOverride w:ilvl="4"/>
    <w:lvlOverride w:ilvl="5"/>
    <w:lvlOverride w:ilvl="6"/>
    <w:lvlOverride w:ilvl="7"/>
    <w:lvlOverride w:ilvl="8"/>
  </w:num>
  <w:num w:numId="11" w16cid:durableId="1540555567">
    <w:abstractNumId w:val="1"/>
    <w:lvlOverride w:ilvl="0"/>
    <w:lvlOverride w:ilvl="1"/>
    <w:lvlOverride w:ilvl="2"/>
    <w:lvlOverride w:ilvl="3"/>
    <w:lvlOverride w:ilvl="4"/>
    <w:lvlOverride w:ilvl="5"/>
    <w:lvlOverride w:ilvl="6"/>
    <w:lvlOverride w:ilvl="7"/>
    <w:lvlOverride w:ilvl="8"/>
  </w:num>
  <w:num w:numId="12" w16cid:durableId="92824772">
    <w:abstractNumId w:val="6"/>
    <w:lvlOverride w:ilvl="0"/>
    <w:lvlOverride w:ilvl="1"/>
    <w:lvlOverride w:ilvl="2"/>
    <w:lvlOverride w:ilvl="3"/>
    <w:lvlOverride w:ilvl="4"/>
    <w:lvlOverride w:ilvl="5"/>
    <w:lvlOverride w:ilvl="6"/>
    <w:lvlOverride w:ilvl="7"/>
    <w:lvlOverride w:ilvl="8"/>
  </w:num>
  <w:num w:numId="13" w16cid:durableId="482623743">
    <w:abstractNumId w:val="1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155"/>
    <w:rsid w:val="00485155"/>
    <w:rsid w:val="00505B9D"/>
    <w:rsid w:val="00675AC4"/>
    <w:rsid w:val="00921E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51233"/>
  <w15:chartTrackingRefBased/>
  <w15:docId w15:val="{5C7A201A-9AD2-4E90-8720-68A6EFCB1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155"/>
    <w:pPr>
      <w:spacing w:line="276" w:lineRule="auto"/>
    </w:pPr>
  </w:style>
  <w:style w:type="paragraph" w:styleId="Heading1">
    <w:name w:val="heading 1"/>
    <w:basedOn w:val="Normal"/>
    <w:next w:val="Normal"/>
    <w:link w:val="Heading1Char"/>
    <w:uiPriority w:val="9"/>
    <w:qFormat/>
    <w:rsid w:val="004851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51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51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51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51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51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51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51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51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1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51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51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51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51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51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51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51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5155"/>
    <w:rPr>
      <w:rFonts w:eastAsiaTheme="majorEastAsia" w:cstheme="majorBidi"/>
      <w:color w:val="272727" w:themeColor="text1" w:themeTint="D8"/>
    </w:rPr>
  </w:style>
  <w:style w:type="paragraph" w:styleId="Title">
    <w:name w:val="Title"/>
    <w:basedOn w:val="Normal"/>
    <w:next w:val="Normal"/>
    <w:link w:val="TitleChar"/>
    <w:uiPriority w:val="10"/>
    <w:qFormat/>
    <w:rsid w:val="004851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51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51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51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5155"/>
    <w:pPr>
      <w:spacing w:before="160"/>
      <w:jc w:val="center"/>
    </w:pPr>
    <w:rPr>
      <w:i/>
      <w:iCs/>
      <w:color w:val="404040" w:themeColor="text1" w:themeTint="BF"/>
    </w:rPr>
  </w:style>
  <w:style w:type="character" w:customStyle="1" w:styleId="QuoteChar">
    <w:name w:val="Quote Char"/>
    <w:basedOn w:val="DefaultParagraphFont"/>
    <w:link w:val="Quote"/>
    <w:uiPriority w:val="29"/>
    <w:rsid w:val="00485155"/>
    <w:rPr>
      <w:i/>
      <w:iCs/>
      <w:color w:val="404040" w:themeColor="text1" w:themeTint="BF"/>
    </w:rPr>
  </w:style>
  <w:style w:type="paragraph" w:styleId="ListParagraph">
    <w:name w:val="List Paragraph"/>
    <w:basedOn w:val="Normal"/>
    <w:uiPriority w:val="34"/>
    <w:qFormat/>
    <w:rsid w:val="00485155"/>
    <w:pPr>
      <w:ind w:left="720"/>
      <w:contextualSpacing/>
    </w:pPr>
  </w:style>
  <w:style w:type="character" w:styleId="IntenseEmphasis">
    <w:name w:val="Intense Emphasis"/>
    <w:basedOn w:val="DefaultParagraphFont"/>
    <w:uiPriority w:val="21"/>
    <w:qFormat/>
    <w:rsid w:val="00485155"/>
    <w:rPr>
      <w:i/>
      <w:iCs/>
      <w:color w:val="0F4761" w:themeColor="accent1" w:themeShade="BF"/>
    </w:rPr>
  </w:style>
  <w:style w:type="paragraph" w:styleId="IntenseQuote">
    <w:name w:val="Intense Quote"/>
    <w:basedOn w:val="Normal"/>
    <w:next w:val="Normal"/>
    <w:link w:val="IntenseQuoteChar"/>
    <w:uiPriority w:val="30"/>
    <w:qFormat/>
    <w:rsid w:val="004851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5155"/>
    <w:rPr>
      <w:i/>
      <w:iCs/>
      <w:color w:val="0F4761" w:themeColor="accent1" w:themeShade="BF"/>
    </w:rPr>
  </w:style>
  <w:style w:type="character" w:styleId="IntenseReference">
    <w:name w:val="Intense Reference"/>
    <w:basedOn w:val="DefaultParagraphFont"/>
    <w:uiPriority w:val="32"/>
    <w:qFormat/>
    <w:rsid w:val="00485155"/>
    <w:rPr>
      <w:b/>
      <w:bCs/>
      <w:smallCaps/>
      <w:color w:val="0F4761" w:themeColor="accent1" w:themeShade="BF"/>
      <w:spacing w:val="5"/>
    </w:rPr>
  </w:style>
  <w:style w:type="table" w:styleId="TableGrid">
    <w:name w:val="Table Grid"/>
    <w:basedOn w:val="TableNormal"/>
    <w:uiPriority w:val="39"/>
    <w:rsid w:val="00485155"/>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1301</Words>
  <Characters>7422</Characters>
  <Application>Microsoft Office Word</Application>
  <DocSecurity>0</DocSecurity>
  <Lines>61</Lines>
  <Paragraphs>17</Paragraphs>
  <ScaleCrop>false</ScaleCrop>
  <Company/>
  <LinksUpToDate>false</LinksUpToDate>
  <CharactersWithSpaces>8706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Khan</dc:creator>
  <cp:keywords/>
  <dc:description/>
  <cp:lastModifiedBy>Misbah Khan</cp:lastModifiedBy>
  <cp:revision>1</cp:revision>
  <dcterms:created xsi:type="dcterms:W3CDTF">2026-02-20T20:02:00Z</dcterms:created>
  <dcterms:modified xsi:type="dcterms:W3CDTF">2026-02-20T20:03:00Z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9f4a292d-2ac0-4c90-9338-b8d03a78ac71</vt:lpwstr>
  </property>
</Properties>
</file>