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0293F" w14:textId="223877DF" w:rsidR="002C2C73" w:rsidRPr="00A457F8" w:rsidRDefault="002C2C73" w:rsidP="002C2C73">
      <w:pPr>
        <w:spacing w:before="100" w:beforeAutospacing="1" w:after="100" w:afterAutospacing="1" w:line="240" w:lineRule="auto"/>
        <w:jc w:val="center"/>
        <w:outlineLvl w:val="0"/>
        <w:rPr>
          <w:rFonts w:ascii="Arial" w:eastAsia="Times New Roman" w:hAnsi="Arial" w:cs="Arial"/>
          <w:b/>
          <w:bCs/>
          <w:kern w:val="36"/>
          <w:sz w:val="52"/>
          <w:szCs w:val="52"/>
          <w14:ligatures w14:val="none"/>
        </w:rPr>
      </w:pPr>
      <w:bookmarkStart w:id="0" w:name="_Toc236059525"/>
      <w:bookmarkStart w:id="1" w:name="_Toc236060111"/>
      <w:bookmarkStart w:id="2" w:name="_Toc236070652"/>
      <w:r w:rsidRPr="00A457F8">
        <w:rPr>
          <w:rFonts w:ascii="Arial" w:eastAsia="Times New Roman" w:hAnsi="Arial" w:cs="Arial"/>
          <w:b/>
          <w:bCs/>
          <w:kern w:val="36"/>
          <w:sz w:val="52"/>
          <w:szCs w:val="52"/>
          <w14:ligatures w14:val="none"/>
        </w:rPr>
        <w:t xml:space="preserve">Analysis of Quality Assurance in </w:t>
      </w:r>
      <w:bookmarkEnd w:id="0"/>
      <w:bookmarkEnd w:id="1"/>
      <w:bookmarkEnd w:id="2"/>
      <w:r w:rsidR="00961039">
        <w:rPr>
          <w:rFonts w:ascii="Arial" w:eastAsia="Times New Roman" w:hAnsi="Arial" w:cs="Arial"/>
          <w:b/>
          <w:bCs/>
          <w:kern w:val="36"/>
          <w:sz w:val="52"/>
          <w:szCs w:val="52"/>
          <w14:ligatures w14:val="none"/>
        </w:rPr>
        <w:t xml:space="preserve">the </w:t>
      </w:r>
      <w:proofErr w:type="spellStart"/>
      <w:r w:rsidR="00961039">
        <w:rPr>
          <w:rFonts w:ascii="Arial" w:eastAsia="Times New Roman" w:hAnsi="Arial" w:cs="Arial"/>
          <w:b/>
          <w:bCs/>
          <w:kern w:val="36"/>
          <w:sz w:val="52"/>
          <w:szCs w:val="52"/>
          <w14:ligatures w14:val="none"/>
        </w:rPr>
        <w:t>RaDonda</w:t>
      </w:r>
      <w:proofErr w:type="spellEnd"/>
      <w:r w:rsidR="00961039">
        <w:rPr>
          <w:rFonts w:ascii="Arial" w:eastAsia="Times New Roman" w:hAnsi="Arial" w:cs="Arial"/>
          <w:b/>
          <w:bCs/>
          <w:kern w:val="36"/>
          <w:sz w:val="52"/>
          <w:szCs w:val="52"/>
          <w14:ligatures w14:val="none"/>
        </w:rPr>
        <w:t xml:space="preserve"> Vaught </w:t>
      </w:r>
      <w:r w:rsidR="004D3A84">
        <w:rPr>
          <w:rFonts w:ascii="Arial" w:eastAsia="Times New Roman" w:hAnsi="Arial" w:cs="Arial"/>
          <w:b/>
          <w:bCs/>
          <w:kern w:val="36"/>
          <w:sz w:val="52"/>
          <w:szCs w:val="52"/>
          <w14:ligatures w14:val="none"/>
        </w:rPr>
        <w:t xml:space="preserve">Medication Error </w:t>
      </w:r>
      <w:r w:rsidR="00961039">
        <w:rPr>
          <w:rFonts w:ascii="Arial" w:eastAsia="Times New Roman" w:hAnsi="Arial" w:cs="Arial"/>
          <w:b/>
          <w:bCs/>
          <w:kern w:val="36"/>
          <w:sz w:val="52"/>
          <w:szCs w:val="52"/>
          <w14:ligatures w14:val="none"/>
        </w:rPr>
        <w:t>Case</w:t>
      </w:r>
    </w:p>
    <w:p w14:paraId="1AEB3D5E" w14:textId="0BDE5164" w:rsidR="002C2C73" w:rsidRPr="00A457F8" w:rsidRDefault="002C2C73"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bookmarkStart w:id="3" w:name="_Toc236059495"/>
      <w:bookmarkStart w:id="4" w:name="_Toc236059526"/>
      <w:bookmarkStart w:id="5" w:name="_Toc236060112"/>
      <w:bookmarkStart w:id="6" w:name="_Toc236060870"/>
      <w:bookmarkStart w:id="7" w:name="_Toc236070653"/>
      <w:r w:rsidRPr="00A457F8">
        <w:rPr>
          <w:rFonts w:ascii="Arial" w:eastAsia="Times New Roman" w:hAnsi="Arial" w:cs="Arial"/>
          <w:b/>
          <w:bCs/>
          <w:kern w:val="36"/>
          <w:sz w:val="22"/>
          <w:szCs w:val="22"/>
          <w14:ligatures w14:val="none"/>
        </w:rPr>
        <w:t xml:space="preserve">Student name: </w:t>
      </w:r>
      <w:bookmarkEnd w:id="3"/>
      <w:bookmarkEnd w:id="4"/>
      <w:bookmarkEnd w:id="5"/>
      <w:bookmarkEnd w:id="6"/>
      <w:bookmarkEnd w:id="7"/>
      <w:proofErr w:type="spellStart"/>
      <w:r w:rsidR="00A34697">
        <w:rPr>
          <w:rFonts w:ascii="Arial" w:eastAsia="Times New Roman" w:hAnsi="Arial" w:cs="Arial"/>
          <w:b/>
          <w:bCs/>
          <w:kern w:val="36"/>
          <w:sz w:val="22"/>
          <w:szCs w:val="22"/>
          <w14:ligatures w14:val="none"/>
        </w:rPr>
        <w:t>Limbachiya</w:t>
      </w:r>
      <w:proofErr w:type="spellEnd"/>
      <w:r w:rsidR="00A34697">
        <w:rPr>
          <w:rFonts w:ascii="Arial" w:eastAsia="Times New Roman" w:hAnsi="Arial" w:cs="Arial"/>
          <w:b/>
          <w:bCs/>
          <w:kern w:val="36"/>
          <w:sz w:val="22"/>
          <w:szCs w:val="22"/>
          <w14:ligatures w14:val="none"/>
        </w:rPr>
        <w:t xml:space="preserve"> </w:t>
      </w:r>
      <w:proofErr w:type="spellStart"/>
      <w:r w:rsidR="00A34697">
        <w:rPr>
          <w:rFonts w:ascii="Arial" w:eastAsia="Times New Roman" w:hAnsi="Arial" w:cs="Arial"/>
          <w:b/>
          <w:bCs/>
          <w:kern w:val="36"/>
          <w:sz w:val="22"/>
          <w:szCs w:val="22"/>
          <w14:ligatures w14:val="none"/>
        </w:rPr>
        <w:t>Jaimin</w:t>
      </w:r>
      <w:proofErr w:type="spellEnd"/>
    </w:p>
    <w:p w14:paraId="4D9DECB4" w14:textId="19BD0043" w:rsidR="002C2C73" w:rsidRPr="00A457F8" w:rsidRDefault="002C2C73"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bookmarkStart w:id="8" w:name="_Toc236059496"/>
      <w:bookmarkStart w:id="9" w:name="_Toc236059527"/>
      <w:bookmarkStart w:id="10" w:name="_Toc236060113"/>
      <w:bookmarkStart w:id="11" w:name="_Toc236060871"/>
      <w:bookmarkStart w:id="12" w:name="_Toc236070654"/>
      <w:r w:rsidRPr="00A457F8">
        <w:rPr>
          <w:rFonts w:ascii="Arial" w:eastAsia="Times New Roman" w:hAnsi="Arial" w:cs="Arial"/>
          <w:b/>
          <w:bCs/>
          <w:kern w:val="36"/>
          <w:sz w:val="22"/>
          <w:szCs w:val="22"/>
          <w14:ligatures w14:val="none"/>
        </w:rPr>
        <w:t>Student id: 25</w:t>
      </w:r>
      <w:bookmarkEnd w:id="8"/>
      <w:bookmarkEnd w:id="9"/>
      <w:bookmarkEnd w:id="10"/>
      <w:bookmarkEnd w:id="11"/>
      <w:bookmarkEnd w:id="12"/>
      <w:r w:rsidR="00A34697">
        <w:rPr>
          <w:rFonts w:ascii="Arial" w:eastAsia="Times New Roman" w:hAnsi="Arial" w:cs="Arial"/>
          <w:b/>
          <w:bCs/>
          <w:kern w:val="36"/>
          <w:sz w:val="22"/>
          <w:szCs w:val="22"/>
          <w14:ligatures w14:val="none"/>
        </w:rPr>
        <w:t>27056</w:t>
      </w:r>
    </w:p>
    <w:p w14:paraId="3E8EA004" w14:textId="77777777" w:rsidR="002C2C73" w:rsidRPr="00A457F8" w:rsidRDefault="002C2C73"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bookmarkStart w:id="13" w:name="_Toc236059497"/>
      <w:bookmarkStart w:id="14" w:name="_Toc236059528"/>
      <w:bookmarkStart w:id="15" w:name="_Toc236060114"/>
      <w:bookmarkStart w:id="16" w:name="_Toc236060872"/>
      <w:bookmarkStart w:id="17" w:name="_Toc236070655"/>
      <w:r w:rsidRPr="00A457F8">
        <w:rPr>
          <w:rFonts w:ascii="Arial" w:eastAsia="Times New Roman" w:hAnsi="Arial" w:cs="Arial"/>
          <w:b/>
          <w:bCs/>
          <w:kern w:val="36"/>
          <w:sz w:val="22"/>
          <w:szCs w:val="22"/>
          <w14:ligatures w14:val="none"/>
        </w:rPr>
        <w:t>Module: Quality Assurance and Service and Improvement</w:t>
      </w:r>
      <w:bookmarkEnd w:id="13"/>
      <w:bookmarkEnd w:id="14"/>
      <w:bookmarkEnd w:id="15"/>
      <w:bookmarkEnd w:id="16"/>
      <w:bookmarkEnd w:id="17"/>
    </w:p>
    <w:p w14:paraId="009D7F24" w14:textId="77777777" w:rsidR="002C2C73" w:rsidRPr="00A457F8" w:rsidRDefault="002C2C73"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bookmarkStart w:id="18" w:name="_Toc236059498"/>
      <w:bookmarkStart w:id="19" w:name="_Toc236059529"/>
      <w:bookmarkStart w:id="20" w:name="_Toc236060115"/>
      <w:bookmarkStart w:id="21" w:name="_Toc236060873"/>
      <w:bookmarkStart w:id="22" w:name="_Toc236070656"/>
      <w:r w:rsidRPr="00A457F8">
        <w:rPr>
          <w:rFonts w:ascii="Arial" w:eastAsia="Times New Roman" w:hAnsi="Arial" w:cs="Arial"/>
          <w:b/>
          <w:bCs/>
          <w:kern w:val="36"/>
          <w:sz w:val="22"/>
          <w:szCs w:val="22"/>
          <w14:ligatures w14:val="none"/>
        </w:rPr>
        <w:t>Module code: LCHS7006</w:t>
      </w:r>
      <w:bookmarkEnd w:id="18"/>
      <w:bookmarkEnd w:id="19"/>
      <w:bookmarkEnd w:id="20"/>
      <w:bookmarkEnd w:id="21"/>
      <w:bookmarkEnd w:id="22"/>
    </w:p>
    <w:p w14:paraId="352338B5" w14:textId="77777777" w:rsidR="002C2C73" w:rsidRPr="00A457F8" w:rsidRDefault="002C2C73"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bookmarkStart w:id="23" w:name="_Toc236059499"/>
      <w:bookmarkStart w:id="24" w:name="_Toc236059530"/>
      <w:bookmarkStart w:id="25" w:name="_Toc236060116"/>
      <w:bookmarkStart w:id="26" w:name="_Toc236060874"/>
      <w:bookmarkStart w:id="27" w:name="_Toc236070657"/>
      <w:r w:rsidRPr="00A457F8">
        <w:rPr>
          <w:rFonts w:ascii="Arial" w:eastAsia="Times New Roman" w:hAnsi="Arial" w:cs="Arial"/>
          <w:b/>
          <w:bCs/>
          <w:kern w:val="36"/>
          <w:sz w:val="22"/>
          <w:szCs w:val="22"/>
          <w14:ligatures w14:val="none"/>
        </w:rPr>
        <w:t xml:space="preserve">Programme: MSc Public Health </w:t>
      </w:r>
      <w:proofErr w:type="spellStart"/>
      <w:r w:rsidRPr="00A457F8">
        <w:rPr>
          <w:rFonts w:ascii="Arial" w:eastAsia="Times New Roman" w:hAnsi="Arial" w:cs="Arial"/>
          <w:b/>
          <w:bCs/>
          <w:kern w:val="36"/>
          <w:sz w:val="22"/>
          <w:szCs w:val="22"/>
          <w14:ligatures w14:val="none"/>
        </w:rPr>
        <w:t>ans</w:t>
      </w:r>
      <w:proofErr w:type="spellEnd"/>
      <w:r w:rsidRPr="00A457F8">
        <w:rPr>
          <w:rFonts w:ascii="Arial" w:eastAsia="Times New Roman" w:hAnsi="Arial" w:cs="Arial"/>
          <w:b/>
          <w:bCs/>
          <w:kern w:val="36"/>
          <w:sz w:val="22"/>
          <w:szCs w:val="22"/>
          <w14:ligatures w14:val="none"/>
        </w:rPr>
        <w:t xml:space="preserve"> Social Care in Practice</w:t>
      </w:r>
      <w:bookmarkEnd w:id="23"/>
      <w:bookmarkEnd w:id="24"/>
      <w:bookmarkEnd w:id="25"/>
      <w:bookmarkEnd w:id="26"/>
      <w:bookmarkEnd w:id="27"/>
    </w:p>
    <w:p w14:paraId="23647349" w14:textId="77777777" w:rsidR="002C2C73" w:rsidRPr="00A457F8" w:rsidRDefault="002C2C73"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p>
    <w:p w14:paraId="4C842499" w14:textId="77777777" w:rsidR="007F4A92" w:rsidRPr="00A457F8" w:rsidRDefault="007F4A92"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p>
    <w:p w14:paraId="45A433BD" w14:textId="77777777" w:rsidR="007F4A92" w:rsidRPr="00A457F8" w:rsidRDefault="007F4A92"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p>
    <w:p w14:paraId="0CB9A9F3" w14:textId="77777777" w:rsidR="007F4A92" w:rsidRPr="00A457F8" w:rsidRDefault="007F4A92"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p>
    <w:p w14:paraId="6B308AEC" w14:textId="77777777" w:rsidR="007F4A92" w:rsidRPr="00A457F8" w:rsidRDefault="007F4A92"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p>
    <w:p w14:paraId="1DE83370" w14:textId="77777777" w:rsidR="007F4A92" w:rsidRPr="00A457F8" w:rsidRDefault="007F4A92"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p>
    <w:p w14:paraId="4D75796B" w14:textId="77777777" w:rsidR="007F4A92" w:rsidRPr="00A457F8" w:rsidRDefault="007F4A92"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p>
    <w:p w14:paraId="109534DD" w14:textId="77777777" w:rsidR="007F4A92" w:rsidRPr="00A457F8" w:rsidRDefault="007F4A92"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p>
    <w:p w14:paraId="3EAF9EE9" w14:textId="77777777" w:rsidR="007F4A92" w:rsidRPr="00A457F8" w:rsidRDefault="007F4A92"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p>
    <w:p w14:paraId="54B021FE" w14:textId="77777777" w:rsidR="007F4A92" w:rsidRPr="00A457F8" w:rsidRDefault="007F4A92"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p>
    <w:p w14:paraId="3348FA4F" w14:textId="77777777" w:rsidR="007F4A92" w:rsidRPr="00A457F8" w:rsidRDefault="007F4A92"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p>
    <w:p w14:paraId="460C9158" w14:textId="77777777" w:rsidR="007F4A92" w:rsidRPr="00A457F8" w:rsidRDefault="007F4A92"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p>
    <w:p w14:paraId="443B9364" w14:textId="77777777" w:rsidR="007F4A92" w:rsidRPr="00A457F8" w:rsidRDefault="007F4A92"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p>
    <w:p w14:paraId="533B5588" w14:textId="77777777" w:rsidR="007F4A92" w:rsidRPr="00A457F8" w:rsidRDefault="007F4A92"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p>
    <w:p w14:paraId="77BA2920" w14:textId="77777777" w:rsidR="007F4A92" w:rsidRPr="00A457F8" w:rsidRDefault="007F4A92"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p>
    <w:p w14:paraId="1A32296D" w14:textId="77777777" w:rsidR="007F4A92" w:rsidRPr="00A457F8" w:rsidRDefault="007F4A92"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p>
    <w:p w14:paraId="745CC34A" w14:textId="77777777" w:rsidR="007F4A92" w:rsidRPr="00A457F8" w:rsidRDefault="007F4A92"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p>
    <w:p w14:paraId="57AE25B6" w14:textId="77777777" w:rsidR="007F4A92" w:rsidRPr="00A457F8" w:rsidRDefault="007F4A92"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p>
    <w:sdt>
      <w:sdtPr>
        <w:rPr>
          <w:rFonts w:ascii="Arial" w:eastAsiaTheme="minorEastAsia" w:hAnsi="Arial" w:cs="Arial"/>
          <w:color w:val="auto"/>
          <w:kern w:val="2"/>
          <w:sz w:val="24"/>
          <w:szCs w:val="24"/>
          <w:lang w:val="en-GB" w:eastAsia="en-GB"/>
          <w14:ligatures w14:val="standardContextual"/>
        </w:rPr>
        <w:id w:val="807602770"/>
        <w:docPartObj>
          <w:docPartGallery w:val="Table of Contents"/>
          <w:docPartUnique/>
        </w:docPartObj>
      </w:sdtPr>
      <w:sdtEndPr>
        <w:rPr>
          <w:b/>
          <w:bCs/>
          <w:noProof/>
        </w:rPr>
      </w:sdtEndPr>
      <w:sdtContent>
        <w:p w14:paraId="7DA1DEE3" w14:textId="0FCF202C" w:rsidR="002C2C73" w:rsidRDefault="002C2C73">
          <w:pPr>
            <w:pStyle w:val="TOCHeading"/>
            <w:rPr>
              <w:rFonts w:ascii="Arial" w:hAnsi="Arial" w:cs="Arial"/>
            </w:rPr>
          </w:pPr>
          <w:r w:rsidRPr="00A457F8">
            <w:rPr>
              <w:rFonts w:ascii="Arial" w:hAnsi="Arial" w:cs="Arial"/>
            </w:rPr>
            <w:t>Contents</w:t>
          </w:r>
        </w:p>
        <w:p w14:paraId="401D06E3" w14:textId="77777777" w:rsidR="00697341" w:rsidRPr="00697341" w:rsidRDefault="00697341" w:rsidP="00697341">
          <w:pPr>
            <w:rPr>
              <w:lang w:val="en-US" w:eastAsia="en-US"/>
            </w:rPr>
          </w:pPr>
        </w:p>
        <w:p w14:paraId="4EFC92A1" w14:textId="0727F5E9" w:rsidR="00225613" w:rsidRPr="00A457F8" w:rsidRDefault="002C2C73">
          <w:pPr>
            <w:pStyle w:val="TOC1"/>
            <w:tabs>
              <w:tab w:val="right" w:leader="dot" w:pos="9016"/>
            </w:tabs>
            <w:rPr>
              <w:rFonts w:ascii="Arial" w:hAnsi="Arial" w:cs="Arial"/>
              <w:noProof/>
              <w:lang w:val="en-IN" w:eastAsia="en-IN"/>
            </w:rPr>
          </w:pPr>
          <w:r w:rsidRPr="00A457F8">
            <w:rPr>
              <w:rFonts w:ascii="Arial" w:hAnsi="Arial" w:cs="Arial"/>
            </w:rPr>
            <w:fldChar w:fldCharType="begin"/>
          </w:r>
          <w:r w:rsidRPr="00A457F8">
            <w:rPr>
              <w:rFonts w:ascii="Arial" w:hAnsi="Arial" w:cs="Arial"/>
            </w:rPr>
            <w:instrText xml:space="preserve"> TOC \o "1-3" \h \z \u </w:instrText>
          </w:r>
          <w:r w:rsidRPr="00A457F8">
            <w:rPr>
              <w:rFonts w:ascii="Arial" w:hAnsi="Arial" w:cs="Arial"/>
            </w:rPr>
            <w:fldChar w:fldCharType="separate"/>
          </w:r>
          <w:hyperlink w:anchor="_Toc236070652" w:history="1">
            <w:r w:rsidR="00225613" w:rsidRPr="00A457F8">
              <w:rPr>
                <w:rStyle w:val="Hyperlink"/>
                <w:rFonts w:ascii="Arial" w:eastAsia="Times New Roman" w:hAnsi="Arial" w:cs="Arial"/>
                <w:b/>
                <w:bCs/>
                <w:noProof/>
                <w:kern w:val="36"/>
                <w14:ligatures w14:val="none"/>
              </w:rPr>
              <w:t>Analysis of Quality Assurance in</w:t>
            </w:r>
            <w:r w:rsidR="003E5077">
              <w:rPr>
                <w:rStyle w:val="Hyperlink"/>
                <w:rFonts w:ascii="Arial" w:eastAsia="Times New Roman" w:hAnsi="Arial" w:cs="Arial"/>
                <w:b/>
                <w:bCs/>
                <w:noProof/>
                <w:kern w:val="36"/>
                <w14:ligatures w14:val="none"/>
              </w:rPr>
              <w:t xml:space="preserve"> RaDonda Vaught</w:t>
            </w:r>
            <w:r w:rsidR="0057641E">
              <w:rPr>
                <w:rStyle w:val="Hyperlink"/>
                <w:rFonts w:ascii="Arial" w:eastAsia="Times New Roman" w:hAnsi="Arial" w:cs="Arial"/>
                <w:b/>
                <w:bCs/>
                <w:noProof/>
                <w:kern w:val="36"/>
                <w14:ligatures w14:val="none"/>
              </w:rPr>
              <w:t xml:space="preserve"> medication Error</w:t>
            </w:r>
            <w:r w:rsidR="00225613" w:rsidRPr="00A457F8">
              <w:rPr>
                <w:rFonts w:ascii="Arial" w:hAnsi="Arial" w:cs="Arial"/>
                <w:noProof/>
                <w:webHidden/>
              </w:rPr>
              <w:tab/>
            </w:r>
            <w:r w:rsidR="00225613" w:rsidRPr="00A457F8">
              <w:rPr>
                <w:rFonts w:ascii="Arial" w:hAnsi="Arial" w:cs="Arial"/>
                <w:noProof/>
                <w:webHidden/>
              </w:rPr>
              <w:fldChar w:fldCharType="begin"/>
            </w:r>
            <w:r w:rsidR="00225613" w:rsidRPr="00A457F8">
              <w:rPr>
                <w:rFonts w:ascii="Arial" w:hAnsi="Arial" w:cs="Arial"/>
                <w:noProof/>
                <w:webHidden/>
              </w:rPr>
              <w:instrText xml:space="preserve"> PAGEREF _Toc236070652 \h </w:instrText>
            </w:r>
            <w:r w:rsidR="00225613" w:rsidRPr="00A457F8">
              <w:rPr>
                <w:rFonts w:ascii="Arial" w:hAnsi="Arial" w:cs="Arial"/>
                <w:noProof/>
                <w:webHidden/>
              </w:rPr>
            </w:r>
            <w:r w:rsidR="00225613" w:rsidRPr="00A457F8">
              <w:rPr>
                <w:rFonts w:ascii="Arial" w:hAnsi="Arial" w:cs="Arial"/>
                <w:noProof/>
                <w:webHidden/>
              </w:rPr>
              <w:fldChar w:fldCharType="separate"/>
            </w:r>
            <w:r w:rsidR="00225613" w:rsidRPr="00A457F8">
              <w:rPr>
                <w:rFonts w:ascii="Arial" w:hAnsi="Arial" w:cs="Arial"/>
                <w:noProof/>
                <w:webHidden/>
              </w:rPr>
              <w:t>1</w:t>
            </w:r>
            <w:r w:rsidR="00225613" w:rsidRPr="00A457F8">
              <w:rPr>
                <w:rFonts w:ascii="Arial" w:hAnsi="Arial" w:cs="Arial"/>
                <w:noProof/>
                <w:webHidden/>
              </w:rPr>
              <w:fldChar w:fldCharType="end"/>
            </w:r>
          </w:hyperlink>
        </w:p>
        <w:p w14:paraId="360E3871" w14:textId="3B85CEC7" w:rsidR="00225613" w:rsidRPr="00A457F8" w:rsidRDefault="00225613">
          <w:pPr>
            <w:pStyle w:val="TOC1"/>
            <w:tabs>
              <w:tab w:val="right" w:leader="dot" w:pos="9016"/>
            </w:tabs>
            <w:rPr>
              <w:rFonts w:ascii="Arial" w:hAnsi="Arial" w:cs="Arial"/>
              <w:noProof/>
              <w:lang w:val="en-IN" w:eastAsia="en-IN"/>
            </w:rPr>
          </w:pPr>
          <w:hyperlink w:anchor="_Toc236070658" w:history="1">
            <w:r w:rsidRPr="00A457F8">
              <w:rPr>
                <w:rStyle w:val="Hyperlink"/>
                <w:rFonts w:ascii="Arial" w:eastAsia="Times New Roman" w:hAnsi="Arial" w:cs="Arial"/>
                <w:noProof/>
              </w:rPr>
              <w:t>1. Introduction</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_Toc236070658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4</w:t>
            </w:r>
            <w:r w:rsidRPr="00A457F8">
              <w:rPr>
                <w:rFonts w:ascii="Arial" w:hAnsi="Arial" w:cs="Arial"/>
                <w:noProof/>
                <w:webHidden/>
              </w:rPr>
              <w:fldChar w:fldCharType="end"/>
            </w:r>
          </w:hyperlink>
        </w:p>
        <w:p w14:paraId="5A9827C8" w14:textId="03AFC184" w:rsidR="00225613" w:rsidRPr="00A457F8" w:rsidRDefault="00225613">
          <w:pPr>
            <w:pStyle w:val="TOC2"/>
            <w:tabs>
              <w:tab w:val="right" w:leader="dot" w:pos="9016"/>
            </w:tabs>
            <w:rPr>
              <w:rFonts w:ascii="Arial" w:hAnsi="Arial" w:cs="Arial"/>
              <w:noProof/>
              <w:lang w:val="en-IN" w:eastAsia="en-IN"/>
            </w:rPr>
          </w:pPr>
          <w:hyperlink w:anchor="_Toc236070659" w:history="1">
            <w:r w:rsidRPr="00A457F8">
              <w:rPr>
                <w:rStyle w:val="Hyperlink"/>
                <w:rFonts w:ascii="Arial" w:eastAsia="Times New Roman" w:hAnsi="Arial" w:cs="Arial"/>
                <w:noProof/>
              </w:rPr>
              <w:t>1.1 Brief Description of the RaDonda Vaught Case</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_Toc236070659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4</w:t>
            </w:r>
            <w:r w:rsidRPr="00A457F8">
              <w:rPr>
                <w:rFonts w:ascii="Arial" w:hAnsi="Arial" w:cs="Arial"/>
                <w:noProof/>
                <w:webHidden/>
              </w:rPr>
              <w:fldChar w:fldCharType="end"/>
            </w:r>
          </w:hyperlink>
        </w:p>
        <w:p w14:paraId="1A3B109B" w14:textId="6AAAE808" w:rsidR="00225613" w:rsidRPr="00A457F8" w:rsidRDefault="00225613">
          <w:pPr>
            <w:pStyle w:val="TOC1"/>
            <w:tabs>
              <w:tab w:val="right" w:leader="dot" w:pos="9016"/>
            </w:tabs>
            <w:rPr>
              <w:rFonts w:ascii="Arial" w:hAnsi="Arial" w:cs="Arial"/>
              <w:noProof/>
              <w:lang w:val="en-IN" w:eastAsia="en-IN"/>
            </w:rPr>
          </w:pPr>
          <w:hyperlink w:anchor="_Toc236070660" w:history="1">
            <w:r w:rsidRPr="00A457F8">
              <w:rPr>
                <w:rStyle w:val="Hyperlink"/>
                <w:rFonts w:ascii="Arial" w:eastAsia="Times New Roman" w:hAnsi="Arial" w:cs="Arial"/>
                <w:noProof/>
              </w:rPr>
              <w:t>2. Main Body</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_Toc236070660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4</w:t>
            </w:r>
            <w:r w:rsidRPr="00A457F8">
              <w:rPr>
                <w:rFonts w:ascii="Arial" w:hAnsi="Arial" w:cs="Arial"/>
                <w:noProof/>
                <w:webHidden/>
              </w:rPr>
              <w:fldChar w:fldCharType="end"/>
            </w:r>
          </w:hyperlink>
        </w:p>
        <w:p w14:paraId="66F8C1D4" w14:textId="0DBFCFD1" w:rsidR="00225613" w:rsidRPr="00A457F8" w:rsidRDefault="00225613">
          <w:pPr>
            <w:pStyle w:val="TOC2"/>
            <w:tabs>
              <w:tab w:val="right" w:leader="dot" w:pos="9016"/>
            </w:tabs>
            <w:rPr>
              <w:rFonts w:ascii="Arial" w:hAnsi="Arial" w:cs="Arial"/>
              <w:noProof/>
              <w:lang w:val="en-IN" w:eastAsia="en-IN"/>
            </w:rPr>
          </w:pPr>
          <w:hyperlink w:anchor="_Toc236070661" w:history="1">
            <w:r w:rsidRPr="00A457F8">
              <w:rPr>
                <w:rStyle w:val="Hyperlink"/>
                <w:rFonts w:ascii="Arial" w:eastAsia="Times New Roman" w:hAnsi="Arial" w:cs="Arial"/>
                <w:noProof/>
              </w:rPr>
              <w:t>2.1 Case Study Analysis: The RaDonda Vaught Medication Error</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_Toc236070661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4</w:t>
            </w:r>
            <w:r w:rsidRPr="00A457F8">
              <w:rPr>
                <w:rFonts w:ascii="Arial" w:hAnsi="Arial" w:cs="Arial"/>
                <w:noProof/>
                <w:webHidden/>
              </w:rPr>
              <w:fldChar w:fldCharType="end"/>
            </w:r>
          </w:hyperlink>
        </w:p>
        <w:p w14:paraId="7030D2B5" w14:textId="5B8F55BA" w:rsidR="00225613" w:rsidRPr="00A457F8" w:rsidRDefault="00225613">
          <w:pPr>
            <w:pStyle w:val="TOC2"/>
            <w:tabs>
              <w:tab w:val="right" w:leader="dot" w:pos="9016"/>
            </w:tabs>
            <w:rPr>
              <w:rFonts w:ascii="Arial" w:hAnsi="Arial" w:cs="Arial"/>
              <w:noProof/>
              <w:lang w:val="en-IN" w:eastAsia="en-IN"/>
            </w:rPr>
          </w:pPr>
          <w:hyperlink w:anchor="_Toc236070662" w:history="1">
            <w:r w:rsidRPr="00A457F8">
              <w:rPr>
                <w:rStyle w:val="Hyperlink"/>
                <w:rFonts w:ascii="Arial" w:eastAsia="Times New Roman" w:hAnsi="Arial" w:cs="Arial"/>
                <w:noProof/>
              </w:rPr>
              <w:t>2.2 Application of the Donabedian Model</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_Toc236070662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5</w:t>
            </w:r>
            <w:r w:rsidRPr="00A457F8">
              <w:rPr>
                <w:rFonts w:ascii="Arial" w:hAnsi="Arial" w:cs="Arial"/>
                <w:noProof/>
                <w:webHidden/>
              </w:rPr>
              <w:fldChar w:fldCharType="end"/>
            </w:r>
          </w:hyperlink>
        </w:p>
        <w:p w14:paraId="1C104ACA" w14:textId="25C7F2E3" w:rsidR="00225613" w:rsidRPr="00A457F8" w:rsidRDefault="00225613">
          <w:pPr>
            <w:pStyle w:val="TOC2"/>
            <w:tabs>
              <w:tab w:val="right" w:leader="dot" w:pos="9016"/>
            </w:tabs>
            <w:rPr>
              <w:rFonts w:ascii="Arial" w:hAnsi="Arial" w:cs="Arial"/>
              <w:noProof/>
              <w:lang w:val="en-IN" w:eastAsia="en-IN"/>
            </w:rPr>
          </w:pPr>
          <w:hyperlink w:anchor="_Toc236070663" w:history="1">
            <w:r w:rsidRPr="00A457F8">
              <w:rPr>
                <w:rStyle w:val="Hyperlink"/>
                <w:rFonts w:ascii="Arial" w:hAnsi="Arial" w:cs="Arial"/>
                <w:noProof/>
              </w:rPr>
              <w:t>Critical Evaluation of the Donabedian Model</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_Toc236070663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7</w:t>
            </w:r>
            <w:r w:rsidRPr="00A457F8">
              <w:rPr>
                <w:rFonts w:ascii="Arial" w:hAnsi="Arial" w:cs="Arial"/>
                <w:noProof/>
                <w:webHidden/>
              </w:rPr>
              <w:fldChar w:fldCharType="end"/>
            </w:r>
          </w:hyperlink>
        </w:p>
        <w:p w14:paraId="3811E38D" w14:textId="41649BEE" w:rsidR="00225613" w:rsidRPr="00A457F8" w:rsidRDefault="00225613">
          <w:pPr>
            <w:pStyle w:val="TOC2"/>
            <w:tabs>
              <w:tab w:val="right" w:leader="dot" w:pos="9016"/>
            </w:tabs>
            <w:rPr>
              <w:rFonts w:ascii="Arial" w:hAnsi="Arial" w:cs="Arial"/>
              <w:noProof/>
              <w:lang w:val="en-IN" w:eastAsia="en-IN"/>
            </w:rPr>
          </w:pPr>
          <w:hyperlink w:anchor="_Toc236070664" w:history="1">
            <w:r w:rsidRPr="00A457F8">
              <w:rPr>
                <w:rStyle w:val="Hyperlink"/>
                <w:rFonts w:ascii="Arial" w:eastAsia="Times New Roman" w:hAnsi="Arial" w:cs="Arial"/>
                <w:noProof/>
              </w:rPr>
              <w:t>2.3 Fishbone Diagram Analysis</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_Toc236070664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8</w:t>
            </w:r>
            <w:r w:rsidRPr="00A457F8">
              <w:rPr>
                <w:rFonts w:ascii="Arial" w:hAnsi="Arial" w:cs="Arial"/>
                <w:noProof/>
                <w:webHidden/>
              </w:rPr>
              <w:fldChar w:fldCharType="end"/>
            </w:r>
          </w:hyperlink>
        </w:p>
        <w:p w14:paraId="21536C98" w14:textId="6F983DDB" w:rsidR="00225613" w:rsidRPr="00A457F8" w:rsidRDefault="00225613">
          <w:pPr>
            <w:pStyle w:val="TOC2"/>
            <w:tabs>
              <w:tab w:val="right" w:leader="dot" w:pos="9016"/>
            </w:tabs>
            <w:rPr>
              <w:rFonts w:ascii="Arial" w:hAnsi="Arial" w:cs="Arial"/>
              <w:noProof/>
              <w:lang w:val="en-IN" w:eastAsia="en-IN"/>
            </w:rPr>
          </w:pPr>
          <w:hyperlink w:anchor="_Toc236070665" w:history="1">
            <w:r w:rsidRPr="00A457F8">
              <w:rPr>
                <w:rStyle w:val="Hyperlink"/>
                <w:rFonts w:ascii="Arial" w:eastAsia="Times New Roman" w:hAnsi="Arial" w:cs="Arial"/>
                <w:noProof/>
              </w:rPr>
              <w:t>Critical Evaluation of the Fishbone Diagram</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_Toc236070665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9</w:t>
            </w:r>
            <w:r w:rsidRPr="00A457F8">
              <w:rPr>
                <w:rFonts w:ascii="Arial" w:hAnsi="Arial" w:cs="Arial"/>
                <w:noProof/>
                <w:webHidden/>
              </w:rPr>
              <w:fldChar w:fldCharType="end"/>
            </w:r>
          </w:hyperlink>
        </w:p>
        <w:p w14:paraId="1879CAEE" w14:textId="4D6BC7C3" w:rsidR="00225613" w:rsidRPr="00A457F8" w:rsidRDefault="00225613">
          <w:pPr>
            <w:pStyle w:val="TOC2"/>
            <w:tabs>
              <w:tab w:val="right" w:leader="dot" w:pos="9016"/>
            </w:tabs>
            <w:rPr>
              <w:rFonts w:ascii="Arial" w:hAnsi="Arial" w:cs="Arial"/>
              <w:noProof/>
              <w:lang w:val="en-IN" w:eastAsia="en-IN"/>
            </w:rPr>
          </w:pPr>
          <w:hyperlink w:anchor="_Toc236070666" w:history="1">
            <w:r w:rsidRPr="00A457F8">
              <w:rPr>
                <w:rStyle w:val="Hyperlink"/>
                <w:rFonts w:ascii="Arial" w:eastAsia="Times New Roman" w:hAnsi="Arial" w:cs="Arial"/>
                <w:noProof/>
              </w:rPr>
              <w:t>2.4 Five Whys Analysis</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_Toc236070666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10</w:t>
            </w:r>
            <w:r w:rsidRPr="00A457F8">
              <w:rPr>
                <w:rFonts w:ascii="Arial" w:hAnsi="Arial" w:cs="Arial"/>
                <w:noProof/>
                <w:webHidden/>
              </w:rPr>
              <w:fldChar w:fldCharType="end"/>
            </w:r>
          </w:hyperlink>
        </w:p>
        <w:p w14:paraId="136AB96C" w14:textId="0E9137C5" w:rsidR="00225613" w:rsidRPr="00A457F8" w:rsidRDefault="00225613">
          <w:pPr>
            <w:pStyle w:val="TOC2"/>
            <w:tabs>
              <w:tab w:val="right" w:leader="dot" w:pos="9016"/>
            </w:tabs>
            <w:rPr>
              <w:rFonts w:ascii="Arial" w:hAnsi="Arial" w:cs="Arial"/>
              <w:noProof/>
              <w:lang w:val="en-IN" w:eastAsia="en-IN"/>
            </w:rPr>
          </w:pPr>
          <w:hyperlink w:anchor="_Toc236070667" w:history="1">
            <w:r w:rsidRPr="00A457F8">
              <w:rPr>
                <w:rStyle w:val="Hyperlink"/>
                <w:rFonts w:ascii="Arial" w:eastAsia="Times New Roman" w:hAnsi="Arial" w:cs="Arial"/>
                <w:noProof/>
              </w:rPr>
              <w:t>Critical Evaluation of the Five Whys Analysis</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_Toc236070667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11</w:t>
            </w:r>
            <w:r w:rsidRPr="00A457F8">
              <w:rPr>
                <w:rFonts w:ascii="Arial" w:hAnsi="Arial" w:cs="Arial"/>
                <w:noProof/>
                <w:webHidden/>
              </w:rPr>
              <w:fldChar w:fldCharType="end"/>
            </w:r>
          </w:hyperlink>
        </w:p>
        <w:p w14:paraId="0058171D" w14:textId="700992AB" w:rsidR="00225613" w:rsidRPr="00A457F8" w:rsidRDefault="00225613">
          <w:pPr>
            <w:pStyle w:val="TOC2"/>
            <w:tabs>
              <w:tab w:val="right" w:leader="dot" w:pos="9016"/>
            </w:tabs>
            <w:rPr>
              <w:rFonts w:ascii="Arial" w:hAnsi="Arial" w:cs="Arial"/>
              <w:noProof/>
              <w:lang w:val="en-IN" w:eastAsia="en-IN"/>
            </w:rPr>
          </w:pPr>
          <w:hyperlink w:anchor="_Toc236070668" w:history="1">
            <w:r w:rsidRPr="00A457F8">
              <w:rPr>
                <w:rStyle w:val="Hyperlink"/>
                <w:rFonts w:ascii="Arial" w:eastAsia="Times New Roman" w:hAnsi="Arial" w:cs="Arial"/>
                <w:noProof/>
              </w:rPr>
              <w:t>2.5 SWOT Analysis</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_Toc236070668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11</w:t>
            </w:r>
            <w:r w:rsidRPr="00A457F8">
              <w:rPr>
                <w:rFonts w:ascii="Arial" w:hAnsi="Arial" w:cs="Arial"/>
                <w:noProof/>
                <w:webHidden/>
              </w:rPr>
              <w:fldChar w:fldCharType="end"/>
            </w:r>
          </w:hyperlink>
        </w:p>
        <w:p w14:paraId="4E7B73D3" w14:textId="29D3080A" w:rsidR="00225613" w:rsidRPr="00A457F8" w:rsidRDefault="00225613">
          <w:pPr>
            <w:pStyle w:val="TOC2"/>
            <w:tabs>
              <w:tab w:val="right" w:leader="dot" w:pos="9016"/>
            </w:tabs>
            <w:rPr>
              <w:rFonts w:ascii="Arial" w:hAnsi="Arial" w:cs="Arial"/>
              <w:noProof/>
              <w:lang w:val="en-IN" w:eastAsia="en-IN"/>
            </w:rPr>
          </w:pPr>
          <w:hyperlink w:anchor="_Toc236070669" w:history="1">
            <w:r w:rsidRPr="00A457F8">
              <w:rPr>
                <w:rStyle w:val="Hyperlink"/>
                <w:rFonts w:ascii="Arial" w:eastAsia="Times New Roman" w:hAnsi="Arial" w:cs="Arial"/>
                <w:noProof/>
              </w:rPr>
              <w:t>Critical Evaluation of the SWOT Analysis</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_Toc236070669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13</w:t>
            </w:r>
            <w:r w:rsidRPr="00A457F8">
              <w:rPr>
                <w:rFonts w:ascii="Arial" w:hAnsi="Arial" w:cs="Arial"/>
                <w:noProof/>
                <w:webHidden/>
              </w:rPr>
              <w:fldChar w:fldCharType="end"/>
            </w:r>
          </w:hyperlink>
        </w:p>
        <w:p w14:paraId="711739A5" w14:textId="29E2CAA0" w:rsidR="00225613" w:rsidRPr="00A457F8" w:rsidRDefault="00225613">
          <w:pPr>
            <w:pStyle w:val="TOC2"/>
            <w:tabs>
              <w:tab w:val="right" w:leader="dot" w:pos="9016"/>
            </w:tabs>
            <w:rPr>
              <w:rFonts w:ascii="Arial" w:hAnsi="Arial" w:cs="Arial"/>
              <w:noProof/>
              <w:lang w:val="en-IN" w:eastAsia="en-IN"/>
            </w:rPr>
          </w:pPr>
          <w:hyperlink w:anchor="_Toc236070670" w:history="1">
            <w:r w:rsidRPr="00A457F8">
              <w:rPr>
                <w:rStyle w:val="Hyperlink"/>
                <w:rFonts w:ascii="Arial" w:eastAsia="Times New Roman" w:hAnsi="Arial" w:cs="Arial"/>
                <w:noProof/>
              </w:rPr>
              <w:t>2.6 Kurt Lewin’s Three-Stage Change Model</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_Toc236070670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13</w:t>
            </w:r>
            <w:r w:rsidRPr="00A457F8">
              <w:rPr>
                <w:rFonts w:ascii="Arial" w:hAnsi="Arial" w:cs="Arial"/>
                <w:noProof/>
                <w:webHidden/>
              </w:rPr>
              <w:fldChar w:fldCharType="end"/>
            </w:r>
          </w:hyperlink>
        </w:p>
        <w:p w14:paraId="230B6EEC" w14:textId="74AD1234" w:rsidR="00225613" w:rsidRPr="00A457F8" w:rsidRDefault="00225613">
          <w:pPr>
            <w:pStyle w:val="TOC3"/>
            <w:tabs>
              <w:tab w:val="right" w:leader="dot" w:pos="9016"/>
            </w:tabs>
            <w:rPr>
              <w:rFonts w:ascii="Arial" w:hAnsi="Arial" w:cs="Arial"/>
              <w:noProof/>
              <w:lang w:val="en-IN" w:eastAsia="en-IN"/>
            </w:rPr>
          </w:pPr>
          <w:hyperlink w:anchor="_Toc236070671" w:history="1">
            <w:r w:rsidRPr="00A457F8">
              <w:rPr>
                <w:rStyle w:val="Hyperlink"/>
                <w:rFonts w:ascii="Arial" w:eastAsia="Times New Roman" w:hAnsi="Arial" w:cs="Arial"/>
                <w:b/>
                <w:bCs/>
                <w:noProof/>
                <w:kern w:val="0"/>
                <w14:ligatures w14:val="none"/>
              </w:rPr>
              <w:t>Unfreeze</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_Toc236070671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14</w:t>
            </w:r>
            <w:r w:rsidRPr="00A457F8">
              <w:rPr>
                <w:rFonts w:ascii="Arial" w:hAnsi="Arial" w:cs="Arial"/>
                <w:noProof/>
                <w:webHidden/>
              </w:rPr>
              <w:fldChar w:fldCharType="end"/>
            </w:r>
          </w:hyperlink>
        </w:p>
        <w:p w14:paraId="08AB1081" w14:textId="586BC5C6" w:rsidR="00225613" w:rsidRPr="00A457F8" w:rsidRDefault="00225613">
          <w:pPr>
            <w:pStyle w:val="TOC3"/>
            <w:tabs>
              <w:tab w:val="right" w:leader="dot" w:pos="9016"/>
            </w:tabs>
            <w:rPr>
              <w:rFonts w:ascii="Arial" w:hAnsi="Arial" w:cs="Arial"/>
              <w:noProof/>
              <w:lang w:val="en-IN" w:eastAsia="en-IN"/>
            </w:rPr>
          </w:pPr>
          <w:hyperlink w:anchor="_Toc236070672" w:history="1">
            <w:r w:rsidRPr="00A457F8">
              <w:rPr>
                <w:rStyle w:val="Hyperlink"/>
                <w:rFonts w:ascii="Arial" w:eastAsia="Times New Roman" w:hAnsi="Arial" w:cs="Arial"/>
                <w:b/>
                <w:bCs/>
                <w:noProof/>
                <w:kern w:val="0"/>
                <w14:ligatures w14:val="none"/>
              </w:rPr>
              <w:t>Change (Move)</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_Toc236070672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14</w:t>
            </w:r>
            <w:r w:rsidRPr="00A457F8">
              <w:rPr>
                <w:rFonts w:ascii="Arial" w:hAnsi="Arial" w:cs="Arial"/>
                <w:noProof/>
                <w:webHidden/>
              </w:rPr>
              <w:fldChar w:fldCharType="end"/>
            </w:r>
          </w:hyperlink>
        </w:p>
        <w:p w14:paraId="25A4E441" w14:textId="43F5D7E2" w:rsidR="00225613" w:rsidRPr="00A457F8" w:rsidRDefault="00225613">
          <w:pPr>
            <w:pStyle w:val="TOC3"/>
            <w:tabs>
              <w:tab w:val="right" w:leader="dot" w:pos="9016"/>
            </w:tabs>
            <w:rPr>
              <w:rFonts w:ascii="Arial" w:hAnsi="Arial" w:cs="Arial"/>
              <w:noProof/>
              <w:lang w:val="en-IN" w:eastAsia="en-IN"/>
            </w:rPr>
          </w:pPr>
          <w:hyperlink w:anchor="_Toc236070673" w:history="1">
            <w:r w:rsidRPr="00A457F8">
              <w:rPr>
                <w:rStyle w:val="Hyperlink"/>
                <w:rFonts w:ascii="Arial" w:eastAsia="Times New Roman" w:hAnsi="Arial" w:cs="Arial"/>
                <w:b/>
                <w:bCs/>
                <w:noProof/>
                <w:kern w:val="0"/>
                <w14:ligatures w14:val="none"/>
              </w:rPr>
              <w:t>Refreeze</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_Toc236070673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14</w:t>
            </w:r>
            <w:r w:rsidRPr="00A457F8">
              <w:rPr>
                <w:rFonts w:ascii="Arial" w:hAnsi="Arial" w:cs="Arial"/>
                <w:noProof/>
                <w:webHidden/>
              </w:rPr>
              <w:fldChar w:fldCharType="end"/>
            </w:r>
          </w:hyperlink>
        </w:p>
        <w:p w14:paraId="41D55EB7" w14:textId="2CCCB37A" w:rsidR="00225613" w:rsidRPr="00A457F8" w:rsidRDefault="00225613">
          <w:pPr>
            <w:pStyle w:val="TOC2"/>
            <w:tabs>
              <w:tab w:val="right" w:leader="dot" w:pos="9016"/>
            </w:tabs>
            <w:rPr>
              <w:rFonts w:ascii="Arial" w:hAnsi="Arial" w:cs="Arial"/>
              <w:noProof/>
              <w:lang w:val="en-IN" w:eastAsia="en-IN"/>
            </w:rPr>
          </w:pPr>
          <w:hyperlink w:anchor="_Toc236070674" w:history="1">
            <w:r w:rsidRPr="00A457F8">
              <w:rPr>
                <w:rStyle w:val="Hyperlink"/>
                <w:rFonts w:ascii="Arial" w:eastAsia="Times New Roman" w:hAnsi="Arial" w:cs="Arial"/>
                <w:noProof/>
              </w:rPr>
              <w:t>Critical Evaluation of Lewin’s Change Model</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_Toc236070674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15</w:t>
            </w:r>
            <w:r w:rsidRPr="00A457F8">
              <w:rPr>
                <w:rFonts w:ascii="Arial" w:hAnsi="Arial" w:cs="Arial"/>
                <w:noProof/>
                <w:webHidden/>
              </w:rPr>
              <w:fldChar w:fldCharType="end"/>
            </w:r>
          </w:hyperlink>
        </w:p>
        <w:p w14:paraId="319F68CD" w14:textId="6D200925" w:rsidR="00225613" w:rsidRPr="00A457F8" w:rsidRDefault="00225613">
          <w:pPr>
            <w:pStyle w:val="TOC1"/>
            <w:tabs>
              <w:tab w:val="right" w:leader="dot" w:pos="9016"/>
            </w:tabs>
            <w:rPr>
              <w:rFonts w:ascii="Arial" w:hAnsi="Arial" w:cs="Arial"/>
              <w:noProof/>
              <w:lang w:val="en-IN" w:eastAsia="en-IN"/>
            </w:rPr>
          </w:pPr>
          <w:hyperlink w:anchor="_Toc236070675" w:history="1">
            <w:r w:rsidRPr="00A457F8">
              <w:rPr>
                <w:rStyle w:val="Hyperlink"/>
                <w:rFonts w:ascii="Arial" w:eastAsia="Times New Roman" w:hAnsi="Arial" w:cs="Arial"/>
                <w:noProof/>
              </w:rPr>
              <w:t>3. Recommendations</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_Toc236070675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15</w:t>
            </w:r>
            <w:r w:rsidRPr="00A457F8">
              <w:rPr>
                <w:rFonts w:ascii="Arial" w:hAnsi="Arial" w:cs="Arial"/>
                <w:noProof/>
                <w:webHidden/>
              </w:rPr>
              <w:fldChar w:fldCharType="end"/>
            </w:r>
          </w:hyperlink>
        </w:p>
        <w:p w14:paraId="4B843D8A" w14:textId="391A2C1C" w:rsidR="00225613" w:rsidRPr="00A457F8" w:rsidRDefault="00225613">
          <w:pPr>
            <w:pStyle w:val="TOC2"/>
            <w:tabs>
              <w:tab w:val="right" w:leader="dot" w:pos="9016"/>
            </w:tabs>
            <w:rPr>
              <w:rFonts w:ascii="Arial" w:hAnsi="Arial" w:cs="Arial"/>
              <w:noProof/>
              <w:lang w:val="en-IN" w:eastAsia="en-IN"/>
            </w:rPr>
          </w:pPr>
          <w:hyperlink w:anchor="_Toc236070676" w:history="1">
            <w:r w:rsidRPr="00A457F8">
              <w:rPr>
                <w:rStyle w:val="Hyperlink"/>
                <w:rFonts w:ascii="Arial" w:eastAsia="Times New Roman" w:hAnsi="Arial" w:cs="Arial"/>
                <w:noProof/>
              </w:rPr>
              <w:t>Recommendation 1: Strengthen Medication Safety and Clinical Governance</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_Toc236070676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15</w:t>
            </w:r>
            <w:r w:rsidRPr="00A457F8">
              <w:rPr>
                <w:rFonts w:ascii="Arial" w:hAnsi="Arial" w:cs="Arial"/>
                <w:noProof/>
                <w:webHidden/>
              </w:rPr>
              <w:fldChar w:fldCharType="end"/>
            </w:r>
          </w:hyperlink>
        </w:p>
        <w:p w14:paraId="2B39B266" w14:textId="759EC63F" w:rsidR="00225613" w:rsidRPr="00A457F8" w:rsidRDefault="00225613">
          <w:pPr>
            <w:pStyle w:val="TOC2"/>
            <w:tabs>
              <w:tab w:val="right" w:leader="dot" w:pos="9016"/>
            </w:tabs>
            <w:rPr>
              <w:rFonts w:ascii="Arial" w:hAnsi="Arial" w:cs="Arial"/>
              <w:noProof/>
              <w:lang w:val="en-IN" w:eastAsia="en-IN"/>
            </w:rPr>
          </w:pPr>
          <w:hyperlink w:anchor="_Toc236070677" w:history="1">
            <w:r w:rsidRPr="00A457F8">
              <w:rPr>
                <w:rStyle w:val="Hyperlink"/>
                <w:rFonts w:ascii="Arial" w:eastAsia="Times New Roman" w:hAnsi="Arial" w:cs="Arial"/>
                <w:noProof/>
              </w:rPr>
              <w:t>Recommendation 2: Improve Medication Technology and Barcode Medication Administration (BCMA)</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_Toc236070677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16</w:t>
            </w:r>
            <w:r w:rsidRPr="00A457F8">
              <w:rPr>
                <w:rFonts w:ascii="Arial" w:hAnsi="Arial" w:cs="Arial"/>
                <w:noProof/>
                <w:webHidden/>
              </w:rPr>
              <w:fldChar w:fldCharType="end"/>
            </w:r>
          </w:hyperlink>
        </w:p>
        <w:p w14:paraId="5F7DAFAC" w14:textId="11F49131" w:rsidR="00225613" w:rsidRPr="00A457F8" w:rsidRDefault="00225613">
          <w:pPr>
            <w:pStyle w:val="TOC2"/>
            <w:tabs>
              <w:tab w:val="right" w:leader="dot" w:pos="9016"/>
            </w:tabs>
            <w:rPr>
              <w:rFonts w:ascii="Arial" w:hAnsi="Arial" w:cs="Arial"/>
              <w:noProof/>
              <w:lang w:val="en-IN" w:eastAsia="en-IN"/>
            </w:rPr>
          </w:pPr>
          <w:hyperlink w:anchor="_Toc236070678" w:history="1">
            <w:r w:rsidRPr="00A457F8">
              <w:rPr>
                <w:rStyle w:val="Hyperlink"/>
                <w:rFonts w:ascii="Arial" w:eastAsia="Times New Roman" w:hAnsi="Arial" w:cs="Arial"/>
                <w:noProof/>
              </w:rPr>
              <w:t>Recommendation 3: Enhance Workforce Development and Medication Safety Training</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_Toc236070678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16</w:t>
            </w:r>
            <w:r w:rsidRPr="00A457F8">
              <w:rPr>
                <w:rFonts w:ascii="Arial" w:hAnsi="Arial" w:cs="Arial"/>
                <w:noProof/>
                <w:webHidden/>
              </w:rPr>
              <w:fldChar w:fldCharType="end"/>
            </w:r>
          </w:hyperlink>
        </w:p>
        <w:p w14:paraId="73C9314C" w14:textId="453C0920" w:rsidR="00225613" w:rsidRPr="00A457F8" w:rsidRDefault="00225613">
          <w:pPr>
            <w:pStyle w:val="TOC2"/>
            <w:tabs>
              <w:tab w:val="right" w:leader="dot" w:pos="9016"/>
            </w:tabs>
            <w:rPr>
              <w:rFonts w:ascii="Arial" w:hAnsi="Arial" w:cs="Arial"/>
              <w:noProof/>
              <w:lang w:val="en-IN" w:eastAsia="en-IN"/>
            </w:rPr>
          </w:pPr>
          <w:hyperlink w:anchor="_Toc236070679" w:history="1">
            <w:r w:rsidRPr="00A457F8">
              <w:rPr>
                <w:rStyle w:val="Hyperlink"/>
                <w:rFonts w:ascii="Arial" w:eastAsia="Times New Roman" w:hAnsi="Arial" w:cs="Arial"/>
                <w:noProof/>
              </w:rPr>
              <w:t>Recommendation 4: Promote a Just Culture and Improve Patient Safety Culture</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_Toc236070679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16</w:t>
            </w:r>
            <w:r w:rsidRPr="00A457F8">
              <w:rPr>
                <w:rFonts w:ascii="Arial" w:hAnsi="Arial" w:cs="Arial"/>
                <w:noProof/>
                <w:webHidden/>
              </w:rPr>
              <w:fldChar w:fldCharType="end"/>
            </w:r>
          </w:hyperlink>
        </w:p>
        <w:p w14:paraId="08752C52" w14:textId="73AE35D5" w:rsidR="00225613" w:rsidRPr="00A457F8" w:rsidRDefault="00225613">
          <w:pPr>
            <w:pStyle w:val="TOC2"/>
            <w:tabs>
              <w:tab w:val="right" w:leader="dot" w:pos="9016"/>
            </w:tabs>
            <w:rPr>
              <w:rFonts w:ascii="Arial" w:hAnsi="Arial" w:cs="Arial"/>
              <w:noProof/>
              <w:lang w:val="en-IN" w:eastAsia="en-IN"/>
            </w:rPr>
          </w:pPr>
          <w:hyperlink w:anchor="_Toc236070680" w:history="1">
            <w:r w:rsidRPr="00A457F8">
              <w:rPr>
                <w:rStyle w:val="Hyperlink"/>
                <w:rFonts w:ascii="Arial" w:eastAsia="Times New Roman" w:hAnsi="Arial" w:cs="Arial"/>
                <w:noProof/>
              </w:rPr>
              <w:t>Recommendation 5: Implement Digital Quality Monitoring and Continuous Risk Surveillance</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_Toc236070680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17</w:t>
            </w:r>
            <w:r w:rsidRPr="00A457F8">
              <w:rPr>
                <w:rFonts w:ascii="Arial" w:hAnsi="Arial" w:cs="Arial"/>
                <w:noProof/>
                <w:webHidden/>
              </w:rPr>
              <w:fldChar w:fldCharType="end"/>
            </w:r>
          </w:hyperlink>
        </w:p>
        <w:p w14:paraId="1231F512" w14:textId="1FB273BA" w:rsidR="00225613" w:rsidRPr="00A457F8" w:rsidRDefault="00225613">
          <w:pPr>
            <w:pStyle w:val="TOC2"/>
            <w:tabs>
              <w:tab w:val="right" w:leader="dot" w:pos="9016"/>
            </w:tabs>
            <w:rPr>
              <w:rFonts w:ascii="Arial" w:hAnsi="Arial" w:cs="Arial"/>
              <w:noProof/>
              <w:lang w:val="en-IN" w:eastAsia="en-IN"/>
            </w:rPr>
          </w:pPr>
          <w:hyperlink w:anchor="_Toc236070681" w:history="1">
            <w:r w:rsidRPr="00A457F8">
              <w:rPr>
                <w:rStyle w:val="Hyperlink"/>
                <w:rFonts w:ascii="Arial" w:eastAsia="Times New Roman" w:hAnsi="Arial" w:cs="Arial"/>
                <w:noProof/>
              </w:rPr>
              <w:t>Recommendation 6: Adopt the Plan–Do–Study–Act (PDSA) Cycle for Continuous Quality Improvement</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_Toc236070681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17</w:t>
            </w:r>
            <w:r w:rsidRPr="00A457F8">
              <w:rPr>
                <w:rFonts w:ascii="Arial" w:hAnsi="Arial" w:cs="Arial"/>
                <w:noProof/>
                <w:webHidden/>
              </w:rPr>
              <w:fldChar w:fldCharType="end"/>
            </w:r>
          </w:hyperlink>
        </w:p>
        <w:p w14:paraId="21937E9F" w14:textId="6D9B904A" w:rsidR="00225613" w:rsidRPr="00A457F8" w:rsidRDefault="00225613">
          <w:pPr>
            <w:pStyle w:val="TOC1"/>
            <w:tabs>
              <w:tab w:val="right" w:leader="dot" w:pos="9016"/>
            </w:tabs>
            <w:rPr>
              <w:rFonts w:ascii="Arial" w:hAnsi="Arial" w:cs="Arial"/>
              <w:noProof/>
              <w:lang w:val="en-IN" w:eastAsia="en-IN"/>
            </w:rPr>
          </w:pPr>
          <w:hyperlink w:anchor="_Toc236070682" w:history="1">
            <w:r w:rsidRPr="00A457F8">
              <w:rPr>
                <w:rStyle w:val="Hyperlink"/>
                <w:rFonts w:ascii="Arial" w:eastAsia="Times New Roman" w:hAnsi="Arial" w:cs="Arial"/>
                <w:noProof/>
              </w:rPr>
              <w:t>4. Conclusion</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_Toc236070682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18</w:t>
            </w:r>
            <w:r w:rsidRPr="00A457F8">
              <w:rPr>
                <w:rFonts w:ascii="Arial" w:hAnsi="Arial" w:cs="Arial"/>
                <w:noProof/>
                <w:webHidden/>
              </w:rPr>
              <w:fldChar w:fldCharType="end"/>
            </w:r>
          </w:hyperlink>
        </w:p>
        <w:p w14:paraId="326D4D63" w14:textId="5A19BD81" w:rsidR="00225613" w:rsidRPr="00A457F8" w:rsidRDefault="00225613">
          <w:pPr>
            <w:pStyle w:val="TOC1"/>
            <w:tabs>
              <w:tab w:val="right" w:leader="dot" w:pos="9016"/>
            </w:tabs>
            <w:rPr>
              <w:rFonts w:ascii="Arial" w:hAnsi="Arial" w:cs="Arial"/>
              <w:noProof/>
              <w:lang w:val="en-IN" w:eastAsia="en-IN"/>
            </w:rPr>
          </w:pPr>
          <w:hyperlink w:anchor="_Toc236070683" w:history="1">
            <w:r w:rsidRPr="00A457F8">
              <w:rPr>
                <w:rStyle w:val="Hyperlink"/>
                <w:rFonts w:ascii="Arial" w:eastAsia="Times New Roman" w:hAnsi="Arial" w:cs="Arial"/>
                <w:noProof/>
              </w:rPr>
              <w:t>References</w:t>
            </w:r>
            <w:r w:rsidRPr="00A457F8">
              <w:rPr>
                <w:rFonts w:ascii="Arial" w:hAnsi="Arial" w:cs="Arial"/>
                <w:noProof/>
                <w:webHidden/>
              </w:rPr>
              <w:tab/>
            </w:r>
            <w:r w:rsidRPr="00A457F8">
              <w:rPr>
                <w:rFonts w:ascii="Arial" w:hAnsi="Arial" w:cs="Arial"/>
                <w:noProof/>
                <w:webHidden/>
              </w:rPr>
              <w:fldChar w:fldCharType="begin"/>
            </w:r>
            <w:r w:rsidRPr="00A457F8">
              <w:rPr>
                <w:rFonts w:ascii="Arial" w:hAnsi="Arial" w:cs="Arial"/>
                <w:noProof/>
                <w:webHidden/>
              </w:rPr>
              <w:instrText xml:space="preserve"> PAGEREF _Toc236070683 \h </w:instrText>
            </w:r>
            <w:r w:rsidRPr="00A457F8">
              <w:rPr>
                <w:rFonts w:ascii="Arial" w:hAnsi="Arial" w:cs="Arial"/>
                <w:noProof/>
                <w:webHidden/>
              </w:rPr>
            </w:r>
            <w:r w:rsidRPr="00A457F8">
              <w:rPr>
                <w:rFonts w:ascii="Arial" w:hAnsi="Arial" w:cs="Arial"/>
                <w:noProof/>
                <w:webHidden/>
              </w:rPr>
              <w:fldChar w:fldCharType="separate"/>
            </w:r>
            <w:r w:rsidRPr="00A457F8">
              <w:rPr>
                <w:rFonts w:ascii="Arial" w:hAnsi="Arial" w:cs="Arial"/>
                <w:noProof/>
                <w:webHidden/>
              </w:rPr>
              <w:t>19</w:t>
            </w:r>
            <w:r w:rsidRPr="00A457F8">
              <w:rPr>
                <w:rFonts w:ascii="Arial" w:hAnsi="Arial" w:cs="Arial"/>
                <w:noProof/>
                <w:webHidden/>
              </w:rPr>
              <w:fldChar w:fldCharType="end"/>
            </w:r>
          </w:hyperlink>
        </w:p>
        <w:p w14:paraId="45F09889" w14:textId="263EAE93" w:rsidR="002C2C73" w:rsidRPr="00A457F8" w:rsidRDefault="002C2C73">
          <w:pPr>
            <w:rPr>
              <w:rFonts w:ascii="Arial" w:hAnsi="Arial" w:cs="Arial"/>
            </w:rPr>
          </w:pPr>
          <w:r w:rsidRPr="00A457F8">
            <w:rPr>
              <w:rFonts w:ascii="Arial" w:hAnsi="Arial" w:cs="Arial"/>
              <w:b/>
              <w:bCs/>
              <w:noProof/>
            </w:rPr>
            <w:lastRenderedPageBreak/>
            <w:fldChar w:fldCharType="end"/>
          </w:r>
        </w:p>
      </w:sdtContent>
    </w:sdt>
    <w:p w14:paraId="358CA121" w14:textId="77777777" w:rsidR="002C2C73" w:rsidRPr="00A457F8" w:rsidRDefault="002C2C73" w:rsidP="002C2C73">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p>
    <w:p w14:paraId="36354488" w14:textId="1743D971" w:rsidR="00E03AE0" w:rsidRPr="00A457F8" w:rsidRDefault="00E03AE0" w:rsidP="00CD4A61">
      <w:pPr>
        <w:pStyle w:val="Heading1"/>
        <w:rPr>
          <w:rFonts w:ascii="Arial" w:eastAsia="Times New Roman" w:hAnsi="Arial" w:cs="Arial"/>
        </w:rPr>
      </w:pPr>
      <w:bookmarkStart w:id="28" w:name="_Toc236070658"/>
      <w:r w:rsidRPr="00A457F8">
        <w:rPr>
          <w:rFonts w:ascii="Arial" w:eastAsia="Times New Roman" w:hAnsi="Arial" w:cs="Arial"/>
        </w:rPr>
        <w:t>1. Introduction</w:t>
      </w:r>
      <w:bookmarkEnd w:id="28"/>
    </w:p>
    <w:p w14:paraId="3492E91A" w14:textId="70992405" w:rsidR="00E03AE0" w:rsidRPr="00A457F8" w:rsidRDefault="00E03AE0" w:rsidP="002C2C73">
      <w:pPr>
        <w:pStyle w:val="Heading2"/>
        <w:rPr>
          <w:rFonts w:ascii="Arial" w:hAnsi="Arial" w:cs="Arial"/>
        </w:rPr>
      </w:pPr>
      <w:bookmarkStart w:id="29" w:name="_Toc236070659"/>
      <w:r w:rsidRPr="00A457F8">
        <w:rPr>
          <w:rFonts w:ascii="Arial" w:eastAsia="Times New Roman" w:hAnsi="Arial" w:cs="Arial"/>
        </w:rPr>
        <w:t>1.</w:t>
      </w:r>
      <w:r w:rsidR="00CD4A61" w:rsidRPr="00A457F8">
        <w:rPr>
          <w:rFonts w:ascii="Arial" w:eastAsia="Times New Roman" w:hAnsi="Arial" w:cs="Arial"/>
        </w:rPr>
        <w:t>1</w:t>
      </w:r>
      <w:r w:rsidRPr="00A457F8">
        <w:rPr>
          <w:rFonts w:ascii="Arial" w:eastAsia="Times New Roman" w:hAnsi="Arial" w:cs="Arial"/>
        </w:rPr>
        <w:t xml:space="preserve"> Brief Description of the </w:t>
      </w:r>
      <w:proofErr w:type="spellStart"/>
      <w:r w:rsidRPr="00A457F8">
        <w:rPr>
          <w:rFonts w:ascii="Arial" w:eastAsia="Times New Roman" w:hAnsi="Arial" w:cs="Arial"/>
        </w:rPr>
        <w:t>RaDonda</w:t>
      </w:r>
      <w:proofErr w:type="spellEnd"/>
      <w:r w:rsidRPr="00A457F8">
        <w:rPr>
          <w:rFonts w:ascii="Arial" w:eastAsia="Times New Roman" w:hAnsi="Arial" w:cs="Arial"/>
        </w:rPr>
        <w:t xml:space="preserve"> Vaught Case</w:t>
      </w:r>
      <w:bookmarkEnd w:id="29"/>
    </w:p>
    <w:p w14:paraId="0305602B" w14:textId="77777777" w:rsidR="00E03AE0" w:rsidRPr="00A457F8" w:rsidRDefault="00E03AE0" w:rsidP="00E03AE0">
      <w:p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The </w:t>
      </w:r>
      <w:proofErr w:type="spellStart"/>
      <w:r w:rsidRPr="00A457F8">
        <w:rPr>
          <w:rFonts w:ascii="Arial" w:hAnsi="Arial" w:cs="Arial"/>
          <w:kern w:val="0"/>
          <w:sz w:val="22"/>
          <w:szCs w:val="22"/>
          <w14:ligatures w14:val="none"/>
        </w:rPr>
        <w:t>RaDonda</w:t>
      </w:r>
      <w:proofErr w:type="spellEnd"/>
      <w:r w:rsidRPr="00A457F8">
        <w:rPr>
          <w:rFonts w:ascii="Arial" w:hAnsi="Arial" w:cs="Arial"/>
          <w:kern w:val="0"/>
          <w:sz w:val="22"/>
          <w:szCs w:val="22"/>
          <w14:ligatures w14:val="none"/>
        </w:rPr>
        <w:t xml:space="preserve"> Vaught case is one of the most widely discussed patient safety incidents in modern healthcare because it raised important questions about medication safety, organisational accountability, and the balance between individual responsibility and system failure. In December 2017, </w:t>
      </w:r>
      <w:proofErr w:type="spellStart"/>
      <w:r w:rsidRPr="00A457F8">
        <w:rPr>
          <w:rFonts w:ascii="Arial" w:hAnsi="Arial" w:cs="Arial"/>
          <w:kern w:val="0"/>
          <w:sz w:val="22"/>
          <w:szCs w:val="22"/>
          <w14:ligatures w14:val="none"/>
        </w:rPr>
        <w:t>RaDonda</w:t>
      </w:r>
      <w:proofErr w:type="spellEnd"/>
      <w:r w:rsidRPr="00A457F8">
        <w:rPr>
          <w:rFonts w:ascii="Arial" w:hAnsi="Arial" w:cs="Arial"/>
          <w:kern w:val="0"/>
          <w:sz w:val="22"/>
          <w:szCs w:val="22"/>
          <w14:ligatures w14:val="none"/>
        </w:rPr>
        <w:t xml:space="preserve"> Vaught, a registered nurse at Vanderbilt University Medical </w:t>
      </w:r>
      <w:proofErr w:type="spellStart"/>
      <w:r w:rsidRPr="00A457F8">
        <w:rPr>
          <w:rFonts w:ascii="Arial" w:hAnsi="Arial" w:cs="Arial"/>
          <w:kern w:val="0"/>
          <w:sz w:val="22"/>
          <w:szCs w:val="22"/>
          <w14:ligatures w14:val="none"/>
        </w:rPr>
        <w:t>Center</w:t>
      </w:r>
      <w:proofErr w:type="spellEnd"/>
      <w:r w:rsidRPr="00A457F8">
        <w:rPr>
          <w:rFonts w:ascii="Arial" w:hAnsi="Arial" w:cs="Arial"/>
          <w:kern w:val="0"/>
          <w:sz w:val="22"/>
          <w:szCs w:val="22"/>
          <w14:ligatures w14:val="none"/>
        </w:rPr>
        <w:t xml:space="preserve"> in Tennessee, accidentally administered </w:t>
      </w:r>
      <w:r w:rsidRPr="00A457F8">
        <w:rPr>
          <w:rFonts w:ascii="Arial" w:hAnsi="Arial" w:cs="Arial"/>
          <w:b/>
          <w:kern w:val="0"/>
          <w:sz w:val="22"/>
          <w:szCs w:val="22"/>
          <w14:ligatures w14:val="none"/>
        </w:rPr>
        <w:t>vecuronium</w:t>
      </w:r>
      <w:r w:rsidRPr="00A457F8">
        <w:rPr>
          <w:rFonts w:ascii="Arial" w:hAnsi="Arial" w:cs="Arial"/>
          <w:kern w:val="0"/>
          <w:sz w:val="22"/>
          <w:szCs w:val="22"/>
          <w14:ligatures w14:val="none"/>
        </w:rPr>
        <w:t xml:space="preserve">, a powerful neuromuscular blocking agent, instead of the prescribed sedative </w:t>
      </w:r>
      <w:r w:rsidRPr="00A457F8">
        <w:rPr>
          <w:rFonts w:ascii="Arial" w:hAnsi="Arial" w:cs="Arial"/>
          <w:b/>
          <w:kern w:val="0"/>
          <w:sz w:val="22"/>
          <w:szCs w:val="22"/>
          <w14:ligatures w14:val="none"/>
        </w:rPr>
        <w:t>midazolam (Versed)</w:t>
      </w:r>
      <w:r w:rsidRPr="00A457F8">
        <w:rPr>
          <w:rFonts w:ascii="Arial" w:hAnsi="Arial" w:cs="Arial"/>
          <w:kern w:val="0"/>
          <w:sz w:val="22"/>
          <w:szCs w:val="22"/>
          <w14:ligatures w14:val="none"/>
        </w:rPr>
        <w:t xml:space="preserve"> to a 75-year-old patient, Charlene Murphey, who was undergoing a PET scan. The medication error resulted in respiratory arrest and subsequent death (</w:t>
      </w:r>
      <w:proofErr w:type="spellStart"/>
      <w:r w:rsidRPr="00A457F8">
        <w:rPr>
          <w:rFonts w:ascii="Arial" w:hAnsi="Arial" w:cs="Arial"/>
          <w:kern w:val="0"/>
          <w:sz w:val="22"/>
          <w:szCs w:val="22"/>
          <w14:ligatures w14:val="none"/>
        </w:rPr>
        <w:t>Centers</w:t>
      </w:r>
      <w:proofErr w:type="spellEnd"/>
      <w:r w:rsidRPr="00A457F8">
        <w:rPr>
          <w:rFonts w:ascii="Arial" w:hAnsi="Arial" w:cs="Arial"/>
          <w:kern w:val="0"/>
          <w:sz w:val="22"/>
          <w:szCs w:val="22"/>
          <w14:ligatures w14:val="none"/>
        </w:rPr>
        <w:t xml:space="preserve"> for Medicare &amp; Medicaid Services (CMS), 2019).</w:t>
      </w:r>
    </w:p>
    <w:p w14:paraId="0046FD4F" w14:textId="77777777" w:rsidR="00E03AE0" w:rsidRPr="00A457F8" w:rsidRDefault="00E03AE0" w:rsidP="00E03AE0">
      <w:p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Investigations identified several contributing factors, including the use of medication overrides within the automated dispensing cabinet, inadequate barcode medication administration processes, communication failures, workload pressures, insufficient safety checks, and weaknesses in organisational safety culture. Although Vaught accepted responsibility for her actions, the incident generated significant debate regarding whether the tragedy resulted primarily from individual negligence or from multiple latent failures within the healthcare system. In 2022, Vaught was convicted of criminally negligent homicide and gross neglect of an impaired adult, prompting widespread concern among healthcare professionals about the potential impact of criminal prosecution on error reporting and patient safety culture (Institute for Safe Medication Practices (ISMP), 2022).</w:t>
      </w:r>
    </w:p>
    <w:p w14:paraId="3E706F35" w14:textId="77777777" w:rsidR="00E03AE0" w:rsidRPr="00A457F8" w:rsidRDefault="00E03AE0" w:rsidP="00E03AE0">
      <w:p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Consequently, the </w:t>
      </w:r>
      <w:proofErr w:type="spellStart"/>
      <w:r w:rsidRPr="00A457F8">
        <w:rPr>
          <w:rFonts w:ascii="Arial" w:hAnsi="Arial" w:cs="Arial"/>
          <w:kern w:val="0"/>
          <w:sz w:val="22"/>
          <w:szCs w:val="22"/>
          <w14:ligatures w14:val="none"/>
        </w:rPr>
        <w:t>RaDonda</w:t>
      </w:r>
      <w:proofErr w:type="spellEnd"/>
      <w:r w:rsidRPr="00A457F8">
        <w:rPr>
          <w:rFonts w:ascii="Arial" w:hAnsi="Arial" w:cs="Arial"/>
          <w:kern w:val="0"/>
          <w:sz w:val="22"/>
          <w:szCs w:val="22"/>
          <w14:ligatures w14:val="none"/>
        </w:rPr>
        <w:t xml:space="preserve"> Vaught case has become an important example for examining quality assurance, systems thinking, human factors, and service improvement within healthcare organisations.</w:t>
      </w:r>
    </w:p>
    <w:p w14:paraId="6E148525" w14:textId="77777777" w:rsidR="00694B02" w:rsidRPr="00A457F8" w:rsidRDefault="00694B02" w:rsidP="002C2C73">
      <w:pPr>
        <w:pStyle w:val="Heading1"/>
        <w:rPr>
          <w:rFonts w:ascii="Arial" w:eastAsia="Times New Roman" w:hAnsi="Arial" w:cs="Arial"/>
        </w:rPr>
      </w:pPr>
      <w:bookmarkStart w:id="30" w:name="_Toc236070660"/>
      <w:r w:rsidRPr="00A457F8">
        <w:rPr>
          <w:rFonts w:ascii="Arial" w:eastAsia="Times New Roman" w:hAnsi="Arial" w:cs="Arial"/>
        </w:rPr>
        <w:t>2. Main Body</w:t>
      </w:r>
      <w:bookmarkEnd w:id="30"/>
    </w:p>
    <w:p w14:paraId="2444DF57" w14:textId="068FFFA7" w:rsidR="00694B02" w:rsidRPr="00A457F8" w:rsidRDefault="00694B02" w:rsidP="002C2C73">
      <w:pPr>
        <w:pStyle w:val="Heading2"/>
        <w:rPr>
          <w:rFonts w:ascii="Arial" w:eastAsia="Times New Roman" w:hAnsi="Arial" w:cs="Arial"/>
        </w:rPr>
      </w:pPr>
      <w:bookmarkStart w:id="31" w:name="_Toc236070661"/>
      <w:r w:rsidRPr="00A457F8">
        <w:rPr>
          <w:rFonts w:ascii="Arial" w:eastAsia="Times New Roman" w:hAnsi="Arial" w:cs="Arial"/>
        </w:rPr>
        <w:t xml:space="preserve">2.1 Case Study Analysis: The </w:t>
      </w:r>
      <w:proofErr w:type="spellStart"/>
      <w:r w:rsidRPr="00A457F8">
        <w:rPr>
          <w:rFonts w:ascii="Arial" w:eastAsia="Times New Roman" w:hAnsi="Arial" w:cs="Arial"/>
        </w:rPr>
        <w:t>RaDonda</w:t>
      </w:r>
      <w:proofErr w:type="spellEnd"/>
      <w:r w:rsidRPr="00A457F8">
        <w:rPr>
          <w:rFonts w:ascii="Arial" w:eastAsia="Times New Roman" w:hAnsi="Arial" w:cs="Arial"/>
        </w:rPr>
        <w:t xml:space="preserve"> Vaught Medication Error</w:t>
      </w:r>
      <w:bookmarkEnd w:id="31"/>
      <w:r w:rsidRPr="00A457F8">
        <w:rPr>
          <w:rFonts w:ascii="Arial" w:eastAsia="Times New Roman" w:hAnsi="Arial" w:cs="Arial"/>
        </w:rPr>
        <w:t xml:space="preserve"> </w:t>
      </w:r>
    </w:p>
    <w:p w14:paraId="757D4820" w14:textId="77777777" w:rsidR="00A41752" w:rsidRPr="00A457F8" w:rsidRDefault="00A41752">
      <w:pPr>
        <w:pStyle w:val="p1"/>
        <w:rPr>
          <w:rFonts w:ascii="Arial" w:hAnsi="Arial" w:cs="Arial"/>
        </w:rPr>
      </w:pPr>
      <w:r w:rsidRPr="00A457F8">
        <w:rPr>
          <w:rFonts w:ascii="Arial" w:hAnsi="Arial" w:cs="Arial"/>
        </w:rPr>
        <w:t xml:space="preserve">The </w:t>
      </w:r>
      <w:proofErr w:type="spellStart"/>
      <w:r w:rsidRPr="00A457F8">
        <w:rPr>
          <w:rFonts w:ascii="Arial" w:hAnsi="Arial" w:cs="Arial"/>
        </w:rPr>
        <w:t>RaDonda</w:t>
      </w:r>
      <w:proofErr w:type="spellEnd"/>
      <w:r w:rsidRPr="00A457F8">
        <w:rPr>
          <w:rFonts w:ascii="Arial" w:hAnsi="Arial" w:cs="Arial"/>
        </w:rPr>
        <w:t xml:space="preserve"> Vaught case is a significant patient safety incident demonstrating how human error combined with organisational and system failures can result in serious patient harm. In December 2017, registered nurse </w:t>
      </w:r>
      <w:proofErr w:type="spellStart"/>
      <w:r w:rsidRPr="00A457F8">
        <w:rPr>
          <w:rFonts w:ascii="Arial" w:hAnsi="Arial" w:cs="Arial"/>
        </w:rPr>
        <w:t>RaDonda</w:t>
      </w:r>
      <w:proofErr w:type="spellEnd"/>
      <w:r w:rsidRPr="00A457F8">
        <w:rPr>
          <w:rFonts w:ascii="Arial" w:hAnsi="Arial" w:cs="Arial"/>
        </w:rPr>
        <w:t xml:space="preserve"> Vaught accidentally administered vecuronium, a neuromuscular blocking agent, instead of the prescribed sedative midazolam to 75-year-old Charlene Murphey before a PET scan. The patient experienced respiratory arrest and subsequently died (CMS, 2019).</w:t>
      </w:r>
    </w:p>
    <w:p w14:paraId="6244F241" w14:textId="77777777" w:rsidR="00A41752" w:rsidRPr="00A457F8" w:rsidRDefault="00A41752">
      <w:pPr>
        <w:pStyle w:val="p1"/>
        <w:rPr>
          <w:rFonts w:ascii="Arial" w:hAnsi="Arial" w:cs="Arial"/>
        </w:rPr>
      </w:pPr>
      <w:r w:rsidRPr="00A457F8">
        <w:rPr>
          <w:rFonts w:ascii="Arial" w:hAnsi="Arial" w:cs="Arial"/>
        </w:rPr>
        <w:t xml:space="preserve">The error occurred after Vaught used the override function on the automated dispensing cabinet (ADC) because of delays in the electronic medication system. </w:t>
      </w:r>
      <w:r w:rsidRPr="00A457F8">
        <w:rPr>
          <w:rFonts w:ascii="Arial" w:hAnsi="Arial" w:cs="Arial"/>
        </w:rPr>
        <w:lastRenderedPageBreak/>
        <w:t>Barcode medication administration (BCMA), medication verification, and continuous patient monitoring were not completed, allowing multiple safety barriers to fail.</w:t>
      </w:r>
    </w:p>
    <w:p w14:paraId="0A0E8068" w14:textId="77777777" w:rsidR="00A41752" w:rsidRPr="00A457F8" w:rsidRDefault="00A41752">
      <w:pPr>
        <w:pStyle w:val="p1"/>
        <w:rPr>
          <w:rFonts w:ascii="Arial" w:hAnsi="Arial" w:cs="Arial"/>
        </w:rPr>
      </w:pPr>
      <w:r w:rsidRPr="00A457F8">
        <w:rPr>
          <w:rFonts w:ascii="Arial" w:hAnsi="Arial" w:cs="Arial"/>
        </w:rPr>
        <w:t xml:space="preserve">The incident highlighted organisational weaknesses including frequent use of ADC overrides, inadequate leadership oversight, poor clinical governance, and a culture in which unsafe workarounds had become normal practice (ISMP, 2022). Furthermore, Vanderbilt University Medical </w:t>
      </w:r>
      <w:proofErr w:type="spellStart"/>
      <w:r w:rsidRPr="00A457F8">
        <w:rPr>
          <w:rFonts w:ascii="Arial" w:hAnsi="Arial" w:cs="Arial"/>
        </w:rPr>
        <w:t>Center</w:t>
      </w:r>
      <w:proofErr w:type="spellEnd"/>
      <w:r w:rsidRPr="00A457F8">
        <w:rPr>
          <w:rFonts w:ascii="Arial" w:hAnsi="Arial" w:cs="Arial"/>
        </w:rPr>
        <w:t xml:space="preserve"> initially failed to disclose the medication error, limiting opportunities for organisational learning.</w:t>
      </w:r>
    </w:p>
    <w:p w14:paraId="6960D29F" w14:textId="77777777" w:rsidR="00A41752" w:rsidRPr="00A457F8" w:rsidRDefault="00A41752">
      <w:pPr>
        <w:pStyle w:val="p1"/>
        <w:rPr>
          <w:rFonts w:ascii="Arial" w:hAnsi="Arial" w:cs="Arial"/>
        </w:rPr>
      </w:pPr>
      <w:r w:rsidRPr="00A457F8">
        <w:rPr>
          <w:rFonts w:ascii="Arial" w:hAnsi="Arial" w:cs="Arial"/>
        </w:rPr>
        <w:t>The prosecution of Vaught generated widespread debate about balancing individual accountability with system responsibility. Patient safety experts argued that criminalising unintentional errors could discourage incident reporting and undermine a Just Culture, where organisations learn from errors rather than focusing solely on blame (Marx, 2001).</w:t>
      </w:r>
    </w:p>
    <w:p w14:paraId="427D0A7C" w14:textId="77777777" w:rsidR="00A41752" w:rsidRPr="00A457F8" w:rsidRDefault="00A41752">
      <w:pPr>
        <w:pStyle w:val="p2"/>
        <w:rPr>
          <w:rFonts w:ascii="Arial" w:hAnsi="Arial" w:cs="Arial"/>
        </w:rPr>
      </w:pPr>
      <w:r w:rsidRPr="00A457F8">
        <w:rPr>
          <w:rFonts w:ascii="Arial" w:hAnsi="Arial" w:cs="Arial"/>
        </w:rPr>
        <w:t>Overall, the case demonstrates that patient safety depends upon effective technology, leadership, governance, and organisational learning rather than individual performance alone.</w:t>
      </w:r>
    </w:p>
    <w:p w14:paraId="40DD5A8B" w14:textId="77777777" w:rsidR="001E44A3" w:rsidRPr="00A457F8" w:rsidRDefault="001E44A3" w:rsidP="001E44A3">
      <w:pPr>
        <w:rPr>
          <w:rFonts w:ascii="Arial" w:hAnsi="Arial" w:cs="Arial"/>
        </w:rPr>
      </w:pPr>
    </w:p>
    <w:p w14:paraId="382661D9" w14:textId="7EC73CC6" w:rsidR="00A14E8A" w:rsidRPr="00A457F8" w:rsidRDefault="00A14E8A" w:rsidP="002C2C73">
      <w:pPr>
        <w:pStyle w:val="Heading2"/>
        <w:rPr>
          <w:rFonts w:ascii="Arial" w:eastAsia="Times New Roman" w:hAnsi="Arial" w:cs="Arial"/>
        </w:rPr>
      </w:pPr>
      <w:bookmarkStart w:id="32" w:name="_Toc236070662"/>
      <w:r w:rsidRPr="00A457F8">
        <w:rPr>
          <w:rFonts w:ascii="Arial" w:eastAsia="Times New Roman" w:hAnsi="Arial" w:cs="Arial"/>
        </w:rPr>
        <w:t xml:space="preserve">2.2 Application of the </w:t>
      </w:r>
      <w:r w:rsidR="00BC29C8" w:rsidRPr="00A457F8">
        <w:rPr>
          <w:rFonts w:ascii="Arial" w:eastAsia="Times New Roman" w:hAnsi="Arial" w:cs="Arial"/>
        </w:rPr>
        <w:t>Donabedian</w:t>
      </w:r>
      <w:r w:rsidRPr="00A457F8">
        <w:rPr>
          <w:rFonts w:ascii="Arial" w:eastAsia="Times New Roman" w:hAnsi="Arial" w:cs="Arial"/>
        </w:rPr>
        <w:t xml:space="preserve"> Model</w:t>
      </w:r>
      <w:bookmarkEnd w:id="32"/>
      <w:r w:rsidRPr="00A457F8">
        <w:rPr>
          <w:rFonts w:ascii="Arial" w:eastAsia="Times New Roman" w:hAnsi="Arial" w:cs="Arial"/>
        </w:rPr>
        <w:t xml:space="preserve"> </w:t>
      </w:r>
    </w:p>
    <w:p w14:paraId="1F32BF16" w14:textId="77777777" w:rsidR="002C4D55" w:rsidRPr="00A457F8" w:rsidRDefault="002C4D55" w:rsidP="002C4D55">
      <w:pPr>
        <w:spacing w:before="100" w:beforeAutospacing="1" w:after="100" w:afterAutospacing="1" w:line="240" w:lineRule="auto"/>
        <w:rPr>
          <w:rFonts w:ascii="Arial" w:hAnsi="Arial" w:cs="Arial"/>
          <w:kern w:val="0"/>
          <w14:ligatures w14:val="none"/>
        </w:rPr>
      </w:pPr>
      <w:r w:rsidRPr="00A457F8">
        <w:rPr>
          <w:rFonts w:ascii="Arial" w:hAnsi="Arial" w:cs="Arial"/>
          <w:kern w:val="0"/>
          <w14:ligatures w14:val="none"/>
        </w:rPr>
        <w:t xml:space="preserve">The Donabedian Model evaluates healthcare quality through </w:t>
      </w:r>
      <w:r w:rsidRPr="00A457F8">
        <w:rPr>
          <w:rFonts w:ascii="Arial" w:hAnsi="Arial" w:cs="Arial"/>
          <w:b/>
          <w:bCs/>
          <w:kern w:val="0"/>
          <w14:ligatures w14:val="none"/>
        </w:rPr>
        <w:t>Structure, Process and Outcomes</w:t>
      </w:r>
      <w:r w:rsidRPr="00A457F8">
        <w:rPr>
          <w:rFonts w:ascii="Arial" w:hAnsi="Arial" w:cs="Arial"/>
          <w:kern w:val="0"/>
          <w14:ligatures w14:val="none"/>
        </w:rPr>
        <w:t xml:space="preserve"> (Donabedian, 1988).</w:t>
      </w:r>
    </w:p>
    <w:p w14:paraId="78D96756" w14:textId="77777777" w:rsidR="002C4D55" w:rsidRPr="00A457F8" w:rsidRDefault="002C4D55" w:rsidP="002C4D55">
      <w:pPr>
        <w:spacing w:before="100" w:beforeAutospacing="1" w:after="100" w:afterAutospacing="1" w:line="240" w:lineRule="auto"/>
        <w:outlineLvl w:val="2"/>
        <w:rPr>
          <w:rFonts w:ascii="Arial" w:eastAsia="Times New Roman" w:hAnsi="Arial" w:cs="Arial"/>
          <w:b/>
          <w:bCs/>
          <w:kern w:val="0"/>
          <w:sz w:val="27"/>
          <w:szCs w:val="27"/>
          <w14:ligatures w14:val="none"/>
        </w:rPr>
      </w:pPr>
      <w:r w:rsidRPr="00A457F8">
        <w:rPr>
          <w:rFonts w:ascii="Arial" w:eastAsia="Times New Roman" w:hAnsi="Arial" w:cs="Arial"/>
          <w:b/>
          <w:bCs/>
          <w:kern w:val="0"/>
          <w:sz w:val="27"/>
          <w:szCs w:val="27"/>
          <w14:ligatures w14:val="none"/>
        </w:rPr>
        <w:t>Structure</w:t>
      </w:r>
    </w:p>
    <w:p w14:paraId="475E3EDC" w14:textId="77777777" w:rsidR="002C4D55" w:rsidRPr="00A457F8" w:rsidRDefault="002C4D55" w:rsidP="002C4D55">
      <w:pPr>
        <w:spacing w:before="100" w:beforeAutospacing="1" w:after="100" w:afterAutospacing="1" w:line="240" w:lineRule="auto"/>
        <w:rPr>
          <w:rFonts w:ascii="Arial" w:hAnsi="Arial" w:cs="Arial"/>
          <w:kern w:val="0"/>
          <w14:ligatures w14:val="none"/>
        </w:rPr>
      </w:pPr>
      <w:r w:rsidRPr="00A457F8">
        <w:rPr>
          <w:rFonts w:ascii="Arial" w:hAnsi="Arial" w:cs="Arial"/>
          <w:kern w:val="0"/>
          <w14:ligatures w14:val="none"/>
        </w:rPr>
        <w:t xml:space="preserve">Vanderbilt University Medical </w:t>
      </w:r>
      <w:proofErr w:type="spellStart"/>
      <w:r w:rsidRPr="00A457F8">
        <w:rPr>
          <w:rFonts w:ascii="Arial" w:hAnsi="Arial" w:cs="Arial"/>
          <w:kern w:val="0"/>
          <w14:ligatures w14:val="none"/>
        </w:rPr>
        <w:t>Center</w:t>
      </w:r>
      <w:proofErr w:type="spellEnd"/>
      <w:r w:rsidRPr="00A457F8">
        <w:rPr>
          <w:rFonts w:ascii="Arial" w:hAnsi="Arial" w:cs="Arial"/>
          <w:kern w:val="0"/>
          <w14:ligatures w14:val="none"/>
        </w:rPr>
        <w:t xml:space="preserve"> possessed medication safety systems including electronic health records (EHRs), automated dispensing cabinets and barcode medication administration. However, frequent system failures resulted in routine use of ADC overrides, while leadership failed to monitor these unsafe practices effectively.</w:t>
      </w:r>
    </w:p>
    <w:p w14:paraId="059E5811" w14:textId="77777777" w:rsidR="002C4D55" w:rsidRPr="00A457F8" w:rsidRDefault="002C4D55" w:rsidP="002C4D55">
      <w:pPr>
        <w:spacing w:before="100" w:beforeAutospacing="1" w:after="100" w:afterAutospacing="1" w:line="240" w:lineRule="auto"/>
        <w:outlineLvl w:val="2"/>
        <w:rPr>
          <w:rFonts w:ascii="Arial" w:eastAsia="Times New Roman" w:hAnsi="Arial" w:cs="Arial"/>
          <w:b/>
          <w:bCs/>
          <w:kern w:val="0"/>
          <w:sz w:val="27"/>
          <w:szCs w:val="27"/>
          <w14:ligatures w14:val="none"/>
        </w:rPr>
      </w:pPr>
      <w:r w:rsidRPr="00A457F8">
        <w:rPr>
          <w:rFonts w:ascii="Arial" w:eastAsia="Times New Roman" w:hAnsi="Arial" w:cs="Arial"/>
          <w:b/>
          <w:bCs/>
          <w:kern w:val="0"/>
          <w:sz w:val="27"/>
          <w:szCs w:val="27"/>
          <w14:ligatures w14:val="none"/>
        </w:rPr>
        <w:t>Process</w:t>
      </w:r>
    </w:p>
    <w:p w14:paraId="26A524FF" w14:textId="77777777" w:rsidR="002C4D55" w:rsidRPr="00A457F8" w:rsidRDefault="002C4D55" w:rsidP="002C4D55">
      <w:pPr>
        <w:spacing w:before="100" w:beforeAutospacing="1" w:after="100" w:afterAutospacing="1" w:line="240" w:lineRule="auto"/>
        <w:rPr>
          <w:rFonts w:ascii="Arial" w:hAnsi="Arial" w:cs="Arial"/>
          <w:kern w:val="0"/>
          <w14:ligatures w14:val="none"/>
        </w:rPr>
      </w:pPr>
      <w:r w:rsidRPr="00A457F8">
        <w:rPr>
          <w:rFonts w:ascii="Arial" w:hAnsi="Arial" w:cs="Arial"/>
          <w:kern w:val="0"/>
          <w14:ligatures w14:val="none"/>
        </w:rPr>
        <w:t>Several medication safety procedures were not followed. The incorrect medication was selected, barcode scanning was bypassed, medication verification was incomplete and the patient was not adequately monitored. These failures represented significant deviations from accepted medication safety standards (AHRQ, 2022).</w:t>
      </w:r>
    </w:p>
    <w:p w14:paraId="2889138B" w14:textId="77777777" w:rsidR="002C4D55" w:rsidRPr="00A457F8" w:rsidRDefault="002C4D55" w:rsidP="002C4D55">
      <w:pPr>
        <w:spacing w:before="100" w:beforeAutospacing="1" w:after="100" w:afterAutospacing="1" w:line="240" w:lineRule="auto"/>
        <w:outlineLvl w:val="2"/>
        <w:rPr>
          <w:rFonts w:ascii="Arial" w:eastAsia="Times New Roman" w:hAnsi="Arial" w:cs="Arial"/>
          <w:b/>
          <w:bCs/>
          <w:kern w:val="0"/>
          <w:sz w:val="27"/>
          <w:szCs w:val="27"/>
          <w14:ligatures w14:val="none"/>
        </w:rPr>
      </w:pPr>
      <w:r w:rsidRPr="00A457F8">
        <w:rPr>
          <w:rFonts w:ascii="Arial" w:eastAsia="Times New Roman" w:hAnsi="Arial" w:cs="Arial"/>
          <w:b/>
          <w:bCs/>
          <w:kern w:val="0"/>
          <w:sz w:val="27"/>
          <w:szCs w:val="27"/>
          <w14:ligatures w14:val="none"/>
        </w:rPr>
        <w:t>Outcomes</w:t>
      </w:r>
    </w:p>
    <w:p w14:paraId="2DBF8B39" w14:textId="77777777" w:rsidR="002C4D55" w:rsidRPr="00A457F8" w:rsidRDefault="002C4D55" w:rsidP="002C4D55">
      <w:pPr>
        <w:spacing w:before="100" w:beforeAutospacing="1" w:after="100" w:afterAutospacing="1" w:line="240" w:lineRule="auto"/>
        <w:rPr>
          <w:rFonts w:ascii="Arial" w:hAnsi="Arial" w:cs="Arial"/>
          <w:kern w:val="0"/>
          <w14:ligatures w14:val="none"/>
        </w:rPr>
      </w:pPr>
      <w:r w:rsidRPr="00A457F8">
        <w:rPr>
          <w:rFonts w:ascii="Arial" w:hAnsi="Arial" w:cs="Arial"/>
          <w:kern w:val="0"/>
          <w14:ligatures w14:val="none"/>
        </w:rPr>
        <w:t>The outcome was the preventable death of Charlene Murphey, psychological distress among staff, criminal prosecution of the nurse, reputational damage to the organisation and reduced public confidence in healthcare. The case also prompted international discussion regarding medication safety and Just Culture.</w:t>
      </w:r>
    </w:p>
    <w:p w14:paraId="284CC760" w14:textId="77777777" w:rsidR="002C4D55" w:rsidRPr="00A457F8" w:rsidRDefault="002C4D55" w:rsidP="002C4D55">
      <w:pPr>
        <w:spacing w:before="100" w:beforeAutospacing="1" w:after="100" w:afterAutospacing="1" w:line="240" w:lineRule="auto"/>
        <w:rPr>
          <w:rFonts w:ascii="Arial" w:hAnsi="Arial" w:cs="Arial"/>
          <w:kern w:val="0"/>
          <w14:ligatures w14:val="none"/>
        </w:rPr>
      </w:pPr>
      <w:r w:rsidRPr="00A457F8">
        <w:rPr>
          <w:rFonts w:ascii="Arial" w:hAnsi="Arial" w:cs="Arial"/>
          <w:b/>
          <w:bCs/>
          <w:kern w:val="0"/>
          <w14:ligatures w14:val="none"/>
        </w:rPr>
        <w:lastRenderedPageBreak/>
        <w:t>Critical evaluation</w:t>
      </w:r>
    </w:p>
    <w:p w14:paraId="24897429" w14:textId="77777777" w:rsidR="002C4D55" w:rsidRPr="00A457F8" w:rsidRDefault="002C4D55" w:rsidP="002C4D55">
      <w:pPr>
        <w:spacing w:before="100" w:beforeAutospacing="1" w:after="100" w:afterAutospacing="1" w:line="240" w:lineRule="auto"/>
        <w:rPr>
          <w:rFonts w:ascii="Arial" w:hAnsi="Arial" w:cs="Arial"/>
          <w:kern w:val="0"/>
          <w14:ligatures w14:val="none"/>
        </w:rPr>
      </w:pPr>
      <w:r w:rsidRPr="00A457F8">
        <w:rPr>
          <w:rFonts w:ascii="Arial" w:hAnsi="Arial" w:cs="Arial"/>
          <w:kern w:val="0"/>
          <w14:ligatures w14:val="none"/>
        </w:rPr>
        <w:t>The Donabedian Model effectively links organisational resources with clinical practice and patient outcomes. However, it assumes a linear relationship between these elements and gives limited attention to organisational culture and human factors influencing healthcare quality.</w:t>
      </w:r>
    </w:p>
    <w:p w14:paraId="14737A5D" w14:textId="77777777" w:rsidR="00E3047B" w:rsidRPr="00A457F8" w:rsidRDefault="00E3047B" w:rsidP="00E3047B">
      <w:pPr>
        <w:rPr>
          <w:rFonts w:ascii="Arial" w:hAnsi="Arial" w:cs="Arial"/>
        </w:rPr>
      </w:pPr>
    </w:p>
    <w:p w14:paraId="432CE4D6" w14:textId="7975BB32" w:rsidR="006F3649" w:rsidRPr="00A457F8" w:rsidRDefault="00B5455B" w:rsidP="00B5455B">
      <w:pPr>
        <w:jc w:val="center"/>
        <w:rPr>
          <w:rFonts w:ascii="Arial" w:hAnsi="Arial" w:cs="Arial"/>
        </w:rPr>
      </w:pPr>
      <w:r w:rsidRPr="00A457F8">
        <w:rPr>
          <w:rFonts w:ascii="Arial" w:hAnsi="Arial" w:cs="Arial"/>
          <w:noProof/>
        </w:rPr>
        <w:drawing>
          <wp:inline distT="0" distB="0" distL="0" distR="0" wp14:anchorId="349B55EA" wp14:editId="1F49FEA4">
            <wp:extent cx="3840480" cy="1682816"/>
            <wp:effectExtent l="0" t="0" r="7620" b="0"/>
            <wp:docPr id="53169274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692741" name="Picture 531692741"/>
                    <pic:cNvPicPr/>
                  </pic:nvPicPr>
                  <pic:blipFill>
                    <a:blip r:embed="rId6">
                      <a:extLst>
                        <a:ext uri="{28A0092B-C50C-407E-A947-70E740481C1C}">
                          <a14:useLocalDpi xmlns:a14="http://schemas.microsoft.com/office/drawing/2010/main" val="0"/>
                        </a:ext>
                      </a:extLst>
                    </a:blip>
                    <a:stretch>
                      <a:fillRect/>
                    </a:stretch>
                  </pic:blipFill>
                  <pic:spPr>
                    <a:xfrm>
                      <a:off x="0" y="0"/>
                      <a:ext cx="3848274" cy="1686231"/>
                    </a:xfrm>
                    <a:prstGeom prst="rect">
                      <a:avLst/>
                    </a:prstGeom>
                  </pic:spPr>
                </pic:pic>
              </a:graphicData>
            </a:graphic>
          </wp:inline>
        </w:drawing>
      </w:r>
    </w:p>
    <w:p w14:paraId="79939776" w14:textId="32C7E75C" w:rsidR="00F14F31" w:rsidRPr="00A457F8" w:rsidRDefault="00F14F31" w:rsidP="002C2C73">
      <w:pPr>
        <w:pStyle w:val="Heading2"/>
        <w:rPr>
          <w:rFonts w:ascii="Arial" w:eastAsia="Times New Roman" w:hAnsi="Arial" w:cs="Arial"/>
        </w:rPr>
      </w:pPr>
      <w:bookmarkStart w:id="33" w:name="_Toc236070664"/>
      <w:r w:rsidRPr="00A457F8">
        <w:rPr>
          <w:rFonts w:ascii="Arial" w:eastAsia="Times New Roman" w:hAnsi="Arial" w:cs="Arial"/>
        </w:rPr>
        <w:t>2.3 Fishbone Diagram Analysis</w:t>
      </w:r>
      <w:bookmarkEnd w:id="33"/>
      <w:r w:rsidRPr="00A457F8">
        <w:rPr>
          <w:rFonts w:ascii="Arial" w:eastAsia="Times New Roman" w:hAnsi="Arial" w:cs="Arial"/>
        </w:rPr>
        <w:t xml:space="preserve"> </w:t>
      </w:r>
    </w:p>
    <w:p w14:paraId="1DDB1719" w14:textId="77777777" w:rsidR="000606B9" w:rsidRPr="00A457F8" w:rsidRDefault="000606B9">
      <w:pPr>
        <w:pStyle w:val="p1"/>
        <w:rPr>
          <w:rFonts w:ascii="Arial" w:hAnsi="Arial" w:cs="Arial"/>
        </w:rPr>
      </w:pPr>
      <w:r w:rsidRPr="00A457F8">
        <w:rPr>
          <w:rFonts w:ascii="Arial" w:hAnsi="Arial" w:cs="Arial"/>
        </w:rPr>
        <w:t>The Fishbone Diagram identifies multiple causes contributing to adverse events (Ishikawa, 1986).</w:t>
      </w:r>
    </w:p>
    <w:p w14:paraId="05DAF7CC" w14:textId="77777777" w:rsidR="003B7DCC" w:rsidRPr="00A457F8" w:rsidRDefault="003B7DCC" w:rsidP="003B7DCC">
      <w:pPr>
        <w:rPr>
          <w:rFonts w:ascii="Arial" w:hAnsi="Arial" w:cs="Arial"/>
        </w:rPr>
      </w:pPr>
    </w:p>
    <w:p w14:paraId="36CA40D7" w14:textId="410B839F" w:rsidR="00B5455B" w:rsidRPr="00A457F8" w:rsidRDefault="00B5455B" w:rsidP="00B5455B">
      <w:pPr>
        <w:spacing w:before="100" w:beforeAutospacing="1" w:after="100" w:afterAutospacing="1" w:line="240" w:lineRule="auto"/>
        <w:jc w:val="center"/>
        <w:rPr>
          <w:rFonts w:ascii="Arial" w:hAnsi="Arial" w:cs="Arial"/>
          <w:kern w:val="0"/>
          <w:sz w:val="22"/>
          <w:szCs w:val="22"/>
          <w14:ligatures w14:val="none"/>
        </w:rPr>
      </w:pPr>
      <w:r w:rsidRPr="00A457F8">
        <w:rPr>
          <w:rFonts w:ascii="Arial" w:hAnsi="Arial" w:cs="Arial"/>
          <w:noProof/>
          <w:kern w:val="0"/>
          <w:sz w:val="22"/>
          <w:szCs w:val="22"/>
        </w:rPr>
        <w:drawing>
          <wp:inline distT="0" distB="0" distL="0" distR="0" wp14:anchorId="71C53EC1" wp14:editId="7B8C86F4">
            <wp:extent cx="4500438" cy="1714215"/>
            <wp:effectExtent l="0" t="0" r="0" b="635"/>
            <wp:docPr id="141883943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839437" name="Picture 1418839437"/>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19476" cy="1721466"/>
                    </a:xfrm>
                    <a:prstGeom prst="rect">
                      <a:avLst/>
                    </a:prstGeom>
                  </pic:spPr>
                </pic:pic>
              </a:graphicData>
            </a:graphic>
          </wp:inline>
        </w:drawing>
      </w:r>
    </w:p>
    <w:p w14:paraId="12842212" w14:textId="77777777" w:rsidR="006B2676" w:rsidRPr="00A457F8" w:rsidRDefault="006B2676" w:rsidP="00F14F31">
      <w:pPr>
        <w:spacing w:before="100" w:beforeAutospacing="1" w:after="100" w:afterAutospacing="1" w:line="240" w:lineRule="auto"/>
        <w:rPr>
          <w:rFonts w:ascii="Arial" w:hAnsi="Arial" w:cs="Arial"/>
          <w:kern w:val="0"/>
          <w:sz w:val="22"/>
          <w:szCs w:val="22"/>
          <w14:ligatures w14:val="none"/>
        </w:rPr>
      </w:pPr>
    </w:p>
    <w:p w14:paraId="2E29450C" w14:textId="77777777" w:rsidR="006B2676" w:rsidRPr="00A457F8" w:rsidRDefault="006B2676" w:rsidP="00F14F31">
      <w:pPr>
        <w:spacing w:before="100" w:beforeAutospacing="1" w:after="100" w:afterAutospacing="1" w:line="240" w:lineRule="auto"/>
        <w:rPr>
          <w:rFonts w:ascii="Arial" w:hAnsi="Arial" w:cs="Arial"/>
          <w:kern w:val="0"/>
          <w:sz w:val="22"/>
          <w:szCs w:val="22"/>
          <w14:ligatures w14:val="none"/>
        </w:rPr>
      </w:pPr>
    </w:p>
    <w:p w14:paraId="4D0CB514" w14:textId="77777777" w:rsidR="006B2676" w:rsidRPr="00A457F8" w:rsidRDefault="006B2676" w:rsidP="00F14F31">
      <w:pPr>
        <w:spacing w:before="100" w:beforeAutospacing="1" w:after="100" w:afterAutospacing="1" w:line="240" w:lineRule="auto"/>
        <w:rPr>
          <w:rFonts w:ascii="Arial" w:hAnsi="Arial" w:cs="Arial"/>
          <w:kern w:val="0"/>
          <w:sz w:val="22"/>
          <w:szCs w:val="22"/>
          <w14:ligatures w14:val="none"/>
        </w:rPr>
      </w:pPr>
    </w:p>
    <w:tbl>
      <w:tblPr>
        <w:tblStyle w:val="GridTable1Light-Accent1"/>
        <w:tblW w:w="4793" w:type="pct"/>
        <w:tblLook w:val="04A0" w:firstRow="1" w:lastRow="0" w:firstColumn="1" w:lastColumn="0" w:noHBand="0" w:noVBand="1"/>
      </w:tblPr>
      <w:tblGrid>
        <w:gridCol w:w="1052"/>
        <w:gridCol w:w="7964"/>
      </w:tblGrid>
      <w:tr w:rsidR="00BF7DC2" w:rsidRPr="00A457F8" w14:paraId="1C8C2748" w14:textId="77777777" w:rsidTr="006B26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603E1EB0" w14:textId="77777777" w:rsidR="00BF7DC2" w:rsidRPr="00A457F8" w:rsidRDefault="00BF7DC2" w:rsidP="00BF7DC2">
            <w:pPr>
              <w:spacing w:before="100" w:beforeAutospacing="1" w:after="100" w:afterAutospacing="1"/>
              <w:jc w:val="center"/>
              <w:rPr>
                <w:rFonts w:ascii="Arial" w:hAnsi="Arial" w:cs="Arial"/>
                <w:b w:val="0"/>
                <w:kern w:val="0"/>
                <w:sz w:val="22"/>
                <w:szCs w:val="22"/>
                <w14:ligatures w14:val="none"/>
              </w:rPr>
            </w:pPr>
            <w:r w:rsidRPr="00A457F8">
              <w:rPr>
                <w:rFonts w:ascii="Arial" w:hAnsi="Arial" w:cs="Arial"/>
                <w:kern w:val="0"/>
                <w:sz w:val="22"/>
                <w:szCs w:val="22"/>
                <w14:ligatures w14:val="none"/>
              </w:rPr>
              <w:t>Category</w:t>
            </w:r>
          </w:p>
        </w:tc>
        <w:tc>
          <w:tcPr>
            <w:tcW w:w="4391" w:type="pct"/>
            <w:noWrap/>
            <w:hideMark/>
          </w:tcPr>
          <w:p w14:paraId="4A2C3222" w14:textId="77777777" w:rsidR="00BF7DC2" w:rsidRPr="00A457F8" w:rsidRDefault="00BF7DC2" w:rsidP="00BF7DC2">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b w:val="0"/>
                <w:kern w:val="0"/>
                <w:sz w:val="22"/>
                <w:szCs w:val="22"/>
                <w14:ligatures w14:val="none"/>
              </w:rPr>
            </w:pPr>
            <w:r w:rsidRPr="00A457F8">
              <w:rPr>
                <w:rFonts w:ascii="Arial" w:hAnsi="Arial" w:cs="Arial"/>
                <w:kern w:val="0"/>
                <w:sz w:val="22"/>
                <w:szCs w:val="22"/>
                <w14:ligatures w14:val="none"/>
              </w:rPr>
              <w:t>Critical Causes Identified</w:t>
            </w:r>
          </w:p>
        </w:tc>
      </w:tr>
      <w:tr w:rsidR="00BF7DC2" w:rsidRPr="00A457F8" w14:paraId="4B716E91" w14:textId="77777777" w:rsidTr="006B2676">
        <w:tc>
          <w:tcPr>
            <w:cnfStyle w:val="001000000000" w:firstRow="0" w:lastRow="0" w:firstColumn="1" w:lastColumn="0" w:oddVBand="0" w:evenVBand="0" w:oddHBand="0" w:evenHBand="0" w:firstRowFirstColumn="0" w:firstRowLastColumn="0" w:lastRowFirstColumn="0" w:lastRowLastColumn="0"/>
            <w:tcW w:w="0" w:type="auto"/>
            <w:noWrap/>
            <w:hideMark/>
          </w:tcPr>
          <w:p w14:paraId="47CBC255" w14:textId="77777777" w:rsidR="00BF7DC2" w:rsidRPr="00A457F8" w:rsidRDefault="00BF7DC2" w:rsidP="00BF7DC2">
            <w:pPr>
              <w:spacing w:before="100" w:beforeAutospacing="1" w:after="100" w:afterAutospacing="1"/>
              <w:rPr>
                <w:rFonts w:ascii="Arial" w:hAnsi="Arial" w:cs="Arial"/>
                <w:kern w:val="0"/>
                <w:sz w:val="22"/>
                <w:szCs w:val="22"/>
                <w14:ligatures w14:val="none"/>
              </w:rPr>
            </w:pPr>
            <w:r w:rsidRPr="00A457F8">
              <w:rPr>
                <w:rFonts w:ascii="Arial" w:hAnsi="Arial" w:cs="Arial"/>
                <w:kern w:val="0"/>
                <w:sz w:val="22"/>
                <w:szCs w:val="22"/>
                <w14:ligatures w14:val="none"/>
              </w:rPr>
              <w:t>People</w:t>
            </w:r>
          </w:p>
        </w:tc>
        <w:tc>
          <w:tcPr>
            <w:tcW w:w="4391" w:type="pct"/>
            <w:noWrap/>
            <w:hideMark/>
          </w:tcPr>
          <w:p w14:paraId="6EEB1429" w14:textId="77777777" w:rsidR="00BF7DC2" w:rsidRPr="00A457F8" w:rsidRDefault="00BF7DC2" w:rsidP="00BF7DC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A457F8">
              <w:rPr>
                <w:rFonts w:ascii="Arial" w:hAnsi="Arial" w:cs="Arial"/>
                <w:kern w:val="0"/>
                <w:sz w:val="22"/>
                <w:szCs w:val="22"/>
                <w14:ligatures w14:val="none"/>
              </w:rPr>
              <w:t>Human error, confirmation bias, distraction during medication preparation, failure to verify medication, inadequate adherence to the Five Rights of medication administration, and insufficient supervision.</w:t>
            </w:r>
          </w:p>
        </w:tc>
      </w:tr>
      <w:tr w:rsidR="00BF7DC2" w:rsidRPr="00A457F8" w14:paraId="25DDAFE4" w14:textId="77777777" w:rsidTr="006B2676">
        <w:tc>
          <w:tcPr>
            <w:cnfStyle w:val="001000000000" w:firstRow="0" w:lastRow="0" w:firstColumn="1" w:lastColumn="0" w:oddVBand="0" w:evenVBand="0" w:oddHBand="0" w:evenHBand="0" w:firstRowFirstColumn="0" w:firstRowLastColumn="0" w:lastRowFirstColumn="0" w:lastRowLastColumn="0"/>
            <w:tcW w:w="0" w:type="auto"/>
            <w:noWrap/>
            <w:hideMark/>
          </w:tcPr>
          <w:p w14:paraId="59AB8C50" w14:textId="77777777" w:rsidR="00BF7DC2" w:rsidRPr="00A457F8" w:rsidRDefault="00BF7DC2" w:rsidP="00BF7DC2">
            <w:pPr>
              <w:spacing w:before="100" w:beforeAutospacing="1" w:after="100" w:afterAutospacing="1"/>
              <w:rPr>
                <w:rFonts w:ascii="Arial" w:hAnsi="Arial" w:cs="Arial"/>
                <w:kern w:val="0"/>
                <w:sz w:val="22"/>
                <w:szCs w:val="22"/>
                <w14:ligatures w14:val="none"/>
              </w:rPr>
            </w:pPr>
            <w:r w:rsidRPr="00A457F8">
              <w:rPr>
                <w:rFonts w:ascii="Arial" w:hAnsi="Arial" w:cs="Arial"/>
                <w:kern w:val="0"/>
                <w:sz w:val="22"/>
                <w:szCs w:val="22"/>
                <w14:ligatures w14:val="none"/>
              </w:rPr>
              <w:t>Methods</w:t>
            </w:r>
          </w:p>
        </w:tc>
        <w:tc>
          <w:tcPr>
            <w:tcW w:w="4391" w:type="pct"/>
            <w:noWrap/>
            <w:hideMark/>
          </w:tcPr>
          <w:p w14:paraId="2532B886" w14:textId="77777777" w:rsidR="00BF7DC2" w:rsidRPr="00A457F8" w:rsidRDefault="00BF7DC2" w:rsidP="00BF7DC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A457F8">
              <w:rPr>
                <w:rFonts w:ascii="Arial" w:hAnsi="Arial" w:cs="Arial"/>
                <w:kern w:val="0"/>
                <w:sz w:val="22"/>
                <w:szCs w:val="22"/>
                <w14:ligatures w14:val="none"/>
              </w:rPr>
              <w:t xml:space="preserve">Routine use of automated dispensing cabinet (ADC) overrides, failure to follow barcode medication administration (BCMA) procedures, incomplete medication </w:t>
            </w:r>
            <w:r w:rsidRPr="00A457F8">
              <w:rPr>
                <w:rFonts w:ascii="Arial" w:hAnsi="Arial" w:cs="Arial"/>
                <w:kern w:val="0"/>
                <w:sz w:val="22"/>
                <w:szCs w:val="22"/>
                <w14:ligatures w14:val="none"/>
              </w:rPr>
              <w:lastRenderedPageBreak/>
              <w:t>verification, and inadequate compliance with medication safety protocols (ISMP, 2022).</w:t>
            </w:r>
          </w:p>
        </w:tc>
      </w:tr>
      <w:tr w:rsidR="00BF7DC2" w:rsidRPr="00A457F8" w14:paraId="4E3266F6" w14:textId="77777777" w:rsidTr="006B2676">
        <w:tc>
          <w:tcPr>
            <w:cnfStyle w:val="001000000000" w:firstRow="0" w:lastRow="0" w:firstColumn="1" w:lastColumn="0" w:oddVBand="0" w:evenVBand="0" w:oddHBand="0" w:evenHBand="0" w:firstRowFirstColumn="0" w:firstRowLastColumn="0" w:lastRowFirstColumn="0" w:lastRowLastColumn="0"/>
            <w:tcW w:w="0" w:type="auto"/>
            <w:noWrap/>
            <w:hideMark/>
          </w:tcPr>
          <w:p w14:paraId="44B1950B" w14:textId="77777777" w:rsidR="00BF7DC2" w:rsidRPr="00A457F8" w:rsidRDefault="00BF7DC2" w:rsidP="00BF7DC2">
            <w:pPr>
              <w:spacing w:before="100" w:beforeAutospacing="1" w:after="100" w:afterAutospacing="1"/>
              <w:rPr>
                <w:rFonts w:ascii="Arial" w:hAnsi="Arial" w:cs="Arial"/>
                <w:kern w:val="0"/>
                <w:sz w:val="22"/>
                <w:szCs w:val="22"/>
                <w14:ligatures w14:val="none"/>
              </w:rPr>
            </w:pPr>
            <w:r w:rsidRPr="00A457F8">
              <w:rPr>
                <w:rFonts w:ascii="Arial" w:hAnsi="Arial" w:cs="Arial"/>
                <w:kern w:val="0"/>
                <w:sz w:val="22"/>
                <w:szCs w:val="22"/>
                <w14:ligatures w14:val="none"/>
              </w:rPr>
              <w:lastRenderedPageBreak/>
              <w:t>Technology (Equipment)</w:t>
            </w:r>
          </w:p>
        </w:tc>
        <w:tc>
          <w:tcPr>
            <w:tcW w:w="4391" w:type="pct"/>
            <w:noWrap/>
            <w:hideMark/>
          </w:tcPr>
          <w:p w14:paraId="6BAFB151" w14:textId="77777777" w:rsidR="00BF7DC2" w:rsidRPr="00A457F8" w:rsidRDefault="00BF7DC2" w:rsidP="00BF7DC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A457F8">
              <w:rPr>
                <w:rFonts w:ascii="Arial" w:hAnsi="Arial" w:cs="Arial"/>
                <w:kern w:val="0"/>
                <w:sz w:val="22"/>
                <w:szCs w:val="22"/>
                <w14:ligatures w14:val="none"/>
              </w:rPr>
              <w:t>Electronic health record (EHR) implementation problems, malfunctioning or inefficient medication retrieval systems, reliance on override functions, and failure to utilise barcode scanning technology effectively (CMS, 2019).</w:t>
            </w:r>
          </w:p>
        </w:tc>
      </w:tr>
      <w:tr w:rsidR="00BF7DC2" w:rsidRPr="00A457F8" w14:paraId="7C65CC96" w14:textId="77777777" w:rsidTr="006B2676">
        <w:tc>
          <w:tcPr>
            <w:cnfStyle w:val="001000000000" w:firstRow="0" w:lastRow="0" w:firstColumn="1" w:lastColumn="0" w:oddVBand="0" w:evenVBand="0" w:oddHBand="0" w:evenHBand="0" w:firstRowFirstColumn="0" w:firstRowLastColumn="0" w:lastRowFirstColumn="0" w:lastRowLastColumn="0"/>
            <w:tcW w:w="0" w:type="auto"/>
            <w:noWrap/>
            <w:hideMark/>
          </w:tcPr>
          <w:p w14:paraId="7EA4D2D7" w14:textId="77777777" w:rsidR="00BF7DC2" w:rsidRPr="00A457F8" w:rsidRDefault="00BF7DC2" w:rsidP="00BF7DC2">
            <w:pPr>
              <w:spacing w:before="100" w:beforeAutospacing="1" w:after="100" w:afterAutospacing="1"/>
              <w:rPr>
                <w:rFonts w:ascii="Arial" w:hAnsi="Arial" w:cs="Arial"/>
                <w:kern w:val="0"/>
                <w:sz w:val="22"/>
                <w:szCs w:val="22"/>
                <w14:ligatures w14:val="none"/>
              </w:rPr>
            </w:pPr>
            <w:r w:rsidRPr="00A457F8">
              <w:rPr>
                <w:rFonts w:ascii="Arial" w:hAnsi="Arial" w:cs="Arial"/>
                <w:kern w:val="0"/>
                <w:sz w:val="22"/>
                <w:szCs w:val="22"/>
                <w14:ligatures w14:val="none"/>
              </w:rPr>
              <w:t>Environment</w:t>
            </w:r>
          </w:p>
        </w:tc>
        <w:tc>
          <w:tcPr>
            <w:tcW w:w="4391" w:type="pct"/>
            <w:noWrap/>
            <w:hideMark/>
          </w:tcPr>
          <w:p w14:paraId="14397C64" w14:textId="77777777" w:rsidR="00BF7DC2" w:rsidRPr="00A457F8" w:rsidRDefault="00BF7DC2" w:rsidP="00BF7DC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A457F8">
              <w:rPr>
                <w:rFonts w:ascii="Arial" w:hAnsi="Arial" w:cs="Arial"/>
                <w:kern w:val="0"/>
                <w:sz w:val="22"/>
                <w:szCs w:val="22"/>
                <w14:ligatures w14:val="none"/>
              </w:rPr>
              <w:t>Busy clinical environment, high workload, interruptions during medication administration, time pressures, and competing clinical priorities that increased cognitive workload and reduced situational awareness (AHRQ, 2022).</w:t>
            </w:r>
          </w:p>
        </w:tc>
      </w:tr>
      <w:tr w:rsidR="00BF7DC2" w:rsidRPr="00A457F8" w14:paraId="1473040C" w14:textId="77777777" w:rsidTr="006B2676">
        <w:tc>
          <w:tcPr>
            <w:cnfStyle w:val="001000000000" w:firstRow="0" w:lastRow="0" w:firstColumn="1" w:lastColumn="0" w:oddVBand="0" w:evenVBand="0" w:oddHBand="0" w:evenHBand="0" w:firstRowFirstColumn="0" w:firstRowLastColumn="0" w:lastRowFirstColumn="0" w:lastRowLastColumn="0"/>
            <w:tcW w:w="0" w:type="auto"/>
            <w:noWrap/>
            <w:hideMark/>
          </w:tcPr>
          <w:p w14:paraId="68668289" w14:textId="77777777" w:rsidR="00BF7DC2" w:rsidRPr="00A457F8" w:rsidRDefault="00BF7DC2" w:rsidP="00BF7DC2">
            <w:pPr>
              <w:spacing w:before="100" w:beforeAutospacing="1" w:after="100" w:afterAutospacing="1"/>
              <w:rPr>
                <w:rFonts w:ascii="Arial" w:hAnsi="Arial" w:cs="Arial"/>
                <w:kern w:val="0"/>
                <w:sz w:val="22"/>
                <w:szCs w:val="22"/>
                <w14:ligatures w14:val="none"/>
              </w:rPr>
            </w:pPr>
            <w:r w:rsidRPr="00A457F8">
              <w:rPr>
                <w:rFonts w:ascii="Arial" w:hAnsi="Arial" w:cs="Arial"/>
                <w:kern w:val="0"/>
                <w:sz w:val="22"/>
                <w:szCs w:val="22"/>
                <w14:ligatures w14:val="none"/>
              </w:rPr>
              <w:t>Management</w:t>
            </w:r>
          </w:p>
        </w:tc>
        <w:tc>
          <w:tcPr>
            <w:tcW w:w="4391" w:type="pct"/>
            <w:noWrap/>
            <w:hideMark/>
          </w:tcPr>
          <w:p w14:paraId="3FAABF20" w14:textId="77777777" w:rsidR="00BF7DC2" w:rsidRPr="00A457F8" w:rsidRDefault="00BF7DC2" w:rsidP="00BF7DC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A457F8">
              <w:rPr>
                <w:rFonts w:ascii="Arial" w:hAnsi="Arial" w:cs="Arial"/>
                <w:kern w:val="0"/>
                <w:sz w:val="22"/>
                <w:szCs w:val="22"/>
                <w14:ligatures w14:val="none"/>
              </w:rPr>
              <w:t>Weak clinical governance, insufficient leadership oversight, inadequate risk management, failure to identify unsafe workarounds, poor incident reporting systems, and limited organisational learning following previous safety concerns.</w:t>
            </w:r>
          </w:p>
        </w:tc>
      </w:tr>
      <w:tr w:rsidR="00BF7DC2" w:rsidRPr="00A457F8" w14:paraId="6687E1F6" w14:textId="77777777" w:rsidTr="006B2676">
        <w:tc>
          <w:tcPr>
            <w:cnfStyle w:val="001000000000" w:firstRow="0" w:lastRow="0" w:firstColumn="1" w:lastColumn="0" w:oddVBand="0" w:evenVBand="0" w:oddHBand="0" w:evenHBand="0" w:firstRowFirstColumn="0" w:firstRowLastColumn="0" w:lastRowFirstColumn="0" w:lastRowLastColumn="0"/>
            <w:tcW w:w="0" w:type="auto"/>
            <w:noWrap/>
            <w:hideMark/>
          </w:tcPr>
          <w:p w14:paraId="1B6EF689" w14:textId="77777777" w:rsidR="00BF7DC2" w:rsidRPr="00A457F8" w:rsidRDefault="00BF7DC2" w:rsidP="00BF7DC2">
            <w:pPr>
              <w:spacing w:before="100" w:beforeAutospacing="1" w:after="100" w:afterAutospacing="1"/>
              <w:rPr>
                <w:rFonts w:ascii="Arial" w:hAnsi="Arial" w:cs="Arial"/>
                <w:kern w:val="0"/>
                <w:sz w:val="22"/>
                <w:szCs w:val="22"/>
                <w14:ligatures w14:val="none"/>
              </w:rPr>
            </w:pPr>
            <w:r w:rsidRPr="00A457F8">
              <w:rPr>
                <w:rFonts w:ascii="Arial" w:hAnsi="Arial" w:cs="Arial"/>
                <w:kern w:val="0"/>
                <w:sz w:val="22"/>
                <w:szCs w:val="22"/>
                <w14:ligatures w14:val="none"/>
              </w:rPr>
              <w:t>Policies</w:t>
            </w:r>
          </w:p>
        </w:tc>
        <w:tc>
          <w:tcPr>
            <w:tcW w:w="4391" w:type="pct"/>
            <w:noWrap/>
            <w:hideMark/>
          </w:tcPr>
          <w:p w14:paraId="0AF4A5C3" w14:textId="77777777" w:rsidR="00BF7DC2" w:rsidRPr="00A457F8" w:rsidRDefault="00BF7DC2" w:rsidP="00BF7DC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A457F8">
              <w:rPr>
                <w:rFonts w:ascii="Arial" w:hAnsi="Arial" w:cs="Arial"/>
                <w:kern w:val="0"/>
                <w:sz w:val="22"/>
                <w:szCs w:val="22"/>
                <w14:ligatures w14:val="none"/>
              </w:rPr>
              <w:t>Inconsistent implementation of medication safety policies, inadequate monitoring of compliance, limited reinforcement of safety protocols, and insufficient promotion of a Just Culture that encourages reporting and learning from errors (Marx, 2001).</w:t>
            </w:r>
          </w:p>
        </w:tc>
      </w:tr>
    </w:tbl>
    <w:p w14:paraId="42F73FE8" w14:textId="77777777" w:rsidR="000A6E97" w:rsidRPr="00A457F8" w:rsidRDefault="000A6E97">
      <w:pPr>
        <w:pStyle w:val="p1"/>
        <w:rPr>
          <w:rFonts w:ascii="Arial" w:hAnsi="Arial" w:cs="Arial"/>
        </w:rPr>
      </w:pPr>
      <w:bookmarkStart w:id="34" w:name="_Toc236070666"/>
      <w:r w:rsidRPr="00A457F8">
        <w:rPr>
          <w:rFonts w:ascii="Arial" w:hAnsi="Arial" w:cs="Arial"/>
        </w:rPr>
        <w:t>The analysis demonstrates that the medication error resulted from interacting organisational failures rather than one individual mistake. Frequent medication overrides became normal practice because staff were attempting to compensate for technology problems. Leadership failed to identify these unsafe behaviours through effective quality assurance.</w:t>
      </w:r>
    </w:p>
    <w:p w14:paraId="225B7535" w14:textId="77777777" w:rsidR="000A6E97" w:rsidRPr="00A457F8" w:rsidRDefault="000A6E97">
      <w:pPr>
        <w:pStyle w:val="p2"/>
        <w:rPr>
          <w:rFonts w:ascii="Arial" w:hAnsi="Arial" w:cs="Arial"/>
        </w:rPr>
      </w:pPr>
      <w:r w:rsidRPr="00A457F8">
        <w:rPr>
          <w:rFonts w:ascii="Arial" w:hAnsi="Arial" w:cs="Arial"/>
          <w:b/>
          <w:bCs/>
        </w:rPr>
        <w:t>Critical evaluation</w:t>
      </w:r>
    </w:p>
    <w:p w14:paraId="29AC4880" w14:textId="77777777" w:rsidR="000A6E97" w:rsidRPr="00A457F8" w:rsidRDefault="000A6E97">
      <w:pPr>
        <w:pStyle w:val="p3"/>
        <w:rPr>
          <w:rFonts w:ascii="Arial" w:hAnsi="Arial" w:cs="Arial"/>
        </w:rPr>
      </w:pPr>
      <w:r w:rsidRPr="00A457F8">
        <w:rPr>
          <w:rFonts w:ascii="Arial" w:hAnsi="Arial" w:cs="Arial"/>
        </w:rPr>
        <w:t>The Fishbone Diagram is valuable because it considers multiple contributing factors and supports system-wide improvement. However, it does not prioritise causes or explain relationships between them and should therefore be combined with Root Cause Analysis.</w:t>
      </w:r>
    </w:p>
    <w:p w14:paraId="54E885E6" w14:textId="77777777" w:rsidR="005A5BED" w:rsidRPr="00A457F8" w:rsidRDefault="005A5BED" w:rsidP="002C2C73">
      <w:pPr>
        <w:pStyle w:val="Heading2"/>
        <w:rPr>
          <w:rFonts w:ascii="Arial" w:eastAsia="Times New Roman" w:hAnsi="Arial" w:cs="Arial"/>
        </w:rPr>
      </w:pPr>
    </w:p>
    <w:p w14:paraId="23FA6626" w14:textId="7A24F4FC" w:rsidR="005A1FB2" w:rsidRPr="00A457F8" w:rsidRDefault="005A1FB2" w:rsidP="002C2C73">
      <w:pPr>
        <w:pStyle w:val="Heading2"/>
        <w:rPr>
          <w:rFonts w:ascii="Arial" w:eastAsia="Times New Roman" w:hAnsi="Arial" w:cs="Arial"/>
        </w:rPr>
      </w:pPr>
      <w:r w:rsidRPr="00A457F8">
        <w:rPr>
          <w:rFonts w:ascii="Arial" w:eastAsia="Times New Roman" w:hAnsi="Arial" w:cs="Arial"/>
        </w:rPr>
        <w:t>2.4 Five Whys Analysis</w:t>
      </w:r>
      <w:bookmarkEnd w:id="34"/>
    </w:p>
    <w:p w14:paraId="54C5006A" w14:textId="77777777" w:rsidR="00315D36" w:rsidRPr="00A457F8" w:rsidRDefault="00315D36">
      <w:pPr>
        <w:pStyle w:val="p1"/>
        <w:rPr>
          <w:rFonts w:ascii="Arial" w:hAnsi="Arial" w:cs="Arial"/>
        </w:rPr>
      </w:pPr>
      <w:r w:rsidRPr="00A457F8">
        <w:rPr>
          <w:rFonts w:ascii="Arial" w:hAnsi="Arial" w:cs="Arial"/>
        </w:rPr>
        <w:t>The Five Whys technique identifies root causes by repeatedly asking why an incident occurred (IHI, 2023).</w:t>
      </w:r>
    </w:p>
    <w:p w14:paraId="7F22EB59" w14:textId="77777777" w:rsidR="00577656" w:rsidRPr="00A457F8" w:rsidRDefault="00577656" w:rsidP="00577656">
      <w:pPr>
        <w:rPr>
          <w:rFonts w:ascii="Arial" w:hAnsi="Arial" w:cs="Arial"/>
        </w:rPr>
      </w:pPr>
    </w:p>
    <w:p w14:paraId="19451BEF" w14:textId="3507EE87" w:rsidR="0029702A" w:rsidRPr="00A457F8" w:rsidRDefault="0029702A" w:rsidP="0029702A">
      <w:pPr>
        <w:spacing w:before="100" w:beforeAutospacing="1" w:after="100" w:afterAutospacing="1" w:line="240" w:lineRule="auto"/>
        <w:jc w:val="center"/>
        <w:rPr>
          <w:rFonts w:ascii="Arial" w:hAnsi="Arial" w:cs="Arial"/>
          <w:kern w:val="0"/>
          <w:sz w:val="22"/>
          <w:szCs w:val="22"/>
          <w14:ligatures w14:val="none"/>
        </w:rPr>
      </w:pPr>
      <w:r w:rsidRPr="00A457F8">
        <w:rPr>
          <w:rFonts w:ascii="Arial" w:hAnsi="Arial" w:cs="Arial"/>
          <w:noProof/>
          <w:kern w:val="0"/>
          <w:sz w:val="22"/>
          <w:szCs w:val="22"/>
        </w:rPr>
        <w:lastRenderedPageBreak/>
        <w:drawing>
          <wp:inline distT="0" distB="0" distL="0" distR="0" wp14:anchorId="0C567F46" wp14:editId="05247BE7">
            <wp:extent cx="3106337" cy="2107096"/>
            <wp:effectExtent l="0" t="0" r="0" b="7620"/>
            <wp:docPr id="166211963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119632" name="Picture 1662119632"/>
                    <pic:cNvPicPr/>
                  </pic:nvPicPr>
                  <pic:blipFill>
                    <a:blip r:embed="rId8">
                      <a:extLst>
                        <a:ext uri="{28A0092B-C50C-407E-A947-70E740481C1C}">
                          <a14:useLocalDpi xmlns:a14="http://schemas.microsoft.com/office/drawing/2010/main" val="0"/>
                        </a:ext>
                      </a:extLst>
                    </a:blip>
                    <a:stretch>
                      <a:fillRect/>
                    </a:stretch>
                  </pic:blipFill>
                  <pic:spPr>
                    <a:xfrm>
                      <a:off x="0" y="0"/>
                      <a:ext cx="3112490" cy="2111270"/>
                    </a:xfrm>
                    <a:prstGeom prst="rect">
                      <a:avLst/>
                    </a:prstGeom>
                  </pic:spPr>
                </pic:pic>
              </a:graphicData>
            </a:graphic>
          </wp:inline>
        </w:drawing>
      </w:r>
    </w:p>
    <w:tbl>
      <w:tblPr>
        <w:tblStyle w:val="GridTable1Light-Accent1"/>
        <w:tblW w:w="5000" w:type="pct"/>
        <w:tblLook w:val="04A0" w:firstRow="1" w:lastRow="0" w:firstColumn="1" w:lastColumn="0" w:noHBand="0" w:noVBand="1"/>
      </w:tblPr>
      <w:tblGrid>
        <w:gridCol w:w="2396"/>
        <w:gridCol w:w="6620"/>
      </w:tblGrid>
      <w:tr w:rsidR="000476DD" w:rsidRPr="00A457F8" w14:paraId="394C4EF8" w14:textId="77777777" w:rsidTr="006B26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51065A6C" w14:textId="77777777" w:rsidR="000476DD" w:rsidRPr="00A457F8" w:rsidRDefault="000476DD" w:rsidP="000476DD">
            <w:pPr>
              <w:spacing w:before="100" w:beforeAutospacing="1" w:after="100" w:afterAutospacing="1"/>
              <w:jc w:val="center"/>
              <w:rPr>
                <w:rFonts w:ascii="Arial" w:hAnsi="Arial" w:cs="Arial"/>
                <w:b w:val="0"/>
                <w:kern w:val="0"/>
                <w:sz w:val="22"/>
                <w:szCs w:val="22"/>
                <w14:ligatures w14:val="none"/>
              </w:rPr>
            </w:pPr>
            <w:r w:rsidRPr="00A457F8">
              <w:rPr>
                <w:rFonts w:ascii="Arial" w:hAnsi="Arial" w:cs="Arial"/>
                <w:kern w:val="0"/>
                <w:sz w:val="22"/>
                <w:szCs w:val="22"/>
                <w14:ligatures w14:val="none"/>
              </w:rPr>
              <w:t>Problem</w:t>
            </w:r>
          </w:p>
        </w:tc>
        <w:tc>
          <w:tcPr>
            <w:tcW w:w="0" w:type="auto"/>
            <w:noWrap/>
            <w:hideMark/>
          </w:tcPr>
          <w:p w14:paraId="7BC7C137" w14:textId="77777777" w:rsidR="000476DD" w:rsidRPr="00A457F8" w:rsidRDefault="000476DD" w:rsidP="000476DD">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b w:val="0"/>
                <w:kern w:val="0"/>
                <w:sz w:val="22"/>
                <w:szCs w:val="22"/>
                <w14:ligatures w14:val="none"/>
              </w:rPr>
            </w:pPr>
            <w:r w:rsidRPr="00A457F8">
              <w:rPr>
                <w:rFonts w:ascii="Arial" w:hAnsi="Arial" w:cs="Arial"/>
                <w:kern w:val="0"/>
                <w:sz w:val="22"/>
                <w:szCs w:val="22"/>
                <w14:ligatures w14:val="none"/>
              </w:rPr>
              <w:t>Critical Explanation</w:t>
            </w:r>
          </w:p>
        </w:tc>
      </w:tr>
      <w:tr w:rsidR="000476DD" w:rsidRPr="00A457F8" w14:paraId="5E0DAA77" w14:textId="77777777" w:rsidTr="006B2676">
        <w:tc>
          <w:tcPr>
            <w:cnfStyle w:val="001000000000" w:firstRow="0" w:lastRow="0" w:firstColumn="1" w:lastColumn="0" w:oddVBand="0" w:evenVBand="0" w:oddHBand="0" w:evenHBand="0" w:firstRowFirstColumn="0" w:firstRowLastColumn="0" w:lastRowFirstColumn="0" w:lastRowLastColumn="0"/>
            <w:tcW w:w="0" w:type="auto"/>
            <w:noWrap/>
            <w:hideMark/>
          </w:tcPr>
          <w:p w14:paraId="3F7E60D4" w14:textId="77777777" w:rsidR="000476DD" w:rsidRPr="00A457F8" w:rsidRDefault="000476DD" w:rsidP="000476DD">
            <w:pPr>
              <w:spacing w:before="100" w:beforeAutospacing="1" w:after="100" w:afterAutospacing="1"/>
              <w:rPr>
                <w:rFonts w:ascii="Arial" w:hAnsi="Arial" w:cs="Arial"/>
                <w:kern w:val="0"/>
                <w:sz w:val="22"/>
                <w:szCs w:val="22"/>
                <w14:ligatures w14:val="none"/>
              </w:rPr>
            </w:pPr>
            <w:r w:rsidRPr="00A457F8">
              <w:rPr>
                <w:rFonts w:ascii="Arial" w:hAnsi="Arial" w:cs="Arial"/>
                <w:kern w:val="0"/>
                <w:sz w:val="22"/>
                <w:szCs w:val="22"/>
                <w14:ligatures w14:val="none"/>
              </w:rPr>
              <w:t>Patient died after receiving the wrong medication.</w:t>
            </w:r>
          </w:p>
        </w:tc>
        <w:tc>
          <w:tcPr>
            <w:tcW w:w="0" w:type="auto"/>
            <w:noWrap/>
            <w:hideMark/>
          </w:tcPr>
          <w:p w14:paraId="6E556B98" w14:textId="77777777" w:rsidR="000476DD" w:rsidRPr="00A457F8" w:rsidRDefault="000476DD" w:rsidP="000476D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A457F8">
              <w:rPr>
                <w:rFonts w:ascii="Arial" w:hAnsi="Arial" w:cs="Arial"/>
                <w:kern w:val="0"/>
                <w:sz w:val="22"/>
                <w:szCs w:val="22"/>
                <w14:ligatures w14:val="none"/>
              </w:rPr>
              <w:t>Charlene Murphey received vecuronium instead of the prescribed sedative midazolam, resulting in respiratory arrest and death (CMS, 2019).</w:t>
            </w:r>
          </w:p>
        </w:tc>
      </w:tr>
      <w:tr w:rsidR="000476DD" w:rsidRPr="00A457F8" w14:paraId="31D9308D" w14:textId="77777777" w:rsidTr="006B2676">
        <w:tc>
          <w:tcPr>
            <w:cnfStyle w:val="001000000000" w:firstRow="0" w:lastRow="0" w:firstColumn="1" w:lastColumn="0" w:oddVBand="0" w:evenVBand="0" w:oddHBand="0" w:evenHBand="0" w:firstRowFirstColumn="0" w:firstRowLastColumn="0" w:lastRowFirstColumn="0" w:lastRowLastColumn="0"/>
            <w:tcW w:w="0" w:type="auto"/>
            <w:noWrap/>
            <w:hideMark/>
          </w:tcPr>
          <w:p w14:paraId="4D5187FF" w14:textId="77777777" w:rsidR="000476DD" w:rsidRPr="00A457F8" w:rsidRDefault="000476DD" w:rsidP="000476DD">
            <w:pPr>
              <w:spacing w:before="100" w:beforeAutospacing="1" w:after="100" w:afterAutospacing="1"/>
              <w:rPr>
                <w:rFonts w:ascii="Arial" w:hAnsi="Arial" w:cs="Arial"/>
                <w:kern w:val="0"/>
                <w:sz w:val="22"/>
                <w:szCs w:val="22"/>
                <w14:ligatures w14:val="none"/>
              </w:rPr>
            </w:pPr>
            <w:r w:rsidRPr="00A457F8">
              <w:rPr>
                <w:rFonts w:ascii="Arial" w:hAnsi="Arial" w:cs="Arial"/>
                <w:kern w:val="0"/>
                <w:sz w:val="22"/>
                <w:szCs w:val="22"/>
                <w14:ligatures w14:val="none"/>
              </w:rPr>
              <w:t>Why 1: Why was the wrong medication administered?</w:t>
            </w:r>
          </w:p>
        </w:tc>
        <w:tc>
          <w:tcPr>
            <w:tcW w:w="0" w:type="auto"/>
            <w:noWrap/>
            <w:hideMark/>
          </w:tcPr>
          <w:p w14:paraId="4BDB29A3" w14:textId="77777777" w:rsidR="000476DD" w:rsidRPr="00A457F8" w:rsidRDefault="000476DD" w:rsidP="000476D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A457F8">
              <w:rPr>
                <w:rFonts w:ascii="Arial" w:hAnsi="Arial" w:cs="Arial"/>
                <w:kern w:val="0"/>
                <w:sz w:val="22"/>
                <w:szCs w:val="22"/>
                <w14:ligatures w14:val="none"/>
              </w:rPr>
              <w:t>The nurse selected vecuronium from the automated dispensing cabinet instead of midazolam and administered it without recognising the error.</w:t>
            </w:r>
          </w:p>
        </w:tc>
      </w:tr>
      <w:tr w:rsidR="000476DD" w:rsidRPr="00A457F8" w14:paraId="3742D41E" w14:textId="77777777" w:rsidTr="006B2676">
        <w:tc>
          <w:tcPr>
            <w:cnfStyle w:val="001000000000" w:firstRow="0" w:lastRow="0" w:firstColumn="1" w:lastColumn="0" w:oddVBand="0" w:evenVBand="0" w:oddHBand="0" w:evenHBand="0" w:firstRowFirstColumn="0" w:firstRowLastColumn="0" w:lastRowFirstColumn="0" w:lastRowLastColumn="0"/>
            <w:tcW w:w="0" w:type="auto"/>
            <w:noWrap/>
            <w:hideMark/>
          </w:tcPr>
          <w:p w14:paraId="74285EFF" w14:textId="77777777" w:rsidR="000476DD" w:rsidRPr="00A457F8" w:rsidRDefault="000476DD" w:rsidP="000476DD">
            <w:pPr>
              <w:spacing w:before="100" w:beforeAutospacing="1" w:after="100" w:afterAutospacing="1"/>
              <w:rPr>
                <w:rFonts w:ascii="Arial" w:hAnsi="Arial" w:cs="Arial"/>
                <w:kern w:val="0"/>
                <w:sz w:val="22"/>
                <w:szCs w:val="22"/>
                <w14:ligatures w14:val="none"/>
              </w:rPr>
            </w:pPr>
            <w:r w:rsidRPr="00A457F8">
              <w:rPr>
                <w:rFonts w:ascii="Arial" w:hAnsi="Arial" w:cs="Arial"/>
                <w:kern w:val="0"/>
                <w:sz w:val="22"/>
                <w:szCs w:val="22"/>
                <w14:ligatures w14:val="none"/>
              </w:rPr>
              <w:t>Why 2: Why was the incorrect medication selected?</w:t>
            </w:r>
          </w:p>
        </w:tc>
        <w:tc>
          <w:tcPr>
            <w:tcW w:w="0" w:type="auto"/>
            <w:noWrap/>
            <w:hideMark/>
          </w:tcPr>
          <w:p w14:paraId="4BD14B4E" w14:textId="77777777" w:rsidR="000476DD" w:rsidRPr="00A457F8" w:rsidRDefault="000476DD" w:rsidP="000476D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A457F8">
              <w:rPr>
                <w:rFonts w:ascii="Arial" w:hAnsi="Arial" w:cs="Arial"/>
                <w:kern w:val="0"/>
                <w:sz w:val="22"/>
                <w:szCs w:val="22"/>
                <w14:ligatures w14:val="none"/>
              </w:rPr>
              <w:t>The automated dispensing cabinet override function was used, allowing access to medications without the usual electronic verification process. Barcode medication administration was also not utilised (ISMP, 2022).</w:t>
            </w:r>
          </w:p>
        </w:tc>
      </w:tr>
      <w:tr w:rsidR="000476DD" w:rsidRPr="00A457F8" w14:paraId="65430F15" w14:textId="77777777" w:rsidTr="006B2676">
        <w:tc>
          <w:tcPr>
            <w:cnfStyle w:val="001000000000" w:firstRow="0" w:lastRow="0" w:firstColumn="1" w:lastColumn="0" w:oddVBand="0" w:evenVBand="0" w:oddHBand="0" w:evenHBand="0" w:firstRowFirstColumn="0" w:firstRowLastColumn="0" w:lastRowFirstColumn="0" w:lastRowLastColumn="0"/>
            <w:tcW w:w="0" w:type="auto"/>
            <w:noWrap/>
            <w:hideMark/>
          </w:tcPr>
          <w:p w14:paraId="19D04224" w14:textId="77777777" w:rsidR="000476DD" w:rsidRPr="00A457F8" w:rsidRDefault="000476DD" w:rsidP="000476DD">
            <w:pPr>
              <w:spacing w:before="100" w:beforeAutospacing="1" w:after="100" w:afterAutospacing="1"/>
              <w:rPr>
                <w:rFonts w:ascii="Arial" w:hAnsi="Arial" w:cs="Arial"/>
                <w:kern w:val="0"/>
                <w:sz w:val="22"/>
                <w:szCs w:val="22"/>
                <w14:ligatures w14:val="none"/>
              </w:rPr>
            </w:pPr>
            <w:r w:rsidRPr="00A457F8">
              <w:rPr>
                <w:rFonts w:ascii="Arial" w:hAnsi="Arial" w:cs="Arial"/>
                <w:kern w:val="0"/>
                <w:sz w:val="22"/>
                <w:szCs w:val="22"/>
                <w14:ligatures w14:val="none"/>
              </w:rPr>
              <w:t>Why 3: Why were medication safety procedures bypassed?</w:t>
            </w:r>
          </w:p>
        </w:tc>
        <w:tc>
          <w:tcPr>
            <w:tcW w:w="0" w:type="auto"/>
            <w:noWrap/>
            <w:hideMark/>
          </w:tcPr>
          <w:p w14:paraId="65861E3E" w14:textId="77777777" w:rsidR="000476DD" w:rsidRPr="00A457F8" w:rsidRDefault="000476DD" w:rsidP="000476D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A457F8">
              <w:rPr>
                <w:rFonts w:ascii="Arial" w:hAnsi="Arial" w:cs="Arial"/>
                <w:kern w:val="0"/>
                <w:sz w:val="22"/>
                <w:szCs w:val="22"/>
                <w14:ligatures w14:val="none"/>
              </w:rPr>
              <w:t>Technical problems with the electronic medication system had led nurses to routinely use overrides, making unsafe workarounds part of everyday clinical practice.</w:t>
            </w:r>
          </w:p>
        </w:tc>
      </w:tr>
      <w:tr w:rsidR="000476DD" w:rsidRPr="00A457F8" w14:paraId="6703D430" w14:textId="77777777" w:rsidTr="006B2676">
        <w:tc>
          <w:tcPr>
            <w:cnfStyle w:val="001000000000" w:firstRow="0" w:lastRow="0" w:firstColumn="1" w:lastColumn="0" w:oddVBand="0" w:evenVBand="0" w:oddHBand="0" w:evenHBand="0" w:firstRowFirstColumn="0" w:firstRowLastColumn="0" w:lastRowFirstColumn="0" w:lastRowLastColumn="0"/>
            <w:tcW w:w="0" w:type="auto"/>
            <w:noWrap/>
            <w:hideMark/>
          </w:tcPr>
          <w:p w14:paraId="58A67B4F" w14:textId="77777777" w:rsidR="000476DD" w:rsidRPr="00A457F8" w:rsidRDefault="000476DD" w:rsidP="000476DD">
            <w:pPr>
              <w:spacing w:before="100" w:beforeAutospacing="1" w:after="100" w:afterAutospacing="1"/>
              <w:rPr>
                <w:rFonts w:ascii="Arial" w:hAnsi="Arial" w:cs="Arial"/>
                <w:kern w:val="0"/>
                <w:sz w:val="22"/>
                <w:szCs w:val="22"/>
                <w14:ligatures w14:val="none"/>
              </w:rPr>
            </w:pPr>
            <w:r w:rsidRPr="00A457F8">
              <w:rPr>
                <w:rFonts w:ascii="Arial" w:hAnsi="Arial" w:cs="Arial"/>
                <w:kern w:val="0"/>
                <w:sz w:val="22"/>
                <w:szCs w:val="22"/>
                <w14:ligatures w14:val="none"/>
              </w:rPr>
              <w:t>Why 4: Why had unsafe workarounds become normal practice?</w:t>
            </w:r>
          </w:p>
        </w:tc>
        <w:tc>
          <w:tcPr>
            <w:tcW w:w="0" w:type="auto"/>
            <w:noWrap/>
            <w:hideMark/>
          </w:tcPr>
          <w:p w14:paraId="05D56802" w14:textId="77777777" w:rsidR="000476DD" w:rsidRPr="00A457F8" w:rsidRDefault="000476DD" w:rsidP="000476D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A457F8">
              <w:rPr>
                <w:rFonts w:ascii="Arial" w:hAnsi="Arial" w:cs="Arial"/>
                <w:kern w:val="0"/>
                <w:sz w:val="22"/>
                <w:szCs w:val="22"/>
                <w14:ligatures w14:val="none"/>
              </w:rPr>
              <w:t>Organisational leadership failed to identify and address repeated medication safety risks through effective monitoring, clinical governance, and quality assurance processes.</w:t>
            </w:r>
          </w:p>
        </w:tc>
      </w:tr>
      <w:tr w:rsidR="000476DD" w:rsidRPr="00A457F8" w14:paraId="5036E50F" w14:textId="77777777" w:rsidTr="006B2676">
        <w:tc>
          <w:tcPr>
            <w:cnfStyle w:val="001000000000" w:firstRow="0" w:lastRow="0" w:firstColumn="1" w:lastColumn="0" w:oddVBand="0" w:evenVBand="0" w:oddHBand="0" w:evenHBand="0" w:firstRowFirstColumn="0" w:firstRowLastColumn="0" w:lastRowFirstColumn="0" w:lastRowLastColumn="0"/>
            <w:tcW w:w="0" w:type="auto"/>
            <w:noWrap/>
            <w:hideMark/>
          </w:tcPr>
          <w:p w14:paraId="18F02FDF" w14:textId="77777777" w:rsidR="000476DD" w:rsidRPr="00A457F8" w:rsidRDefault="000476DD" w:rsidP="000476DD">
            <w:pPr>
              <w:spacing w:before="100" w:beforeAutospacing="1" w:after="100" w:afterAutospacing="1"/>
              <w:rPr>
                <w:rFonts w:ascii="Arial" w:hAnsi="Arial" w:cs="Arial"/>
                <w:kern w:val="0"/>
                <w:sz w:val="22"/>
                <w:szCs w:val="22"/>
                <w14:ligatures w14:val="none"/>
              </w:rPr>
            </w:pPr>
            <w:r w:rsidRPr="00A457F8">
              <w:rPr>
                <w:rFonts w:ascii="Arial" w:hAnsi="Arial" w:cs="Arial"/>
                <w:kern w:val="0"/>
                <w:sz w:val="22"/>
                <w:szCs w:val="22"/>
                <w14:ligatures w14:val="none"/>
              </w:rPr>
              <w:t>Why 5: Why did organisational systems fail to prevent the incident?</w:t>
            </w:r>
          </w:p>
        </w:tc>
        <w:tc>
          <w:tcPr>
            <w:tcW w:w="0" w:type="auto"/>
            <w:noWrap/>
            <w:hideMark/>
          </w:tcPr>
          <w:p w14:paraId="51695035" w14:textId="77777777" w:rsidR="000476DD" w:rsidRPr="00A457F8" w:rsidRDefault="000476DD" w:rsidP="000476D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A457F8">
              <w:rPr>
                <w:rFonts w:ascii="Arial" w:hAnsi="Arial" w:cs="Arial"/>
                <w:kern w:val="0"/>
                <w:sz w:val="22"/>
                <w:szCs w:val="22"/>
                <w14:ligatures w14:val="none"/>
              </w:rPr>
              <w:t>Weak patient safety culture, inadequate risk management, insufficient leadership oversight, and poor organisational learning allowed unsafe practices to continue without corrective action (AHRQ, 2022).</w:t>
            </w:r>
          </w:p>
        </w:tc>
      </w:tr>
    </w:tbl>
    <w:p w14:paraId="0424D1DC" w14:textId="77777777" w:rsidR="00E73B97" w:rsidRPr="00A457F8" w:rsidRDefault="00E73B97">
      <w:pPr>
        <w:pStyle w:val="p1"/>
        <w:rPr>
          <w:rFonts w:ascii="Arial" w:hAnsi="Arial" w:cs="Arial"/>
        </w:rPr>
      </w:pPr>
      <w:r w:rsidRPr="00A457F8">
        <w:rPr>
          <w:rFonts w:ascii="Arial" w:hAnsi="Arial" w:cs="Arial"/>
        </w:rPr>
        <w:t>The analysis shows that the fatal error resulted from organisational weaknesses rather than solely individual negligence. Technology failures, inadequate governance and poor safety culture created conditions in which human error reached the patient.</w:t>
      </w:r>
    </w:p>
    <w:p w14:paraId="13939EFF" w14:textId="77777777" w:rsidR="00E73B97" w:rsidRPr="00A457F8" w:rsidRDefault="00E73B97">
      <w:pPr>
        <w:pStyle w:val="p2"/>
        <w:rPr>
          <w:rFonts w:ascii="Arial" w:hAnsi="Arial" w:cs="Arial"/>
        </w:rPr>
      </w:pPr>
      <w:r w:rsidRPr="00A457F8">
        <w:rPr>
          <w:rFonts w:ascii="Arial" w:hAnsi="Arial" w:cs="Arial"/>
          <w:b/>
          <w:bCs/>
        </w:rPr>
        <w:t>Critical evaluation</w:t>
      </w:r>
    </w:p>
    <w:p w14:paraId="21474759" w14:textId="77777777" w:rsidR="00E73B97" w:rsidRPr="00A457F8" w:rsidRDefault="00E73B97">
      <w:pPr>
        <w:pStyle w:val="p3"/>
        <w:rPr>
          <w:rFonts w:ascii="Arial" w:hAnsi="Arial" w:cs="Arial"/>
        </w:rPr>
      </w:pPr>
      <w:r w:rsidRPr="00A457F8">
        <w:rPr>
          <w:rFonts w:ascii="Arial" w:hAnsi="Arial" w:cs="Arial"/>
        </w:rPr>
        <w:t>The Five Whys encourages organisations to investigate system failures rather than assigning blame. However, healthcare incidents are often complex, meaning the technique should be used alongside broader quality improvement methods.</w:t>
      </w:r>
    </w:p>
    <w:p w14:paraId="7BAC9BEF" w14:textId="55273237" w:rsidR="00395F4D" w:rsidRPr="00A457F8" w:rsidRDefault="00395F4D" w:rsidP="00395F4D">
      <w:pPr>
        <w:spacing w:before="100" w:beforeAutospacing="1" w:after="100" w:afterAutospacing="1" w:line="240" w:lineRule="auto"/>
        <w:rPr>
          <w:rFonts w:ascii="Arial" w:hAnsi="Arial" w:cs="Arial"/>
          <w:kern w:val="0"/>
          <w:sz w:val="22"/>
          <w:szCs w:val="22"/>
          <w14:ligatures w14:val="none"/>
        </w:rPr>
      </w:pPr>
    </w:p>
    <w:p w14:paraId="2808BEA0" w14:textId="19F1BEAE" w:rsidR="00163ABA" w:rsidRPr="00A457F8" w:rsidRDefault="00163ABA" w:rsidP="002C2C73">
      <w:pPr>
        <w:pStyle w:val="Heading2"/>
        <w:rPr>
          <w:rFonts w:ascii="Arial" w:eastAsia="Times New Roman" w:hAnsi="Arial" w:cs="Arial"/>
        </w:rPr>
      </w:pPr>
      <w:bookmarkStart w:id="35" w:name="_Toc236070668"/>
      <w:r w:rsidRPr="00A457F8">
        <w:rPr>
          <w:rFonts w:ascii="Arial" w:eastAsia="Times New Roman" w:hAnsi="Arial" w:cs="Arial"/>
        </w:rPr>
        <w:lastRenderedPageBreak/>
        <w:t>2.5 SWOT Analysis</w:t>
      </w:r>
      <w:bookmarkEnd w:id="35"/>
      <w:r w:rsidRPr="00A457F8">
        <w:rPr>
          <w:rFonts w:ascii="Arial" w:eastAsia="Times New Roman" w:hAnsi="Arial" w:cs="Arial"/>
        </w:rPr>
        <w:t xml:space="preserve"> </w:t>
      </w:r>
    </w:p>
    <w:p w14:paraId="177712DA" w14:textId="77777777" w:rsidR="00055900" w:rsidRPr="00A457F8" w:rsidRDefault="00055900">
      <w:pPr>
        <w:pStyle w:val="p1"/>
        <w:rPr>
          <w:rFonts w:ascii="Arial" w:hAnsi="Arial" w:cs="Arial"/>
        </w:rPr>
      </w:pPr>
      <w:r w:rsidRPr="00A457F8">
        <w:rPr>
          <w:rFonts w:ascii="Arial" w:hAnsi="Arial" w:cs="Arial"/>
        </w:rPr>
        <w:t>SWOT analysis evaluates organisational strengths, weaknesses, opportunities and threats (Gürel and Tat, 2017).</w:t>
      </w:r>
    </w:p>
    <w:p w14:paraId="023148C9" w14:textId="77777777" w:rsidR="00055900" w:rsidRPr="00A457F8" w:rsidRDefault="00055900" w:rsidP="00055900">
      <w:pPr>
        <w:rPr>
          <w:rFonts w:ascii="Arial" w:hAnsi="Arial" w:cs="Arial"/>
        </w:rPr>
      </w:pPr>
    </w:p>
    <w:p w14:paraId="40BA1DDC" w14:textId="0A146BE1" w:rsidR="0029702A" w:rsidRPr="00A457F8" w:rsidRDefault="00C51BDD" w:rsidP="00C51BDD">
      <w:pPr>
        <w:spacing w:before="100" w:beforeAutospacing="1" w:after="100" w:afterAutospacing="1" w:line="240" w:lineRule="auto"/>
        <w:jc w:val="center"/>
        <w:rPr>
          <w:rFonts w:ascii="Arial" w:hAnsi="Arial" w:cs="Arial"/>
          <w:kern w:val="0"/>
          <w:sz w:val="22"/>
          <w:szCs w:val="22"/>
          <w14:ligatures w14:val="none"/>
        </w:rPr>
      </w:pPr>
      <w:r w:rsidRPr="00A457F8">
        <w:rPr>
          <w:rFonts w:ascii="Arial" w:hAnsi="Arial" w:cs="Arial"/>
          <w:noProof/>
        </w:rPr>
        <w:drawing>
          <wp:inline distT="0" distB="0" distL="0" distR="0" wp14:anchorId="1FCDE4AD" wp14:editId="0787B08B">
            <wp:extent cx="3409729" cy="2559374"/>
            <wp:effectExtent l="0" t="0" r="635" b="0"/>
            <wp:docPr id="77225317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2515" cy="2568971"/>
                    </a:xfrm>
                    <a:prstGeom prst="rect">
                      <a:avLst/>
                    </a:prstGeom>
                    <a:noFill/>
                    <a:ln>
                      <a:noFill/>
                    </a:ln>
                  </pic:spPr>
                </pic:pic>
              </a:graphicData>
            </a:graphic>
          </wp:inline>
        </w:drawing>
      </w:r>
    </w:p>
    <w:tbl>
      <w:tblPr>
        <w:tblStyle w:val="GridTable1Light-Accent1"/>
        <w:tblW w:w="5000" w:type="pct"/>
        <w:tblLayout w:type="fixed"/>
        <w:tblLook w:val="04A0" w:firstRow="1" w:lastRow="0" w:firstColumn="1" w:lastColumn="0" w:noHBand="0" w:noVBand="1"/>
      </w:tblPr>
      <w:tblGrid>
        <w:gridCol w:w="1414"/>
        <w:gridCol w:w="7602"/>
      </w:tblGrid>
      <w:tr w:rsidR="00013BF9" w:rsidRPr="00A457F8" w14:paraId="47518451" w14:textId="77777777" w:rsidTr="00803F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4" w:type="pct"/>
            <w:noWrap/>
            <w:hideMark/>
          </w:tcPr>
          <w:p w14:paraId="443571A1" w14:textId="77777777" w:rsidR="00013BF9" w:rsidRPr="00A457F8" w:rsidRDefault="00013BF9" w:rsidP="00013BF9">
            <w:pPr>
              <w:spacing w:before="100" w:beforeAutospacing="1" w:after="100" w:afterAutospacing="1"/>
              <w:jc w:val="center"/>
              <w:rPr>
                <w:rFonts w:ascii="Arial" w:hAnsi="Arial" w:cs="Arial"/>
                <w:b w:val="0"/>
                <w:kern w:val="0"/>
                <w:sz w:val="22"/>
                <w:szCs w:val="22"/>
                <w14:ligatures w14:val="none"/>
              </w:rPr>
            </w:pPr>
            <w:r w:rsidRPr="00A457F8">
              <w:rPr>
                <w:rFonts w:ascii="Arial" w:hAnsi="Arial" w:cs="Arial"/>
                <w:kern w:val="0"/>
                <w:sz w:val="22"/>
                <w:szCs w:val="22"/>
                <w14:ligatures w14:val="none"/>
              </w:rPr>
              <w:t>Element</w:t>
            </w:r>
          </w:p>
        </w:tc>
        <w:tc>
          <w:tcPr>
            <w:tcW w:w="4216" w:type="pct"/>
            <w:noWrap/>
            <w:hideMark/>
          </w:tcPr>
          <w:p w14:paraId="51550FF1" w14:textId="77777777" w:rsidR="00013BF9" w:rsidRPr="00A457F8" w:rsidRDefault="00013BF9" w:rsidP="00013BF9">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b w:val="0"/>
                <w:kern w:val="0"/>
                <w:sz w:val="22"/>
                <w:szCs w:val="22"/>
                <w14:ligatures w14:val="none"/>
              </w:rPr>
            </w:pPr>
            <w:r w:rsidRPr="00A457F8">
              <w:rPr>
                <w:rFonts w:ascii="Arial" w:hAnsi="Arial" w:cs="Arial"/>
                <w:kern w:val="0"/>
                <w:sz w:val="22"/>
                <w:szCs w:val="22"/>
                <w14:ligatures w14:val="none"/>
              </w:rPr>
              <w:t>Critical Analysis</w:t>
            </w:r>
          </w:p>
        </w:tc>
      </w:tr>
      <w:tr w:rsidR="00013BF9" w:rsidRPr="00A457F8" w14:paraId="2B72D5B6" w14:textId="77777777" w:rsidTr="00803F9D">
        <w:tc>
          <w:tcPr>
            <w:cnfStyle w:val="001000000000" w:firstRow="0" w:lastRow="0" w:firstColumn="1" w:lastColumn="0" w:oddVBand="0" w:evenVBand="0" w:oddHBand="0" w:evenHBand="0" w:firstRowFirstColumn="0" w:firstRowLastColumn="0" w:lastRowFirstColumn="0" w:lastRowLastColumn="0"/>
            <w:tcW w:w="784" w:type="pct"/>
            <w:noWrap/>
            <w:hideMark/>
          </w:tcPr>
          <w:p w14:paraId="1D4DE341" w14:textId="77777777" w:rsidR="00013BF9" w:rsidRPr="00A457F8" w:rsidRDefault="00013BF9" w:rsidP="00013BF9">
            <w:pPr>
              <w:spacing w:before="100" w:beforeAutospacing="1" w:after="100" w:afterAutospacing="1"/>
              <w:rPr>
                <w:rFonts w:ascii="Arial" w:hAnsi="Arial" w:cs="Arial"/>
                <w:kern w:val="0"/>
                <w:sz w:val="22"/>
                <w:szCs w:val="22"/>
                <w14:ligatures w14:val="none"/>
              </w:rPr>
            </w:pPr>
            <w:r w:rsidRPr="00A457F8">
              <w:rPr>
                <w:rFonts w:ascii="Arial" w:hAnsi="Arial" w:cs="Arial"/>
                <w:kern w:val="0"/>
                <w:sz w:val="22"/>
                <w:szCs w:val="22"/>
                <w14:ligatures w14:val="none"/>
              </w:rPr>
              <w:t>Strengths</w:t>
            </w:r>
          </w:p>
        </w:tc>
        <w:tc>
          <w:tcPr>
            <w:tcW w:w="4216" w:type="pct"/>
            <w:noWrap/>
            <w:hideMark/>
          </w:tcPr>
          <w:p w14:paraId="5014078F" w14:textId="77777777" w:rsidR="00013BF9" w:rsidRPr="00A457F8" w:rsidRDefault="00013BF9" w:rsidP="00013BF9">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A457F8">
              <w:rPr>
                <w:rFonts w:ascii="Arial" w:hAnsi="Arial" w:cs="Arial"/>
                <w:kern w:val="0"/>
                <w:sz w:val="22"/>
                <w:szCs w:val="22"/>
                <w14:ligatures w14:val="none"/>
              </w:rPr>
              <w:t xml:space="preserve">Vanderbilt University Medical </w:t>
            </w:r>
            <w:proofErr w:type="spellStart"/>
            <w:r w:rsidRPr="00A457F8">
              <w:rPr>
                <w:rFonts w:ascii="Arial" w:hAnsi="Arial" w:cs="Arial"/>
                <w:kern w:val="0"/>
                <w:sz w:val="22"/>
                <w:szCs w:val="22"/>
                <w14:ligatures w14:val="none"/>
              </w:rPr>
              <w:t>Center</w:t>
            </w:r>
            <w:proofErr w:type="spellEnd"/>
            <w:r w:rsidRPr="00A457F8">
              <w:rPr>
                <w:rFonts w:ascii="Arial" w:hAnsi="Arial" w:cs="Arial"/>
                <w:kern w:val="0"/>
                <w:sz w:val="22"/>
                <w:szCs w:val="22"/>
                <w14:ligatures w14:val="none"/>
              </w:rPr>
              <w:t xml:space="preserve"> (VUMC) had established medication safety policies, electronic health records, automated dispensing cabinets (ADCs), barcode medication administration (BCMA), and trained healthcare professionals. These systems were designed to reduce medication errors and improve patient safety. However, their effectiveness depended on consistent implementation and organisational compliance (AHRQ, 2022).</w:t>
            </w:r>
          </w:p>
        </w:tc>
      </w:tr>
      <w:tr w:rsidR="00013BF9" w:rsidRPr="00A457F8" w14:paraId="19376175" w14:textId="77777777" w:rsidTr="00803F9D">
        <w:tc>
          <w:tcPr>
            <w:cnfStyle w:val="001000000000" w:firstRow="0" w:lastRow="0" w:firstColumn="1" w:lastColumn="0" w:oddVBand="0" w:evenVBand="0" w:oddHBand="0" w:evenHBand="0" w:firstRowFirstColumn="0" w:firstRowLastColumn="0" w:lastRowFirstColumn="0" w:lastRowLastColumn="0"/>
            <w:tcW w:w="784" w:type="pct"/>
            <w:noWrap/>
            <w:hideMark/>
          </w:tcPr>
          <w:p w14:paraId="6F7D7C02" w14:textId="77777777" w:rsidR="00013BF9" w:rsidRPr="00A457F8" w:rsidRDefault="00013BF9" w:rsidP="00013BF9">
            <w:pPr>
              <w:spacing w:before="100" w:beforeAutospacing="1" w:after="100" w:afterAutospacing="1"/>
              <w:rPr>
                <w:rFonts w:ascii="Arial" w:hAnsi="Arial" w:cs="Arial"/>
                <w:kern w:val="0"/>
                <w:sz w:val="22"/>
                <w:szCs w:val="22"/>
                <w14:ligatures w14:val="none"/>
              </w:rPr>
            </w:pPr>
            <w:r w:rsidRPr="00A457F8">
              <w:rPr>
                <w:rFonts w:ascii="Arial" w:hAnsi="Arial" w:cs="Arial"/>
                <w:kern w:val="0"/>
                <w:sz w:val="22"/>
                <w:szCs w:val="22"/>
                <w14:ligatures w14:val="none"/>
              </w:rPr>
              <w:t>Weaknesses</w:t>
            </w:r>
          </w:p>
        </w:tc>
        <w:tc>
          <w:tcPr>
            <w:tcW w:w="4216" w:type="pct"/>
            <w:noWrap/>
            <w:hideMark/>
          </w:tcPr>
          <w:p w14:paraId="3C0B5136" w14:textId="77777777" w:rsidR="00013BF9" w:rsidRPr="00A457F8" w:rsidRDefault="00013BF9" w:rsidP="00013BF9">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A457F8">
              <w:rPr>
                <w:rFonts w:ascii="Arial" w:hAnsi="Arial" w:cs="Arial"/>
                <w:kern w:val="0"/>
                <w:sz w:val="22"/>
                <w:szCs w:val="22"/>
                <w14:ligatures w14:val="none"/>
              </w:rPr>
              <w:t>Significant weaknesses included routine use of ADC override functions, inadequate medication verification, failure to utilise barcode scanning, insufficient patient monitoring, weak clinical governance, ineffective leadership oversight, and poor organisational learning. These deficiencies reduced the effectiveness of multiple safety barriers and increased the likelihood of human error (CMS, 2019).</w:t>
            </w:r>
          </w:p>
        </w:tc>
      </w:tr>
      <w:tr w:rsidR="00013BF9" w:rsidRPr="00A457F8" w14:paraId="70690411" w14:textId="77777777" w:rsidTr="00803F9D">
        <w:tc>
          <w:tcPr>
            <w:cnfStyle w:val="001000000000" w:firstRow="0" w:lastRow="0" w:firstColumn="1" w:lastColumn="0" w:oddVBand="0" w:evenVBand="0" w:oddHBand="0" w:evenHBand="0" w:firstRowFirstColumn="0" w:firstRowLastColumn="0" w:lastRowFirstColumn="0" w:lastRowLastColumn="0"/>
            <w:tcW w:w="784" w:type="pct"/>
            <w:noWrap/>
            <w:hideMark/>
          </w:tcPr>
          <w:p w14:paraId="7CA27B00" w14:textId="77777777" w:rsidR="00013BF9" w:rsidRPr="00A457F8" w:rsidRDefault="00013BF9" w:rsidP="00013BF9">
            <w:pPr>
              <w:spacing w:before="100" w:beforeAutospacing="1" w:after="100" w:afterAutospacing="1"/>
              <w:rPr>
                <w:rFonts w:ascii="Arial" w:hAnsi="Arial" w:cs="Arial"/>
                <w:kern w:val="0"/>
                <w:sz w:val="22"/>
                <w:szCs w:val="22"/>
                <w14:ligatures w14:val="none"/>
              </w:rPr>
            </w:pPr>
            <w:r w:rsidRPr="00A457F8">
              <w:rPr>
                <w:rFonts w:ascii="Arial" w:hAnsi="Arial" w:cs="Arial"/>
                <w:kern w:val="0"/>
                <w:sz w:val="22"/>
                <w:szCs w:val="22"/>
                <w14:ligatures w14:val="none"/>
              </w:rPr>
              <w:t>Opportunities</w:t>
            </w:r>
          </w:p>
        </w:tc>
        <w:tc>
          <w:tcPr>
            <w:tcW w:w="4216" w:type="pct"/>
            <w:noWrap/>
            <w:hideMark/>
          </w:tcPr>
          <w:p w14:paraId="0055A35E" w14:textId="77777777" w:rsidR="00013BF9" w:rsidRPr="00A457F8" w:rsidRDefault="00013BF9" w:rsidP="00013BF9">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A457F8">
              <w:rPr>
                <w:rFonts w:ascii="Arial" w:hAnsi="Arial" w:cs="Arial"/>
                <w:kern w:val="0"/>
                <w:sz w:val="22"/>
                <w:szCs w:val="22"/>
                <w14:ligatures w14:val="none"/>
              </w:rPr>
              <w:t>The incident provides an opportunity to strengthen medication safety through improved staff education, enhanced clinical governance, better utilisation of digital technologies, stronger medication administration protocols, regular safety audits, simulation-based training, and development of a Just Culture that promotes transparency and learning from adverse events (ISMP, 2022).</w:t>
            </w:r>
          </w:p>
        </w:tc>
      </w:tr>
      <w:tr w:rsidR="00013BF9" w:rsidRPr="00A457F8" w14:paraId="2E758F39" w14:textId="77777777" w:rsidTr="00803F9D">
        <w:tc>
          <w:tcPr>
            <w:cnfStyle w:val="001000000000" w:firstRow="0" w:lastRow="0" w:firstColumn="1" w:lastColumn="0" w:oddVBand="0" w:evenVBand="0" w:oddHBand="0" w:evenHBand="0" w:firstRowFirstColumn="0" w:firstRowLastColumn="0" w:lastRowFirstColumn="0" w:lastRowLastColumn="0"/>
            <w:tcW w:w="784" w:type="pct"/>
            <w:noWrap/>
            <w:hideMark/>
          </w:tcPr>
          <w:p w14:paraId="07CE05DA" w14:textId="77777777" w:rsidR="00013BF9" w:rsidRPr="00A457F8" w:rsidRDefault="00013BF9" w:rsidP="00013BF9">
            <w:pPr>
              <w:spacing w:before="100" w:beforeAutospacing="1" w:after="100" w:afterAutospacing="1"/>
              <w:rPr>
                <w:rFonts w:ascii="Arial" w:hAnsi="Arial" w:cs="Arial"/>
                <w:kern w:val="0"/>
                <w:sz w:val="22"/>
                <w:szCs w:val="22"/>
                <w14:ligatures w14:val="none"/>
              </w:rPr>
            </w:pPr>
            <w:r w:rsidRPr="00A457F8">
              <w:rPr>
                <w:rFonts w:ascii="Arial" w:hAnsi="Arial" w:cs="Arial"/>
                <w:kern w:val="0"/>
                <w:sz w:val="22"/>
                <w:szCs w:val="22"/>
                <w14:ligatures w14:val="none"/>
              </w:rPr>
              <w:t>Threats</w:t>
            </w:r>
          </w:p>
        </w:tc>
        <w:tc>
          <w:tcPr>
            <w:tcW w:w="4216" w:type="pct"/>
            <w:noWrap/>
            <w:hideMark/>
          </w:tcPr>
          <w:p w14:paraId="05C33FDC" w14:textId="77777777" w:rsidR="00013BF9" w:rsidRPr="00A457F8" w:rsidRDefault="00013BF9" w:rsidP="00013BF9">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A457F8">
              <w:rPr>
                <w:rFonts w:ascii="Arial" w:hAnsi="Arial" w:cs="Arial"/>
                <w:kern w:val="0"/>
                <w:sz w:val="22"/>
                <w:szCs w:val="22"/>
                <w14:ligatures w14:val="none"/>
              </w:rPr>
              <w:t>Continuing reliance on unsafe workarounds, increasing workload pressures, staff shortages, technological failures, fear of criminal prosecution following medical errors, reputational damage, litigation, and declining public trust may discourage incident reporting and hinder continuous quality improvement efforts (Marx, 2001).</w:t>
            </w:r>
          </w:p>
        </w:tc>
      </w:tr>
    </w:tbl>
    <w:p w14:paraId="1C8FAC00" w14:textId="77777777" w:rsidR="00AA672E" w:rsidRPr="00A457F8" w:rsidRDefault="00AA672E">
      <w:pPr>
        <w:pStyle w:val="p1"/>
        <w:rPr>
          <w:rFonts w:ascii="Arial" w:hAnsi="Arial" w:cs="Arial"/>
        </w:rPr>
      </w:pPr>
      <w:r w:rsidRPr="00A457F8">
        <w:rPr>
          <w:rFonts w:ascii="Arial" w:hAnsi="Arial" w:cs="Arial"/>
        </w:rPr>
        <w:t xml:space="preserve">Although Vanderbilt possessed advanced medication safety systems, ineffective implementation reduced their effectiveness. The incident provides opportunities to </w:t>
      </w:r>
      <w:r w:rsidRPr="00A457F8">
        <w:rPr>
          <w:rFonts w:ascii="Arial" w:hAnsi="Arial" w:cs="Arial"/>
        </w:rPr>
        <w:lastRenderedPageBreak/>
        <w:t>improve leadership, digital systems and organisational learning. However, criminal prosecution may discourage future error reporting and weaken patient safety culture.</w:t>
      </w:r>
    </w:p>
    <w:p w14:paraId="4EC6370B" w14:textId="77777777" w:rsidR="00AA672E" w:rsidRPr="00A457F8" w:rsidRDefault="00AA672E">
      <w:pPr>
        <w:pStyle w:val="p2"/>
        <w:rPr>
          <w:rFonts w:ascii="Arial" w:hAnsi="Arial" w:cs="Arial"/>
        </w:rPr>
      </w:pPr>
      <w:r w:rsidRPr="00A457F8">
        <w:rPr>
          <w:rFonts w:ascii="Arial" w:hAnsi="Arial" w:cs="Arial"/>
          <w:b/>
          <w:bCs/>
        </w:rPr>
        <w:t>Critical evaluation</w:t>
      </w:r>
    </w:p>
    <w:p w14:paraId="253A7FEF" w14:textId="77777777" w:rsidR="00AA672E" w:rsidRPr="00A457F8" w:rsidRDefault="00AA672E">
      <w:pPr>
        <w:pStyle w:val="p3"/>
        <w:rPr>
          <w:rFonts w:ascii="Arial" w:hAnsi="Arial" w:cs="Arial"/>
        </w:rPr>
      </w:pPr>
      <w:r w:rsidRPr="00A457F8">
        <w:rPr>
          <w:rFonts w:ascii="Arial" w:hAnsi="Arial" w:cs="Arial"/>
        </w:rPr>
        <w:t>SWOT provides a useful strategic overview but does not explain causal relationships. It is therefore most effective when used with root cause analysis tools.</w:t>
      </w:r>
    </w:p>
    <w:p w14:paraId="3EC6D829" w14:textId="435F6391" w:rsidR="002B5AFF" w:rsidRPr="00A457F8" w:rsidRDefault="002B5AFF" w:rsidP="002B5AFF">
      <w:pPr>
        <w:spacing w:before="100" w:beforeAutospacing="1" w:after="100" w:afterAutospacing="1" w:line="240" w:lineRule="auto"/>
        <w:rPr>
          <w:rFonts w:ascii="Arial" w:hAnsi="Arial" w:cs="Arial"/>
          <w:kern w:val="0"/>
          <w:sz w:val="22"/>
          <w:szCs w:val="22"/>
          <w14:ligatures w14:val="none"/>
        </w:rPr>
      </w:pPr>
    </w:p>
    <w:p w14:paraId="7AF58107" w14:textId="5B9A3BE0" w:rsidR="007E0F1A" w:rsidRPr="00A457F8" w:rsidRDefault="007E0F1A" w:rsidP="002C2C73">
      <w:pPr>
        <w:pStyle w:val="Heading2"/>
        <w:rPr>
          <w:rFonts w:ascii="Arial" w:eastAsia="Times New Roman" w:hAnsi="Arial" w:cs="Arial"/>
        </w:rPr>
      </w:pPr>
      <w:bookmarkStart w:id="36" w:name="_Toc236070670"/>
      <w:r w:rsidRPr="00A457F8">
        <w:rPr>
          <w:rFonts w:ascii="Arial" w:eastAsia="Times New Roman" w:hAnsi="Arial" w:cs="Arial"/>
        </w:rPr>
        <w:t>2.6 Kurt Lewin’s Three-Stage Change Model</w:t>
      </w:r>
      <w:bookmarkEnd w:id="36"/>
      <w:r w:rsidRPr="00A457F8">
        <w:rPr>
          <w:rFonts w:ascii="Arial" w:eastAsia="Times New Roman" w:hAnsi="Arial" w:cs="Arial"/>
        </w:rPr>
        <w:t xml:space="preserve"> </w:t>
      </w:r>
    </w:p>
    <w:p w14:paraId="1E8BD7BD" w14:textId="77777777" w:rsidR="00536EA5" w:rsidRPr="00A457F8" w:rsidRDefault="00536EA5">
      <w:pPr>
        <w:pStyle w:val="p1"/>
        <w:rPr>
          <w:rFonts w:ascii="Arial" w:hAnsi="Arial" w:cs="Arial"/>
        </w:rPr>
      </w:pPr>
      <w:r w:rsidRPr="00A457F8">
        <w:rPr>
          <w:rFonts w:ascii="Arial" w:hAnsi="Arial" w:cs="Arial"/>
        </w:rPr>
        <w:t>Lewin’s Change Model (1947) provides a framework for implementing sustainable organisational improvement.</w:t>
      </w:r>
    </w:p>
    <w:p w14:paraId="6FA9F164" w14:textId="77777777" w:rsidR="00536EA5" w:rsidRPr="00A457F8" w:rsidRDefault="00536EA5" w:rsidP="00536EA5">
      <w:pPr>
        <w:rPr>
          <w:rFonts w:ascii="Arial" w:hAnsi="Arial" w:cs="Arial"/>
        </w:rPr>
      </w:pPr>
    </w:p>
    <w:p w14:paraId="2115FD33" w14:textId="73BC74F2" w:rsidR="00C51BDD" w:rsidRPr="00A457F8" w:rsidRDefault="0099029E" w:rsidP="0099029E">
      <w:pPr>
        <w:spacing w:before="100" w:beforeAutospacing="1" w:after="100" w:afterAutospacing="1" w:line="240" w:lineRule="auto"/>
        <w:jc w:val="center"/>
        <w:rPr>
          <w:rFonts w:ascii="Arial" w:hAnsi="Arial" w:cs="Arial"/>
          <w:kern w:val="0"/>
          <w:sz w:val="22"/>
          <w:szCs w:val="22"/>
          <w14:ligatures w14:val="none"/>
        </w:rPr>
      </w:pPr>
      <w:r w:rsidRPr="00A457F8">
        <w:rPr>
          <w:rFonts w:ascii="Arial" w:hAnsi="Arial" w:cs="Arial"/>
          <w:noProof/>
        </w:rPr>
        <w:drawing>
          <wp:inline distT="0" distB="0" distL="0" distR="0" wp14:anchorId="160AE4E8" wp14:editId="0ADAD0C4">
            <wp:extent cx="3188473" cy="1594237"/>
            <wp:effectExtent l="0" t="0" r="0" b="6350"/>
            <wp:docPr id="83720988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99058" cy="1599529"/>
                    </a:xfrm>
                    <a:prstGeom prst="rect">
                      <a:avLst/>
                    </a:prstGeom>
                    <a:noFill/>
                    <a:ln>
                      <a:noFill/>
                    </a:ln>
                  </pic:spPr>
                </pic:pic>
              </a:graphicData>
            </a:graphic>
          </wp:inline>
        </w:drawing>
      </w:r>
    </w:p>
    <w:p w14:paraId="6911B2A5" w14:textId="77777777" w:rsidR="00711716" w:rsidRPr="00A457F8" w:rsidRDefault="00711716" w:rsidP="00711716">
      <w:pPr>
        <w:spacing w:before="100" w:beforeAutospacing="1" w:after="100" w:afterAutospacing="1" w:line="240" w:lineRule="auto"/>
        <w:outlineLvl w:val="2"/>
        <w:rPr>
          <w:rFonts w:ascii="Arial" w:eastAsia="Times New Roman" w:hAnsi="Arial" w:cs="Arial"/>
          <w:b/>
          <w:bCs/>
          <w:kern w:val="0"/>
          <w:sz w:val="27"/>
          <w:szCs w:val="27"/>
          <w14:ligatures w14:val="none"/>
        </w:rPr>
      </w:pPr>
      <w:r w:rsidRPr="00A457F8">
        <w:rPr>
          <w:rFonts w:ascii="Arial" w:eastAsia="Times New Roman" w:hAnsi="Arial" w:cs="Arial"/>
          <w:b/>
          <w:bCs/>
          <w:kern w:val="0"/>
          <w:sz w:val="27"/>
          <w:szCs w:val="27"/>
          <w14:ligatures w14:val="none"/>
        </w:rPr>
        <w:t>Unfreeze</w:t>
      </w:r>
    </w:p>
    <w:p w14:paraId="66FF571B" w14:textId="77777777" w:rsidR="00711716" w:rsidRPr="00A457F8" w:rsidRDefault="00711716" w:rsidP="00711716">
      <w:pPr>
        <w:spacing w:before="100" w:beforeAutospacing="1" w:after="100" w:afterAutospacing="1" w:line="240" w:lineRule="auto"/>
        <w:rPr>
          <w:rFonts w:ascii="Arial" w:hAnsi="Arial" w:cs="Arial"/>
          <w:kern w:val="0"/>
          <w14:ligatures w14:val="none"/>
        </w:rPr>
      </w:pPr>
      <w:r w:rsidRPr="00A457F8">
        <w:rPr>
          <w:rFonts w:ascii="Arial" w:hAnsi="Arial" w:cs="Arial"/>
          <w:kern w:val="0"/>
          <w14:ligatures w14:val="none"/>
        </w:rPr>
        <w:t>Leadership should acknowledge failures within medication management, communicate lessons from the incident and encourage open reporting through a Just Culture. Unsafe practices such as routine ADC overrides must be recognised as unacceptable.</w:t>
      </w:r>
    </w:p>
    <w:p w14:paraId="6CBD879D" w14:textId="77777777" w:rsidR="00711716" w:rsidRPr="00A457F8" w:rsidRDefault="00711716" w:rsidP="00711716">
      <w:pPr>
        <w:spacing w:before="100" w:beforeAutospacing="1" w:after="100" w:afterAutospacing="1" w:line="240" w:lineRule="auto"/>
        <w:outlineLvl w:val="2"/>
        <w:rPr>
          <w:rFonts w:ascii="Arial" w:eastAsia="Times New Roman" w:hAnsi="Arial" w:cs="Arial"/>
          <w:b/>
          <w:bCs/>
          <w:kern w:val="0"/>
          <w:sz w:val="27"/>
          <w:szCs w:val="27"/>
          <w14:ligatures w14:val="none"/>
        </w:rPr>
      </w:pPr>
      <w:r w:rsidRPr="00A457F8">
        <w:rPr>
          <w:rFonts w:ascii="Arial" w:eastAsia="Times New Roman" w:hAnsi="Arial" w:cs="Arial"/>
          <w:b/>
          <w:bCs/>
          <w:kern w:val="0"/>
          <w:sz w:val="27"/>
          <w:szCs w:val="27"/>
          <w14:ligatures w14:val="none"/>
        </w:rPr>
        <w:t>Change</w:t>
      </w:r>
    </w:p>
    <w:p w14:paraId="3E0885F3" w14:textId="77777777" w:rsidR="00711716" w:rsidRPr="00A457F8" w:rsidRDefault="00711716" w:rsidP="00711716">
      <w:pPr>
        <w:spacing w:before="100" w:beforeAutospacing="1" w:after="100" w:afterAutospacing="1" w:line="240" w:lineRule="auto"/>
        <w:rPr>
          <w:rFonts w:ascii="Arial" w:hAnsi="Arial" w:cs="Arial"/>
          <w:kern w:val="0"/>
          <w14:ligatures w14:val="none"/>
        </w:rPr>
      </w:pPr>
      <w:r w:rsidRPr="00A457F8">
        <w:rPr>
          <w:rFonts w:ascii="Arial" w:hAnsi="Arial" w:cs="Arial"/>
          <w:kern w:val="0"/>
          <w14:ligatures w14:val="none"/>
        </w:rPr>
        <w:t>Medication safety should be strengthened by restricting override use, enforcing barcode medication administration, improving staff training, conducting regular competency assessments and increasing leadership monitoring through audits and medication safety reviews (ISMP, 2022).</w:t>
      </w:r>
    </w:p>
    <w:p w14:paraId="6807951D" w14:textId="77777777" w:rsidR="00711716" w:rsidRPr="00A457F8" w:rsidRDefault="00711716" w:rsidP="00711716">
      <w:pPr>
        <w:spacing w:before="100" w:beforeAutospacing="1" w:after="100" w:afterAutospacing="1" w:line="240" w:lineRule="auto"/>
        <w:outlineLvl w:val="2"/>
        <w:rPr>
          <w:rFonts w:ascii="Arial" w:eastAsia="Times New Roman" w:hAnsi="Arial" w:cs="Arial"/>
          <w:b/>
          <w:bCs/>
          <w:kern w:val="0"/>
          <w:sz w:val="27"/>
          <w:szCs w:val="27"/>
          <w14:ligatures w14:val="none"/>
        </w:rPr>
      </w:pPr>
      <w:r w:rsidRPr="00A457F8">
        <w:rPr>
          <w:rFonts w:ascii="Arial" w:eastAsia="Times New Roman" w:hAnsi="Arial" w:cs="Arial"/>
          <w:b/>
          <w:bCs/>
          <w:kern w:val="0"/>
          <w:sz w:val="27"/>
          <w:szCs w:val="27"/>
          <w14:ligatures w14:val="none"/>
        </w:rPr>
        <w:t>Refreeze</w:t>
      </w:r>
    </w:p>
    <w:p w14:paraId="05F07193" w14:textId="77777777" w:rsidR="00711716" w:rsidRPr="00A457F8" w:rsidRDefault="00711716" w:rsidP="00711716">
      <w:pPr>
        <w:spacing w:before="100" w:beforeAutospacing="1" w:after="100" w:afterAutospacing="1" w:line="240" w:lineRule="auto"/>
        <w:rPr>
          <w:rFonts w:ascii="Arial" w:hAnsi="Arial" w:cs="Arial"/>
          <w:kern w:val="0"/>
          <w14:ligatures w14:val="none"/>
        </w:rPr>
      </w:pPr>
      <w:r w:rsidRPr="00A457F8">
        <w:rPr>
          <w:rFonts w:ascii="Arial" w:hAnsi="Arial" w:cs="Arial"/>
          <w:kern w:val="0"/>
          <w14:ligatures w14:val="none"/>
        </w:rPr>
        <w:t>Improved practices should become standard through continuous education, clinical audits, incident reporting, performance monitoring and regular review of medication safety indicators. Embedding these changes within organisational culture supports long-term patient safety.</w:t>
      </w:r>
    </w:p>
    <w:p w14:paraId="7441C76D" w14:textId="77777777" w:rsidR="00711716" w:rsidRPr="00A457F8" w:rsidRDefault="00711716" w:rsidP="00711716">
      <w:pPr>
        <w:spacing w:before="100" w:beforeAutospacing="1" w:after="100" w:afterAutospacing="1" w:line="240" w:lineRule="auto"/>
        <w:rPr>
          <w:rFonts w:ascii="Arial" w:hAnsi="Arial" w:cs="Arial"/>
          <w:kern w:val="0"/>
          <w14:ligatures w14:val="none"/>
        </w:rPr>
      </w:pPr>
      <w:r w:rsidRPr="00A457F8">
        <w:rPr>
          <w:rFonts w:ascii="Arial" w:hAnsi="Arial" w:cs="Arial"/>
          <w:b/>
          <w:bCs/>
          <w:kern w:val="0"/>
          <w14:ligatures w14:val="none"/>
        </w:rPr>
        <w:t>Critical evaluation</w:t>
      </w:r>
    </w:p>
    <w:p w14:paraId="1A8C9530" w14:textId="77777777" w:rsidR="00711716" w:rsidRPr="00A457F8" w:rsidRDefault="00711716" w:rsidP="00711716">
      <w:pPr>
        <w:spacing w:before="100" w:beforeAutospacing="1" w:after="100" w:afterAutospacing="1" w:line="240" w:lineRule="auto"/>
        <w:rPr>
          <w:rFonts w:ascii="Arial" w:hAnsi="Arial" w:cs="Arial"/>
          <w:kern w:val="0"/>
          <w14:ligatures w14:val="none"/>
        </w:rPr>
      </w:pPr>
      <w:r w:rsidRPr="00A457F8">
        <w:rPr>
          <w:rFonts w:ascii="Arial" w:hAnsi="Arial" w:cs="Arial"/>
          <w:kern w:val="0"/>
          <w14:ligatures w14:val="none"/>
        </w:rPr>
        <w:lastRenderedPageBreak/>
        <w:t>Lewin’s model provides a clear and practical approach for implementing healthcare improvement. However, it assumes change occurs in fixed stages, whereas healthcare organisations often experience continuous and dynamic change. Despite this limitation, it remains useful for guiding sustainable medication safety improvements following adverse events.</w:t>
      </w:r>
    </w:p>
    <w:p w14:paraId="49B2EC36" w14:textId="77777777" w:rsidR="00536EA5" w:rsidRPr="00A457F8" w:rsidRDefault="00536EA5" w:rsidP="00536EA5">
      <w:pPr>
        <w:spacing w:before="100" w:beforeAutospacing="1" w:after="100" w:afterAutospacing="1" w:line="240" w:lineRule="auto"/>
        <w:rPr>
          <w:rFonts w:ascii="Arial" w:hAnsi="Arial" w:cs="Arial"/>
          <w:kern w:val="0"/>
          <w:sz w:val="22"/>
          <w:szCs w:val="22"/>
          <w14:ligatures w14:val="none"/>
        </w:rPr>
      </w:pPr>
    </w:p>
    <w:p w14:paraId="00FAF4EF" w14:textId="1B16528F" w:rsidR="00E34541" w:rsidRPr="00A457F8" w:rsidRDefault="00E34541" w:rsidP="002C2C73">
      <w:pPr>
        <w:pStyle w:val="Heading1"/>
        <w:rPr>
          <w:rFonts w:ascii="Arial" w:eastAsia="Times New Roman" w:hAnsi="Arial" w:cs="Arial"/>
        </w:rPr>
      </w:pPr>
      <w:bookmarkStart w:id="37" w:name="_Toc236070675"/>
      <w:r w:rsidRPr="00A457F8">
        <w:rPr>
          <w:rFonts w:ascii="Arial" w:eastAsia="Times New Roman" w:hAnsi="Arial" w:cs="Arial"/>
        </w:rPr>
        <w:t>3. Recommendations</w:t>
      </w:r>
      <w:bookmarkEnd w:id="37"/>
      <w:r w:rsidRPr="00A457F8">
        <w:rPr>
          <w:rFonts w:ascii="Arial" w:eastAsia="Times New Roman" w:hAnsi="Arial" w:cs="Arial"/>
        </w:rPr>
        <w:t xml:space="preserve"> </w:t>
      </w:r>
    </w:p>
    <w:p w14:paraId="4427FE8C" w14:textId="47BE8398" w:rsidR="00E34541" w:rsidRPr="00A457F8" w:rsidRDefault="00E34541" w:rsidP="00E34541">
      <w:pPr>
        <w:spacing w:after="0" w:line="240" w:lineRule="auto"/>
        <w:rPr>
          <w:rFonts w:ascii="Arial" w:eastAsia="Times New Roman" w:hAnsi="Arial" w:cs="Arial"/>
          <w:kern w:val="0"/>
          <w:sz w:val="22"/>
          <w:szCs w:val="22"/>
          <w14:ligatures w14:val="none"/>
        </w:rPr>
      </w:pPr>
      <w:r w:rsidRPr="00A457F8">
        <w:rPr>
          <w:rFonts w:ascii="Arial" w:eastAsia="Times New Roman" w:hAnsi="Arial" w:cs="Arial"/>
          <w:kern w:val="0"/>
          <w:sz w:val="22"/>
          <w:szCs w:val="22"/>
          <w14:ligatures w14:val="none"/>
        </w:rPr>
        <w:t xml:space="preserve">The </w:t>
      </w:r>
      <w:proofErr w:type="spellStart"/>
      <w:r w:rsidRPr="00A457F8">
        <w:rPr>
          <w:rFonts w:ascii="Arial" w:eastAsia="Times New Roman" w:hAnsi="Arial" w:cs="Arial"/>
          <w:kern w:val="0"/>
          <w:sz w:val="22"/>
          <w:szCs w:val="22"/>
          <w14:ligatures w14:val="none"/>
        </w:rPr>
        <w:t>RaDonda</w:t>
      </w:r>
      <w:proofErr w:type="spellEnd"/>
      <w:r w:rsidRPr="00A457F8">
        <w:rPr>
          <w:rFonts w:ascii="Arial" w:eastAsia="Times New Roman" w:hAnsi="Arial" w:cs="Arial"/>
          <w:kern w:val="0"/>
          <w:sz w:val="22"/>
          <w:szCs w:val="22"/>
          <w14:ligatures w14:val="none"/>
        </w:rPr>
        <w:t xml:space="preserve"> Vaught case demonstrates that patient safety failures rarely </w:t>
      </w:r>
      <w:r w:rsidR="00713C2F" w:rsidRPr="00A457F8">
        <w:rPr>
          <w:rFonts w:ascii="Arial" w:eastAsia="Times New Roman" w:hAnsi="Arial" w:cs="Arial"/>
          <w:kern w:val="0"/>
          <w:sz w:val="22"/>
          <w:szCs w:val="22"/>
          <w14:ligatures w14:val="none"/>
        </w:rPr>
        <w:t xml:space="preserve">result from </w:t>
      </w:r>
      <w:r w:rsidRPr="00A457F8">
        <w:rPr>
          <w:rFonts w:ascii="Arial" w:eastAsia="Times New Roman" w:hAnsi="Arial" w:cs="Arial"/>
          <w:kern w:val="0"/>
          <w:sz w:val="22"/>
          <w:szCs w:val="22"/>
          <w14:ligatures w14:val="none"/>
        </w:rPr>
        <w:t xml:space="preserve">a single </w:t>
      </w:r>
      <w:r w:rsidR="00713C2F" w:rsidRPr="00A457F8">
        <w:rPr>
          <w:rFonts w:ascii="Arial" w:eastAsia="Times New Roman" w:hAnsi="Arial" w:cs="Arial"/>
          <w:kern w:val="0"/>
          <w:sz w:val="22"/>
          <w:szCs w:val="22"/>
          <w14:ligatures w14:val="none"/>
        </w:rPr>
        <w:t>individual’s actions.</w:t>
      </w:r>
      <w:r w:rsidRPr="00A457F8">
        <w:rPr>
          <w:rFonts w:ascii="Arial" w:eastAsia="Times New Roman" w:hAnsi="Arial" w:cs="Arial"/>
          <w:kern w:val="0"/>
          <w:sz w:val="22"/>
          <w:szCs w:val="22"/>
          <w14:ligatures w14:val="none"/>
        </w:rPr>
        <w:t xml:space="preserve"> Instead, they </w:t>
      </w:r>
      <w:r w:rsidR="00713C2F" w:rsidRPr="00A457F8">
        <w:rPr>
          <w:rFonts w:ascii="Arial" w:eastAsia="Times New Roman" w:hAnsi="Arial" w:cs="Arial"/>
          <w:kern w:val="0"/>
          <w:sz w:val="22"/>
          <w:szCs w:val="22"/>
          <w14:ligatures w14:val="none"/>
        </w:rPr>
        <w:t>arise</w:t>
      </w:r>
      <w:r w:rsidRPr="00A457F8">
        <w:rPr>
          <w:rFonts w:ascii="Arial" w:eastAsia="Times New Roman" w:hAnsi="Arial" w:cs="Arial"/>
          <w:kern w:val="0"/>
          <w:sz w:val="22"/>
          <w:szCs w:val="22"/>
          <w14:ligatures w14:val="none"/>
        </w:rPr>
        <w:t xml:space="preserve"> from weaknesses in organisational systems, leadership, technology, communication, and </w:t>
      </w:r>
      <w:r w:rsidR="00713C2F" w:rsidRPr="00A457F8">
        <w:rPr>
          <w:rFonts w:ascii="Arial" w:eastAsia="Times New Roman" w:hAnsi="Arial" w:cs="Arial"/>
          <w:kern w:val="0"/>
          <w:sz w:val="22"/>
          <w:szCs w:val="22"/>
          <w14:ligatures w14:val="none"/>
        </w:rPr>
        <w:t>governance. Sustainable</w:t>
      </w:r>
      <w:r w:rsidRPr="00A457F8">
        <w:rPr>
          <w:rFonts w:ascii="Arial" w:eastAsia="Times New Roman" w:hAnsi="Arial" w:cs="Arial"/>
          <w:kern w:val="0"/>
          <w:sz w:val="22"/>
          <w:szCs w:val="22"/>
          <w14:ligatures w14:val="none"/>
        </w:rPr>
        <w:t xml:space="preserve"> improvement </w:t>
      </w:r>
      <w:r w:rsidR="00713C2F" w:rsidRPr="00A457F8">
        <w:rPr>
          <w:rFonts w:ascii="Arial" w:eastAsia="Times New Roman" w:hAnsi="Arial" w:cs="Arial"/>
          <w:kern w:val="0"/>
          <w:sz w:val="22"/>
          <w:szCs w:val="22"/>
          <w14:ligatures w14:val="none"/>
        </w:rPr>
        <w:t xml:space="preserve">therefore </w:t>
      </w:r>
      <w:r w:rsidRPr="00A457F8">
        <w:rPr>
          <w:rFonts w:ascii="Arial" w:eastAsia="Times New Roman" w:hAnsi="Arial" w:cs="Arial"/>
          <w:kern w:val="0"/>
          <w:sz w:val="22"/>
          <w:szCs w:val="22"/>
          <w14:ligatures w14:val="none"/>
        </w:rPr>
        <w:t xml:space="preserve">requires a </w:t>
      </w:r>
      <w:r w:rsidR="00713C2F" w:rsidRPr="00A457F8">
        <w:rPr>
          <w:rFonts w:ascii="Arial" w:eastAsia="Times New Roman" w:hAnsi="Arial" w:cs="Arial"/>
          <w:kern w:val="0"/>
          <w:sz w:val="22"/>
          <w:szCs w:val="22"/>
          <w14:ligatures w14:val="none"/>
        </w:rPr>
        <w:t xml:space="preserve">systems-based </w:t>
      </w:r>
      <w:r w:rsidRPr="00A457F8">
        <w:rPr>
          <w:rFonts w:ascii="Arial" w:eastAsia="Times New Roman" w:hAnsi="Arial" w:cs="Arial"/>
          <w:kern w:val="0"/>
          <w:sz w:val="22"/>
          <w:szCs w:val="22"/>
          <w14:ligatures w14:val="none"/>
        </w:rPr>
        <w:t xml:space="preserve">approach that addresses both human and </w:t>
      </w:r>
      <w:r w:rsidR="00713C2F" w:rsidRPr="00A457F8">
        <w:rPr>
          <w:rFonts w:ascii="Arial" w:eastAsia="Times New Roman" w:hAnsi="Arial" w:cs="Arial"/>
          <w:kern w:val="0"/>
          <w:sz w:val="22"/>
          <w:szCs w:val="22"/>
          <w14:ligatures w14:val="none"/>
        </w:rPr>
        <w:t>organisational</w:t>
      </w:r>
      <w:r w:rsidRPr="00A457F8">
        <w:rPr>
          <w:rFonts w:ascii="Arial" w:eastAsia="Times New Roman" w:hAnsi="Arial" w:cs="Arial"/>
          <w:kern w:val="0"/>
          <w:sz w:val="22"/>
          <w:szCs w:val="22"/>
          <w14:ligatures w14:val="none"/>
        </w:rPr>
        <w:t xml:space="preserve"> factors. The following recommendations are </w:t>
      </w:r>
      <w:r w:rsidR="00713C2F" w:rsidRPr="00A457F8">
        <w:rPr>
          <w:rFonts w:ascii="Arial" w:eastAsia="Times New Roman" w:hAnsi="Arial" w:cs="Arial"/>
          <w:kern w:val="0"/>
          <w:sz w:val="22"/>
          <w:szCs w:val="22"/>
          <w14:ligatures w14:val="none"/>
        </w:rPr>
        <w:t xml:space="preserve">informed by </w:t>
      </w:r>
      <w:r w:rsidRPr="00A457F8">
        <w:rPr>
          <w:rFonts w:ascii="Arial" w:eastAsia="Times New Roman" w:hAnsi="Arial" w:cs="Arial"/>
          <w:kern w:val="0"/>
          <w:sz w:val="22"/>
          <w:szCs w:val="22"/>
          <w14:ligatures w14:val="none"/>
        </w:rPr>
        <w:t>current patient safety evidence and quality improvement principles</w:t>
      </w:r>
    </w:p>
    <w:p w14:paraId="4D5D0C89" w14:textId="77777777" w:rsidR="00E34541" w:rsidRPr="00A457F8" w:rsidRDefault="00E34541" w:rsidP="002C2C73">
      <w:pPr>
        <w:pStyle w:val="Heading2"/>
        <w:rPr>
          <w:rFonts w:ascii="Arial" w:eastAsia="Times New Roman" w:hAnsi="Arial" w:cs="Arial"/>
        </w:rPr>
      </w:pPr>
      <w:bookmarkStart w:id="38" w:name="_Toc236070676"/>
      <w:r w:rsidRPr="00A457F8">
        <w:rPr>
          <w:rFonts w:ascii="Arial" w:eastAsia="Times New Roman" w:hAnsi="Arial" w:cs="Arial"/>
        </w:rPr>
        <w:t>Recommendation 1: Strengthen Medication Safety and Clinical Governance</w:t>
      </w:r>
      <w:bookmarkEnd w:id="38"/>
    </w:p>
    <w:p w14:paraId="0C0C62C7" w14:textId="5B6EAE22" w:rsidR="00E34541" w:rsidRPr="00A457F8" w:rsidRDefault="00E34541" w:rsidP="00E34541">
      <w:pPr>
        <w:spacing w:after="0" w:line="240" w:lineRule="auto"/>
        <w:rPr>
          <w:rFonts w:ascii="Arial" w:eastAsia="Times New Roman" w:hAnsi="Arial" w:cs="Arial"/>
          <w:kern w:val="0"/>
          <w:sz w:val="22"/>
          <w:szCs w:val="22"/>
          <w14:ligatures w14:val="none"/>
        </w:rPr>
      </w:pPr>
      <w:r w:rsidRPr="00A457F8">
        <w:rPr>
          <w:rFonts w:ascii="Arial" w:eastAsia="Times New Roman" w:hAnsi="Arial" w:cs="Arial"/>
          <w:kern w:val="0"/>
          <w:sz w:val="22"/>
          <w:szCs w:val="22"/>
          <w14:ligatures w14:val="none"/>
        </w:rPr>
        <w:t xml:space="preserve">Healthcare organisations should strengthen clinical governance by </w:t>
      </w:r>
      <w:r w:rsidR="00DF0DC8" w:rsidRPr="00A457F8">
        <w:rPr>
          <w:rFonts w:ascii="Arial" w:eastAsia="Times New Roman" w:hAnsi="Arial" w:cs="Arial"/>
          <w:kern w:val="0"/>
          <w:sz w:val="22"/>
          <w:szCs w:val="22"/>
          <w14:ligatures w14:val="none"/>
        </w:rPr>
        <w:t>implementing</w:t>
      </w:r>
      <w:r w:rsidRPr="00A457F8">
        <w:rPr>
          <w:rFonts w:ascii="Arial" w:eastAsia="Times New Roman" w:hAnsi="Arial" w:cs="Arial"/>
          <w:kern w:val="0"/>
          <w:sz w:val="22"/>
          <w:szCs w:val="22"/>
          <w14:ligatures w14:val="none"/>
        </w:rPr>
        <w:t xml:space="preserve"> robust medication safety policies, regular audits, and multidisciplinary governance committees </w:t>
      </w:r>
      <w:r w:rsidR="00DF0DC8" w:rsidRPr="00A457F8">
        <w:rPr>
          <w:rFonts w:ascii="Arial" w:eastAsia="Times New Roman" w:hAnsi="Arial" w:cs="Arial"/>
          <w:kern w:val="0"/>
          <w:sz w:val="22"/>
          <w:szCs w:val="22"/>
          <w14:ligatures w14:val="none"/>
        </w:rPr>
        <w:t xml:space="preserve">to monitor </w:t>
      </w:r>
      <w:r w:rsidRPr="00A457F8">
        <w:rPr>
          <w:rFonts w:ascii="Arial" w:eastAsia="Times New Roman" w:hAnsi="Arial" w:cs="Arial"/>
          <w:kern w:val="0"/>
          <w:sz w:val="22"/>
          <w:szCs w:val="22"/>
          <w14:ligatures w14:val="none"/>
        </w:rPr>
        <w:t xml:space="preserve">medication-related incidents. Medication errors and near misses should be reviewed </w:t>
      </w:r>
      <w:r w:rsidR="00DF0DC8" w:rsidRPr="00A457F8">
        <w:rPr>
          <w:rFonts w:ascii="Arial" w:eastAsia="Times New Roman" w:hAnsi="Arial" w:cs="Arial"/>
          <w:kern w:val="0"/>
          <w:sz w:val="22"/>
          <w:szCs w:val="22"/>
          <w14:ligatures w14:val="none"/>
        </w:rPr>
        <w:t>routinely</w:t>
      </w:r>
      <w:r w:rsidRPr="00A457F8">
        <w:rPr>
          <w:rFonts w:ascii="Arial" w:eastAsia="Times New Roman" w:hAnsi="Arial" w:cs="Arial"/>
          <w:kern w:val="0"/>
          <w:sz w:val="22"/>
          <w:szCs w:val="22"/>
          <w14:ligatures w14:val="none"/>
        </w:rPr>
        <w:t xml:space="preserve"> to identify trends and implement corrective actions</w:t>
      </w:r>
      <w:r w:rsidR="00DF0DC8" w:rsidRPr="00A457F8">
        <w:rPr>
          <w:rFonts w:ascii="Arial" w:eastAsia="Times New Roman" w:hAnsi="Arial" w:cs="Arial"/>
          <w:kern w:val="0"/>
          <w:sz w:val="22"/>
          <w:szCs w:val="22"/>
          <w14:ligatures w14:val="none"/>
        </w:rPr>
        <w:t>. Organisations</w:t>
      </w:r>
      <w:r w:rsidRPr="00A457F8">
        <w:rPr>
          <w:rFonts w:ascii="Arial" w:eastAsia="Times New Roman" w:hAnsi="Arial" w:cs="Arial"/>
          <w:kern w:val="0"/>
          <w:sz w:val="22"/>
          <w:szCs w:val="22"/>
          <w14:ligatures w14:val="none"/>
        </w:rPr>
        <w:t xml:space="preserve"> should ensure </w:t>
      </w:r>
      <w:r w:rsidR="00DF0DC8" w:rsidRPr="00A457F8">
        <w:rPr>
          <w:rFonts w:ascii="Arial" w:eastAsia="Times New Roman" w:hAnsi="Arial" w:cs="Arial"/>
          <w:kern w:val="0"/>
          <w:sz w:val="22"/>
          <w:szCs w:val="22"/>
          <w14:ligatures w14:val="none"/>
        </w:rPr>
        <w:t xml:space="preserve">compliance with </w:t>
      </w:r>
      <w:r w:rsidRPr="00A457F8">
        <w:rPr>
          <w:rFonts w:ascii="Arial" w:eastAsia="Times New Roman" w:hAnsi="Arial" w:cs="Arial"/>
          <w:kern w:val="0"/>
          <w:sz w:val="22"/>
          <w:szCs w:val="22"/>
          <w14:ligatures w14:val="none"/>
        </w:rPr>
        <w:t>the Five Rights of Medication Administration (right patient, medication, dose, route, and time</w:t>
      </w:r>
      <w:r w:rsidR="00DF0DC8" w:rsidRPr="00A457F8">
        <w:rPr>
          <w:rFonts w:ascii="Arial" w:eastAsia="Times New Roman" w:hAnsi="Arial" w:cs="Arial"/>
          <w:kern w:val="0"/>
          <w:sz w:val="22"/>
          <w:szCs w:val="22"/>
          <w14:ligatures w14:val="none"/>
        </w:rPr>
        <w:t xml:space="preserve">) through regular monitoring and </w:t>
      </w:r>
      <w:r w:rsidRPr="00A457F8">
        <w:rPr>
          <w:rFonts w:ascii="Arial" w:eastAsia="Times New Roman" w:hAnsi="Arial" w:cs="Arial"/>
          <w:kern w:val="0"/>
          <w:sz w:val="22"/>
          <w:szCs w:val="22"/>
          <w14:ligatures w14:val="none"/>
        </w:rPr>
        <w:t xml:space="preserve">governance </w:t>
      </w:r>
      <w:r w:rsidR="00DF0DC8" w:rsidRPr="00A457F8">
        <w:rPr>
          <w:rFonts w:ascii="Arial" w:eastAsia="Times New Roman" w:hAnsi="Arial" w:cs="Arial"/>
          <w:kern w:val="0"/>
          <w:sz w:val="22"/>
          <w:szCs w:val="22"/>
          <w14:ligatures w14:val="none"/>
        </w:rPr>
        <w:t>reviews. Strong governance enhances</w:t>
      </w:r>
      <w:r w:rsidRPr="00A457F8">
        <w:rPr>
          <w:rFonts w:ascii="Arial" w:eastAsia="Times New Roman" w:hAnsi="Arial" w:cs="Arial"/>
          <w:kern w:val="0"/>
          <w:sz w:val="22"/>
          <w:szCs w:val="22"/>
          <w14:ligatures w14:val="none"/>
        </w:rPr>
        <w:t xml:space="preserve"> organisational </w:t>
      </w:r>
      <w:r w:rsidR="00DF0DC8" w:rsidRPr="00A457F8">
        <w:rPr>
          <w:rFonts w:ascii="Arial" w:eastAsia="Times New Roman" w:hAnsi="Arial" w:cs="Arial"/>
          <w:kern w:val="0"/>
          <w:sz w:val="22"/>
          <w:szCs w:val="22"/>
          <w14:ligatures w14:val="none"/>
        </w:rPr>
        <w:t>accountability, improves</w:t>
      </w:r>
      <w:r w:rsidRPr="00A457F8">
        <w:rPr>
          <w:rFonts w:ascii="Arial" w:eastAsia="Times New Roman" w:hAnsi="Arial" w:cs="Arial"/>
          <w:kern w:val="0"/>
          <w:sz w:val="22"/>
          <w:szCs w:val="22"/>
          <w14:ligatures w14:val="none"/>
        </w:rPr>
        <w:t xml:space="preserve"> oversight, and </w:t>
      </w:r>
      <w:r w:rsidR="00DF0DC8" w:rsidRPr="00A457F8">
        <w:rPr>
          <w:rFonts w:ascii="Arial" w:eastAsia="Times New Roman" w:hAnsi="Arial" w:cs="Arial"/>
          <w:kern w:val="0"/>
          <w:sz w:val="22"/>
          <w:szCs w:val="22"/>
          <w14:ligatures w14:val="none"/>
        </w:rPr>
        <w:t>supports</w:t>
      </w:r>
      <w:r w:rsidRPr="00A457F8">
        <w:rPr>
          <w:rFonts w:ascii="Arial" w:eastAsia="Times New Roman" w:hAnsi="Arial" w:cs="Arial"/>
          <w:kern w:val="0"/>
          <w:sz w:val="22"/>
          <w:szCs w:val="22"/>
          <w14:ligatures w14:val="none"/>
        </w:rPr>
        <w:t xml:space="preserve"> continuous quality improvement (AHRQ, 2022).</w:t>
      </w:r>
    </w:p>
    <w:p w14:paraId="52361F18" w14:textId="77777777" w:rsidR="00E34541" w:rsidRPr="00A457F8" w:rsidRDefault="00E34541" w:rsidP="002C2C73">
      <w:pPr>
        <w:pStyle w:val="Heading2"/>
        <w:rPr>
          <w:rFonts w:ascii="Arial" w:hAnsi="Arial" w:cs="Arial"/>
        </w:rPr>
      </w:pPr>
      <w:bookmarkStart w:id="39" w:name="_Toc236070677"/>
      <w:r w:rsidRPr="00A457F8">
        <w:rPr>
          <w:rFonts w:ascii="Arial" w:eastAsia="Times New Roman" w:hAnsi="Arial" w:cs="Arial"/>
        </w:rPr>
        <w:t>Recommendation 2: Improve Medication Technology and Barcode Medication Administration (BCMA)</w:t>
      </w:r>
      <w:bookmarkEnd w:id="39"/>
    </w:p>
    <w:p w14:paraId="07BDF0A1" w14:textId="0C7B7939" w:rsidR="00E34541" w:rsidRPr="00A457F8" w:rsidRDefault="00440A00" w:rsidP="00E34541">
      <w:pPr>
        <w:spacing w:after="0" w:line="240" w:lineRule="auto"/>
        <w:rPr>
          <w:rFonts w:ascii="Arial" w:eastAsia="Times New Roman" w:hAnsi="Arial" w:cs="Arial"/>
          <w:kern w:val="0"/>
          <w:sz w:val="22"/>
          <w:szCs w:val="22"/>
          <w14:ligatures w14:val="none"/>
        </w:rPr>
      </w:pPr>
      <w:r w:rsidRPr="00A457F8">
        <w:rPr>
          <w:rFonts w:ascii="Arial" w:eastAsia="Times New Roman" w:hAnsi="Arial" w:cs="Arial"/>
          <w:kern w:val="0"/>
          <w:sz w:val="22"/>
          <w:szCs w:val="22"/>
          <w14:ligatures w14:val="none"/>
        </w:rPr>
        <w:t>Electronic</w:t>
      </w:r>
      <w:r w:rsidR="00E34541" w:rsidRPr="00A457F8">
        <w:rPr>
          <w:rFonts w:ascii="Arial" w:eastAsia="Times New Roman" w:hAnsi="Arial" w:cs="Arial"/>
          <w:kern w:val="0"/>
          <w:sz w:val="22"/>
          <w:szCs w:val="22"/>
          <w14:ligatures w14:val="none"/>
        </w:rPr>
        <w:t xml:space="preserve"> medication management systems </w:t>
      </w:r>
      <w:r w:rsidRPr="00A457F8">
        <w:rPr>
          <w:rFonts w:ascii="Arial" w:eastAsia="Times New Roman" w:hAnsi="Arial" w:cs="Arial"/>
          <w:kern w:val="0"/>
          <w:sz w:val="22"/>
          <w:szCs w:val="22"/>
          <w14:ligatures w14:val="none"/>
        </w:rPr>
        <w:t xml:space="preserve">should be optimised to reduce </w:t>
      </w:r>
      <w:r w:rsidR="00E34541" w:rsidRPr="00A457F8">
        <w:rPr>
          <w:rFonts w:ascii="Arial" w:eastAsia="Times New Roman" w:hAnsi="Arial" w:cs="Arial"/>
          <w:kern w:val="0"/>
          <w:sz w:val="22"/>
          <w:szCs w:val="22"/>
          <w14:ligatures w14:val="none"/>
        </w:rPr>
        <w:t xml:space="preserve">opportunities for human error. Barcode Medication Administration (BCMA) should be mandatory for all </w:t>
      </w:r>
      <w:r w:rsidRPr="00A457F8">
        <w:rPr>
          <w:rFonts w:ascii="Arial" w:eastAsia="Times New Roman" w:hAnsi="Arial" w:cs="Arial"/>
          <w:kern w:val="0"/>
          <w:sz w:val="22"/>
          <w:szCs w:val="22"/>
          <w14:ligatures w14:val="none"/>
        </w:rPr>
        <w:t>routine</w:t>
      </w:r>
      <w:r w:rsidR="00E34541" w:rsidRPr="00A457F8">
        <w:rPr>
          <w:rFonts w:ascii="Arial" w:eastAsia="Times New Roman" w:hAnsi="Arial" w:cs="Arial"/>
          <w:kern w:val="0"/>
          <w:sz w:val="22"/>
          <w:szCs w:val="22"/>
          <w14:ligatures w14:val="none"/>
        </w:rPr>
        <w:t xml:space="preserve"> medication administration</w:t>
      </w:r>
      <w:r w:rsidRPr="00A457F8">
        <w:rPr>
          <w:rFonts w:ascii="Arial" w:eastAsia="Times New Roman" w:hAnsi="Arial" w:cs="Arial"/>
          <w:kern w:val="0"/>
          <w:sz w:val="22"/>
          <w:szCs w:val="22"/>
          <w14:ligatures w14:val="none"/>
        </w:rPr>
        <w:t xml:space="preserve"> to verify medicines</w:t>
      </w:r>
      <w:r w:rsidR="00E34541" w:rsidRPr="00A457F8">
        <w:rPr>
          <w:rFonts w:ascii="Arial" w:eastAsia="Times New Roman" w:hAnsi="Arial" w:cs="Arial"/>
          <w:kern w:val="0"/>
          <w:sz w:val="22"/>
          <w:szCs w:val="22"/>
          <w14:ligatures w14:val="none"/>
        </w:rPr>
        <w:t xml:space="preserve"> before </w:t>
      </w:r>
      <w:r w:rsidRPr="00A457F8">
        <w:rPr>
          <w:rFonts w:ascii="Arial" w:eastAsia="Times New Roman" w:hAnsi="Arial" w:cs="Arial"/>
          <w:kern w:val="0"/>
          <w:sz w:val="22"/>
          <w:szCs w:val="22"/>
          <w14:ligatures w14:val="none"/>
        </w:rPr>
        <w:t>they reach patients. Automated Dispensing Cabinet</w:t>
      </w:r>
      <w:r w:rsidR="00E34541" w:rsidRPr="00A457F8">
        <w:rPr>
          <w:rFonts w:ascii="Arial" w:eastAsia="Times New Roman" w:hAnsi="Arial" w:cs="Arial"/>
          <w:kern w:val="0"/>
          <w:sz w:val="22"/>
          <w:szCs w:val="22"/>
          <w14:ligatures w14:val="none"/>
        </w:rPr>
        <w:t xml:space="preserve"> (ADC) override functions should be </w:t>
      </w:r>
      <w:r w:rsidRPr="00A457F8">
        <w:rPr>
          <w:rFonts w:ascii="Arial" w:eastAsia="Times New Roman" w:hAnsi="Arial" w:cs="Arial"/>
          <w:kern w:val="0"/>
          <w:sz w:val="22"/>
          <w:szCs w:val="22"/>
          <w14:ligatures w14:val="none"/>
        </w:rPr>
        <w:t>limited</w:t>
      </w:r>
      <w:r w:rsidR="00E34541" w:rsidRPr="00A457F8">
        <w:rPr>
          <w:rFonts w:ascii="Arial" w:eastAsia="Times New Roman" w:hAnsi="Arial" w:cs="Arial"/>
          <w:kern w:val="0"/>
          <w:sz w:val="22"/>
          <w:szCs w:val="22"/>
          <w14:ligatures w14:val="none"/>
        </w:rPr>
        <w:t xml:space="preserve"> to genuine </w:t>
      </w:r>
      <w:r w:rsidRPr="00A457F8">
        <w:rPr>
          <w:rFonts w:ascii="Arial" w:eastAsia="Times New Roman" w:hAnsi="Arial" w:cs="Arial"/>
          <w:kern w:val="0"/>
          <w:sz w:val="22"/>
          <w:szCs w:val="22"/>
          <w14:ligatures w14:val="none"/>
        </w:rPr>
        <w:t>emergencies, with override activity regularly</w:t>
      </w:r>
      <w:r w:rsidR="00E34541" w:rsidRPr="00A457F8">
        <w:rPr>
          <w:rFonts w:ascii="Arial" w:eastAsia="Times New Roman" w:hAnsi="Arial" w:cs="Arial"/>
          <w:kern w:val="0"/>
          <w:sz w:val="22"/>
          <w:szCs w:val="22"/>
          <w14:ligatures w14:val="none"/>
        </w:rPr>
        <w:t xml:space="preserve"> monitored </w:t>
      </w:r>
      <w:r w:rsidRPr="00A457F8">
        <w:rPr>
          <w:rFonts w:ascii="Arial" w:eastAsia="Times New Roman" w:hAnsi="Arial" w:cs="Arial"/>
          <w:kern w:val="0"/>
          <w:sz w:val="22"/>
          <w:szCs w:val="22"/>
          <w14:ligatures w14:val="none"/>
        </w:rPr>
        <w:t>to identify unsafe practices.</w:t>
      </w:r>
      <w:r w:rsidR="00E34541" w:rsidRPr="00A457F8">
        <w:rPr>
          <w:rFonts w:ascii="Arial" w:eastAsia="Times New Roman" w:hAnsi="Arial" w:cs="Arial"/>
          <w:kern w:val="0"/>
          <w:sz w:val="22"/>
          <w:szCs w:val="22"/>
          <w14:ligatures w14:val="none"/>
        </w:rPr>
        <w:t xml:space="preserve"> Healthcare organisations should also </w:t>
      </w:r>
      <w:r w:rsidRPr="00A457F8">
        <w:rPr>
          <w:rFonts w:ascii="Arial" w:eastAsia="Times New Roman" w:hAnsi="Arial" w:cs="Arial"/>
          <w:kern w:val="0"/>
          <w:sz w:val="22"/>
          <w:szCs w:val="22"/>
          <w14:ligatures w14:val="none"/>
        </w:rPr>
        <w:t>improve Electronic Health Record</w:t>
      </w:r>
      <w:r w:rsidR="00E34541" w:rsidRPr="00A457F8">
        <w:rPr>
          <w:rFonts w:ascii="Arial" w:eastAsia="Times New Roman" w:hAnsi="Arial" w:cs="Arial"/>
          <w:kern w:val="0"/>
          <w:sz w:val="22"/>
          <w:szCs w:val="22"/>
          <w14:ligatures w14:val="none"/>
        </w:rPr>
        <w:t xml:space="preserve"> (EHR) integration to </w:t>
      </w:r>
      <w:r w:rsidRPr="00A457F8">
        <w:rPr>
          <w:rFonts w:ascii="Arial" w:eastAsia="Times New Roman" w:hAnsi="Arial" w:cs="Arial"/>
          <w:kern w:val="0"/>
          <w:sz w:val="22"/>
          <w:szCs w:val="22"/>
          <w14:ligatures w14:val="none"/>
        </w:rPr>
        <w:t xml:space="preserve">minimise </w:t>
      </w:r>
      <w:r w:rsidR="00E34541" w:rsidRPr="00A457F8">
        <w:rPr>
          <w:rFonts w:ascii="Arial" w:eastAsia="Times New Roman" w:hAnsi="Arial" w:cs="Arial"/>
          <w:kern w:val="0"/>
          <w:sz w:val="22"/>
          <w:szCs w:val="22"/>
          <w14:ligatures w14:val="none"/>
        </w:rPr>
        <w:t xml:space="preserve">delays that encourage staff to </w:t>
      </w:r>
      <w:r w:rsidRPr="00A457F8">
        <w:rPr>
          <w:rFonts w:ascii="Arial" w:eastAsia="Times New Roman" w:hAnsi="Arial" w:cs="Arial"/>
          <w:kern w:val="0"/>
          <w:sz w:val="22"/>
          <w:szCs w:val="22"/>
          <w14:ligatures w14:val="none"/>
        </w:rPr>
        <w:t>adopt</w:t>
      </w:r>
      <w:r w:rsidR="00E34541" w:rsidRPr="00A457F8">
        <w:rPr>
          <w:rFonts w:ascii="Arial" w:eastAsia="Times New Roman" w:hAnsi="Arial" w:cs="Arial"/>
          <w:kern w:val="0"/>
          <w:sz w:val="22"/>
          <w:szCs w:val="22"/>
          <w14:ligatures w14:val="none"/>
        </w:rPr>
        <w:t xml:space="preserve"> unsafe workarounds. These technological improvements strengthen safety barriers and reduce medication administration errors (ISMP, 2022).</w:t>
      </w:r>
    </w:p>
    <w:p w14:paraId="1CC4FAB6" w14:textId="77777777" w:rsidR="00E34541" w:rsidRPr="00A457F8" w:rsidRDefault="00E34541" w:rsidP="002C2C73">
      <w:pPr>
        <w:pStyle w:val="Heading2"/>
        <w:rPr>
          <w:rFonts w:ascii="Arial" w:hAnsi="Arial" w:cs="Arial"/>
        </w:rPr>
      </w:pPr>
      <w:bookmarkStart w:id="40" w:name="_Toc236070678"/>
      <w:r w:rsidRPr="00A457F8">
        <w:rPr>
          <w:rFonts w:ascii="Arial" w:eastAsia="Times New Roman" w:hAnsi="Arial" w:cs="Arial"/>
        </w:rPr>
        <w:t>Recommendation 3: Enhance Workforce Development and Medication Safety Training</w:t>
      </w:r>
      <w:bookmarkEnd w:id="40"/>
    </w:p>
    <w:p w14:paraId="5263966B" w14:textId="07F80B46" w:rsidR="00E34541" w:rsidRPr="00A457F8" w:rsidRDefault="00E34541" w:rsidP="00E34541">
      <w:pPr>
        <w:spacing w:after="0" w:line="240" w:lineRule="auto"/>
        <w:rPr>
          <w:rFonts w:ascii="Arial" w:eastAsia="Times New Roman" w:hAnsi="Arial" w:cs="Arial"/>
          <w:kern w:val="0"/>
          <w:sz w:val="22"/>
          <w:szCs w:val="22"/>
          <w14:ligatures w14:val="none"/>
        </w:rPr>
      </w:pPr>
      <w:r w:rsidRPr="00A457F8">
        <w:rPr>
          <w:rFonts w:ascii="Arial" w:eastAsia="Times New Roman" w:hAnsi="Arial" w:cs="Arial"/>
          <w:kern w:val="0"/>
          <w:sz w:val="22"/>
          <w:szCs w:val="22"/>
          <w14:ligatures w14:val="none"/>
        </w:rPr>
        <w:t xml:space="preserve">Healthcare organisations should provide mandatory annual </w:t>
      </w:r>
      <w:r w:rsidR="00440A00" w:rsidRPr="00A457F8">
        <w:rPr>
          <w:rFonts w:ascii="Arial" w:eastAsia="Times New Roman" w:hAnsi="Arial" w:cs="Arial"/>
          <w:kern w:val="0"/>
          <w:sz w:val="22"/>
          <w:szCs w:val="22"/>
          <w14:ligatures w14:val="none"/>
        </w:rPr>
        <w:t xml:space="preserve">training </w:t>
      </w:r>
      <w:r w:rsidRPr="00A457F8">
        <w:rPr>
          <w:rFonts w:ascii="Arial" w:eastAsia="Times New Roman" w:hAnsi="Arial" w:cs="Arial"/>
          <w:kern w:val="0"/>
          <w:sz w:val="22"/>
          <w:szCs w:val="22"/>
          <w14:ligatures w14:val="none"/>
        </w:rPr>
        <w:t>on medication safety, human factors, and the safe use of electronic medication systems.</w:t>
      </w:r>
      <w:r w:rsidR="00440A00" w:rsidRPr="00A457F8">
        <w:rPr>
          <w:rFonts w:ascii="Arial" w:eastAsia="Times New Roman" w:hAnsi="Arial" w:cs="Arial"/>
          <w:kern w:val="0"/>
          <w:sz w:val="22"/>
          <w:szCs w:val="22"/>
          <w14:ligatures w14:val="none"/>
        </w:rPr>
        <w:t xml:space="preserve"> </w:t>
      </w:r>
      <w:r w:rsidRPr="00A457F8">
        <w:rPr>
          <w:rFonts w:ascii="Arial" w:eastAsia="Times New Roman" w:hAnsi="Arial" w:cs="Arial"/>
          <w:kern w:val="0"/>
          <w:sz w:val="22"/>
          <w:szCs w:val="22"/>
          <w14:ligatures w14:val="none"/>
        </w:rPr>
        <w:t xml:space="preserve">Simulation-based </w:t>
      </w:r>
      <w:r w:rsidR="00440A00" w:rsidRPr="00A457F8">
        <w:rPr>
          <w:rFonts w:ascii="Arial" w:eastAsia="Times New Roman" w:hAnsi="Arial" w:cs="Arial"/>
          <w:kern w:val="0"/>
          <w:sz w:val="22"/>
          <w:szCs w:val="22"/>
          <w14:ligatures w14:val="none"/>
        </w:rPr>
        <w:t xml:space="preserve">learning </w:t>
      </w:r>
      <w:r w:rsidRPr="00A457F8">
        <w:rPr>
          <w:rFonts w:ascii="Arial" w:eastAsia="Times New Roman" w:hAnsi="Arial" w:cs="Arial"/>
          <w:kern w:val="0"/>
          <w:sz w:val="22"/>
          <w:szCs w:val="22"/>
          <w14:ligatures w14:val="none"/>
        </w:rPr>
        <w:t xml:space="preserve">should allow healthcare professionals to practise </w:t>
      </w:r>
      <w:r w:rsidR="00440A00" w:rsidRPr="00A457F8">
        <w:rPr>
          <w:rFonts w:ascii="Arial" w:eastAsia="Times New Roman" w:hAnsi="Arial" w:cs="Arial"/>
          <w:kern w:val="0"/>
          <w:sz w:val="22"/>
          <w:szCs w:val="22"/>
          <w14:ligatures w14:val="none"/>
        </w:rPr>
        <w:t>managing</w:t>
      </w:r>
      <w:r w:rsidRPr="00A457F8">
        <w:rPr>
          <w:rFonts w:ascii="Arial" w:eastAsia="Times New Roman" w:hAnsi="Arial" w:cs="Arial"/>
          <w:kern w:val="0"/>
          <w:sz w:val="22"/>
          <w:szCs w:val="22"/>
          <w14:ligatures w14:val="none"/>
        </w:rPr>
        <w:t xml:space="preserve"> high-risk medication scenarios in a </w:t>
      </w:r>
      <w:r w:rsidR="00440A00" w:rsidRPr="00A457F8">
        <w:rPr>
          <w:rFonts w:ascii="Arial" w:eastAsia="Times New Roman" w:hAnsi="Arial" w:cs="Arial"/>
          <w:kern w:val="0"/>
          <w:sz w:val="22"/>
          <w:szCs w:val="22"/>
          <w14:ligatures w14:val="none"/>
        </w:rPr>
        <w:t>safe</w:t>
      </w:r>
      <w:r w:rsidRPr="00A457F8">
        <w:rPr>
          <w:rFonts w:ascii="Arial" w:eastAsia="Times New Roman" w:hAnsi="Arial" w:cs="Arial"/>
          <w:kern w:val="0"/>
          <w:sz w:val="22"/>
          <w:szCs w:val="22"/>
          <w14:ligatures w14:val="none"/>
        </w:rPr>
        <w:t xml:space="preserve"> environment</w:t>
      </w:r>
      <w:r w:rsidR="00440A00" w:rsidRPr="00A457F8">
        <w:rPr>
          <w:rFonts w:ascii="Arial" w:eastAsia="Times New Roman" w:hAnsi="Arial" w:cs="Arial"/>
          <w:kern w:val="0"/>
          <w:sz w:val="22"/>
          <w:szCs w:val="22"/>
          <w14:ligatures w14:val="none"/>
        </w:rPr>
        <w:t>, while competency</w:t>
      </w:r>
      <w:r w:rsidRPr="00A457F8">
        <w:rPr>
          <w:rFonts w:ascii="Arial" w:eastAsia="Times New Roman" w:hAnsi="Arial" w:cs="Arial"/>
          <w:kern w:val="0"/>
          <w:sz w:val="22"/>
          <w:szCs w:val="22"/>
          <w14:ligatures w14:val="none"/>
        </w:rPr>
        <w:t xml:space="preserve"> assessments should evaluate medication administration </w:t>
      </w:r>
      <w:r w:rsidR="00440A00" w:rsidRPr="00A457F8">
        <w:rPr>
          <w:rFonts w:ascii="Arial" w:eastAsia="Times New Roman" w:hAnsi="Arial" w:cs="Arial"/>
          <w:kern w:val="0"/>
          <w:sz w:val="22"/>
          <w:szCs w:val="22"/>
          <w14:ligatures w14:val="none"/>
        </w:rPr>
        <w:t xml:space="preserve">skills </w:t>
      </w:r>
      <w:r w:rsidRPr="00A457F8">
        <w:rPr>
          <w:rFonts w:ascii="Arial" w:eastAsia="Times New Roman" w:hAnsi="Arial" w:cs="Arial"/>
          <w:kern w:val="0"/>
          <w:sz w:val="22"/>
          <w:szCs w:val="22"/>
          <w14:ligatures w14:val="none"/>
        </w:rPr>
        <w:t xml:space="preserve">and </w:t>
      </w:r>
      <w:r w:rsidR="00440A00" w:rsidRPr="00A457F8">
        <w:rPr>
          <w:rFonts w:ascii="Arial" w:eastAsia="Times New Roman" w:hAnsi="Arial" w:cs="Arial"/>
          <w:kern w:val="0"/>
          <w:sz w:val="22"/>
          <w:szCs w:val="22"/>
          <w14:ligatures w14:val="none"/>
        </w:rPr>
        <w:t>technology use.</w:t>
      </w:r>
      <w:r w:rsidRPr="00A457F8">
        <w:rPr>
          <w:rFonts w:ascii="Arial" w:eastAsia="Times New Roman" w:hAnsi="Arial" w:cs="Arial"/>
          <w:kern w:val="0"/>
          <w:sz w:val="22"/>
          <w:szCs w:val="22"/>
          <w14:ligatures w14:val="none"/>
        </w:rPr>
        <w:t xml:space="preserve"> Leadership development programmes should also </w:t>
      </w:r>
      <w:r w:rsidR="00440A00" w:rsidRPr="00A457F8">
        <w:rPr>
          <w:rFonts w:ascii="Arial" w:eastAsia="Times New Roman" w:hAnsi="Arial" w:cs="Arial"/>
          <w:kern w:val="0"/>
          <w:sz w:val="22"/>
          <w:szCs w:val="22"/>
          <w14:ligatures w14:val="none"/>
        </w:rPr>
        <w:t>prepare</w:t>
      </w:r>
      <w:r w:rsidRPr="00A457F8">
        <w:rPr>
          <w:rFonts w:ascii="Arial" w:eastAsia="Times New Roman" w:hAnsi="Arial" w:cs="Arial"/>
          <w:kern w:val="0"/>
          <w:sz w:val="22"/>
          <w:szCs w:val="22"/>
          <w14:ligatures w14:val="none"/>
        </w:rPr>
        <w:t xml:space="preserve"> nurse managers to identify safety risks and </w:t>
      </w:r>
      <w:r w:rsidR="00440A00" w:rsidRPr="00A457F8">
        <w:rPr>
          <w:rFonts w:ascii="Arial" w:eastAsia="Times New Roman" w:hAnsi="Arial" w:cs="Arial"/>
          <w:kern w:val="0"/>
          <w:sz w:val="22"/>
          <w:szCs w:val="22"/>
          <w14:ligatures w14:val="none"/>
        </w:rPr>
        <w:t>lead</w:t>
      </w:r>
      <w:r w:rsidRPr="00A457F8">
        <w:rPr>
          <w:rFonts w:ascii="Arial" w:eastAsia="Times New Roman" w:hAnsi="Arial" w:cs="Arial"/>
          <w:kern w:val="0"/>
          <w:sz w:val="22"/>
          <w:szCs w:val="22"/>
          <w14:ligatures w14:val="none"/>
        </w:rPr>
        <w:t xml:space="preserve"> quality improvement initiatives. </w:t>
      </w:r>
      <w:r w:rsidR="00440A00" w:rsidRPr="00A457F8">
        <w:rPr>
          <w:rFonts w:ascii="Arial" w:eastAsia="Times New Roman" w:hAnsi="Arial" w:cs="Arial"/>
          <w:kern w:val="0"/>
          <w:sz w:val="22"/>
          <w:szCs w:val="22"/>
          <w14:ligatures w14:val="none"/>
        </w:rPr>
        <w:t xml:space="preserve">Continuous </w:t>
      </w:r>
      <w:r w:rsidRPr="00A457F8">
        <w:rPr>
          <w:rFonts w:ascii="Arial" w:eastAsia="Times New Roman" w:hAnsi="Arial" w:cs="Arial"/>
          <w:kern w:val="0"/>
          <w:sz w:val="22"/>
          <w:szCs w:val="22"/>
          <w14:ligatures w14:val="none"/>
        </w:rPr>
        <w:t>education strengthens staff competence, confidence, and patient safety.</w:t>
      </w:r>
    </w:p>
    <w:p w14:paraId="518E764A" w14:textId="77777777" w:rsidR="00E34541" w:rsidRPr="00A457F8" w:rsidRDefault="00E34541" w:rsidP="002C2C73">
      <w:pPr>
        <w:pStyle w:val="Heading2"/>
        <w:rPr>
          <w:rFonts w:ascii="Arial" w:hAnsi="Arial" w:cs="Arial"/>
        </w:rPr>
      </w:pPr>
      <w:bookmarkStart w:id="41" w:name="_Toc236070679"/>
      <w:r w:rsidRPr="00A457F8">
        <w:rPr>
          <w:rFonts w:ascii="Arial" w:eastAsia="Times New Roman" w:hAnsi="Arial" w:cs="Arial"/>
        </w:rPr>
        <w:lastRenderedPageBreak/>
        <w:t>Recommendation 4: Promote a Just Culture and Improve Patient Safety Culture</w:t>
      </w:r>
      <w:bookmarkEnd w:id="41"/>
    </w:p>
    <w:p w14:paraId="1D5F898E" w14:textId="37FBD64F" w:rsidR="00E34541" w:rsidRPr="00A457F8" w:rsidRDefault="00E34541" w:rsidP="00E34541">
      <w:pPr>
        <w:spacing w:after="0" w:line="240" w:lineRule="auto"/>
        <w:rPr>
          <w:rFonts w:ascii="Arial" w:eastAsia="Times New Roman" w:hAnsi="Arial" w:cs="Arial"/>
          <w:kern w:val="0"/>
          <w:sz w:val="22"/>
          <w:szCs w:val="22"/>
          <w14:ligatures w14:val="none"/>
        </w:rPr>
      </w:pPr>
      <w:r w:rsidRPr="00A457F8">
        <w:rPr>
          <w:rFonts w:ascii="Arial" w:eastAsia="Times New Roman" w:hAnsi="Arial" w:cs="Arial"/>
          <w:kern w:val="0"/>
          <w:sz w:val="22"/>
          <w:szCs w:val="22"/>
          <w14:ligatures w14:val="none"/>
        </w:rPr>
        <w:t xml:space="preserve">Healthcare organisations should </w:t>
      </w:r>
      <w:r w:rsidR="00974586" w:rsidRPr="00A457F8">
        <w:rPr>
          <w:rFonts w:ascii="Arial" w:eastAsia="Times New Roman" w:hAnsi="Arial" w:cs="Arial"/>
          <w:kern w:val="0"/>
          <w:sz w:val="22"/>
          <w:szCs w:val="22"/>
          <w14:ligatures w14:val="none"/>
        </w:rPr>
        <w:t xml:space="preserve">foster </w:t>
      </w:r>
      <w:r w:rsidRPr="00A457F8">
        <w:rPr>
          <w:rFonts w:ascii="Arial" w:eastAsia="Times New Roman" w:hAnsi="Arial" w:cs="Arial"/>
          <w:kern w:val="0"/>
          <w:sz w:val="22"/>
          <w:szCs w:val="22"/>
          <w14:ligatures w14:val="none"/>
        </w:rPr>
        <w:t>a Just Culture</w:t>
      </w:r>
      <w:r w:rsidR="00974586" w:rsidRPr="00A457F8">
        <w:rPr>
          <w:rFonts w:ascii="Arial" w:eastAsia="Times New Roman" w:hAnsi="Arial" w:cs="Arial"/>
          <w:kern w:val="0"/>
          <w:sz w:val="22"/>
          <w:szCs w:val="22"/>
          <w14:ligatures w14:val="none"/>
        </w:rPr>
        <w:t xml:space="preserve"> in which staff feel able</w:t>
      </w:r>
      <w:r w:rsidRPr="00A457F8">
        <w:rPr>
          <w:rFonts w:ascii="Arial" w:eastAsia="Times New Roman" w:hAnsi="Arial" w:cs="Arial"/>
          <w:kern w:val="0"/>
          <w:sz w:val="22"/>
          <w:szCs w:val="22"/>
          <w14:ligatures w14:val="none"/>
        </w:rPr>
        <w:t xml:space="preserve"> to report errors</w:t>
      </w:r>
      <w:r w:rsidR="00974586" w:rsidRPr="00A457F8">
        <w:rPr>
          <w:rFonts w:ascii="Arial" w:eastAsia="Times New Roman" w:hAnsi="Arial" w:cs="Arial"/>
          <w:kern w:val="0"/>
          <w:sz w:val="22"/>
          <w:szCs w:val="22"/>
          <w14:ligatures w14:val="none"/>
        </w:rPr>
        <w:t xml:space="preserve"> and </w:t>
      </w:r>
      <w:r w:rsidRPr="00A457F8">
        <w:rPr>
          <w:rFonts w:ascii="Arial" w:eastAsia="Times New Roman" w:hAnsi="Arial" w:cs="Arial"/>
          <w:kern w:val="0"/>
          <w:sz w:val="22"/>
          <w:szCs w:val="22"/>
          <w14:ligatures w14:val="none"/>
        </w:rPr>
        <w:t xml:space="preserve">near misses without fear of unfair punishment. </w:t>
      </w:r>
      <w:r w:rsidR="00974586" w:rsidRPr="00A457F8">
        <w:rPr>
          <w:rFonts w:ascii="Arial" w:eastAsia="Times New Roman" w:hAnsi="Arial" w:cs="Arial"/>
          <w:kern w:val="0"/>
          <w:sz w:val="22"/>
          <w:szCs w:val="22"/>
          <w14:ligatures w14:val="none"/>
        </w:rPr>
        <w:t xml:space="preserve">Incident investigations should focus on identifying system failures rather than assigning individual blame (Marx, 2001). </w:t>
      </w:r>
      <w:r w:rsidRPr="00A457F8">
        <w:rPr>
          <w:rFonts w:ascii="Arial" w:eastAsia="Times New Roman" w:hAnsi="Arial" w:cs="Arial"/>
          <w:kern w:val="0"/>
          <w:sz w:val="22"/>
          <w:szCs w:val="22"/>
          <w14:ligatures w14:val="none"/>
        </w:rPr>
        <w:t xml:space="preserve">Leaders should encourage open communication, provide feedback </w:t>
      </w:r>
      <w:r w:rsidR="00974586" w:rsidRPr="00A457F8">
        <w:rPr>
          <w:rFonts w:ascii="Arial" w:eastAsia="Times New Roman" w:hAnsi="Arial" w:cs="Arial"/>
          <w:kern w:val="0"/>
          <w:sz w:val="22"/>
          <w:szCs w:val="22"/>
          <w14:ligatures w14:val="none"/>
        </w:rPr>
        <w:t>on</w:t>
      </w:r>
      <w:r w:rsidRPr="00A457F8">
        <w:rPr>
          <w:rFonts w:ascii="Arial" w:eastAsia="Times New Roman" w:hAnsi="Arial" w:cs="Arial"/>
          <w:kern w:val="0"/>
          <w:sz w:val="22"/>
          <w:szCs w:val="22"/>
          <w14:ligatures w14:val="none"/>
        </w:rPr>
        <w:t xml:space="preserve"> lessons learned</w:t>
      </w:r>
      <w:r w:rsidR="00974586" w:rsidRPr="00A457F8">
        <w:rPr>
          <w:rFonts w:ascii="Arial" w:eastAsia="Times New Roman" w:hAnsi="Arial" w:cs="Arial"/>
          <w:kern w:val="0"/>
          <w:sz w:val="22"/>
          <w:szCs w:val="22"/>
          <w14:ligatures w14:val="none"/>
        </w:rPr>
        <w:t xml:space="preserve">, and promote psychological safety </w:t>
      </w:r>
      <w:r w:rsidRPr="00A457F8">
        <w:rPr>
          <w:rFonts w:ascii="Arial" w:eastAsia="Times New Roman" w:hAnsi="Arial" w:cs="Arial"/>
          <w:kern w:val="0"/>
          <w:sz w:val="22"/>
          <w:szCs w:val="22"/>
          <w14:ligatures w14:val="none"/>
        </w:rPr>
        <w:t xml:space="preserve">so that </w:t>
      </w:r>
      <w:r w:rsidR="00974586" w:rsidRPr="00A457F8">
        <w:rPr>
          <w:rFonts w:ascii="Arial" w:eastAsia="Times New Roman" w:hAnsi="Arial" w:cs="Arial"/>
          <w:kern w:val="0"/>
          <w:sz w:val="22"/>
          <w:szCs w:val="22"/>
          <w14:ligatures w14:val="none"/>
        </w:rPr>
        <w:t xml:space="preserve">staff are </w:t>
      </w:r>
      <w:r w:rsidRPr="00A457F8">
        <w:rPr>
          <w:rFonts w:ascii="Arial" w:eastAsia="Times New Roman" w:hAnsi="Arial" w:cs="Arial"/>
          <w:kern w:val="0"/>
          <w:sz w:val="22"/>
          <w:szCs w:val="22"/>
          <w14:ligatures w14:val="none"/>
        </w:rPr>
        <w:t xml:space="preserve">comfortable </w:t>
      </w:r>
      <w:r w:rsidR="00974586" w:rsidRPr="00A457F8">
        <w:rPr>
          <w:rFonts w:ascii="Arial" w:eastAsia="Times New Roman" w:hAnsi="Arial" w:cs="Arial"/>
          <w:kern w:val="0"/>
          <w:sz w:val="22"/>
          <w:szCs w:val="22"/>
          <w14:ligatures w14:val="none"/>
        </w:rPr>
        <w:t>raising concerns.</w:t>
      </w:r>
      <w:r w:rsidRPr="00A457F8">
        <w:rPr>
          <w:rFonts w:ascii="Arial" w:eastAsia="Times New Roman" w:hAnsi="Arial" w:cs="Arial"/>
          <w:kern w:val="0"/>
          <w:sz w:val="22"/>
          <w:szCs w:val="22"/>
          <w14:ligatures w14:val="none"/>
        </w:rPr>
        <w:t xml:space="preserve"> Regular multidisciplinary safety briefings</w:t>
      </w:r>
      <w:r w:rsidR="00974586" w:rsidRPr="00A457F8">
        <w:rPr>
          <w:rFonts w:ascii="Arial" w:eastAsia="Times New Roman" w:hAnsi="Arial" w:cs="Arial"/>
          <w:kern w:val="0"/>
          <w:sz w:val="22"/>
          <w:szCs w:val="22"/>
          <w14:ligatures w14:val="none"/>
        </w:rPr>
        <w:t xml:space="preserve"> and </w:t>
      </w:r>
      <w:r w:rsidRPr="00A457F8">
        <w:rPr>
          <w:rFonts w:ascii="Arial" w:eastAsia="Times New Roman" w:hAnsi="Arial" w:cs="Arial"/>
          <w:kern w:val="0"/>
          <w:sz w:val="22"/>
          <w:szCs w:val="22"/>
          <w14:ligatures w14:val="none"/>
        </w:rPr>
        <w:t xml:space="preserve">reflective practice sessions can strengthen organisational learning and improve </w:t>
      </w:r>
      <w:r w:rsidR="00974586" w:rsidRPr="00A457F8">
        <w:rPr>
          <w:rFonts w:ascii="Arial" w:eastAsia="Times New Roman" w:hAnsi="Arial" w:cs="Arial"/>
          <w:kern w:val="0"/>
          <w:sz w:val="22"/>
          <w:szCs w:val="22"/>
          <w14:ligatures w14:val="none"/>
        </w:rPr>
        <w:t>teamwork, ultimately</w:t>
      </w:r>
      <w:r w:rsidRPr="00A457F8">
        <w:rPr>
          <w:rFonts w:ascii="Arial" w:eastAsia="Times New Roman" w:hAnsi="Arial" w:cs="Arial"/>
          <w:kern w:val="0"/>
          <w:sz w:val="22"/>
          <w:szCs w:val="22"/>
          <w14:ligatures w14:val="none"/>
        </w:rPr>
        <w:t xml:space="preserve"> reducing the </w:t>
      </w:r>
      <w:r w:rsidR="00974586" w:rsidRPr="00A457F8">
        <w:rPr>
          <w:rFonts w:ascii="Arial" w:eastAsia="Times New Roman" w:hAnsi="Arial" w:cs="Arial"/>
          <w:kern w:val="0"/>
          <w:sz w:val="22"/>
          <w:szCs w:val="22"/>
          <w14:ligatures w14:val="none"/>
        </w:rPr>
        <w:t>risk</w:t>
      </w:r>
      <w:r w:rsidRPr="00A457F8">
        <w:rPr>
          <w:rFonts w:ascii="Arial" w:eastAsia="Times New Roman" w:hAnsi="Arial" w:cs="Arial"/>
          <w:kern w:val="0"/>
          <w:sz w:val="22"/>
          <w:szCs w:val="22"/>
          <w14:ligatures w14:val="none"/>
        </w:rPr>
        <w:t xml:space="preserve"> of future medication errors.</w:t>
      </w:r>
    </w:p>
    <w:p w14:paraId="752CC78D" w14:textId="77777777" w:rsidR="00E34541" w:rsidRPr="00A457F8" w:rsidRDefault="00E34541" w:rsidP="002C2C73">
      <w:pPr>
        <w:pStyle w:val="Heading2"/>
        <w:rPr>
          <w:rFonts w:ascii="Arial" w:hAnsi="Arial" w:cs="Arial"/>
        </w:rPr>
      </w:pPr>
      <w:bookmarkStart w:id="42" w:name="_Toc236070680"/>
      <w:r w:rsidRPr="00A457F8">
        <w:rPr>
          <w:rFonts w:ascii="Arial" w:eastAsia="Times New Roman" w:hAnsi="Arial" w:cs="Arial"/>
        </w:rPr>
        <w:t>Recommendation 5: Implement Digital Quality Monitoring and Continuous Risk Surveillance</w:t>
      </w:r>
      <w:bookmarkEnd w:id="42"/>
    </w:p>
    <w:p w14:paraId="6D18D030" w14:textId="24BA3213" w:rsidR="00E34541" w:rsidRPr="00A457F8" w:rsidRDefault="00974586" w:rsidP="00E34541">
      <w:pPr>
        <w:spacing w:after="0" w:line="240" w:lineRule="auto"/>
        <w:rPr>
          <w:rFonts w:ascii="Arial" w:eastAsia="Times New Roman" w:hAnsi="Arial" w:cs="Arial"/>
          <w:kern w:val="0"/>
          <w:sz w:val="22"/>
          <w:szCs w:val="22"/>
          <w14:ligatures w14:val="none"/>
        </w:rPr>
      </w:pPr>
      <w:r w:rsidRPr="00A457F8">
        <w:rPr>
          <w:rFonts w:ascii="Arial" w:eastAsia="Times New Roman" w:hAnsi="Arial" w:cs="Arial"/>
          <w:kern w:val="0"/>
          <w:sz w:val="22"/>
          <w:szCs w:val="22"/>
          <w14:ligatures w14:val="none"/>
        </w:rPr>
        <w:t>Digital</w:t>
      </w:r>
      <w:r w:rsidR="00E34541" w:rsidRPr="00A457F8">
        <w:rPr>
          <w:rFonts w:ascii="Arial" w:eastAsia="Times New Roman" w:hAnsi="Arial" w:cs="Arial"/>
          <w:kern w:val="0"/>
          <w:sz w:val="22"/>
          <w:szCs w:val="22"/>
          <w14:ligatures w14:val="none"/>
        </w:rPr>
        <w:t xml:space="preserve"> quality monitoring systems </w:t>
      </w:r>
      <w:r w:rsidRPr="00A457F8">
        <w:rPr>
          <w:rFonts w:ascii="Arial" w:eastAsia="Times New Roman" w:hAnsi="Arial" w:cs="Arial"/>
          <w:kern w:val="0"/>
          <w:sz w:val="22"/>
          <w:szCs w:val="22"/>
          <w14:ligatures w14:val="none"/>
        </w:rPr>
        <w:t xml:space="preserve">should be used </w:t>
      </w:r>
      <w:r w:rsidR="00E34541" w:rsidRPr="00A457F8">
        <w:rPr>
          <w:rFonts w:ascii="Arial" w:eastAsia="Times New Roman" w:hAnsi="Arial" w:cs="Arial"/>
          <w:kern w:val="0"/>
          <w:sz w:val="22"/>
          <w:szCs w:val="22"/>
          <w14:ligatures w14:val="none"/>
        </w:rPr>
        <w:t>to provide real-time surveillance of medication safety</w:t>
      </w:r>
      <w:r w:rsidRPr="00A457F8">
        <w:rPr>
          <w:rFonts w:ascii="Arial" w:eastAsia="Times New Roman" w:hAnsi="Arial" w:cs="Arial"/>
          <w:kern w:val="0"/>
          <w:sz w:val="22"/>
          <w:szCs w:val="22"/>
          <w14:ligatures w14:val="none"/>
        </w:rPr>
        <w:t>.</w:t>
      </w:r>
      <w:r w:rsidR="00E34541" w:rsidRPr="00A457F8">
        <w:rPr>
          <w:rFonts w:ascii="Arial" w:eastAsia="Times New Roman" w:hAnsi="Arial" w:cs="Arial"/>
          <w:kern w:val="0"/>
          <w:sz w:val="22"/>
          <w:szCs w:val="22"/>
          <w14:ligatures w14:val="none"/>
        </w:rPr>
        <w:t xml:space="preserve"> Electronic dashboards </w:t>
      </w:r>
      <w:r w:rsidRPr="00A457F8">
        <w:rPr>
          <w:rFonts w:ascii="Arial" w:eastAsia="Times New Roman" w:hAnsi="Arial" w:cs="Arial"/>
          <w:kern w:val="0"/>
          <w:sz w:val="22"/>
          <w:szCs w:val="22"/>
          <w14:ligatures w14:val="none"/>
        </w:rPr>
        <w:t xml:space="preserve">can </w:t>
      </w:r>
      <w:r w:rsidR="00E34541" w:rsidRPr="00A457F8">
        <w:rPr>
          <w:rFonts w:ascii="Arial" w:eastAsia="Times New Roman" w:hAnsi="Arial" w:cs="Arial"/>
          <w:kern w:val="0"/>
          <w:sz w:val="22"/>
          <w:szCs w:val="22"/>
          <w14:ligatures w14:val="none"/>
        </w:rPr>
        <w:t xml:space="preserve">monitor indicators such as medication error rates, </w:t>
      </w:r>
      <w:r w:rsidRPr="00A457F8">
        <w:rPr>
          <w:rFonts w:ascii="Arial" w:eastAsia="Times New Roman" w:hAnsi="Arial" w:cs="Arial"/>
          <w:kern w:val="0"/>
          <w:sz w:val="22"/>
          <w:szCs w:val="22"/>
          <w14:ligatures w14:val="none"/>
        </w:rPr>
        <w:t>BCMA</w:t>
      </w:r>
      <w:r w:rsidR="00E34541" w:rsidRPr="00A457F8">
        <w:rPr>
          <w:rFonts w:ascii="Arial" w:eastAsia="Times New Roman" w:hAnsi="Arial" w:cs="Arial"/>
          <w:kern w:val="0"/>
          <w:sz w:val="22"/>
          <w:szCs w:val="22"/>
          <w14:ligatures w14:val="none"/>
        </w:rPr>
        <w:t xml:space="preserve"> compliance, </w:t>
      </w:r>
      <w:r w:rsidRPr="00A457F8">
        <w:rPr>
          <w:rFonts w:ascii="Arial" w:eastAsia="Times New Roman" w:hAnsi="Arial" w:cs="Arial"/>
          <w:kern w:val="0"/>
          <w:sz w:val="22"/>
          <w:szCs w:val="22"/>
          <w14:ligatures w14:val="none"/>
        </w:rPr>
        <w:t>ADC</w:t>
      </w:r>
      <w:r w:rsidR="00E34541" w:rsidRPr="00A457F8">
        <w:rPr>
          <w:rFonts w:ascii="Arial" w:eastAsia="Times New Roman" w:hAnsi="Arial" w:cs="Arial"/>
          <w:kern w:val="0"/>
          <w:sz w:val="22"/>
          <w:szCs w:val="22"/>
          <w14:ligatures w14:val="none"/>
        </w:rPr>
        <w:t xml:space="preserve"> override frequency, </w:t>
      </w:r>
      <w:r w:rsidRPr="00A457F8">
        <w:rPr>
          <w:rFonts w:ascii="Arial" w:eastAsia="Times New Roman" w:hAnsi="Arial" w:cs="Arial"/>
          <w:kern w:val="0"/>
          <w:sz w:val="22"/>
          <w:szCs w:val="22"/>
          <w14:ligatures w14:val="none"/>
        </w:rPr>
        <w:t xml:space="preserve">and </w:t>
      </w:r>
      <w:r w:rsidR="00E34541" w:rsidRPr="00A457F8">
        <w:rPr>
          <w:rFonts w:ascii="Arial" w:eastAsia="Times New Roman" w:hAnsi="Arial" w:cs="Arial"/>
          <w:kern w:val="0"/>
          <w:sz w:val="22"/>
          <w:szCs w:val="22"/>
          <w14:ligatures w14:val="none"/>
        </w:rPr>
        <w:t>incident reporting trends</w:t>
      </w:r>
      <w:r w:rsidRPr="00A457F8">
        <w:rPr>
          <w:rFonts w:ascii="Arial" w:eastAsia="Times New Roman" w:hAnsi="Arial" w:cs="Arial"/>
          <w:kern w:val="0"/>
          <w:sz w:val="22"/>
          <w:szCs w:val="22"/>
          <w14:ligatures w14:val="none"/>
        </w:rPr>
        <w:t>. Clinical</w:t>
      </w:r>
      <w:r w:rsidR="00E34541" w:rsidRPr="00A457F8">
        <w:rPr>
          <w:rFonts w:ascii="Arial" w:eastAsia="Times New Roman" w:hAnsi="Arial" w:cs="Arial"/>
          <w:kern w:val="0"/>
          <w:sz w:val="22"/>
          <w:szCs w:val="22"/>
          <w14:ligatures w14:val="none"/>
        </w:rPr>
        <w:t xml:space="preserve"> governance </w:t>
      </w:r>
      <w:r w:rsidRPr="00A457F8">
        <w:rPr>
          <w:rFonts w:ascii="Arial" w:eastAsia="Times New Roman" w:hAnsi="Arial" w:cs="Arial"/>
          <w:kern w:val="0"/>
          <w:sz w:val="22"/>
          <w:szCs w:val="22"/>
          <w14:ligatures w14:val="none"/>
        </w:rPr>
        <w:t xml:space="preserve">teams should review these data regularly </w:t>
      </w:r>
      <w:r w:rsidR="00E34541" w:rsidRPr="00A457F8">
        <w:rPr>
          <w:rFonts w:ascii="Arial" w:eastAsia="Times New Roman" w:hAnsi="Arial" w:cs="Arial"/>
          <w:kern w:val="0"/>
          <w:sz w:val="22"/>
          <w:szCs w:val="22"/>
          <w14:ligatures w14:val="none"/>
        </w:rPr>
        <w:t xml:space="preserve">to identify emerging risks and evaluate improvement </w:t>
      </w:r>
      <w:r w:rsidRPr="00A457F8">
        <w:rPr>
          <w:rFonts w:ascii="Arial" w:eastAsia="Times New Roman" w:hAnsi="Arial" w:cs="Arial"/>
          <w:kern w:val="0"/>
          <w:sz w:val="22"/>
          <w:szCs w:val="22"/>
          <w14:ligatures w14:val="none"/>
        </w:rPr>
        <w:t>initiatives.</w:t>
      </w:r>
      <w:r w:rsidR="00E34541" w:rsidRPr="00A457F8">
        <w:rPr>
          <w:rFonts w:ascii="Arial" w:eastAsia="Times New Roman" w:hAnsi="Arial" w:cs="Arial"/>
          <w:kern w:val="0"/>
          <w:sz w:val="22"/>
          <w:szCs w:val="22"/>
          <w14:ligatures w14:val="none"/>
        </w:rPr>
        <w:t xml:space="preserve"> Automated alerts </w:t>
      </w:r>
      <w:r w:rsidRPr="00A457F8">
        <w:rPr>
          <w:rFonts w:ascii="Arial" w:eastAsia="Times New Roman" w:hAnsi="Arial" w:cs="Arial"/>
          <w:kern w:val="0"/>
          <w:sz w:val="22"/>
          <w:szCs w:val="22"/>
          <w14:ligatures w14:val="none"/>
        </w:rPr>
        <w:t xml:space="preserve">can support early intervention when abnormal safety patterns occur. Continuous </w:t>
      </w:r>
      <w:r w:rsidR="00E34541" w:rsidRPr="00A457F8">
        <w:rPr>
          <w:rFonts w:ascii="Arial" w:eastAsia="Times New Roman" w:hAnsi="Arial" w:cs="Arial"/>
          <w:kern w:val="0"/>
          <w:sz w:val="22"/>
          <w:szCs w:val="22"/>
          <w14:ligatures w14:val="none"/>
        </w:rPr>
        <w:t xml:space="preserve">monitoring enables organisations to make evidence-based decisions while </w:t>
      </w:r>
      <w:r w:rsidRPr="00A457F8">
        <w:rPr>
          <w:rFonts w:ascii="Arial" w:eastAsia="Times New Roman" w:hAnsi="Arial" w:cs="Arial"/>
          <w:kern w:val="0"/>
          <w:sz w:val="22"/>
          <w:szCs w:val="22"/>
          <w14:ligatures w14:val="none"/>
        </w:rPr>
        <w:t>strengthening</w:t>
      </w:r>
      <w:r w:rsidR="00E34541" w:rsidRPr="00A457F8">
        <w:rPr>
          <w:rFonts w:ascii="Arial" w:eastAsia="Times New Roman" w:hAnsi="Arial" w:cs="Arial"/>
          <w:kern w:val="0"/>
          <w:sz w:val="22"/>
          <w:szCs w:val="22"/>
          <w14:ligatures w14:val="none"/>
        </w:rPr>
        <w:t xml:space="preserve"> proactive risk management (WHO, 2021).</w:t>
      </w:r>
    </w:p>
    <w:p w14:paraId="6BF7ACA8" w14:textId="77777777" w:rsidR="00E34541" w:rsidRPr="00A457F8" w:rsidRDefault="00E34541" w:rsidP="002C2C73">
      <w:pPr>
        <w:pStyle w:val="Heading2"/>
        <w:rPr>
          <w:rFonts w:ascii="Arial" w:eastAsia="Times New Roman" w:hAnsi="Arial" w:cs="Arial"/>
        </w:rPr>
      </w:pPr>
      <w:bookmarkStart w:id="43" w:name="_Toc236070681"/>
      <w:r w:rsidRPr="00A457F8">
        <w:rPr>
          <w:rFonts w:ascii="Arial" w:eastAsia="Times New Roman" w:hAnsi="Arial" w:cs="Arial"/>
        </w:rPr>
        <w:t>Recommendation 6: Adopt the Plan–Do–Study–Act (PDSA) Cycle for Continuous Quality Improvement</w:t>
      </w:r>
      <w:bookmarkEnd w:id="43"/>
    </w:p>
    <w:p w14:paraId="66A7A66B" w14:textId="77777777" w:rsidR="0053738B" w:rsidRPr="00A457F8" w:rsidRDefault="0053738B" w:rsidP="0053738B">
      <w:pPr>
        <w:rPr>
          <w:rFonts w:ascii="Arial" w:hAnsi="Arial" w:cs="Arial"/>
        </w:rPr>
      </w:pPr>
      <w:r w:rsidRPr="00A457F8">
        <w:rPr>
          <w:rFonts w:ascii="Arial" w:hAnsi="Arial" w:cs="Arial"/>
        </w:rPr>
        <w:t>Healthcare organisations should adopt the Plan–Do–Study–Act (PDSA) cycle as a framework for continuous quality improvement. The planning stage should identify medication safety issues using incident reports and audits before targeted interventions are implemented. These may include enhanced staff training, improved barcode scanning compliance, revised medication policies, and strengthened governance processes. Performance should then be evaluated using indicators such as medication error rates, staff compliance, and patient outcomes before successful interventions are standardised across the organisation. The PDSA cycle promotes continuous evaluation, organisational learning, and sustainable improvements in patient safety (Institute for Healthcare Improvement, 2023).</w:t>
      </w:r>
    </w:p>
    <w:p w14:paraId="48A83475" w14:textId="77777777" w:rsidR="0053738B" w:rsidRPr="00A457F8" w:rsidRDefault="0053738B" w:rsidP="0053738B">
      <w:pPr>
        <w:rPr>
          <w:rFonts w:ascii="Arial" w:hAnsi="Arial" w:cs="Arial"/>
        </w:rPr>
      </w:pPr>
    </w:p>
    <w:p w14:paraId="0CFCA1CB" w14:textId="21E6D134" w:rsidR="0053738B" w:rsidRPr="00A457F8" w:rsidRDefault="0053738B" w:rsidP="0053738B">
      <w:pPr>
        <w:rPr>
          <w:rFonts w:ascii="Arial" w:hAnsi="Arial" w:cs="Arial"/>
        </w:rPr>
      </w:pPr>
      <w:r w:rsidRPr="00A457F8">
        <w:rPr>
          <w:rFonts w:ascii="Arial" w:hAnsi="Arial" w:cs="Arial"/>
        </w:rPr>
        <w:t xml:space="preserve">Overall, preventing incidents similar to the </w:t>
      </w:r>
      <w:proofErr w:type="spellStart"/>
      <w:r w:rsidRPr="00A457F8">
        <w:rPr>
          <w:rFonts w:ascii="Arial" w:hAnsi="Arial" w:cs="Arial"/>
        </w:rPr>
        <w:t>RaDonda</w:t>
      </w:r>
      <w:proofErr w:type="spellEnd"/>
      <w:r w:rsidRPr="00A457F8">
        <w:rPr>
          <w:rFonts w:ascii="Arial" w:hAnsi="Arial" w:cs="Arial"/>
        </w:rPr>
        <w:t xml:space="preserve"> Vaught case requires healthcare organisations to move beyond individual accountability and strengthen the systems that support safe clinical practice. Enhancing governance, investing in technology, improving workforce capability, promoting a Just Culture, implementing digital monitoring, and embedding continuous quality improvement can significantly reduce medication errors and improve patient safety.</w:t>
      </w:r>
    </w:p>
    <w:p w14:paraId="42BD5DD9" w14:textId="77777777" w:rsidR="00310804" w:rsidRPr="00A457F8" w:rsidRDefault="00310804" w:rsidP="002C2C73">
      <w:pPr>
        <w:pStyle w:val="Heading1"/>
        <w:rPr>
          <w:rFonts w:ascii="Arial" w:eastAsia="Times New Roman" w:hAnsi="Arial" w:cs="Arial"/>
        </w:rPr>
      </w:pPr>
      <w:bookmarkStart w:id="44" w:name="_Toc236070682"/>
      <w:r w:rsidRPr="00A457F8">
        <w:rPr>
          <w:rFonts w:ascii="Arial" w:eastAsia="Times New Roman" w:hAnsi="Arial" w:cs="Arial"/>
        </w:rPr>
        <w:lastRenderedPageBreak/>
        <w:t>4. Conclusion</w:t>
      </w:r>
      <w:bookmarkEnd w:id="44"/>
      <w:r w:rsidRPr="00A457F8">
        <w:rPr>
          <w:rFonts w:ascii="Arial" w:eastAsia="Times New Roman" w:hAnsi="Arial" w:cs="Arial"/>
        </w:rPr>
        <w:t xml:space="preserve"> </w:t>
      </w:r>
    </w:p>
    <w:p w14:paraId="75C63023" w14:textId="77777777" w:rsidR="00310804" w:rsidRPr="00A457F8" w:rsidRDefault="00310804" w:rsidP="00310804">
      <w:p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The </w:t>
      </w:r>
      <w:proofErr w:type="spellStart"/>
      <w:r w:rsidRPr="00A457F8">
        <w:rPr>
          <w:rFonts w:ascii="Arial" w:hAnsi="Arial" w:cs="Arial"/>
          <w:kern w:val="0"/>
          <w:sz w:val="22"/>
          <w:szCs w:val="22"/>
          <w14:ligatures w14:val="none"/>
        </w:rPr>
        <w:t>RaDonda</w:t>
      </w:r>
      <w:proofErr w:type="spellEnd"/>
      <w:r w:rsidRPr="00A457F8">
        <w:rPr>
          <w:rFonts w:ascii="Arial" w:hAnsi="Arial" w:cs="Arial"/>
          <w:kern w:val="0"/>
          <w:sz w:val="22"/>
          <w:szCs w:val="22"/>
          <w14:ligatures w14:val="none"/>
        </w:rPr>
        <w:t xml:space="preserve"> Vaught medication error case is one of the most significant patient safety incidents in contemporary healthcare because it demonstrates how multiple organisational failures can combine to produce catastrophic patient harm. This report has shown that the incident was not solely the result of an individual nurse’s actions but reflected broader weaknesses in quality assurance systems, clinical governance, leadership, medication safety processes, and organisational culture. The routine use of automated dispensing cabinet overrides, inadequate medication verification, failure to utilise barcode medication administration, insufficient patient monitoring, and ineffective organisational learning collectively weakened the healthcare system’s ability to prevent medication errors.</w:t>
      </w:r>
    </w:p>
    <w:p w14:paraId="4F31948B" w14:textId="77777777" w:rsidR="00310804" w:rsidRPr="00A457F8" w:rsidRDefault="00310804" w:rsidP="00310804">
      <w:p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The application of the </w:t>
      </w:r>
      <w:r w:rsidRPr="00A457F8">
        <w:rPr>
          <w:rFonts w:ascii="Arial" w:hAnsi="Arial" w:cs="Arial"/>
          <w:b/>
          <w:kern w:val="0"/>
          <w:sz w:val="22"/>
          <w:szCs w:val="22"/>
          <w14:ligatures w14:val="none"/>
        </w:rPr>
        <w:t>Swiss Cheese Model</w:t>
      </w:r>
      <w:r w:rsidRPr="00A457F8">
        <w:rPr>
          <w:rFonts w:ascii="Arial" w:hAnsi="Arial" w:cs="Arial"/>
          <w:kern w:val="0"/>
          <w:sz w:val="22"/>
          <w:szCs w:val="22"/>
          <w14:ligatures w14:val="none"/>
        </w:rPr>
        <w:t xml:space="preserve"> illustrated how multiple safety barriers failed simultaneously, allowing the medication error to reach the patient. The </w:t>
      </w:r>
      <w:r w:rsidRPr="00A457F8">
        <w:rPr>
          <w:rFonts w:ascii="Arial" w:hAnsi="Arial" w:cs="Arial"/>
          <w:b/>
          <w:kern w:val="0"/>
          <w:sz w:val="22"/>
          <w:szCs w:val="22"/>
          <w14:ligatures w14:val="none"/>
        </w:rPr>
        <w:t>Fishbone Diagram</w:t>
      </w:r>
      <w:r w:rsidRPr="00A457F8">
        <w:rPr>
          <w:rFonts w:ascii="Arial" w:hAnsi="Arial" w:cs="Arial"/>
          <w:kern w:val="0"/>
          <w:sz w:val="22"/>
          <w:szCs w:val="22"/>
          <w14:ligatures w14:val="none"/>
        </w:rPr>
        <w:t xml:space="preserve"> and </w:t>
      </w:r>
      <w:r w:rsidRPr="00A457F8">
        <w:rPr>
          <w:rFonts w:ascii="Arial" w:hAnsi="Arial" w:cs="Arial"/>
          <w:b/>
          <w:kern w:val="0"/>
          <w:sz w:val="22"/>
          <w:szCs w:val="22"/>
          <w14:ligatures w14:val="none"/>
        </w:rPr>
        <w:t>Five Whys Analysis</w:t>
      </w:r>
      <w:r w:rsidRPr="00A457F8">
        <w:rPr>
          <w:rFonts w:ascii="Arial" w:hAnsi="Arial" w:cs="Arial"/>
          <w:kern w:val="0"/>
          <w:sz w:val="22"/>
          <w:szCs w:val="22"/>
          <w14:ligatures w14:val="none"/>
        </w:rPr>
        <w:t xml:space="preserve"> identified interconnected human, technological, environmental, managerial, and organisational factors that contributed to the adverse event. Furthermore, the </w:t>
      </w:r>
      <w:r w:rsidRPr="00A457F8">
        <w:rPr>
          <w:rFonts w:ascii="Arial" w:hAnsi="Arial" w:cs="Arial"/>
          <w:b/>
          <w:kern w:val="0"/>
          <w:sz w:val="22"/>
          <w:szCs w:val="22"/>
          <w14:ligatures w14:val="none"/>
        </w:rPr>
        <w:t>SWOT Analysis</w:t>
      </w:r>
      <w:r w:rsidRPr="00A457F8">
        <w:rPr>
          <w:rFonts w:ascii="Arial" w:hAnsi="Arial" w:cs="Arial"/>
          <w:kern w:val="0"/>
          <w:sz w:val="22"/>
          <w:szCs w:val="22"/>
          <w14:ligatures w14:val="none"/>
        </w:rPr>
        <w:t xml:space="preserve"> highlighted both the strengths and weaknesses of existing medication safety systems while identifying opportunities for organisational improvement. Finally, </w:t>
      </w:r>
      <w:r w:rsidRPr="00A457F8">
        <w:rPr>
          <w:rFonts w:ascii="Arial" w:hAnsi="Arial" w:cs="Arial"/>
          <w:b/>
          <w:kern w:val="0"/>
          <w:sz w:val="22"/>
          <w:szCs w:val="22"/>
          <w14:ligatures w14:val="none"/>
        </w:rPr>
        <w:t>Kurt Lewin’s Three-Stage Change Model</w:t>
      </w:r>
      <w:r w:rsidRPr="00A457F8">
        <w:rPr>
          <w:rFonts w:ascii="Arial" w:hAnsi="Arial" w:cs="Arial"/>
          <w:kern w:val="0"/>
          <w:sz w:val="22"/>
          <w:szCs w:val="22"/>
          <w14:ligatures w14:val="none"/>
        </w:rPr>
        <w:t xml:space="preserve"> demonstrated how sustainable organisational change can be achieved through structured implementation of evidence-based quality improvement initiatives.</w:t>
      </w:r>
    </w:p>
    <w:p w14:paraId="3C1C6CA4" w14:textId="77777777" w:rsidR="00310804" w:rsidRPr="00A457F8" w:rsidRDefault="00310804" w:rsidP="00310804">
      <w:p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The recommendations proposed in this report—including strengthening clinical governance, improving medication technology, enhancing workforce education, promoting a Just Culture, implementing digital quality monitoring, and adopting the Plan–Do–Study–Act (PDSA) cycle—provide practical strategies for reducing medication errors and improving patient safety. These interventions emphasise continuous organisational learning, multidisciplinary collaboration, and leadership accountability as essential components of effective quality assurance.</w:t>
      </w:r>
    </w:p>
    <w:p w14:paraId="2980A8BF" w14:textId="77777777" w:rsidR="00310804" w:rsidRPr="00A457F8" w:rsidRDefault="00310804" w:rsidP="00310804">
      <w:p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In conclusion, the </w:t>
      </w:r>
      <w:proofErr w:type="spellStart"/>
      <w:r w:rsidRPr="00A457F8">
        <w:rPr>
          <w:rFonts w:ascii="Arial" w:hAnsi="Arial" w:cs="Arial"/>
          <w:kern w:val="0"/>
          <w:sz w:val="22"/>
          <w:szCs w:val="22"/>
          <w14:ligatures w14:val="none"/>
        </w:rPr>
        <w:t>RaDonda</w:t>
      </w:r>
      <w:proofErr w:type="spellEnd"/>
      <w:r w:rsidRPr="00A457F8">
        <w:rPr>
          <w:rFonts w:ascii="Arial" w:hAnsi="Arial" w:cs="Arial"/>
          <w:kern w:val="0"/>
          <w:sz w:val="22"/>
          <w:szCs w:val="22"/>
          <w14:ligatures w14:val="none"/>
        </w:rPr>
        <w:t xml:space="preserve"> Vaught case reinforces the principle that patient safety is a shared organisational responsibility rather than the responsibility of individual healthcare professionals alone. Healthcare organisations must foster robust quality assurance systems, transparent leadership, and a culture of continuous improvement to prevent similar incidents in the future. By learning from adverse events and implementing evidence-based service improvements, healthcare providers can enhance patient outcomes, strengthen public trust, and deliver safer, higher-quality care.</w:t>
      </w:r>
    </w:p>
    <w:p w14:paraId="34B50919" w14:textId="77777777" w:rsidR="00686CAD" w:rsidRPr="00A457F8" w:rsidRDefault="00686CAD" w:rsidP="00310804">
      <w:pPr>
        <w:spacing w:before="100" w:beforeAutospacing="1" w:after="100" w:afterAutospacing="1" w:line="240" w:lineRule="auto"/>
        <w:rPr>
          <w:rFonts w:ascii="Arial" w:hAnsi="Arial" w:cs="Arial"/>
          <w:kern w:val="0"/>
          <w:sz w:val="22"/>
          <w:szCs w:val="22"/>
          <w14:ligatures w14:val="none"/>
        </w:rPr>
      </w:pPr>
    </w:p>
    <w:p w14:paraId="24FB5627" w14:textId="77777777" w:rsidR="00686CAD" w:rsidRPr="00A457F8" w:rsidRDefault="00686CAD" w:rsidP="00310804">
      <w:pPr>
        <w:spacing w:before="100" w:beforeAutospacing="1" w:after="100" w:afterAutospacing="1" w:line="240" w:lineRule="auto"/>
        <w:rPr>
          <w:rFonts w:ascii="Arial" w:hAnsi="Arial" w:cs="Arial"/>
          <w:kern w:val="0"/>
          <w:sz w:val="22"/>
          <w:szCs w:val="22"/>
          <w14:ligatures w14:val="none"/>
        </w:rPr>
      </w:pPr>
    </w:p>
    <w:p w14:paraId="2A9C6D3F" w14:textId="77777777" w:rsidR="002C2C73" w:rsidRPr="00A457F8" w:rsidRDefault="002C2C73" w:rsidP="00310804">
      <w:pPr>
        <w:spacing w:before="100" w:beforeAutospacing="1" w:after="100" w:afterAutospacing="1" w:line="240" w:lineRule="auto"/>
        <w:rPr>
          <w:rFonts w:ascii="Arial" w:hAnsi="Arial" w:cs="Arial"/>
          <w:kern w:val="0"/>
          <w:sz w:val="22"/>
          <w:szCs w:val="22"/>
          <w14:ligatures w14:val="none"/>
        </w:rPr>
      </w:pPr>
    </w:p>
    <w:p w14:paraId="7757E292" w14:textId="77777777" w:rsidR="00686CAD" w:rsidRPr="00A457F8" w:rsidRDefault="00686CAD" w:rsidP="00310804">
      <w:pPr>
        <w:spacing w:before="100" w:beforeAutospacing="1" w:after="100" w:afterAutospacing="1" w:line="240" w:lineRule="auto"/>
        <w:rPr>
          <w:rFonts w:ascii="Arial" w:hAnsi="Arial" w:cs="Arial"/>
          <w:kern w:val="0"/>
          <w:sz w:val="22"/>
          <w:szCs w:val="22"/>
          <w14:ligatures w14:val="none"/>
        </w:rPr>
      </w:pPr>
    </w:p>
    <w:p w14:paraId="568C9C15" w14:textId="77777777" w:rsidR="00686CAD" w:rsidRPr="00A457F8" w:rsidRDefault="00686CAD" w:rsidP="00310804">
      <w:pPr>
        <w:spacing w:before="100" w:beforeAutospacing="1" w:after="100" w:afterAutospacing="1" w:line="240" w:lineRule="auto"/>
        <w:rPr>
          <w:rFonts w:ascii="Arial" w:hAnsi="Arial" w:cs="Arial"/>
          <w:kern w:val="0"/>
          <w:sz w:val="22"/>
          <w:szCs w:val="22"/>
          <w14:ligatures w14:val="none"/>
        </w:rPr>
      </w:pPr>
    </w:p>
    <w:p w14:paraId="0A5CC20B" w14:textId="77777777" w:rsidR="0081540A" w:rsidRPr="00A457F8" w:rsidRDefault="0081540A" w:rsidP="00310804">
      <w:pPr>
        <w:spacing w:before="100" w:beforeAutospacing="1" w:after="100" w:afterAutospacing="1" w:line="240" w:lineRule="auto"/>
        <w:rPr>
          <w:rFonts w:ascii="Arial" w:hAnsi="Arial" w:cs="Arial"/>
          <w:kern w:val="0"/>
          <w:sz w:val="22"/>
          <w:szCs w:val="22"/>
          <w14:ligatures w14:val="none"/>
        </w:rPr>
      </w:pPr>
    </w:p>
    <w:p w14:paraId="6C156093" w14:textId="77777777" w:rsidR="0081540A" w:rsidRPr="00A457F8" w:rsidRDefault="0081540A" w:rsidP="00310804">
      <w:pPr>
        <w:spacing w:before="100" w:beforeAutospacing="1" w:after="100" w:afterAutospacing="1" w:line="240" w:lineRule="auto"/>
        <w:rPr>
          <w:rFonts w:ascii="Arial" w:hAnsi="Arial" w:cs="Arial"/>
          <w:kern w:val="0"/>
          <w:sz w:val="22"/>
          <w:szCs w:val="22"/>
          <w14:ligatures w14:val="none"/>
        </w:rPr>
      </w:pPr>
    </w:p>
    <w:p w14:paraId="68281859" w14:textId="77777777" w:rsidR="0081540A" w:rsidRPr="00A457F8" w:rsidRDefault="0081540A" w:rsidP="00310804">
      <w:pPr>
        <w:spacing w:before="100" w:beforeAutospacing="1" w:after="100" w:afterAutospacing="1" w:line="240" w:lineRule="auto"/>
        <w:rPr>
          <w:rFonts w:ascii="Arial" w:hAnsi="Arial" w:cs="Arial"/>
          <w:kern w:val="0"/>
          <w:sz w:val="22"/>
          <w:szCs w:val="22"/>
          <w14:ligatures w14:val="none"/>
        </w:rPr>
      </w:pPr>
    </w:p>
    <w:p w14:paraId="0FE6014A" w14:textId="77777777" w:rsidR="0081540A" w:rsidRPr="00A457F8" w:rsidRDefault="0081540A" w:rsidP="00310804">
      <w:pPr>
        <w:spacing w:before="100" w:beforeAutospacing="1" w:after="100" w:afterAutospacing="1" w:line="240" w:lineRule="auto"/>
        <w:rPr>
          <w:rFonts w:ascii="Arial" w:hAnsi="Arial" w:cs="Arial"/>
          <w:kern w:val="0"/>
          <w:sz w:val="22"/>
          <w:szCs w:val="22"/>
          <w14:ligatures w14:val="none"/>
        </w:rPr>
      </w:pPr>
    </w:p>
    <w:p w14:paraId="3D5D8138" w14:textId="77777777" w:rsidR="0081540A" w:rsidRPr="00A457F8" w:rsidRDefault="0081540A" w:rsidP="00310804">
      <w:pPr>
        <w:spacing w:before="100" w:beforeAutospacing="1" w:after="100" w:afterAutospacing="1" w:line="240" w:lineRule="auto"/>
        <w:rPr>
          <w:rFonts w:ascii="Arial" w:hAnsi="Arial" w:cs="Arial"/>
          <w:kern w:val="0"/>
          <w:sz w:val="22"/>
          <w:szCs w:val="22"/>
          <w14:ligatures w14:val="none"/>
        </w:rPr>
      </w:pPr>
    </w:p>
    <w:p w14:paraId="36FF6F27" w14:textId="77777777" w:rsidR="0081540A" w:rsidRPr="00A457F8" w:rsidRDefault="0081540A" w:rsidP="00310804">
      <w:pPr>
        <w:spacing w:before="100" w:beforeAutospacing="1" w:after="100" w:afterAutospacing="1" w:line="240" w:lineRule="auto"/>
        <w:rPr>
          <w:rFonts w:ascii="Arial" w:hAnsi="Arial" w:cs="Arial"/>
          <w:kern w:val="0"/>
          <w:sz w:val="22"/>
          <w:szCs w:val="22"/>
          <w14:ligatures w14:val="none"/>
        </w:rPr>
      </w:pPr>
    </w:p>
    <w:p w14:paraId="40475403" w14:textId="77777777" w:rsidR="0081540A" w:rsidRDefault="0081540A" w:rsidP="00310804">
      <w:pPr>
        <w:spacing w:before="100" w:beforeAutospacing="1" w:after="100" w:afterAutospacing="1" w:line="240" w:lineRule="auto"/>
        <w:rPr>
          <w:rFonts w:ascii="Arial" w:hAnsi="Arial" w:cs="Arial"/>
          <w:kern w:val="0"/>
          <w:sz w:val="22"/>
          <w:szCs w:val="22"/>
          <w14:ligatures w14:val="none"/>
        </w:rPr>
      </w:pPr>
    </w:p>
    <w:p w14:paraId="6F9D2D9D" w14:textId="77777777" w:rsidR="00A457F8" w:rsidRDefault="00A457F8" w:rsidP="00310804">
      <w:pPr>
        <w:spacing w:before="100" w:beforeAutospacing="1" w:after="100" w:afterAutospacing="1" w:line="240" w:lineRule="auto"/>
        <w:rPr>
          <w:rFonts w:ascii="Arial" w:hAnsi="Arial" w:cs="Arial"/>
          <w:kern w:val="0"/>
          <w:sz w:val="22"/>
          <w:szCs w:val="22"/>
          <w14:ligatures w14:val="none"/>
        </w:rPr>
      </w:pPr>
    </w:p>
    <w:p w14:paraId="227C5C1E" w14:textId="77777777" w:rsidR="00A457F8" w:rsidRDefault="00A457F8" w:rsidP="00310804">
      <w:pPr>
        <w:spacing w:before="100" w:beforeAutospacing="1" w:after="100" w:afterAutospacing="1" w:line="240" w:lineRule="auto"/>
        <w:rPr>
          <w:rFonts w:ascii="Arial" w:hAnsi="Arial" w:cs="Arial"/>
          <w:kern w:val="0"/>
          <w:sz w:val="22"/>
          <w:szCs w:val="22"/>
          <w14:ligatures w14:val="none"/>
        </w:rPr>
      </w:pPr>
    </w:p>
    <w:p w14:paraId="073984D3" w14:textId="77777777" w:rsidR="00A457F8" w:rsidRDefault="00A457F8" w:rsidP="00310804">
      <w:pPr>
        <w:spacing w:before="100" w:beforeAutospacing="1" w:after="100" w:afterAutospacing="1" w:line="240" w:lineRule="auto"/>
        <w:rPr>
          <w:rFonts w:ascii="Arial" w:hAnsi="Arial" w:cs="Arial"/>
          <w:kern w:val="0"/>
          <w:sz w:val="22"/>
          <w:szCs w:val="22"/>
          <w14:ligatures w14:val="none"/>
        </w:rPr>
      </w:pPr>
    </w:p>
    <w:p w14:paraId="2C9DF58B" w14:textId="77777777" w:rsidR="00A457F8" w:rsidRDefault="00A457F8" w:rsidP="00310804">
      <w:pPr>
        <w:spacing w:before="100" w:beforeAutospacing="1" w:after="100" w:afterAutospacing="1" w:line="240" w:lineRule="auto"/>
        <w:rPr>
          <w:rFonts w:ascii="Arial" w:hAnsi="Arial" w:cs="Arial"/>
          <w:kern w:val="0"/>
          <w:sz w:val="22"/>
          <w:szCs w:val="22"/>
          <w14:ligatures w14:val="none"/>
        </w:rPr>
      </w:pPr>
    </w:p>
    <w:p w14:paraId="6286FC29" w14:textId="77777777" w:rsidR="00A457F8" w:rsidRDefault="00A457F8" w:rsidP="00310804">
      <w:pPr>
        <w:spacing w:before="100" w:beforeAutospacing="1" w:after="100" w:afterAutospacing="1" w:line="240" w:lineRule="auto"/>
        <w:rPr>
          <w:rFonts w:ascii="Arial" w:hAnsi="Arial" w:cs="Arial"/>
          <w:kern w:val="0"/>
          <w:sz w:val="22"/>
          <w:szCs w:val="22"/>
          <w14:ligatures w14:val="none"/>
        </w:rPr>
      </w:pPr>
    </w:p>
    <w:p w14:paraId="4D04465D" w14:textId="77777777" w:rsidR="00A457F8" w:rsidRDefault="00A457F8" w:rsidP="00310804">
      <w:pPr>
        <w:spacing w:before="100" w:beforeAutospacing="1" w:after="100" w:afterAutospacing="1" w:line="240" w:lineRule="auto"/>
        <w:rPr>
          <w:rFonts w:ascii="Arial" w:hAnsi="Arial" w:cs="Arial"/>
          <w:kern w:val="0"/>
          <w:sz w:val="22"/>
          <w:szCs w:val="22"/>
          <w14:ligatures w14:val="none"/>
        </w:rPr>
      </w:pPr>
    </w:p>
    <w:p w14:paraId="4620D96B" w14:textId="77777777" w:rsidR="00A457F8" w:rsidRDefault="00A457F8" w:rsidP="00310804">
      <w:pPr>
        <w:spacing w:before="100" w:beforeAutospacing="1" w:after="100" w:afterAutospacing="1" w:line="240" w:lineRule="auto"/>
        <w:rPr>
          <w:rFonts w:ascii="Arial" w:hAnsi="Arial" w:cs="Arial"/>
          <w:kern w:val="0"/>
          <w:sz w:val="22"/>
          <w:szCs w:val="22"/>
          <w14:ligatures w14:val="none"/>
        </w:rPr>
      </w:pPr>
    </w:p>
    <w:p w14:paraId="77D23486" w14:textId="77777777" w:rsidR="00A457F8" w:rsidRDefault="00A457F8" w:rsidP="00310804">
      <w:pPr>
        <w:spacing w:before="100" w:beforeAutospacing="1" w:after="100" w:afterAutospacing="1" w:line="240" w:lineRule="auto"/>
        <w:rPr>
          <w:rFonts w:ascii="Arial" w:hAnsi="Arial" w:cs="Arial"/>
          <w:kern w:val="0"/>
          <w:sz w:val="22"/>
          <w:szCs w:val="22"/>
          <w14:ligatures w14:val="none"/>
        </w:rPr>
      </w:pPr>
    </w:p>
    <w:p w14:paraId="6EBF51AD" w14:textId="77777777" w:rsidR="00A457F8" w:rsidRDefault="00A457F8" w:rsidP="00310804">
      <w:pPr>
        <w:spacing w:before="100" w:beforeAutospacing="1" w:after="100" w:afterAutospacing="1" w:line="240" w:lineRule="auto"/>
        <w:rPr>
          <w:rFonts w:ascii="Arial" w:hAnsi="Arial" w:cs="Arial"/>
          <w:kern w:val="0"/>
          <w:sz w:val="22"/>
          <w:szCs w:val="22"/>
          <w14:ligatures w14:val="none"/>
        </w:rPr>
      </w:pPr>
    </w:p>
    <w:p w14:paraId="5D9042A5" w14:textId="77777777" w:rsidR="00A457F8" w:rsidRPr="00A457F8" w:rsidRDefault="00A457F8" w:rsidP="00310804">
      <w:pPr>
        <w:spacing w:before="100" w:beforeAutospacing="1" w:after="100" w:afterAutospacing="1" w:line="240" w:lineRule="auto"/>
        <w:rPr>
          <w:rFonts w:ascii="Arial" w:hAnsi="Arial" w:cs="Arial"/>
          <w:kern w:val="0"/>
          <w:sz w:val="22"/>
          <w:szCs w:val="22"/>
          <w14:ligatures w14:val="none"/>
        </w:rPr>
      </w:pPr>
    </w:p>
    <w:p w14:paraId="51B6D832" w14:textId="77777777" w:rsidR="0081540A" w:rsidRPr="00A457F8" w:rsidRDefault="0081540A" w:rsidP="00310804">
      <w:pPr>
        <w:spacing w:before="100" w:beforeAutospacing="1" w:after="100" w:afterAutospacing="1" w:line="240" w:lineRule="auto"/>
        <w:rPr>
          <w:rFonts w:ascii="Arial" w:hAnsi="Arial" w:cs="Arial"/>
          <w:kern w:val="0"/>
          <w:sz w:val="22"/>
          <w:szCs w:val="22"/>
          <w14:ligatures w14:val="none"/>
        </w:rPr>
      </w:pPr>
    </w:p>
    <w:p w14:paraId="59B84FE6" w14:textId="77777777" w:rsidR="00FC7781" w:rsidRPr="00A457F8" w:rsidRDefault="00FC7781" w:rsidP="002C2C73">
      <w:pPr>
        <w:pStyle w:val="Heading1"/>
        <w:rPr>
          <w:rFonts w:ascii="Arial" w:eastAsia="Times New Roman" w:hAnsi="Arial" w:cs="Arial"/>
        </w:rPr>
      </w:pPr>
      <w:bookmarkStart w:id="45" w:name="_Toc236070683"/>
      <w:r w:rsidRPr="00A457F8">
        <w:rPr>
          <w:rFonts w:ascii="Arial" w:eastAsia="Times New Roman" w:hAnsi="Arial" w:cs="Arial"/>
        </w:rPr>
        <w:t>References</w:t>
      </w:r>
      <w:bookmarkEnd w:id="45"/>
    </w:p>
    <w:p w14:paraId="0EDE12C9" w14:textId="77777777" w:rsidR="00FC7781" w:rsidRPr="00A457F8" w:rsidRDefault="00FC7781" w:rsidP="00686CAD">
      <w:pPr>
        <w:pStyle w:val="ListParagraph"/>
        <w:numPr>
          <w:ilvl w:val="0"/>
          <w:numId w:val="1"/>
        </w:num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Agency for Healthcare Research and Quality (AHRQ) (2022) </w:t>
      </w:r>
      <w:r w:rsidRPr="00A457F8">
        <w:rPr>
          <w:rFonts w:ascii="Arial" w:hAnsi="Arial" w:cs="Arial"/>
          <w:i/>
          <w:kern w:val="0"/>
          <w:sz w:val="22"/>
          <w:szCs w:val="22"/>
          <w14:ligatures w14:val="none"/>
        </w:rPr>
        <w:t>Patient Safety Primer: Medication Errors</w:t>
      </w:r>
      <w:r w:rsidRPr="00A457F8">
        <w:rPr>
          <w:rFonts w:ascii="Arial" w:hAnsi="Arial" w:cs="Arial"/>
          <w:kern w:val="0"/>
          <w:sz w:val="22"/>
          <w:szCs w:val="22"/>
          <w14:ligatures w14:val="none"/>
        </w:rPr>
        <w:t xml:space="preserve">. Rockville, MD: AHRQ. Available at: </w:t>
      </w:r>
      <w:hyperlink r:id="rId11" w:history="1">
        <w:r w:rsidRPr="00A457F8">
          <w:rPr>
            <w:rFonts w:ascii="Arial" w:hAnsi="Arial" w:cs="Arial"/>
            <w:color w:val="0000FF"/>
            <w:kern w:val="0"/>
            <w:sz w:val="22"/>
            <w:szCs w:val="22"/>
            <w:u w:val="single"/>
            <w14:ligatures w14:val="none"/>
          </w:rPr>
          <w:t>https://psnet.ahrq.gov</w:t>
        </w:r>
      </w:hyperlink>
      <w:r w:rsidRPr="00A457F8">
        <w:rPr>
          <w:rFonts w:ascii="Arial" w:hAnsi="Arial" w:cs="Arial"/>
          <w:kern w:val="0"/>
          <w:sz w:val="22"/>
          <w:szCs w:val="22"/>
          <w14:ligatures w14:val="none"/>
        </w:rPr>
        <w:t xml:space="preserve"> (Accessed: 26 July 2026).</w:t>
      </w:r>
    </w:p>
    <w:p w14:paraId="78834F88" w14:textId="77777777" w:rsidR="00FC7781" w:rsidRPr="00A457F8" w:rsidRDefault="00FC7781" w:rsidP="00686CAD">
      <w:pPr>
        <w:pStyle w:val="ListParagraph"/>
        <w:numPr>
          <w:ilvl w:val="0"/>
          <w:numId w:val="1"/>
        </w:numPr>
        <w:spacing w:before="100" w:beforeAutospacing="1" w:after="100" w:afterAutospacing="1" w:line="240" w:lineRule="auto"/>
        <w:rPr>
          <w:rFonts w:ascii="Arial" w:hAnsi="Arial" w:cs="Arial"/>
          <w:kern w:val="0"/>
          <w:sz w:val="22"/>
          <w:szCs w:val="22"/>
          <w14:ligatures w14:val="none"/>
        </w:rPr>
      </w:pPr>
      <w:proofErr w:type="spellStart"/>
      <w:r w:rsidRPr="00A457F8">
        <w:rPr>
          <w:rFonts w:ascii="Arial" w:hAnsi="Arial" w:cs="Arial"/>
          <w:kern w:val="0"/>
          <w:sz w:val="22"/>
          <w:szCs w:val="22"/>
          <w14:ligatures w14:val="none"/>
        </w:rPr>
        <w:t>Centers</w:t>
      </w:r>
      <w:proofErr w:type="spellEnd"/>
      <w:r w:rsidRPr="00A457F8">
        <w:rPr>
          <w:rFonts w:ascii="Arial" w:hAnsi="Arial" w:cs="Arial"/>
          <w:kern w:val="0"/>
          <w:sz w:val="22"/>
          <w:szCs w:val="22"/>
          <w14:ligatures w14:val="none"/>
        </w:rPr>
        <w:t xml:space="preserve"> for Medicare &amp; Medicaid Services (CMS) (2019) </w:t>
      </w:r>
      <w:r w:rsidRPr="00A457F8">
        <w:rPr>
          <w:rFonts w:ascii="Arial" w:hAnsi="Arial" w:cs="Arial"/>
          <w:i/>
          <w:kern w:val="0"/>
          <w:sz w:val="22"/>
          <w:szCs w:val="22"/>
          <w14:ligatures w14:val="none"/>
        </w:rPr>
        <w:t xml:space="preserve">Statement of Deficiencies and Plan of Correction: Vanderbilt University Medical </w:t>
      </w:r>
      <w:proofErr w:type="spellStart"/>
      <w:r w:rsidRPr="00A457F8">
        <w:rPr>
          <w:rFonts w:ascii="Arial" w:hAnsi="Arial" w:cs="Arial"/>
          <w:i/>
          <w:kern w:val="0"/>
          <w:sz w:val="22"/>
          <w:szCs w:val="22"/>
          <w14:ligatures w14:val="none"/>
        </w:rPr>
        <w:t>Center</w:t>
      </w:r>
      <w:proofErr w:type="spellEnd"/>
      <w:r w:rsidRPr="00A457F8">
        <w:rPr>
          <w:rFonts w:ascii="Arial" w:hAnsi="Arial" w:cs="Arial"/>
          <w:kern w:val="0"/>
          <w:sz w:val="22"/>
          <w:szCs w:val="22"/>
          <w14:ligatures w14:val="none"/>
        </w:rPr>
        <w:t>. Baltimore, MD: CMS.</w:t>
      </w:r>
    </w:p>
    <w:p w14:paraId="608EFC2E" w14:textId="77777777" w:rsidR="00FC7781" w:rsidRPr="00A457F8" w:rsidRDefault="00FC7781" w:rsidP="00686CAD">
      <w:pPr>
        <w:pStyle w:val="ListParagraph"/>
        <w:numPr>
          <w:ilvl w:val="0"/>
          <w:numId w:val="1"/>
        </w:num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Gürel, E. and Tat, M. (2017) ‘SWOT analysis: A theoretical review’, </w:t>
      </w:r>
      <w:r w:rsidRPr="00A457F8">
        <w:rPr>
          <w:rFonts w:ascii="Arial" w:hAnsi="Arial" w:cs="Arial"/>
          <w:i/>
          <w:kern w:val="0"/>
          <w:sz w:val="22"/>
          <w:szCs w:val="22"/>
          <w14:ligatures w14:val="none"/>
        </w:rPr>
        <w:t>The Journal of International Social Research</w:t>
      </w:r>
      <w:r w:rsidRPr="00A457F8">
        <w:rPr>
          <w:rFonts w:ascii="Arial" w:hAnsi="Arial" w:cs="Arial"/>
          <w:kern w:val="0"/>
          <w:sz w:val="22"/>
          <w:szCs w:val="22"/>
          <w14:ligatures w14:val="none"/>
        </w:rPr>
        <w:t xml:space="preserve">, 10(51), pp. </w:t>
      </w:r>
      <w:hyperlink r:id="rId12" w:history="1">
        <w:r w:rsidRPr="00A457F8">
          <w:rPr>
            <w:rFonts w:ascii="Arial" w:hAnsi="Arial" w:cs="Arial"/>
            <w:color w:val="0000FF"/>
            <w:kern w:val="0"/>
            <w:sz w:val="22"/>
            <w:szCs w:val="22"/>
            <w:u w:val="single"/>
            <w14:ligatures w14:val="none"/>
          </w:rPr>
          <w:t>994–1006</w:t>
        </w:r>
      </w:hyperlink>
      <w:r w:rsidRPr="00A457F8">
        <w:rPr>
          <w:rFonts w:ascii="Arial" w:hAnsi="Arial" w:cs="Arial"/>
          <w:kern w:val="0"/>
          <w:sz w:val="22"/>
          <w:szCs w:val="22"/>
          <w14:ligatures w14:val="none"/>
        </w:rPr>
        <w:t>.</w:t>
      </w:r>
    </w:p>
    <w:p w14:paraId="686D6094" w14:textId="77777777" w:rsidR="00FC7781" w:rsidRPr="00A457F8" w:rsidRDefault="00FC7781" w:rsidP="00686CAD">
      <w:pPr>
        <w:pStyle w:val="ListParagraph"/>
        <w:numPr>
          <w:ilvl w:val="0"/>
          <w:numId w:val="1"/>
        </w:num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Institute for Healthcare Improvement (IHI) (2023) </w:t>
      </w:r>
      <w:r w:rsidRPr="00A457F8">
        <w:rPr>
          <w:rFonts w:ascii="Arial" w:hAnsi="Arial" w:cs="Arial"/>
          <w:i/>
          <w:kern w:val="0"/>
          <w:sz w:val="22"/>
          <w:szCs w:val="22"/>
          <w14:ligatures w14:val="none"/>
        </w:rPr>
        <w:t>Science of Improvement: How to Improve</w:t>
      </w:r>
      <w:r w:rsidRPr="00A457F8">
        <w:rPr>
          <w:rFonts w:ascii="Arial" w:hAnsi="Arial" w:cs="Arial"/>
          <w:kern w:val="0"/>
          <w:sz w:val="22"/>
          <w:szCs w:val="22"/>
          <w14:ligatures w14:val="none"/>
        </w:rPr>
        <w:t xml:space="preserve">. Boston, MA: Institute for Healthcare Improvement. Available at: </w:t>
      </w:r>
      <w:hyperlink r:id="rId13" w:history="1">
        <w:r w:rsidRPr="00A457F8">
          <w:rPr>
            <w:rFonts w:ascii="Arial" w:hAnsi="Arial" w:cs="Arial"/>
            <w:color w:val="0000FF"/>
            <w:kern w:val="0"/>
            <w:sz w:val="22"/>
            <w:szCs w:val="22"/>
            <w:u w:val="single"/>
            <w14:ligatures w14:val="none"/>
          </w:rPr>
          <w:t>https://www.ihi.org</w:t>
        </w:r>
      </w:hyperlink>
      <w:r w:rsidRPr="00A457F8">
        <w:rPr>
          <w:rFonts w:ascii="Arial" w:hAnsi="Arial" w:cs="Arial"/>
          <w:kern w:val="0"/>
          <w:sz w:val="22"/>
          <w:szCs w:val="22"/>
          <w14:ligatures w14:val="none"/>
        </w:rPr>
        <w:t xml:space="preserve"> (Accessed: 26 July 2026).</w:t>
      </w:r>
    </w:p>
    <w:p w14:paraId="471EEEDF" w14:textId="77777777" w:rsidR="00FC7781" w:rsidRPr="00A457F8" w:rsidRDefault="00FC7781" w:rsidP="00686CAD">
      <w:pPr>
        <w:pStyle w:val="ListParagraph"/>
        <w:numPr>
          <w:ilvl w:val="0"/>
          <w:numId w:val="1"/>
        </w:num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Institute for Safe Medication Practices (ISMP) (2022) </w:t>
      </w:r>
      <w:r w:rsidRPr="00A457F8">
        <w:rPr>
          <w:rFonts w:ascii="Arial" w:hAnsi="Arial" w:cs="Arial"/>
          <w:i/>
          <w:kern w:val="0"/>
          <w:sz w:val="22"/>
          <w:szCs w:val="22"/>
          <w14:ligatures w14:val="none"/>
        </w:rPr>
        <w:t>Criminalization of Human Error and Its Impact on Patient Safety</w:t>
      </w:r>
      <w:r w:rsidRPr="00A457F8">
        <w:rPr>
          <w:rFonts w:ascii="Arial" w:hAnsi="Arial" w:cs="Arial"/>
          <w:kern w:val="0"/>
          <w:sz w:val="22"/>
          <w:szCs w:val="22"/>
          <w14:ligatures w14:val="none"/>
        </w:rPr>
        <w:t xml:space="preserve">. Horsham, PA: ISMP. Available at: </w:t>
      </w:r>
      <w:hyperlink r:id="rId14" w:history="1">
        <w:r w:rsidRPr="00A457F8">
          <w:rPr>
            <w:rFonts w:ascii="Arial" w:hAnsi="Arial" w:cs="Arial"/>
            <w:color w:val="0000FF"/>
            <w:kern w:val="0"/>
            <w:sz w:val="22"/>
            <w:szCs w:val="22"/>
            <w:u w:val="single"/>
            <w14:ligatures w14:val="none"/>
          </w:rPr>
          <w:t>https://www.ismp.org</w:t>
        </w:r>
      </w:hyperlink>
      <w:r w:rsidRPr="00A457F8">
        <w:rPr>
          <w:rFonts w:ascii="Arial" w:hAnsi="Arial" w:cs="Arial"/>
          <w:kern w:val="0"/>
          <w:sz w:val="22"/>
          <w:szCs w:val="22"/>
          <w14:ligatures w14:val="none"/>
        </w:rPr>
        <w:t xml:space="preserve"> (Accessed: 26 July 2026).</w:t>
      </w:r>
    </w:p>
    <w:p w14:paraId="08BECA71" w14:textId="77777777" w:rsidR="00FC7781" w:rsidRPr="00A457F8" w:rsidRDefault="00FC7781" w:rsidP="00686CAD">
      <w:pPr>
        <w:pStyle w:val="ListParagraph"/>
        <w:numPr>
          <w:ilvl w:val="0"/>
          <w:numId w:val="1"/>
        </w:num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Ishikawa, K. (1986) </w:t>
      </w:r>
      <w:r w:rsidRPr="00A457F8">
        <w:rPr>
          <w:rFonts w:ascii="Arial" w:hAnsi="Arial" w:cs="Arial"/>
          <w:i/>
          <w:kern w:val="0"/>
          <w:sz w:val="22"/>
          <w:szCs w:val="22"/>
          <w14:ligatures w14:val="none"/>
        </w:rPr>
        <w:t>Guide to Quality Control</w:t>
      </w:r>
      <w:r w:rsidRPr="00A457F8">
        <w:rPr>
          <w:rFonts w:ascii="Arial" w:hAnsi="Arial" w:cs="Arial"/>
          <w:kern w:val="0"/>
          <w:sz w:val="22"/>
          <w:szCs w:val="22"/>
          <w14:ligatures w14:val="none"/>
        </w:rPr>
        <w:t xml:space="preserve">. 2nd rev. </w:t>
      </w:r>
      <w:proofErr w:type="spellStart"/>
      <w:r w:rsidRPr="00A457F8">
        <w:rPr>
          <w:rFonts w:ascii="Arial" w:hAnsi="Arial" w:cs="Arial"/>
          <w:kern w:val="0"/>
          <w:sz w:val="22"/>
          <w:szCs w:val="22"/>
          <w14:ligatures w14:val="none"/>
        </w:rPr>
        <w:t>edn</w:t>
      </w:r>
      <w:proofErr w:type="spellEnd"/>
      <w:r w:rsidRPr="00A457F8">
        <w:rPr>
          <w:rFonts w:ascii="Arial" w:hAnsi="Arial" w:cs="Arial"/>
          <w:kern w:val="0"/>
          <w:sz w:val="22"/>
          <w:szCs w:val="22"/>
          <w14:ligatures w14:val="none"/>
        </w:rPr>
        <w:t>. Tokyo: Asian Productivity Organization.</w:t>
      </w:r>
    </w:p>
    <w:p w14:paraId="1A68F3F8" w14:textId="77777777" w:rsidR="00FC7781" w:rsidRPr="00A457F8" w:rsidRDefault="00FC7781" w:rsidP="00686CAD">
      <w:pPr>
        <w:pStyle w:val="ListParagraph"/>
        <w:numPr>
          <w:ilvl w:val="0"/>
          <w:numId w:val="1"/>
        </w:num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lastRenderedPageBreak/>
        <w:t xml:space="preserve">Joint Commission (2024) </w:t>
      </w:r>
      <w:r w:rsidRPr="00A457F8">
        <w:rPr>
          <w:rFonts w:ascii="Arial" w:hAnsi="Arial" w:cs="Arial"/>
          <w:i/>
          <w:kern w:val="0"/>
          <w:sz w:val="22"/>
          <w:szCs w:val="22"/>
          <w14:ligatures w14:val="none"/>
        </w:rPr>
        <w:t>National Patient Safety Goals: Hospital Program</w:t>
      </w:r>
      <w:r w:rsidRPr="00A457F8">
        <w:rPr>
          <w:rFonts w:ascii="Arial" w:hAnsi="Arial" w:cs="Arial"/>
          <w:kern w:val="0"/>
          <w:sz w:val="22"/>
          <w:szCs w:val="22"/>
          <w14:ligatures w14:val="none"/>
        </w:rPr>
        <w:t xml:space="preserve">. Oakbrook Terrace, IL: The Joint Commission. Available at: </w:t>
      </w:r>
      <w:hyperlink r:id="rId15" w:history="1">
        <w:r w:rsidRPr="00A457F8">
          <w:rPr>
            <w:rFonts w:ascii="Arial" w:hAnsi="Arial" w:cs="Arial"/>
            <w:color w:val="0000FF"/>
            <w:kern w:val="0"/>
            <w:sz w:val="22"/>
            <w:szCs w:val="22"/>
            <w:u w:val="single"/>
            <w14:ligatures w14:val="none"/>
          </w:rPr>
          <w:t>https://www.jointcommission.org</w:t>
        </w:r>
      </w:hyperlink>
      <w:r w:rsidRPr="00A457F8">
        <w:rPr>
          <w:rFonts w:ascii="Arial" w:hAnsi="Arial" w:cs="Arial"/>
          <w:kern w:val="0"/>
          <w:sz w:val="22"/>
          <w:szCs w:val="22"/>
          <w14:ligatures w14:val="none"/>
        </w:rPr>
        <w:t xml:space="preserve"> (Accessed: 26 July 2026).</w:t>
      </w:r>
    </w:p>
    <w:p w14:paraId="47643D4C" w14:textId="77777777" w:rsidR="00FC7781" w:rsidRPr="00A457F8" w:rsidRDefault="00FC7781" w:rsidP="00686CAD">
      <w:pPr>
        <w:pStyle w:val="ListParagraph"/>
        <w:numPr>
          <w:ilvl w:val="0"/>
          <w:numId w:val="1"/>
        </w:num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Kohn, L.T., Corrigan, J.M. and Donaldson, M.S. (2000) </w:t>
      </w:r>
      <w:r w:rsidRPr="00A457F8">
        <w:rPr>
          <w:rFonts w:ascii="Arial" w:hAnsi="Arial" w:cs="Arial"/>
          <w:i/>
          <w:kern w:val="0"/>
          <w:sz w:val="22"/>
          <w:szCs w:val="22"/>
          <w14:ligatures w14:val="none"/>
        </w:rPr>
        <w:t>To Err Is Human: Building a Safer Health System</w:t>
      </w:r>
      <w:r w:rsidRPr="00A457F8">
        <w:rPr>
          <w:rFonts w:ascii="Arial" w:hAnsi="Arial" w:cs="Arial"/>
          <w:kern w:val="0"/>
          <w:sz w:val="22"/>
          <w:szCs w:val="22"/>
          <w14:ligatures w14:val="none"/>
        </w:rPr>
        <w:t>. Washington, DC: National Academy Press.</w:t>
      </w:r>
    </w:p>
    <w:p w14:paraId="6B905C08" w14:textId="77777777" w:rsidR="00FC7781" w:rsidRPr="00A457F8" w:rsidRDefault="00FC7781" w:rsidP="00686CAD">
      <w:pPr>
        <w:pStyle w:val="ListParagraph"/>
        <w:numPr>
          <w:ilvl w:val="0"/>
          <w:numId w:val="1"/>
        </w:num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Lewin, K. (1947) ‘Frontiers in group dynamics’, </w:t>
      </w:r>
      <w:r w:rsidRPr="00A457F8">
        <w:rPr>
          <w:rFonts w:ascii="Arial" w:hAnsi="Arial" w:cs="Arial"/>
          <w:i/>
          <w:kern w:val="0"/>
          <w:sz w:val="22"/>
          <w:szCs w:val="22"/>
          <w14:ligatures w14:val="none"/>
        </w:rPr>
        <w:t>Human Relations</w:t>
      </w:r>
      <w:r w:rsidRPr="00A457F8">
        <w:rPr>
          <w:rFonts w:ascii="Arial" w:hAnsi="Arial" w:cs="Arial"/>
          <w:kern w:val="0"/>
          <w:sz w:val="22"/>
          <w:szCs w:val="22"/>
          <w14:ligatures w14:val="none"/>
        </w:rPr>
        <w:t>, 1(1), pp. 5–41.</w:t>
      </w:r>
    </w:p>
    <w:p w14:paraId="1C278D6E" w14:textId="77777777" w:rsidR="00FC7781" w:rsidRPr="00A457F8" w:rsidRDefault="00FC7781" w:rsidP="00686CAD">
      <w:pPr>
        <w:pStyle w:val="ListParagraph"/>
        <w:numPr>
          <w:ilvl w:val="0"/>
          <w:numId w:val="1"/>
        </w:num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Marx, D. (2001) </w:t>
      </w:r>
      <w:r w:rsidRPr="00A457F8">
        <w:rPr>
          <w:rFonts w:ascii="Arial" w:hAnsi="Arial" w:cs="Arial"/>
          <w:i/>
          <w:kern w:val="0"/>
          <w:sz w:val="22"/>
          <w:szCs w:val="22"/>
          <w14:ligatures w14:val="none"/>
        </w:rPr>
        <w:t>Patient Safety and the “Just Culture”: A Primer for Health Care Executives</w:t>
      </w:r>
      <w:r w:rsidRPr="00A457F8">
        <w:rPr>
          <w:rFonts w:ascii="Arial" w:hAnsi="Arial" w:cs="Arial"/>
          <w:kern w:val="0"/>
          <w:sz w:val="22"/>
          <w:szCs w:val="22"/>
          <w14:ligatures w14:val="none"/>
        </w:rPr>
        <w:t>. New York: Columbia University.</w:t>
      </w:r>
    </w:p>
    <w:p w14:paraId="34696571" w14:textId="77777777" w:rsidR="00FC7781" w:rsidRPr="00A457F8" w:rsidRDefault="00FC7781" w:rsidP="00686CAD">
      <w:pPr>
        <w:pStyle w:val="ListParagraph"/>
        <w:numPr>
          <w:ilvl w:val="0"/>
          <w:numId w:val="1"/>
        </w:num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NHS England (2023) </w:t>
      </w:r>
      <w:r w:rsidRPr="00A457F8">
        <w:rPr>
          <w:rFonts w:ascii="Arial" w:hAnsi="Arial" w:cs="Arial"/>
          <w:i/>
          <w:kern w:val="0"/>
          <w:sz w:val="22"/>
          <w:szCs w:val="22"/>
          <w14:ligatures w14:val="none"/>
        </w:rPr>
        <w:t>Patient Safety Incident Response Framework (PSIRF)</w:t>
      </w:r>
      <w:r w:rsidRPr="00A457F8">
        <w:rPr>
          <w:rFonts w:ascii="Arial" w:hAnsi="Arial" w:cs="Arial"/>
          <w:kern w:val="0"/>
          <w:sz w:val="22"/>
          <w:szCs w:val="22"/>
          <w14:ligatures w14:val="none"/>
        </w:rPr>
        <w:t xml:space="preserve">. London: NHS England. Available at: </w:t>
      </w:r>
      <w:hyperlink r:id="rId16" w:history="1">
        <w:r w:rsidRPr="00A457F8">
          <w:rPr>
            <w:rFonts w:ascii="Arial" w:hAnsi="Arial" w:cs="Arial"/>
            <w:color w:val="0000FF"/>
            <w:kern w:val="0"/>
            <w:sz w:val="22"/>
            <w:szCs w:val="22"/>
            <w:u w:val="single"/>
            <w14:ligatures w14:val="none"/>
          </w:rPr>
          <w:t>https://www.england.nhs.uk/patient-safety</w:t>
        </w:r>
      </w:hyperlink>
      <w:r w:rsidRPr="00A457F8">
        <w:rPr>
          <w:rFonts w:ascii="Arial" w:hAnsi="Arial" w:cs="Arial"/>
          <w:kern w:val="0"/>
          <w:sz w:val="22"/>
          <w:szCs w:val="22"/>
          <w14:ligatures w14:val="none"/>
        </w:rPr>
        <w:t xml:space="preserve"> (Accessed: 26 July 2026).</w:t>
      </w:r>
    </w:p>
    <w:p w14:paraId="4A656788" w14:textId="77777777" w:rsidR="00FC7781" w:rsidRPr="00A457F8" w:rsidRDefault="00FC7781" w:rsidP="00686CAD">
      <w:pPr>
        <w:pStyle w:val="ListParagraph"/>
        <w:numPr>
          <w:ilvl w:val="0"/>
          <w:numId w:val="1"/>
        </w:num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Reason, J. (2000) ‘Human error: Models and management’, </w:t>
      </w:r>
      <w:r w:rsidRPr="00A457F8">
        <w:rPr>
          <w:rFonts w:ascii="Arial" w:hAnsi="Arial" w:cs="Arial"/>
          <w:i/>
          <w:kern w:val="0"/>
          <w:sz w:val="22"/>
          <w:szCs w:val="22"/>
          <w14:ligatures w14:val="none"/>
        </w:rPr>
        <w:t>BMJ</w:t>
      </w:r>
      <w:r w:rsidRPr="00A457F8">
        <w:rPr>
          <w:rFonts w:ascii="Arial" w:hAnsi="Arial" w:cs="Arial"/>
          <w:kern w:val="0"/>
          <w:sz w:val="22"/>
          <w:szCs w:val="22"/>
          <w14:ligatures w14:val="none"/>
        </w:rPr>
        <w:t>, 320(7237), pp. 768–770.</w:t>
      </w:r>
    </w:p>
    <w:p w14:paraId="2F41B130" w14:textId="77777777" w:rsidR="00FC7781" w:rsidRPr="00A457F8" w:rsidRDefault="00FC7781" w:rsidP="00686CAD">
      <w:pPr>
        <w:pStyle w:val="ListParagraph"/>
        <w:numPr>
          <w:ilvl w:val="0"/>
          <w:numId w:val="1"/>
        </w:num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Rodziewicz, T.L., Houseman, B. and Hipskind, J.E. (2024) ‘Medical Error Reduction and Prevention’, </w:t>
      </w:r>
      <w:r w:rsidRPr="00A457F8">
        <w:rPr>
          <w:rFonts w:ascii="Arial" w:hAnsi="Arial" w:cs="Arial"/>
          <w:i/>
          <w:kern w:val="0"/>
          <w:sz w:val="22"/>
          <w:szCs w:val="22"/>
          <w14:ligatures w14:val="none"/>
        </w:rPr>
        <w:t>StatPearls</w:t>
      </w:r>
      <w:r w:rsidRPr="00A457F8">
        <w:rPr>
          <w:rFonts w:ascii="Arial" w:hAnsi="Arial" w:cs="Arial"/>
          <w:kern w:val="0"/>
          <w:sz w:val="22"/>
          <w:szCs w:val="22"/>
          <w14:ligatures w14:val="none"/>
        </w:rPr>
        <w:t>. Treasure Island, FL: StatPearls Publishing.</w:t>
      </w:r>
    </w:p>
    <w:p w14:paraId="06373DAE" w14:textId="77777777" w:rsidR="00FC7781" w:rsidRPr="00A457F8" w:rsidRDefault="00FC7781" w:rsidP="00686CAD">
      <w:pPr>
        <w:pStyle w:val="ListParagraph"/>
        <w:numPr>
          <w:ilvl w:val="0"/>
          <w:numId w:val="1"/>
        </w:num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Rodziewicz, T.L., Houseman, B. and Hipskind, J.E. (2025) ‘Patient Safety’, </w:t>
      </w:r>
      <w:r w:rsidRPr="00A457F8">
        <w:rPr>
          <w:rFonts w:ascii="Arial" w:hAnsi="Arial" w:cs="Arial"/>
          <w:i/>
          <w:kern w:val="0"/>
          <w:sz w:val="22"/>
          <w:szCs w:val="22"/>
          <w14:ligatures w14:val="none"/>
        </w:rPr>
        <w:t>StatPearls</w:t>
      </w:r>
      <w:r w:rsidRPr="00A457F8">
        <w:rPr>
          <w:rFonts w:ascii="Arial" w:hAnsi="Arial" w:cs="Arial"/>
          <w:kern w:val="0"/>
          <w:sz w:val="22"/>
          <w:szCs w:val="22"/>
          <w14:ligatures w14:val="none"/>
        </w:rPr>
        <w:t>. Treasure Island, FL: StatPearls Publishing.</w:t>
      </w:r>
    </w:p>
    <w:p w14:paraId="1045FB61" w14:textId="77777777" w:rsidR="00FC7781" w:rsidRPr="00A457F8" w:rsidRDefault="00FC7781" w:rsidP="00686CAD">
      <w:pPr>
        <w:pStyle w:val="ListParagraph"/>
        <w:numPr>
          <w:ilvl w:val="0"/>
          <w:numId w:val="1"/>
        </w:num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Spath, P.L. (2022) </w:t>
      </w:r>
      <w:r w:rsidRPr="00A457F8">
        <w:rPr>
          <w:rFonts w:ascii="Arial" w:hAnsi="Arial" w:cs="Arial"/>
          <w:i/>
          <w:kern w:val="0"/>
          <w:sz w:val="22"/>
          <w:szCs w:val="22"/>
          <w14:ligatures w14:val="none"/>
        </w:rPr>
        <w:t>Introduction to Healthcare Quality Management</w:t>
      </w:r>
      <w:r w:rsidRPr="00A457F8">
        <w:rPr>
          <w:rFonts w:ascii="Arial" w:hAnsi="Arial" w:cs="Arial"/>
          <w:kern w:val="0"/>
          <w:sz w:val="22"/>
          <w:szCs w:val="22"/>
          <w14:ligatures w14:val="none"/>
        </w:rPr>
        <w:t xml:space="preserve">. 4th </w:t>
      </w:r>
      <w:proofErr w:type="spellStart"/>
      <w:r w:rsidRPr="00A457F8">
        <w:rPr>
          <w:rFonts w:ascii="Arial" w:hAnsi="Arial" w:cs="Arial"/>
          <w:kern w:val="0"/>
          <w:sz w:val="22"/>
          <w:szCs w:val="22"/>
          <w14:ligatures w14:val="none"/>
        </w:rPr>
        <w:t>edn</w:t>
      </w:r>
      <w:proofErr w:type="spellEnd"/>
      <w:r w:rsidRPr="00A457F8">
        <w:rPr>
          <w:rFonts w:ascii="Arial" w:hAnsi="Arial" w:cs="Arial"/>
          <w:kern w:val="0"/>
          <w:sz w:val="22"/>
          <w:szCs w:val="22"/>
          <w14:ligatures w14:val="none"/>
        </w:rPr>
        <w:t>. Chicago: Health Administration Press.</w:t>
      </w:r>
    </w:p>
    <w:p w14:paraId="67C9706F" w14:textId="77777777" w:rsidR="00FC7781" w:rsidRPr="00A457F8" w:rsidRDefault="00FC7781" w:rsidP="00686CAD">
      <w:pPr>
        <w:pStyle w:val="ListParagraph"/>
        <w:numPr>
          <w:ilvl w:val="0"/>
          <w:numId w:val="1"/>
        </w:num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The Joint Commission (2024) </w:t>
      </w:r>
      <w:r w:rsidRPr="00A457F8">
        <w:rPr>
          <w:rFonts w:ascii="Arial" w:hAnsi="Arial" w:cs="Arial"/>
          <w:i/>
          <w:kern w:val="0"/>
          <w:sz w:val="22"/>
          <w:szCs w:val="22"/>
          <w14:ligatures w14:val="none"/>
        </w:rPr>
        <w:t>Sentinel Event Policy and Procedures</w:t>
      </w:r>
      <w:r w:rsidRPr="00A457F8">
        <w:rPr>
          <w:rFonts w:ascii="Arial" w:hAnsi="Arial" w:cs="Arial"/>
          <w:kern w:val="0"/>
          <w:sz w:val="22"/>
          <w:szCs w:val="22"/>
          <w14:ligatures w14:val="none"/>
        </w:rPr>
        <w:t>. Oakbrook Terrace, IL: The Joint Commission.</w:t>
      </w:r>
    </w:p>
    <w:p w14:paraId="35EB3501" w14:textId="77777777" w:rsidR="00FC7781" w:rsidRPr="00A457F8" w:rsidRDefault="00FC7781" w:rsidP="00686CAD">
      <w:pPr>
        <w:pStyle w:val="ListParagraph"/>
        <w:numPr>
          <w:ilvl w:val="0"/>
          <w:numId w:val="1"/>
        </w:num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Vincent, C. and Amalberti, R. (2016) </w:t>
      </w:r>
      <w:r w:rsidRPr="00A457F8">
        <w:rPr>
          <w:rFonts w:ascii="Arial" w:hAnsi="Arial" w:cs="Arial"/>
          <w:i/>
          <w:kern w:val="0"/>
          <w:sz w:val="22"/>
          <w:szCs w:val="22"/>
          <w14:ligatures w14:val="none"/>
        </w:rPr>
        <w:t>Safer Healthcare: Strategies for the Real World</w:t>
      </w:r>
      <w:r w:rsidRPr="00A457F8">
        <w:rPr>
          <w:rFonts w:ascii="Arial" w:hAnsi="Arial" w:cs="Arial"/>
          <w:kern w:val="0"/>
          <w:sz w:val="22"/>
          <w:szCs w:val="22"/>
          <w14:ligatures w14:val="none"/>
        </w:rPr>
        <w:t>. Cham: Springer.</w:t>
      </w:r>
    </w:p>
    <w:p w14:paraId="1B5D49AC" w14:textId="77777777" w:rsidR="00FC7781" w:rsidRPr="00A457F8" w:rsidRDefault="00FC7781" w:rsidP="00686CAD">
      <w:pPr>
        <w:pStyle w:val="ListParagraph"/>
        <w:numPr>
          <w:ilvl w:val="0"/>
          <w:numId w:val="1"/>
        </w:num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World Health Organization (WHO) (2021) </w:t>
      </w:r>
      <w:r w:rsidRPr="00A457F8">
        <w:rPr>
          <w:rFonts w:ascii="Arial" w:hAnsi="Arial" w:cs="Arial"/>
          <w:i/>
          <w:kern w:val="0"/>
          <w:sz w:val="22"/>
          <w:szCs w:val="22"/>
          <w14:ligatures w14:val="none"/>
        </w:rPr>
        <w:t>Global Patient Safety Action Plan 2021–2030: Towards Eliminating Avoidable Harm in Health Care</w:t>
      </w:r>
      <w:r w:rsidRPr="00A457F8">
        <w:rPr>
          <w:rFonts w:ascii="Arial" w:hAnsi="Arial" w:cs="Arial"/>
          <w:kern w:val="0"/>
          <w:sz w:val="22"/>
          <w:szCs w:val="22"/>
          <w14:ligatures w14:val="none"/>
        </w:rPr>
        <w:t>. Geneva: World Health Organization.</w:t>
      </w:r>
    </w:p>
    <w:p w14:paraId="64E00AF2" w14:textId="77777777" w:rsidR="00FC7781" w:rsidRPr="00A457F8" w:rsidRDefault="00FC7781" w:rsidP="00686CAD">
      <w:pPr>
        <w:pStyle w:val="ListParagraph"/>
        <w:numPr>
          <w:ilvl w:val="0"/>
          <w:numId w:val="1"/>
        </w:num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World Health Organization (WHO) (2024) </w:t>
      </w:r>
      <w:r w:rsidRPr="00A457F8">
        <w:rPr>
          <w:rFonts w:ascii="Arial" w:hAnsi="Arial" w:cs="Arial"/>
          <w:i/>
          <w:kern w:val="0"/>
          <w:sz w:val="22"/>
          <w:szCs w:val="22"/>
          <w14:ligatures w14:val="none"/>
        </w:rPr>
        <w:t>Patient Safety Factsheet</w:t>
      </w:r>
      <w:r w:rsidRPr="00A457F8">
        <w:rPr>
          <w:rFonts w:ascii="Arial" w:hAnsi="Arial" w:cs="Arial"/>
          <w:kern w:val="0"/>
          <w:sz w:val="22"/>
          <w:szCs w:val="22"/>
          <w14:ligatures w14:val="none"/>
        </w:rPr>
        <w:t xml:space="preserve">. Geneva: World Health Organization. Available at: </w:t>
      </w:r>
      <w:hyperlink r:id="rId17" w:history="1">
        <w:r w:rsidRPr="00A457F8">
          <w:rPr>
            <w:rFonts w:ascii="Arial" w:hAnsi="Arial" w:cs="Arial"/>
            <w:color w:val="0000FF"/>
            <w:kern w:val="0"/>
            <w:sz w:val="22"/>
            <w:szCs w:val="22"/>
            <w:u w:val="single"/>
            <w14:ligatures w14:val="none"/>
          </w:rPr>
          <w:t>https://www.who.int</w:t>
        </w:r>
      </w:hyperlink>
      <w:r w:rsidRPr="00A457F8">
        <w:rPr>
          <w:rFonts w:ascii="Arial" w:hAnsi="Arial" w:cs="Arial"/>
          <w:kern w:val="0"/>
          <w:sz w:val="22"/>
          <w:szCs w:val="22"/>
          <w14:ligatures w14:val="none"/>
        </w:rPr>
        <w:t xml:space="preserve"> (Accessed: 26 July 2026).</w:t>
      </w:r>
    </w:p>
    <w:p w14:paraId="0210E05A" w14:textId="77777777" w:rsidR="00FC7781" w:rsidRPr="00A457F8" w:rsidRDefault="00FC7781" w:rsidP="00686CAD">
      <w:pPr>
        <w:pStyle w:val="ListParagraph"/>
        <w:numPr>
          <w:ilvl w:val="0"/>
          <w:numId w:val="1"/>
        </w:numPr>
        <w:spacing w:before="100" w:beforeAutospacing="1" w:after="100" w:afterAutospacing="1" w:line="240" w:lineRule="auto"/>
        <w:rPr>
          <w:rFonts w:ascii="Arial" w:hAnsi="Arial" w:cs="Arial"/>
          <w:kern w:val="0"/>
          <w:sz w:val="22"/>
          <w:szCs w:val="22"/>
          <w14:ligatures w14:val="none"/>
        </w:rPr>
      </w:pPr>
      <w:r w:rsidRPr="00A457F8">
        <w:rPr>
          <w:rFonts w:ascii="Arial" w:hAnsi="Arial" w:cs="Arial"/>
          <w:kern w:val="0"/>
          <w:sz w:val="22"/>
          <w:szCs w:val="22"/>
          <w14:ligatures w14:val="none"/>
        </w:rPr>
        <w:t xml:space="preserve">World Health Organization (WHO) (2025) </w:t>
      </w:r>
      <w:r w:rsidRPr="00A457F8">
        <w:rPr>
          <w:rFonts w:ascii="Arial" w:hAnsi="Arial" w:cs="Arial"/>
          <w:i/>
          <w:kern w:val="0"/>
          <w:sz w:val="22"/>
          <w:szCs w:val="22"/>
          <w14:ligatures w14:val="none"/>
        </w:rPr>
        <w:t>Medication Without Harm: Global Patient Safety Challenge</w:t>
      </w:r>
      <w:r w:rsidRPr="00A457F8">
        <w:rPr>
          <w:rFonts w:ascii="Arial" w:hAnsi="Arial" w:cs="Arial"/>
          <w:kern w:val="0"/>
          <w:sz w:val="22"/>
          <w:szCs w:val="22"/>
          <w14:ligatures w14:val="none"/>
        </w:rPr>
        <w:t>. Geneva: World Health Organization.</w:t>
      </w:r>
    </w:p>
    <w:p w14:paraId="1E75D193" w14:textId="77777777" w:rsidR="00E03AE0" w:rsidRPr="00A457F8" w:rsidRDefault="00E03AE0">
      <w:pPr>
        <w:rPr>
          <w:rFonts w:ascii="Arial" w:hAnsi="Arial" w:cs="Arial"/>
          <w:sz w:val="22"/>
          <w:szCs w:val="22"/>
        </w:rPr>
      </w:pPr>
    </w:p>
    <w:sectPr w:rsidR="00E03AE0" w:rsidRPr="00A457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757D5C"/>
    <w:multiLevelType w:val="hybridMultilevel"/>
    <w:tmpl w:val="0EB8FD9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69439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AE0"/>
    <w:rsid w:val="00013BF9"/>
    <w:rsid w:val="000476DD"/>
    <w:rsid w:val="00055900"/>
    <w:rsid w:val="000606B9"/>
    <w:rsid w:val="000A6E97"/>
    <w:rsid w:val="000C495F"/>
    <w:rsid w:val="001271C4"/>
    <w:rsid w:val="00163ABA"/>
    <w:rsid w:val="00176CAA"/>
    <w:rsid w:val="001D4CA0"/>
    <w:rsid w:val="001E44A3"/>
    <w:rsid w:val="0020541D"/>
    <w:rsid w:val="00225613"/>
    <w:rsid w:val="00251339"/>
    <w:rsid w:val="0029702A"/>
    <w:rsid w:val="002B5AFF"/>
    <w:rsid w:val="002C2C73"/>
    <w:rsid w:val="002C4D55"/>
    <w:rsid w:val="00310804"/>
    <w:rsid w:val="00315D36"/>
    <w:rsid w:val="00395F4D"/>
    <w:rsid w:val="003B7DCC"/>
    <w:rsid w:val="003E5077"/>
    <w:rsid w:val="00440A00"/>
    <w:rsid w:val="004D3A84"/>
    <w:rsid w:val="00536EA5"/>
    <w:rsid w:val="0053738B"/>
    <w:rsid w:val="00567FFB"/>
    <w:rsid w:val="0057641E"/>
    <w:rsid w:val="00577656"/>
    <w:rsid w:val="00590725"/>
    <w:rsid w:val="005A1FB2"/>
    <w:rsid w:val="005A5BED"/>
    <w:rsid w:val="005C4C67"/>
    <w:rsid w:val="005E2286"/>
    <w:rsid w:val="00667AB9"/>
    <w:rsid w:val="00686CAD"/>
    <w:rsid w:val="00694B02"/>
    <w:rsid w:val="00697341"/>
    <w:rsid w:val="006B2676"/>
    <w:rsid w:val="006F3649"/>
    <w:rsid w:val="00711716"/>
    <w:rsid w:val="00713C2F"/>
    <w:rsid w:val="007C4960"/>
    <w:rsid w:val="007E0F1A"/>
    <w:rsid w:val="007E2343"/>
    <w:rsid w:val="007E5824"/>
    <w:rsid w:val="007F4A92"/>
    <w:rsid w:val="00803F9D"/>
    <w:rsid w:val="0081540A"/>
    <w:rsid w:val="008E0D0C"/>
    <w:rsid w:val="00961039"/>
    <w:rsid w:val="00974586"/>
    <w:rsid w:val="0099029E"/>
    <w:rsid w:val="009F1E80"/>
    <w:rsid w:val="009F6345"/>
    <w:rsid w:val="00A14E8A"/>
    <w:rsid w:val="00A22DB3"/>
    <w:rsid w:val="00A34697"/>
    <w:rsid w:val="00A41752"/>
    <w:rsid w:val="00A457F8"/>
    <w:rsid w:val="00A65258"/>
    <w:rsid w:val="00AA672E"/>
    <w:rsid w:val="00B5455B"/>
    <w:rsid w:val="00BC29C8"/>
    <w:rsid w:val="00BF7DC2"/>
    <w:rsid w:val="00C51BDD"/>
    <w:rsid w:val="00CD4A61"/>
    <w:rsid w:val="00DB56BB"/>
    <w:rsid w:val="00DF0DC8"/>
    <w:rsid w:val="00E024E8"/>
    <w:rsid w:val="00E03AE0"/>
    <w:rsid w:val="00E3047B"/>
    <w:rsid w:val="00E34541"/>
    <w:rsid w:val="00E73B97"/>
    <w:rsid w:val="00E9319B"/>
    <w:rsid w:val="00F01BE8"/>
    <w:rsid w:val="00F10E2E"/>
    <w:rsid w:val="00F14F31"/>
    <w:rsid w:val="00F4775D"/>
    <w:rsid w:val="00FB645B"/>
    <w:rsid w:val="00FC7781"/>
    <w:rsid w:val="00FD5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482E6"/>
  <w15:chartTrackingRefBased/>
  <w15:docId w15:val="{CE44D6DE-882E-5849-8B19-DBF51811D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3A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03A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03A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3A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3A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3A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3A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3A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3A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A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03A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3A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3A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3A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3A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3A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3A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3AE0"/>
    <w:rPr>
      <w:rFonts w:eastAsiaTheme="majorEastAsia" w:cstheme="majorBidi"/>
      <w:color w:val="272727" w:themeColor="text1" w:themeTint="D8"/>
    </w:rPr>
  </w:style>
  <w:style w:type="paragraph" w:styleId="Title">
    <w:name w:val="Title"/>
    <w:basedOn w:val="Normal"/>
    <w:next w:val="Normal"/>
    <w:link w:val="TitleChar"/>
    <w:uiPriority w:val="10"/>
    <w:qFormat/>
    <w:rsid w:val="00E03A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3A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3A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3A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3AE0"/>
    <w:pPr>
      <w:spacing w:before="160"/>
      <w:jc w:val="center"/>
    </w:pPr>
    <w:rPr>
      <w:i/>
      <w:iCs/>
      <w:color w:val="404040" w:themeColor="text1" w:themeTint="BF"/>
    </w:rPr>
  </w:style>
  <w:style w:type="character" w:customStyle="1" w:styleId="QuoteChar">
    <w:name w:val="Quote Char"/>
    <w:basedOn w:val="DefaultParagraphFont"/>
    <w:link w:val="Quote"/>
    <w:uiPriority w:val="29"/>
    <w:rsid w:val="00E03AE0"/>
    <w:rPr>
      <w:i/>
      <w:iCs/>
      <w:color w:val="404040" w:themeColor="text1" w:themeTint="BF"/>
    </w:rPr>
  </w:style>
  <w:style w:type="paragraph" w:styleId="ListParagraph">
    <w:name w:val="List Paragraph"/>
    <w:basedOn w:val="Normal"/>
    <w:uiPriority w:val="34"/>
    <w:qFormat/>
    <w:rsid w:val="00E03AE0"/>
    <w:pPr>
      <w:ind w:left="720"/>
      <w:contextualSpacing/>
    </w:pPr>
  </w:style>
  <w:style w:type="character" w:styleId="IntenseEmphasis">
    <w:name w:val="Intense Emphasis"/>
    <w:basedOn w:val="DefaultParagraphFont"/>
    <w:uiPriority w:val="21"/>
    <w:qFormat/>
    <w:rsid w:val="00E03AE0"/>
    <w:rPr>
      <w:i/>
      <w:iCs/>
      <w:color w:val="0F4761" w:themeColor="accent1" w:themeShade="BF"/>
    </w:rPr>
  </w:style>
  <w:style w:type="paragraph" w:styleId="IntenseQuote">
    <w:name w:val="Intense Quote"/>
    <w:basedOn w:val="Normal"/>
    <w:next w:val="Normal"/>
    <w:link w:val="IntenseQuoteChar"/>
    <w:uiPriority w:val="30"/>
    <w:qFormat/>
    <w:rsid w:val="00E03A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3AE0"/>
    <w:rPr>
      <w:i/>
      <w:iCs/>
      <w:color w:val="0F4761" w:themeColor="accent1" w:themeShade="BF"/>
    </w:rPr>
  </w:style>
  <w:style w:type="character" w:styleId="IntenseReference">
    <w:name w:val="Intense Reference"/>
    <w:basedOn w:val="DefaultParagraphFont"/>
    <w:uiPriority w:val="32"/>
    <w:qFormat/>
    <w:rsid w:val="00E03AE0"/>
    <w:rPr>
      <w:b/>
      <w:bCs/>
      <w:smallCaps/>
      <w:color w:val="0F4761" w:themeColor="accent1" w:themeShade="BF"/>
      <w:spacing w:val="5"/>
    </w:rPr>
  </w:style>
  <w:style w:type="character" w:customStyle="1" w:styleId="s1">
    <w:name w:val="s1"/>
    <w:basedOn w:val="DefaultParagraphFont"/>
    <w:rsid w:val="00E03AE0"/>
  </w:style>
  <w:style w:type="paragraph" w:customStyle="1" w:styleId="p2">
    <w:name w:val="p2"/>
    <w:basedOn w:val="Normal"/>
    <w:rsid w:val="00E03AE0"/>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E03AE0"/>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E03AE0"/>
  </w:style>
  <w:style w:type="paragraph" w:customStyle="1" w:styleId="p1">
    <w:name w:val="p1"/>
    <w:basedOn w:val="Normal"/>
    <w:rsid w:val="00BF7DC2"/>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FC7781"/>
    <w:rPr>
      <w:color w:val="0000FF"/>
      <w:u w:val="single"/>
    </w:rPr>
  </w:style>
  <w:style w:type="paragraph" w:styleId="TOCHeading">
    <w:name w:val="TOC Heading"/>
    <w:basedOn w:val="Heading1"/>
    <w:next w:val="Normal"/>
    <w:uiPriority w:val="39"/>
    <w:unhideWhenUsed/>
    <w:qFormat/>
    <w:rsid w:val="00A65258"/>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A65258"/>
    <w:pPr>
      <w:spacing w:after="100"/>
    </w:pPr>
  </w:style>
  <w:style w:type="paragraph" w:styleId="TOC2">
    <w:name w:val="toc 2"/>
    <w:basedOn w:val="Normal"/>
    <w:next w:val="Normal"/>
    <w:autoRedefine/>
    <w:uiPriority w:val="39"/>
    <w:unhideWhenUsed/>
    <w:rsid w:val="00A65258"/>
    <w:pPr>
      <w:spacing w:after="100"/>
      <w:ind w:left="240"/>
    </w:pPr>
  </w:style>
  <w:style w:type="paragraph" w:styleId="TOC3">
    <w:name w:val="toc 3"/>
    <w:basedOn w:val="Normal"/>
    <w:next w:val="Normal"/>
    <w:autoRedefine/>
    <w:uiPriority w:val="39"/>
    <w:unhideWhenUsed/>
    <w:rsid w:val="00A65258"/>
    <w:pPr>
      <w:spacing w:after="100"/>
      <w:ind w:left="480"/>
    </w:pPr>
  </w:style>
  <w:style w:type="table" w:styleId="GridTable2-Accent4">
    <w:name w:val="Grid Table 2 Accent 4"/>
    <w:basedOn w:val="TableNormal"/>
    <w:uiPriority w:val="47"/>
    <w:rsid w:val="00A65258"/>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1Light-Accent1">
    <w:name w:val="Grid Table 1 Light Accent 1"/>
    <w:basedOn w:val="TableNormal"/>
    <w:uiPriority w:val="46"/>
    <w:rsid w:val="00A65258"/>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customStyle="1" w:styleId="p4">
    <w:name w:val="p4"/>
    <w:basedOn w:val="Normal"/>
    <w:rsid w:val="00711716"/>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 /><Relationship Id="rId13" Type="http://schemas.openxmlformats.org/officeDocument/2006/relationships/hyperlink" Target="https://www.ihi.org" TargetMode="Externa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jpeg" /><Relationship Id="rId12" Type="http://schemas.openxmlformats.org/officeDocument/2006/relationships/hyperlink" Target="tel:994-1006" TargetMode="External" /><Relationship Id="rId17" Type="http://schemas.openxmlformats.org/officeDocument/2006/relationships/hyperlink" Target="https://www.who.int" TargetMode="External" /><Relationship Id="rId2" Type="http://schemas.openxmlformats.org/officeDocument/2006/relationships/numbering" Target="numbering.xml" /><Relationship Id="rId16" Type="http://schemas.openxmlformats.org/officeDocument/2006/relationships/hyperlink" Target="https://www.england.nhs.uk/patient-safety" TargetMode="External" /><Relationship Id="rId1" Type="http://schemas.openxmlformats.org/officeDocument/2006/relationships/customXml" Target="../customXml/item1.xml" /><Relationship Id="rId6" Type="http://schemas.openxmlformats.org/officeDocument/2006/relationships/image" Target="media/image1.jpeg" /><Relationship Id="rId11" Type="http://schemas.openxmlformats.org/officeDocument/2006/relationships/hyperlink" Target="https://psnet.ahrq.gov" TargetMode="External" /><Relationship Id="rId5" Type="http://schemas.openxmlformats.org/officeDocument/2006/relationships/webSettings" Target="webSettings.xml" /><Relationship Id="rId15" Type="http://schemas.openxmlformats.org/officeDocument/2006/relationships/hyperlink" Target="https://www.jointcommission.org" TargetMode="External" /><Relationship Id="rId10" Type="http://schemas.openxmlformats.org/officeDocument/2006/relationships/image" Target="media/image5.jpe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4.jpeg" /><Relationship Id="rId14" Type="http://schemas.openxmlformats.org/officeDocument/2006/relationships/hyperlink" Target="https://www.ismp.or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FF055-8612-C043-9EE1-C22A985485D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4089</Words>
  <Characters>23309</Characters>
  <Application>Microsoft Office Word</Application>
  <DocSecurity>0</DocSecurity>
  <Lines>194</Lines>
  <Paragraphs>54</Paragraphs>
  <ScaleCrop>false</ScaleCrop>
  <Company/>
  <LinksUpToDate>false</LinksUpToDate>
  <CharactersWithSpaces>27344</CharactersWithSpaces>
  <SharedDoc>false</SharedDoc>
  <HLinks>
    <vt:vector size="204" baseType="variant">
      <vt:variant>
        <vt:i4>5177413</vt:i4>
      </vt:variant>
      <vt:variant>
        <vt:i4>183</vt:i4>
      </vt:variant>
      <vt:variant>
        <vt:i4>0</vt:i4>
      </vt:variant>
      <vt:variant>
        <vt:i4>5</vt:i4>
      </vt:variant>
      <vt:variant>
        <vt:lpwstr>https://www.who.int/</vt:lpwstr>
      </vt:variant>
      <vt:variant>
        <vt:lpwstr/>
      </vt:variant>
      <vt:variant>
        <vt:i4>5439567</vt:i4>
      </vt:variant>
      <vt:variant>
        <vt:i4>180</vt:i4>
      </vt:variant>
      <vt:variant>
        <vt:i4>0</vt:i4>
      </vt:variant>
      <vt:variant>
        <vt:i4>5</vt:i4>
      </vt:variant>
      <vt:variant>
        <vt:lpwstr>https://www.england.nhs.uk/patient-safety</vt:lpwstr>
      </vt:variant>
      <vt:variant>
        <vt:lpwstr/>
      </vt:variant>
      <vt:variant>
        <vt:i4>4259913</vt:i4>
      </vt:variant>
      <vt:variant>
        <vt:i4>177</vt:i4>
      </vt:variant>
      <vt:variant>
        <vt:i4>0</vt:i4>
      </vt:variant>
      <vt:variant>
        <vt:i4>5</vt:i4>
      </vt:variant>
      <vt:variant>
        <vt:lpwstr>https://www.jointcommission.org/</vt:lpwstr>
      </vt:variant>
      <vt:variant>
        <vt:lpwstr/>
      </vt:variant>
      <vt:variant>
        <vt:i4>4390936</vt:i4>
      </vt:variant>
      <vt:variant>
        <vt:i4>174</vt:i4>
      </vt:variant>
      <vt:variant>
        <vt:i4>0</vt:i4>
      </vt:variant>
      <vt:variant>
        <vt:i4>5</vt:i4>
      </vt:variant>
      <vt:variant>
        <vt:lpwstr>https://www.ismp.org/</vt:lpwstr>
      </vt:variant>
      <vt:variant>
        <vt:lpwstr/>
      </vt:variant>
      <vt:variant>
        <vt:i4>5439560</vt:i4>
      </vt:variant>
      <vt:variant>
        <vt:i4>171</vt:i4>
      </vt:variant>
      <vt:variant>
        <vt:i4>0</vt:i4>
      </vt:variant>
      <vt:variant>
        <vt:i4>5</vt:i4>
      </vt:variant>
      <vt:variant>
        <vt:lpwstr>https://www.ihi.org/</vt:lpwstr>
      </vt:variant>
      <vt:variant>
        <vt:lpwstr/>
      </vt:variant>
      <vt:variant>
        <vt:i4>5046292</vt:i4>
      </vt:variant>
      <vt:variant>
        <vt:i4>168</vt:i4>
      </vt:variant>
      <vt:variant>
        <vt:i4>0</vt:i4>
      </vt:variant>
      <vt:variant>
        <vt:i4>5</vt:i4>
      </vt:variant>
      <vt:variant>
        <vt:lpwstr>tel:994-1006</vt:lpwstr>
      </vt:variant>
      <vt:variant>
        <vt:lpwstr/>
      </vt:variant>
      <vt:variant>
        <vt:i4>2162808</vt:i4>
      </vt:variant>
      <vt:variant>
        <vt:i4>165</vt:i4>
      </vt:variant>
      <vt:variant>
        <vt:i4>0</vt:i4>
      </vt:variant>
      <vt:variant>
        <vt:i4>5</vt:i4>
      </vt:variant>
      <vt:variant>
        <vt:lpwstr>https://psnet.ahrq.gov/</vt:lpwstr>
      </vt:variant>
      <vt:variant>
        <vt:lpwstr/>
      </vt:variant>
      <vt:variant>
        <vt:i4>1835061</vt:i4>
      </vt:variant>
      <vt:variant>
        <vt:i4>158</vt:i4>
      </vt:variant>
      <vt:variant>
        <vt:i4>0</vt:i4>
      </vt:variant>
      <vt:variant>
        <vt:i4>5</vt:i4>
      </vt:variant>
      <vt:variant>
        <vt:lpwstr/>
      </vt:variant>
      <vt:variant>
        <vt:lpwstr>_Toc236070683</vt:lpwstr>
      </vt:variant>
      <vt:variant>
        <vt:i4>1835061</vt:i4>
      </vt:variant>
      <vt:variant>
        <vt:i4>152</vt:i4>
      </vt:variant>
      <vt:variant>
        <vt:i4>0</vt:i4>
      </vt:variant>
      <vt:variant>
        <vt:i4>5</vt:i4>
      </vt:variant>
      <vt:variant>
        <vt:lpwstr/>
      </vt:variant>
      <vt:variant>
        <vt:lpwstr>_Toc236070682</vt:lpwstr>
      </vt:variant>
      <vt:variant>
        <vt:i4>1835061</vt:i4>
      </vt:variant>
      <vt:variant>
        <vt:i4>146</vt:i4>
      </vt:variant>
      <vt:variant>
        <vt:i4>0</vt:i4>
      </vt:variant>
      <vt:variant>
        <vt:i4>5</vt:i4>
      </vt:variant>
      <vt:variant>
        <vt:lpwstr/>
      </vt:variant>
      <vt:variant>
        <vt:lpwstr>_Toc236070681</vt:lpwstr>
      </vt:variant>
      <vt:variant>
        <vt:i4>1835061</vt:i4>
      </vt:variant>
      <vt:variant>
        <vt:i4>140</vt:i4>
      </vt:variant>
      <vt:variant>
        <vt:i4>0</vt:i4>
      </vt:variant>
      <vt:variant>
        <vt:i4>5</vt:i4>
      </vt:variant>
      <vt:variant>
        <vt:lpwstr/>
      </vt:variant>
      <vt:variant>
        <vt:lpwstr>_Toc236070680</vt:lpwstr>
      </vt:variant>
      <vt:variant>
        <vt:i4>1245237</vt:i4>
      </vt:variant>
      <vt:variant>
        <vt:i4>134</vt:i4>
      </vt:variant>
      <vt:variant>
        <vt:i4>0</vt:i4>
      </vt:variant>
      <vt:variant>
        <vt:i4>5</vt:i4>
      </vt:variant>
      <vt:variant>
        <vt:lpwstr/>
      </vt:variant>
      <vt:variant>
        <vt:lpwstr>_Toc236070679</vt:lpwstr>
      </vt:variant>
      <vt:variant>
        <vt:i4>1245237</vt:i4>
      </vt:variant>
      <vt:variant>
        <vt:i4>128</vt:i4>
      </vt:variant>
      <vt:variant>
        <vt:i4>0</vt:i4>
      </vt:variant>
      <vt:variant>
        <vt:i4>5</vt:i4>
      </vt:variant>
      <vt:variant>
        <vt:lpwstr/>
      </vt:variant>
      <vt:variant>
        <vt:lpwstr>_Toc236070678</vt:lpwstr>
      </vt:variant>
      <vt:variant>
        <vt:i4>1245237</vt:i4>
      </vt:variant>
      <vt:variant>
        <vt:i4>122</vt:i4>
      </vt:variant>
      <vt:variant>
        <vt:i4>0</vt:i4>
      </vt:variant>
      <vt:variant>
        <vt:i4>5</vt:i4>
      </vt:variant>
      <vt:variant>
        <vt:lpwstr/>
      </vt:variant>
      <vt:variant>
        <vt:lpwstr>_Toc236070677</vt:lpwstr>
      </vt:variant>
      <vt:variant>
        <vt:i4>1245237</vt:i4>
      </vt:variant>
      <vt:variant>
        <vt:i4>116</vt:i4>
      </vt:variant>
      <vt:variant>
        <vt:i4>0</vt:i4>
      </vt:variant>
      <vt:variant>
        <vt:i4>5</vt:i4>
      </vt:variant>
      <vt:variant>
        <vt:lpwstr/>
      </vt:variant>
      <vt:variant>
        <vt:lpwstr>_Toc236070676</vt:lpwstr>
      </vt:variant>
      <vt:variant>
        <vt:i4>1245237</vt:i4>
      </vt:variant>
      <vt:variant>
        <vt:i4>110</vt:i4>
      </vt:variant>
      <vt:variant>
        <vt:i4>0</vt:i4>
      </vt:variant>
      <vt:variant>
        <vt:i4>5</vt:i4>
      </vt:variant>
      <vt:variant>
        <vt:lpwstr/>
      </vt:variant>
      <vt:variant>
        <vt:lpwstr>_Toc236070675</vt:lpwstr>
      </vt:variant>
      <vt:variant>
        <vt:i4>1245237</vt:i4>
      </vt:variant>
      <vt:variant>
        <vt:i4>104</vt:i4>
      </vt:variant>
      <vt:variant>
        <vt:i4>0</vt:i4>
      </vt:variant>
      <vt:variant>
        <vt:i4>5</vt:i4>
      </vt:variant>
      <vt:variant>
        <vt:lpwstr/>
      </vt:variant>
      <vt:variant>
        <vt:lpwstr>_Toc236070674</vt:lpwstr>
      </vt:variant>
      <vt:variant>
        <vt:i4>1245237</vt:i4>
      </vt:variant>
      <vt:variant>
        <vt:i4>98</vt:i4>
      </vt:variant>
      <vt:variant>
        <vt:i4>0</vt:i4>
      </vt:variant>
      <vt:variant>
        <vt:i4>5</vt:i4>
      </vt:variant>
      <vt:variant>
        <vt:lpwstr/>
      </vt:variant>
      <vt:variant>
        <vt:lpwstr>_Toc236070673</vt:lpwstr>
      </vt:variant>
      <vt:variant>
        <vt:i4>1245237</vt:i4>
      </vt:variant>
      <vt:variant>
        <vt:i4>92</vt:i4>
      </vt:variant>
      <vt:variant>
        <vt:i4>0</vt:i4>
      </vt:variant>
      <vt:variant>
        <vt:i4>5</vt:i4>
      </vt:variant>
      <vt:variant>
        <vt:lpwstr/>
      </vt:variant>
      <vt:variant>
        <vt:lpwstr>_Toc236070672</vt:lpwstr>
      </vt:variant>
      <vt:variant>
        <vt:i4>1245237</vt:i4>
      </vt:variant>
      <vt:variant>
        <vt:i4>86</vt:i4>
      </vt:variant>
      <vt:variant>
        <vt:i4>0</vt:i4>
      </vt:variant>
      <vt:variant>
        <vt:i4>5</vt:i4>
      </vt:variant>
      <vt:variant>
        <vt:lpwstr/>
      </vt:variant>
      <vt:variant>
        <vt:lpwstr>_Toc236070671</vt:lpwstr>
      </vt:variant>
      <vt:variant>
        <vt:i4>1245237</vt:i4>
      </vt:variant>
      <vt:variant>
        <vt:i4>80</vt:i4>
      </vt:variant>
      <vt:variant>
        <vt:i4>0</vt:i4>
      </vt:variant>
      <vt:variant>
        <vt:i4>5</vt:i4>
      </vt:variant>
      <vt:variant>
        <vt:lpwstr/>
      </vt:variant>
      <vt:variant>
        <vt:lpwstr>_Toc236070670</vt:lpwstr>
      </vt:variant>
      <vt:variant>
        <vt:i4>1179701</vt:i4>
      </vt:variant>
      <vt:variant>
        <vt:i4>74</vt:i4>
      </vt:variant>
      <vt:variant>
        <vt:i4>0</vt:i4>
      </vt:variant>
      <vt:variant>
        <vt:i4>5</vt:i4>
      </vt:variant>
      <vt:variant>
        <vt:lpwstr/>
      </vt:variant>
      <vt:variant>
        <vt:lpwstr>_Toc236070669</vt:lpwstr>
      </vt:variant>
      <vt:variant>
        <vt:i4>1179701</vt:i4>
      </vt:variant>
      <vt:variant>
        <vt:i4>68</vt:i4>
      </vt:variant>
      <vt:variant>
        <vt:i4>0</vt:i4>
      </vt:variant>
      <vt:variant>
        <vt:i4>5</vt:i4>
      </vt:variant>
      <vt:variant>
        <vt:lpwstr/>
      </vt:variant>
      <vt:variant>
        <vt:lpwstr>_Toc236070668</vt:lpwstr>
      </vt:variant>
      <vt:variant>
        <vt:i4>1179701</vt:i4>
      </vt:variant>
      <vt:variant>
        <vt:i4>62</vt:i4>
      </vt:variant>
      <vt:variant>
        <vt:i4>0</vt:i4>
      </vt:variant>
      <vt:variant>
        <vt:i4>5</vt:i4>
      </vt:variant>
      <vt:variant>
        <vt:lpwstr/>
      </vt:variant>
      <vt:variant>
        <vt:lpwstr>_Toc236070667</vt:lpwstr>
      </vt:variant>
      <vt:variant>
        <vt:i4>1179701</vt:i4>
      </vt:variant>
      <vt:variant>
        <vt:i4>56</vt:i4>
      </vt:variant>
      <vt:variant>
        <vt:i4>0</vt:i4>
      </vt:variant>
      <vt:variant>
        <vt:i4>5</vt:i4>
      </vt:variant>
      <vt:variant>
        <vt:lpwstr/>
      </vt:variant>
      <vt:variant>
        <vt:lpwstr>_Toc236070666</vt:lpwstr>
      </vt:variant>
      <vt:variant>
        <vt:i4>1179701</vt:i4>
      </vt:variant>
      <vt:variant>
        <vt:i4>50</vt:i4>
      </vt:variant>
      <vt:variant>
        <vt:i4>0</vt:i4>
      </vt:variant>
      <vt:variant>
        <vt:i4>5</vt:i4>
      </vt:variant>
      <vt:variant>
        <vt:lpwstr/>
      </vt:variant>
      <vt:variant>
        <vt:lpwstr>_Toc236070665</vt:lpwstr>
      </vt:variant>
      <vt:variant>
        <vt:i4>1179701</vt:i4>
      </vt:variant>
      <vt:variant>
        <vt:i4>44</vt:i4>
      </vt:variant>
      <vt:variant>
        <vt:i4>0</vt:i4>
      </vt:variant>
      <vt:variant>
        <vt:i4>5</vt:i4>
      </vt:variant>
      <vt:variant>
        <vt:lpwstr/>
      </vt:variant>
      <vt:variant>
        <vt:lpwstr>_Toc236070664</vt:lpwstr>
      </vt:variant>
      <vt:variant>
        <vt:i4>1179701</vt:i4>
      </vt:variant>
      <vt:variant>
        <vt:i4>38</vt:i4>
      </vt:variant>
      <vt:variant>
        <vt:i4>0</vt:i4>
      </vt:variant>
      <vt:variant>
        <vt:i4>5</vt:i4>
      </vt:variant>
      <vt:variant>
        <vt:lpwstr/>
      </vt:variant>
      <vt:variant>
        <vt:lpwstr>_Toc236070663</vt:lpwstr>
      </vt:variant>
      <vt:variant>
        <vt:i4>1179701</vt:i4>
      </vt:variant>
      <vt:variant>
        <vt:i4>32</vt:i4>
      </vt:variant>
      <vt:variant>
        <vt:i4>0</vt:i4>
      </vt:variant>
      <vt:variant>
        <vt:i4>5</vt:i4>
      </vt:variant>
      <vt:variant>
        <vt:lpwstr/>
      </vt:variant>
      <vt:variant>
        <vt:lpwstr>_Toc236070662</vt:lpwstr>
      </vt:variant>
      <vt:variant>
        <vt:i4>1179701</vt:i4>
      </vt:variant>
      <vt:variant>
        <vt:i4>26</vt:i4>
      </vt:variant>
      <vt:variant>
        <vt:i4>0</vt:i4>
      </vt:variant>
      <vt:variant>
        <vt:i4>5</vt:i4>
      </vt:variant>
      <vt:variant>
        <vt:lpwstr/>
      </vt:variant>
      <vt:variant>
        <vt:lpwstr>_Toc236070661</vt:lpwstr>
      </vt:variant>
      <vt:variant>
        <vt:i4>1179701</vt:i4>
      </vt:variant>
      <vt:variant>
        <vt:i4>20</vt:i4>
      </vt:variant>
      <vt:variant>
        <vt:i4>0</vt:i4>
      </vt:variant>
      <vt:variant>
        <vt:i4>5</vt:i4>
      </vt:variant>
      <vt:variant>
        <vt:lpwstr/>
      </vt:variant>
      <vt:variant>
        <vt:lpwstr>_Toc236070660</vt:lpwstr>
      </vt:variant>
      <vt:variant>
        <vt:i4>1114165</vt:i4>
      </vt:variant>
      <vt:variant>
        <vt:i4>14</vt:i4>
      </vt:variant>
      <vt:variant>
        <vt:i4>0</vt:i4>
      </vt:variant>
      <vt:variant>
        <vt:i4>5</vt:i4>
      </vt:variant>
      <vt:variant>
        <vt:lpwstr/>
      </vt:variant>
      <vt:variant>
        <vt:lpwstr>_Toc236070659</vt:lpwstr>
      </vt:variant>
      <vt:variant>
        <vt:i4>1114165</vt:i4>
      </vt:variant>
      <vt:variant>
        <vt:i4>8</vt:i4>
      </vt:variant>
      <vt:variant>
        <vt:i4>0</vt:i4>
      </vt:variant>
      <vt:variant>
        <vt:i4>5</vt:i4>
      </vt:variant>
      <vt:variant>
        <vt:lpwstr/>
      </vt:variant>
      <vt:variant>
        <vt:lpwstr>_Toc236070658</vt:lpwstr>
      </vt:variant>
      <vt:variant>
        <vt:i4>1114165</vt:i4>
      </vt:variant>
      <vt:variant>
        <vt:i4>2</vt:i4>
      </vt:variant>
      <vt:variant>
        <vt:i4>0</vt:i4>
      </vt:variant>
      <vt:variant>
        <vt:i4>5</vt:i4>
      </vt:variant>
      <vt:variant>
        <vt:lpwstr/>
      </vt:variant>
      <vt:variant>
        <vt:lpwstr>_Toc236070652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Rajveer Rana</dc:creator>
  <cp:keywords/>
  <dc:description/>
  <cp:lastModifiedBy>Jaimin LIMBACHIYA</cp:lastModifiedBy>
  <cp:revision>9</cp:revision>
  <dcterms:created xsi:type="dcterms:W3CDTF">2026-07-28T20:06:00Z</dcterms:created>
  <dcterms:modified xsi:type="dcterms:W3CDTF">2026-07-28T20:13:00Z</dcterms:modified>
</cp:coreProperties>
</file>