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lang w:val="en-GB"/>
        </w:rPr>
        <w:id w:val="-667560622"/>
        <w:docPartObj>
          <w:docPartGallery w:val="Cover Pages"/>
          <w:docPartUnique/>
        </w:docPartObj>
      </w:sdtPr>
      <w:sdtEndPr>
        <w:rPr>
          <w:color w:val="5B9BD5" w:themeColor="accent1"/>
        </w:rPr>
      </w:sdtEndPr>
      <w:sdtContent>
        <w:p w14:paraId="460F2BFA" w14:textId="77777777" w:rsidR="007362F6" w:rsidRDefault="007362F6">
          <w:pPr>
            <w:pStyle w:val="NoSpacing"/>
          </w:pPr>
          <w:r>
            <w:rPr>
              <w:noProof/>
              <w:lang w:val="en-GB" w:eastAsia="en-GB"/>
            </w:rPr>
            <mc:AlternateContent>
              <mc:Choice Requires="wpg">
                <w:drawing>
                  <wp:anchor distT="0" distB="0" distL="114300" distR="114300" simplePos="0" relativeHeight="251659264" behindDoc="1" locked="0" layoutInCell="1" allowOverlap="1" wp14:anchorId="011D06CF" wp14:editId="519AE733">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3E2F39A" w14:textId="71C7D830" w:rsidR="007362F6" w:rsidRPr="00C064F7" w:rsidRDefault="00C064F7">
                                  <w:pPr>
                                    <w:pStyle w:val="NoSpacing"/>
                                    <w:jc w:val="right"/>
                                    <w:rPr>
                                      <w:color w:val="FFFFFF" w:themeColor="background1"/>
                                      <w:sz w:val="28"/>
                                      <w:szCs w:val="28"/>
                                      <w:lang w:val="en-GB"/>
                                    </w:rPr>
                                  </w:pPr>
                                  <w:r>
                                    <w:rPr>
                                      <w:color w:val="FFFFFF" w:themeColor="background1"/>
                                      <w:sz w:val="28"/>
                                      <w:szCs w:val="28"/>
                                      <w:lang w:val="en-GB"/>
                                    </w:rPr>
                                    <w:t>11/04/2019</w:t>
                                  </w: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11D06CF"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5b9bd5 [3204]" stroked="f" strokeweight="1pt">
                      <v:textbox inset=",0,14.4pt,0">
                        <w:txbxContent>
                          <w:p w14:paraId="63E2F39A" w14:textId="71C7D830" w:rsidR="007362F6" w:rsidRPr="00C064F7" w:rsidRDefault="00C064F7">
                            <w:pPr>
                              <w:pStyle w:val="NoSpacing"/>
                              <w:jc w:val="right"/>
                              <w:rPr>
                                <w:color w:val="FFFFFF" w:themeColor="background1"/>
                                <w:sz w:val="28"/>
                                <w:szCs w:val="28"/>
                                <w:lang w:val="en-GB"/>
                              </w:rPr>
                            </w:pPr>
                            <w:r>
                              <w:rPr>
                                <w:color w:val="FFFFFF" w:themeColor="background1"/>
                                <w:sz w:val="28"/>
                                <w:szCs w:val="28"/>
                                <w:lang w:val="en-GB"/>
                              </w:rPr>
                              <w:t>11/04/2019</w:t>
                            </w: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lang w:val="en-GB" w:eastAsia="en-GB"/>
            </w:rPr>
            <mc:AlternateContent>
              <mc:Choice Requires="wps">
                <w:drawing>
                  <wp:anchor distT="0" distB="0" distL="114300" distR="114300" simplePos="0" relativeHeight="251661312" behindDoc="0" locked="0" layoutInCell="1" allowOverlap="1" wp14:anchorId="3EA46B9E" wp14:editId="44C15468">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6DAD3B7" w14:textId="77777777" w:rsidR="007362F6" w:rsidRDefault="0009211D">
                                <w:pPr>
                                  <w:pStyle w:val="NoSpacing"/>
                                  <w:rPr>
                                    <w:color w:val="5B9BD5" w:themeColor="accent1"/>
                                    <w:sz w:val="26"/>
                                    <w:szCs w:val="26"/>
                                  </w:rPr>
                                </w:pPr>
                                <w:sdt>
                                  <w:sdtPr>
                                    <w:rPr>
                                      <w:color w:val="5B9BD5"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7362F6">
                                      <w:rPr>
                                        <w:color w:val="5B9BD5" w:themeColor="accent1"/>
                                        <w:sz w:val="26"/>
                                        <w:szCs w:val="26"/>
                                      </w:rPr>
                                      <w:t>Gavin Clarkson (1809104)</w:t>
                                    </w:r>
                                  </w:sdtContent>
                                </w:sdt>
                              </w:p>
                              <w:p w14:paraId="63F8DDCF" w14:textId="77777777" w:rsidR="007362F6" w:rsidRDefault="0009211D">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7362F6">
                                      <w:rPr>
                                        <w:caps/>
                                        <w:color w:val="595959" w:themeColor="text1" w:themeTint="A6"/>
                                        <w:sz w:val="20"/>
                                        <w:szCs w:val="20"/>
                                      </w:rPr>
                                      <w:t>BEng mechanical and maunfacturing engineering</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EA46B9E"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16DAD3B7" w14:textId="77777777" w:rsidR="007362F6" w:rsidRDefault="0009211D">
                          <w:pPr>
                            <w:pStyle w:val="NoSpacing"/>
                            <w:rPr>
                              <w:color w:val="5B9BD5" w:themeColor="accent1"/>
                              <w:sz w:val="26"/>
                              <w:szCs w:val="26"/>
                            </w:rPr>
                          </w:pPr>
                          <w:sdt>
                            <w:sdtPr>
                              <w:rPr>
                                <w:color w:val="5B9BD5"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7362F6">
                                <w:rPr>
                                  <w:color w:val="5B9BD5" w:themeColor="accent1"/>
                                  <w:sz w:val="26"/>
                                  <w:szCs w:val="26"/>
                                </w:rPr>
                                <w:t>Gavin Clarkson (1809104)</w:t>
                              </w:r>
                            </w:sdtContent>
                          </w:sdt>
                        </w:p>
                        <w:p w14:paraId="63F8DDCF" w14:textId="77777777" w:rsidR="007362F6" w:rsidRDefault="0009211D">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7362F6">
                                <w:rPr>
                                  <w:caps/>
                                  <w:color w:val="595959" w:themeColor="text1" w:themeTint="A6"/>
                                  <w:sz w:val="20"/>
                                  <w:szCs w:val="20"/>
                                </w:rPr>
                                <w:t>BEng mechanical and maunfacturing engineering</w:t>
                              </w:r>
                            </w:sdtContent>
                          </w:sdt>
                        </w:p>
                      </w:txbxContent>
                    </v:textbox>
                    <w10:wrap anchorx="page" anchory="page"/>
                  </v:shape>
                </w:pict>
              </mc:Fallback>
            </mc:AlternateContent>
          </w:r>
          <w:r>
            <w:rPr>
              <w:noProof/>
              <w:lang w:val="en-GB" w:eastAsia="en-GB"/>
            </w:rPr>
            <mc:AlternateContent>
              <mc:Choice Requires="wps">
                <w:drawing>
                  <wp:anchor distT="0" distB="0" distL="114300" distR="114300" simplePos="0" relativeHeight="251660288" behindDoc="0" locked="0" layoutInCell="1" allowOverlap="1" wp14:anchorId="47CFE29D" wp14:editId="0D3569CB">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ABACCE4" w14:textId="45374CB3" w:rsidR="007362F6" w:rsidRDefault="002776F1">
                                <w:pPr>
                                  <w:pStyle w:val="NoSpacing"/>
                                  <w:rPr>
                                    <w:rFonts w:asciiTheme="majorHAnsi" w:eastAsiaTheme="majorEastAsia" w:hAnsiTheme="majorHAnsi" w:cstheme="majorBidi"/>
                                    <w:color w:val="262626" w:themeColor="text1" w:themeTint="D9"/>
                                    <w:sz w:val="72"/>
                                  </w:rPr>
                                </w:pPr>
                                <w:r>
                                  <w:rPr>
                                    <w:rFonts w:asciiTheme="majorHAnsi" w:eastAsiaTheme="majorEastAsia" w:hAnsiTheme="majorHAnsi" w:cstheme="majorBidi"/>
                                    <w:color w:val="262626" w:themeColor="text1" w:themeTint="D9"/>
                                    <w:sz w:val="72"/>
                                    <w:szCs w:val="72"/>
                                  </w:rPr>
                                  <w:t>Motivation and Organisational Change</w:t>
                                </w:r>
                              </w:p>
                              <w:p w14:paraId="0B53143C" w14:textId="5E503572" w:rsidR="007362F6" w:rsidRDefault="0009211D">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2776F1">
                                      <w:rPr>
                                        <w:color w:val="404040" w:themeColor="text1" w:themeTint="BF"/>
                                        <w:sz w:val="36"/>
                                        <w:szCs w:val="36"/>
                                      </w:rPr>
                                      <w:t>M5X01176</w:t>
                                    </w:r>
                                  </w:sdtContent>
                                </w:sdt>
                              </w:p>
                              <w:p w14:paraId="0D3BE744" w14:textId="1DD621B2" w:rsidR="007362F6" w:rsidRDefault="002776F1">
                                <w:pPr>
                                  <w:spacing w:before="120"/>
                                  <w:rPr>
                                    <w:color w:val="404040" w:themeColor="text1" w:themeTint="BF"/>
                                    <w:sz w:val="36"/>
                                    <w:szCs w:val="36"/>
                                  </w:rPr>
                                </w:pPr>
                                <w:r>
                                  <w:rPr>
                                    <w:color w:val="404040" w:themeColor="text1" w:themeTint="BF"/>
                                    <w:sz w:val="36"/>
                                    <w:szCs w:val="36"/>
                                  </w:rPr>
                                  <w:t>Management, Innovation and Sustainability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47CFE29D"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LUzsJt1AgAAWgUAAA4AAAAAAAAAAAAA&#10;AAAALgIAAGRycy9lMm9Eb2MueG1sUEsBAi0AFAAGAAgAAAAhAMjPqBXYAAAABQEAAA8AAAAAAAAA&#10;AAAAAAAAzwQAAGRycy9kb3ducmV2LnhtbFBLBQYAAAAABAAEAPMAAADUBQAAAAA=&#10;" filled="f" stroked="f" strokeweight=".5pt">
                    <v:textbox style="mso-fit-shape-to-text:t" inset="0,0,0,0">
                      <w:txbxContent>
                        <w:p w14:paraId="1ABACCE4" w14:textId="45374CB3" w:rsidR="007362F6" w:rsidRDefault="002776F1">
                          <w:pPr>
                            <w:pStyle w:val="NoSpacing"/>
                            <w:rPr>
                              <w:rFonts w:asciiTheme="majorHAnsi" w:eastAsiaTheme="majorEastAsia" w:hAnsiTheme="majorHAnsi" w:cstheme="majorBidi"/>
                              <w:color w:val="262626" w:themeColor="text1" w:themeTint="D9"/>
                              <w:sz w:val="72"/>
                            </w:rPr>
                          </w:pPr>
                          <w:r>
                            <w:rPr>
                              <w:rFonts w:asciiTheme="majorHAnsi" w:eastAsiaTheme="majorEastAsia" w:hAnsiTheme="majorHAnsi" w:cstheme="majorBidi"/>
                              <w:color w:val="262626" w:themeColor="text1" w:themeTint="D9"/>
                              <w:sz w:val="72"/>
                              <w:szCs w:val="72"/>
                            </w:rPr>
                            <w:t>Motivation and Organisational Change</w:t>
                          </w:r>
                        </w:p>
                        <w:p w14:paraId="0B53143C" w14:textId="5E503572" w:rsidR="007362F6" w:rsidRDefault="0009211D">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2776F1">
                                <w:rPr>
                                  <w:color w:val="404040" w:themeColor="text1" w:themeTint="BF"/>
                                  <w:sz w:val="36"/>
                                  <w:szCs w:val="36"/>
                                </w:rPr>
                                <w:t>M5X01176</w:t>
                              </w:r>
                            </w:sdtContent>
                          </w:sdt>
                        </w:p>
                        <w:p w14:paraId="0D3BE744" w14:textId="1DD621B2" w:rsidR="007362F6" w:rsidRDefault="002776F1">
                          <w:pPr>
                            <w:spacing w:before="120"/>
                            <w:rPr>
                              <w:color w:val="404040" w:themeColor="text1" w:themeTint="BF"/>
                              <w:sz w:val="36"/>
                              <w:szCs w:val="36"/>
                            </w:rPr>
                          </w:pPr>
                          <w:r>
                            <w:rPr>
                              <w:color w:val="404040" w:themeColor="text1" w:themeTint="BF"/>
                              <w:sz w:val="36"/>
                              <w:szCs w:val="36"/>
                            </w:rPr>
                            <w:t>Management, Innovation and Sustainability</w:t>
                          </w:r>
                        </w:p>
                      </w:txbxContent>
                    </v:textbox>
                    <w10:wrap anchorx="page" anchory="page"/>
                  </v:shape>
                </w:pict>
              </mc:Fallback>
            </mc:AlternateContent>
          </w:r>
        </w:p>
        <w:p w14:paraId="4F16EA0A" w14:textId="77777777" w:rsidR="007362F6" w:rsidRDefault="007362F6">
          <w:pPr>
            <w:rPr>
              <w:rFonts w:eastAsiaTheme="minorEastAsia"/>
              <w:color w:val="5B9BD5" w:themeColor="accent1"/>
              <w:lang w:val="en-US"/>
            </w:rPr>
          </w:pPr>
          <w:r>
            <w:rPr>
              <w:rFonts w:eastAsiaTheme="minorEastAsia"/>
              <w:color w:val="5B9BD5" w:themeColor="accent1"/>
              <w:lang w:val="en-US"/>
            </w:rPr>
            <w:br w:type="page"/>
          </w:r>
        </w:p>
      </w:sdtContent>
    </w:sdt>
    <w:p w14:paraId="3D1D61C4" w14:textId="79FD8D19" w:rsidR="00764529" w:rsidRDefault="00764529" w:rsidP="00764529">
      <w:pPr>
        <w:pStyle w:val="Heading1"/>
      </w:pPr>
      <w:bookmarkStart w:id="0" w:name="_Toc5827670"/>
      <w:r>
        <w:lastRenderedPageBreak/>
        <w:t>Executive Summary</w:t>
      </w:r>
      <w:bookmarkEnd w:id="0"/>
    </w:p>
    <w:p w14:paraId="49CB72B1" w14:textId="3287C593" w:rsidR="00764529" w:rsidRPr="00764529" w:rsidRDefault="002776F1" w:rsidP="00764529">
      <w:r>
        <w:t xml:space="preserve">In December 2016 all production ceased in the Crown Food site </w:t>
      </w:r>
      <w:r w:rsidR="000C44A6">
        <w:t xml:space="preserve">situated </w:t>
      </w:r>
      <w:r>
        <w:t>in Neath.</w:t>
      </w:r>
      <w:r w:rsidR="00BD3253">
        <w:t xml:space="preserve"> The plant employed </w:t>
      </w:r>
      <w:r w:rsidR="000C44A6">
        <w:t>two hundred and forty-five</w:t>
      </w:r>
      <w:r w:rsidR="00BD3253">
        <w:t xml:space="preserve"> people at the time the closure was announced.</w:t>
      </w:r>
      <w:r w:rsidR="000C44A6">
        <w:t xml:space="preserve"> The reasons stated was falling volume and over capacity within the European market. This report will examine how the change was managed, which theories or models were used and how motivation was maintained. The key model in this report is Lewin’s force field analysis and change model</w:t>
      </w:r>
      <w:r w:rsidR="0014100E">
        <w:t xml:space="preserve">, which states that by examining the forces driving and resisting change, organisations can take steps in order to destabilise these which initiates change. The change brought about by Crown seems to be classes as reorientation, figure 4, as Crown anticipated a need to change their European operations and strategic as it affects the entire organisation. The change curve, which could be used as an alternative change model to Lewin’s, focuses on the states that an individual goes through and how to move through these states quicker. By looking at the resisting factors to </w:t>
      </w:r>
      <w:r w:rsidR="00300CD8">
        <w:t xml:space="preserve">a </w:t>
      </w:r>
      <w:r w:rsidR="0014100E">
        <w:t>change</w:t>
      </w:r>
      <w:r w:rsidR="00300CD8">
        <w:t>,</w:t>
      </w:r>
      <w:r w:rsidR="0014100E">
        <w:t xml:space="preserve"> a link can be made to Lewin’s theory</w:t>
      </w:r>
      <w:r w:rsidR="009C071E">
        <w:t>. R</w:t>
      </w:r>
      <w:r w:rsidR="0014100E">
        <w:t xml:space="preserve">emoving </w:t>
      </w:r>
      <w:r w:rsidR="00300CD8">
        <w:t xml:space="preserve">these factors </w:t>
      </w:r>
      <w:r w:rsidR="009C071E">
        <w:t xml:space="preserve">or adding incentives, </w:t>
      </w:r>
      <w:r w:rsidR="0014100E">
        <w:t>these factors or forces</w:t>
      </w:r>
      <w:r w:rsidR="009C071E">
        <w:t xml:space="preserve"> that resist change can reduce. The culture or managerial style within Crown Neath at the time was deemed to be a mixture of power and role cultures, this was found to have a negative impact between the change agent and the workforce. If the management adopted a culture such as person or support culture, Crown could have reduced this friction. </w:t>
      </w:r>
      <w:r w:rsidR="00B35D2E">
        <w:t>motivation and performance can decrease if a change is not managed correctly. Expectation theory seemed to have played a part during the closure. By offering rewards such as monthly bonuses and an enhanced redundancy motivation to keep operational performance was maintained. Maslow’s and Herzberg’s motivational theories seemed to have little influence during the change.</w:t>
      </w:r>
    </w:p>
    <w:p w14:paraId="1CFBDE00" w14:textId="77777777" w:rsidR="00764529" w:rsidRPr="00764529" w:rsidRDefault="00764529" w:rsidP="00764529"/>
    <w:p w14:paraId="0580567C" w14:textId="77777777" w:rsidR="00764529" w:rsidRPr="00764529" w:rsidRDefault="00764529" w:rsidP="00764529"/>
    <w:p w14:paraId="2782742B" w14:textId="77777777" w:rsidR="00764529" w:rsidRPr="00764529" w:rsidRDefault="00764529" w:rsidP="00764529"/>
    <w:p w14:paraId="52AF5409" w14:textId="77777777" w:rsidR="00764529" w:rsidRPr="00764529" w:rsidRDefault="00764529" w:rsidP="00764529"/>
    <w:p w14:paraId="2B37C2E0" w14:textId="77777777" w:rsidR="00764529" w:rsidRPr="00764529" w:rsidRDefault="00764529" w:rsidP="00764529"/>
    <w:p w14:paraId="153BCA8B" w14:textId="77777777" w:rsidR="00764529" w:rsidRPr="00764529" w:rsidRDefault="00764529" w:rsidP="00764529"/>
    <w:p w14:paraId="31D5EEB2" w14:textId="77777777" w:rsidR="00764529" w:rsidRPr="00764529" w:rsidRDefault="00764529" w:rsidP="00764529"/>
    <w:p w14:paraId="7732DEFA" w14:textId="77777777" w:rsidR="00764529" w:rsidRPr="00764529" w:rsidRDefault="00764529" w:rsidP="00764529"/>
    <w:p w14:paraId="75A1257D" w14:textId="77777777" w:rsidR="00764529" w:rsidRPr="00764529" w:rsidRDefault="00764529" w:rsidP="00764529"/>
    <w:p w14:paraId="4228123D" w14:textId="77777777" w:rsidR="00764529" w:rsidRPr="00764529" w:rsidRDefault="00764529" w:rsidP="00764529"/>
    <w:p w14:paraId="1650824F" w14:textId="77777777" w:rsidR="00764529" w:rsidRPr="00764529" w:rsidRDefault="00764529" w:rsidP="00764529"/>
    <w:p w14:paraId="29A3C381" w14:textId="77777777" w:rsidR="00764529" w:rsidRPr="00764529" w:rsidRDefault="00764529" w:rsidP="00764529"/>
    <w:p w14:paraId="0A8FE530" w14:textId="77777777" w:rsidR="00764529" w:rsidRPr="00764529" w:rsidRDefault="00764529" w:rsidP="00764529"/>
    <w:p w14:paraId="4D581430" w14:textId="77777777" w:rsidR="00764529" w:rsidRPr="00764529" w:rsidRDefault="00764529" w:rsidP="00764529"/>
    <w:p w14:paraId="470B66A7" w14:textId="77777777" w:rsidR="00764529" w:rsidRPr="00764529" w:rsidRDefault="00764529" w:rsidP="00764529"/>
    <w:p w14:paraId="1B6E001E" w14:textId="77777777" w:rsidR="00764529" w:rsidRPr="00764529" w:rsidRDefault="00764529" w:rsidP="00764529"/>
    <w:p w14:paraId="66074481" w14:textId="77777777" w:rsidR="00764529" w:rsidRPr="00764529" w:rsidRDefault="00764529" w:rsidP="00764529"/>
    <w:sdt>
      <w:sdtPr>
        <w:rPr>
          <w:rFonts w:asciiTheme="minorHAnsi" w:eastAsiaTheme="minorHAnsi" w:hAnsiTheme="minorHAnsi" w:cstheme="minorBidi"/>
          <w:color w:val="auto"/>
          <w:sz w:val="22"/>
          <w:szCs w:val="22"/>
          <w:lang w:val="en-GB"/>
        </w:rPr>
        <w:id w:val="-586147761"/>
        <w:docPartObj>
          <w:docPartGallery w:val="Table of Contents"/>
          <w:docPartUnique/>
        </w:docPartObj>
      </w:sdtPr>
      <w:sdtEndPr>
        <w:rPr>
          <w:b/>
          <w:bCs/>
          <w:noProof/>
        </w:rPr>
      </w:sdtEndPr>
      <w:sdtContent>
        <w:p w14:paraId="10DA150C" w14:textId="77777777" w:rsidR="00764529" w:rsidRDefault="00764529">
          <w:pPr>
            <w:pStyle w:val="TOCHeading"/>
          </w:pPr>
          <w:r>
            <w:t>Table of Contents</w:t>
          </w:r>
        </w:p>
        <w:p w14:paraId="271AE6B5" w14:textId="4C3C0395" w:rsidR="00B07353" w:rsidRDefault="00764529">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827670" w:history="1">
            <w:r w:rsidR="00B07353" w:rsidRPr="00FF559B">
              <w:rPr>
                <w:rStyle w:val="Hyperlink"/>
                <w:noProof/>
              </w:rPr>
              <w:t>Executive Summary</w:t>
            </w:r>
            <w:r w:rsidR="00B07353">
              <w:rPr>
                <w:noProof/>
                <w:webHidden/>
              </w:rPr>
              <w:tab/>
            </w:r>
            <w:r w:rsidR="00B07353">
              <w:rPr>
                <w:noProof/>
                <w:webHidden/>
              </w:rPr>
              <w:fldChar w:fldCharType="begin"/>
            </w:r>
            <w:r w:rsidR="00B07353">
              <w:rPr>
                <w:noProof/>
                <w:webHidden/>
              </w:rPr>
              <w:instrText xml:space="preserve"> PAGEREF _Toc5827670 \h </w:instrText>
            </w:r>
            <w:r w:rsidR="00B07353">
              <w:rPr>
                <w:noProof/>
                <w:webHidden/>
              </w:rPr>
            </w:r>
            <w:r w:rsidR="00B07353">
              <w:rPr>
                <w:noProof/>
                <w:webHidden/>
              </w:rPr>
              <w:fldChar w:fldCharType="separate"/>
            </w:r>
            <w:r w:rsidR="00805FCB">
              <w:rPr>
                <w:noProof/>
                <w:webHidden/>
              </w:rPr>
              <w:t>1</w:t>
            </w:r>
            <w:r w:rsidR="00B07353">
              <w:rPr>
                <w:noProof/>
                <w:webHidden/>
              </w:rPr>
              <w:fldChar w:fldCharType="end"/>
            </w:r>
          </w:hyperlink>
        </w:p>
        <w:p w14:paraId="4E118798" w14:textId="7BF31159" w:rsidR="00B07353" w:rsidRDefault="0009211D">
          <w:pPr>
            <w:pStyle w:val="TOC1"/>
            <w:tabs>
              <w:tab w:val="right" w:leader="dot" w:pos="9016"/>
            </w:tabs>
            <w:rPr>
              <w:rFonts w:eastAsiaTheme="minorEastAsia"/>
              <w:noProof/>
              <w:lang w:eastAsia="en-GB"/>
            </w:rPr>
          </w:pPr>
          <w:hyperlink w:anchor="_Toc5827671" w:history="1">
            <w:r w:rsidR="00B07353" w:rsidRPr="00FF559B">
              <w:rPr>
                <w:rStyle w:val="Hyperlink"/>
                <w:noProof/>
              </w:rPr>
              <w:t>Introduction</w:t>
            </w:r>
            <w:r w:rsidR="00B07353">
              <w:rPr>
                <w:noProof/>
                <w:webHidden/>
              </w:rPr>
              <w:tab/>
            </w:r>
            <w:r w:rsidR="00B07353">
              <w:rPr>
                <w:noProof/>
                <w:webHidden/>
              </w:rPr>
              <w:fldChar w:fldCharType="begin"/>
            </w:r>
            <w:r w:rsidR="00B07353">
              <w:rPr>
                <w:noProof/>
                <w:webHidden/>
              </w:rPr>
              <w:instrText xml:space="preserve"> PAGEREF _Toc5827671 \h </w:instrText>
            </w:r>
            <w:r w:rsidR="00B07353">
              <w:rPr>
                <w:noProof/>
                <w:webHidden/>
              </w:rPr>
            </w:r>
            <w:r w:rsidR="00B07353">
              <w:rPr>
                <w:noProof/>
                <w:webHidden/>
              </w:rPr>
              <w:fldChar w:fldCharType="separate"/>
            </w:r>
            <w:r w:rsidR="00805FCB">
              <w:rPr>
                <w:noProof/>
                <w:webHidden/>
              </w:rPr>
              <w:t>3</w:t>
            </w:r>
            <w:r w:rsidR="00B07353">
              <w:rPr>
                <w:noProof/>
                <w:webHidden/>
              </w:rPr>
              <w:fldChar w:fldCharType="end"/>
            </w:r>
          </w:hyperlink>
        </w:p>
        <w:p w14:paraId="118BA3E5" w14:textId="2C6AA825" w:rsidR="00B07353" w:rsidRDefault="0009211D">
          <w:pPr>
            <w:pStyle w:val="TOC1"/>
            <w:tabs>
              <w:tab w:val="right" w:leader="dot" w:pos="9016"/>
            </w:tabs>
            <w:rPr>
              <w:rFonts w:eastAsiaTheme="minorEastAsia"/>
              <w:noProof/>
              <w:lang w:eastAsia="en-GB"/>
            </w:rPr>
          </w:pPr>
          <w:hyperlink w:anchor="_Toc5827672" w:history="1">
            <w:r w:rsidR="00B07353" w:rsidRPr="00FF559B">
              <w:rPr>
                <w:rStyle w:val="Hyperlink"/>
                <w:noProof/>
              </w:rPr>
              <w:t>Main Findings</w:t>
            </w:r>
            <w:r w:rsidR="00B07353">
              <w:rPr>
                <w:noProof/>
                <w:webHidden/>
              </w:rPr>
              <w:tab/>
            </w:r>
            <w:r w:rsidR="00B07353">
              <w:rPr>
                <w:noProof/>
                <w:webHidden/>
              </w:rPr>
              <w:fldChar w:fldCharType="begin"/>
            </w:r>
            <w:r w:rsidR="00B07353">
              <w:rPr>
                <w:noProof/>
                <w:webHidden/>
              </w:rPr>
              <w:instrText xml:space="preserve"> PAGEREF _Toc5827672 \h </w:instrText>
            </w:r>
            <w:r w:rsidR="00B07353">
              <w:rPr>
                <w:noProof/>
                <w:webHidden/>
              </w:rPr>
            </w:r>
            <w:r w:rsidR="00B07353">
              <w:rPr>
                <w:noProof/>
                <w:webHidden/>
              </w:rPr>
              <w:fldChar w:fldCharType="separate"/>
            </w:r>
            <w:r w:rsidR="00805FCB">
              <w:rPr>
                <w:noProof/>
                <w:webHidden/>
              </w:rPr>
              <w:t>4</w:t>
            </w:r>
            <w:r w:rsidR="00B07353">
              <w:rPr>
                <w:noProof/>
                <w:webHidden/>
              </w:rPr>
              <w:fldChar w:fldCharType="end"/>
            </w:r>
          </w:hyperlink>
        </w:p>
        <w:p w14:paraId="351B3B38" w14:textId="4458D3DF" w:rsidR="00B07353" w:rsidRDefault="0009211D">
          <w:pPr>
            <w:pStyle w:val="TOC2"/>
            <w:tabs>
              <w:tab w:val="right" w:leader="dot" w:pos="9016"/>
            </w:tabs>
            <w:rPr>
              <w:rFonts w:eastAsiaTheme="minorEastAsia"/>
              <w:noProof/>
              <w:lang w:eastAsia="en-GB"/>
            </w:rPr>
          </w:pPr>
          <w:hyperlink w:anchor="_Toc5827673" w:history="1">
            <w:r w:rsidR="00B07353" w:rsidRPr="00FF559B">
              <w:rPr>
                <w:rStyle w:val="Hyperlink"/>
                <w:noProof/>
              </w:rPr>
              <w:t>Change Models</w:t>
            </w:r>
            <w:r w:rsidR="00B07353">
              <w:rPr>
                <w:noProof/>
                <w:webHidden/>
              </w:rPr>
              <w:tab/>
            </w:r>
            <w:r w:rsidR="00B07353">
              <w:rPr>
                <w:noProof/>
                <w:webHidden/>
              </w:rPr>
              <w:fldChar w:fldCharType="begin"/>
            </w:r>
            <w:r w:rsidR="00B07353">
              <w:rPr>
                <w:noProof/>
                <w:webHidden/>
              </w:rPr>
              <w:instrText xml:space="preserve"> PAGEREF _Toc5827673 \h </w:instrText>
            </w:r>
            <w:r w:rsidR="00B07353">
              <w:rPr>
                <w:noProof/>
                <w:webHidden/>
              </w:rPr>
            </w:r>
            <w:r w:rsidR="00B07353">
              <w:rPr>
                <w:noProof/>
                <w:webHidden/>
              </w:rPr>
              <w:fldChar w:fldCharType="separate"/>
            </w:r>
            <w:r w:rsidR="00805FCB">
              <w:rPr>
                <w:noProof/>
                <w:webHidden/>
              </w:rPr>
              <w:t>4</w:t>
            </w:r>
            <w:r w:rsidR="00B07353">
              <w:rPr>
                <w:noProof/>
                <w:webHidden/>
              </w:rPr>
              <w:fldChar w:fldCharType="end"/>
            </w:r>
          </w:hyperlink>
        </w:p>
        <w:p w14:paraId="70BBA191" w14:textId="31A5EF57" w:rsidR="00B07353" w:rsidRDefault="0009211D">
          <w:pPr>
            <w:pStyle w:val="TOC3"/>
            <w:tabs>
              <w:tab w:val="right" w:leader="dot" w:pos="9016"/>
            </w:tabs>
            <w:rPr>
              <w:rFonts w:eastAsiaTheme="minorEastAsia"/>
              <w:noProof/>
              <w:lang w:eastAsia="en-GB"/>
            </w:rPr>
          </w:pPr>
          <w:hyperlink w:anchor="_Toc5827674" w:history="1">
            <w:r w:rsidR="00B07353" w:rsidRPr="00FF559B">
              <w:rPr>
                <w:rStyle w:val="Hyperlink"/>
                <w:noProof/>
              </w:rPr>
              <w:t>Lewin’s Force Field Analysis and Change Model</w:t>
            </w:r>
            <w:r w:rsidR="00B07353">
              <w:rPr>
                <w:noProof/>
                <w:webHidden/>
              </w:rPr>
              <w:tab/>
            </w:r>
            <w:r w:rsidR="00B07353">
              <w:rPr>
                <w:noProof/>
                <w:webHidden/>
              </w:rPr>
              <w:fldChar w:fldCharType="begin"/>
            </w:r>
            <w:r w:rsidR="00B07353">
              <w:rPr>
                <w:noProof/>
                <w:webHidden/>
              </w:rPr>
              <w:instrText xml:space="preserve"> PAGEREF _Toc5827674 \h </w:instrText>
            </w:r>
            <w:r w:rsidR="00B07353">
              <w:rPr>
                <w:noProof/>
                <w:webHidden/>
              </w:rPr>
            </w:r>
            <w:r w:rsidR="00B07353">
              <w:rPr>
                <w:noProof/>
                <w:webHidden/>
              </w:rPr>
              <w:fldChar w:fldCharType="separate"/>
            </w:r>
            <w:r w:rsidR="00805FCB">
              <w:rPr>
                <w:noProof/>
                <w:webHidden/>
              </w:rPr>
              <w:t>5</w:t>
            </w:r>
            <w:r w:rsidR="00B07353">
              <w:rPr>
                <w:noProof/>
                <w:webHidden/>
              </w:rPr>
              <w:fldChar w:fldCharType="end"/>
            </w:r>
          </w:hyperlink>
        </w:p>
        <w:p w14:paraId="693229CA" w14:textId="61C85CD0" w:rsidR="00B07353" w:rsidRDefault="0009211D">
          <w:pPr>
            <w:pStyle w:val="TOC3"/>
            <w:tabs>
              <w:tab w:val="right" w:leader="dot" w:pos="9016"/>
            </w:tabs>
            <w:rPr>
              <w:rFonts w:eastAsiaTheme="minorEastAsia"/>
              <w:noProof/>
              <w:lang w:eastAsia="en-GB"/>
            </w:rPr>
          </w:pPr>
          <w:hyperlink w:anchor="_Toc5827675" w:history="1">
            <w:r w:rsidR="00B07353" w:rsidRPr="00FF559B">
              <w:rPr>
                <w:rStyle w:val="Hyperlink"/>
                <w:noProof/>
              </w:rPr>
              <w:t>Change Curve</w:t>
            </w:r>
            <w:r w:rsidR="00B07353">
              <w:rPr>
                <w:noProof/>
                <w:webHidden/>
              </w:rPr>
              <w:tab/>
            </w:r>
            <w:r w:rsidR="00B07353">
              <w:rPr>
                <w:noProof/>
                <w:webHidden/>
              </w:rPr>
              <w:fldChar w:fldCharType="begin"/>
            </w:r>
            <w:r w:rsidR="00B07353">
              <w:rPr>
                <w:noProof/>
                <w:webHidden/>
              </w:rPr>
              <w:instrText xml:space="preserve"> PAGEREF _Toc5827675 \h </w:instrText>
            </w:r>
            <w:r w:rsidR="00B07353">
              <w:rPr>
                <w:noProof/>
                <w:webHidden/>
              </w:rPr>
            </w:r>
            <w:r w:rsidR="00B07353">
              <w:rPr>
                <w:noProof/>
                <w:webHidden/>
              </w:rPr>
              <w:fldChar w:fldCharType="separate"/>
            </w:r>
            <w:r w:rsidR="00805FCB">
              <w:rPr>
                <w:noProof/>
                <w:webHidden/>
              </w:rPr>
              <w:t>6</w:t>
            </w:r>
            <w:r w:rsidR="00B07353">
              <w:rPr>
                <w:noProof/>
                <w:webHidden/>
              </w:rPr>
              <w:fldChar w:fldCharType="end"/>
            </w:r>
          </w:hyperlink>
        </w:p>
        <w:p w14:paraId="447A1CCC" w14:textId="028114E6" w:rsidR="00B07353" w:rsidRDefault="0009211D">
          <w:pPr>
            <w:pStyle w:val="TOC2"/>
            <w:tabs>
              <w:tab w:val="right" w:leader="dot" w:pos="9016"/>
            </w:tabs>
            <w:rPr>
              <w:rFonts w:eastAsiaTheme="minorEastAsia"/>
              <w:noProof/>
              <w:lang w:eastAsia="en-GB"/>
            </w:rPr>
          </w:pPr>
          <w:hyperlink w:anchor="_Toc5827676" w:history="1">
            <w:r w:rsidR="00B07353" w:rsidRPr="00FF559B">
              <w:rPr>
                <w:rStyle w:val="Hyperlink"/>
                <w:noProof/>
              </w:rPr>
              <w:t>Resistance to Change</w:t>
            </w:r>
            <w:r w:rsidR="00B07353">
              <w:rPr>
                <w:noProof/>
                <w:webHidden/>
              </w:rPr>
              <w:tab/>
            </w:r>
            <w:r w:rsidR="00B07353">
              <w:rPr>
                <w:noProof/>
                <w:webHidden/>
              </w:rPr>
              <w:fldChar w:fldCharType="begin"/>
            </w:r>
            <w:r w:rsidR="00B07353">
              <w:rPr>
                <w:noProof/>
                <w:webHidden/>
              </w:rPr>
              <w:instrText xml:space="preserve"> PAGEREF _Toc5827676 \h </w:instrText>
            </w:r>
            <w:r w:rsidR="00B07353">
              <w:rPr>
                <w:noProof/>
                <w:webHidden/>
              </w:rPr>
            </w:r>
            <w:r w:rsidR="00B07353">
              <w:rPr>
                <w:noProof/>
                <w:webHidden/>
              </w:rPr>
              <w:fldChar w:fldCharType="separate"/>
            </w:r>
            <w:r w:rsidR="00805FCB">
              <w:rPr>
                <w:noProof/>
                <w:webHidden/>
              </w:rPr>
              <w:t>7</w:t>
            </w:r>
            <w:r w:rsidR="00B07353">
              <w:rPr>
                <w:noProof/>
                <w:webHidden/>
              </w:rPr>
              <w:fldChar w:fldCharType="end"/>
            </w:r>
          </w:hyperlink>
        </w:p>
        <w:p w14:paraId="1BAFA5F6" w14:textId="6AE44BCF" w:rsidR="00B07353" w:rsidRDefault="0009211D">
          <w:pPr>
            <w:pStyle w:val="TOC2"/>
            <w:tabs>
              <w:tab w:val="right" w:leader="dot" w:pos="9016"/>
            </w:tabs>
            <w:rPr>
              <w:rFonts w:eastAsiaTheme="minorEastAsia"/>
              <w:noProof/>
              <w:lang w:eastAsia="en-GB"/>
            </w:rPr>
          </w:pPr>
          <w:hyperlink w:anchor="_Toc5827677" w:history="1">
            <w:r w:rsidR="00B07353" w:rsidRPr="00FF559B">
              <w:rPr>
                <w:rStyle w:val="Hyperlink"/>
                <w:noProof/>
              </w:rPr>
              <w:t>Organisational Culture</w:t>
            </w:r>
            <w:r w:rsidR="00B07353">
              <w:rPr>
                <w:noProof/>
                <w:webHidden/>
              </w:rPr>
              <w:tab/>
            </w:r>
            <w:r w:rsidR="00B07353">
              <w:rPr>
                <w:noProof/>
                <w:webHidden/>
              </w:rPr>
              <w:fldChar w:fldCharType="begin"/>
            </w:r>
            <w:r w:rsidR="00B07353">
              <w:rPr>
                <w:noProof/>
                <w:webHidden/>
              </w:rPr>
              <w:instrText xml:space="preserve"> PAGEREF _Toc5827677 \h </w:instrText>
            </w:r>
            <w:r w:rsidR="00B07353">
              <w:rPr>
                <w:noProof/>
                <w:webHidden/>
              </w:rPr>
            </w:r>
            <w:r w:rsidR="00B07353">
              <w:rPr>
                <w:noProof/>
                <w:webHidden/>
              </w:rPr>
              <w:fldChar w:fldCharType="separate"/>
            </w:r>
            <w:r w:rsidR="00805FCB">
              <w:rPr>
                <w:noProof/>
                <w:webHidden/>
              </w:rPr>
              <w:t>7</w:t>
            </w:r>
            <w:r w:rsidR="00B07353">
              <w:rPr>
                <w:noProof/>
                <w:webHidden/>
              </w:rPr>
              <w:fldChar w:fldCharType="end"/>
            </w:r>
          </w:hyperlink>
        </w:p>
        <w:p w14:paraId="3C7E9EC4" w14:textId="04EBA812" w:rsidR="00B07353" w:rsidRDefault="0009211D">
          <w:pPr>
            <w:pStyle w:val="TOC2"/>
            <w:tabs>
              <w:tab w:val="right" w:leader="dot" w:pos="9016"/>
            </w:tabs>
            <w:rPr>
              <w:rFonts w:eastAsiaTheme="minorEastAsia"/>
              <w:noProof/>
              <w:lang w:eastAsia="en-GB"/>
            </w:rPr>
          </w:pPr>
          <w:hyperlink w:anchor="_Toc5827678" w:history="1">
            <w:r w:rsidR="00B07353" w:rsidRPr="00FF559B">
              <w:rPr>
                <w:rStyle w:val="Hyperlink"/>
                <w:noProof/>
              </w:rPr>
              <w:t>Motivation</w:t>
            </w:r>
            <w:r w:rsidR="00B07353">
              <w:rPr>
                <w:noProof/>
                <w:webHidden/>
              </w:rPr>
              <w:tab/>
            </w:r>
            <w:r w:rsidR="00B07353">
              <w:rPr>
                <w:noProof/>
                <w:webHidden/>
              </w:rPr>
              <w:fldChar w:fldCharType="begin"/>
            </w:r>
            <w:r w:rsidR="00B07353">
              <w:rPr>
                <w:noProof/>
                <w:webHidden/>
              </w:rPr>
              <w:instrText xml:space="preserve"> PAGEREF _Toc5827678 \h </w:instrText>
            </w:r>
            <w:r w:rsidR="00B07353">
              <w:rPr>
                <w:noProof/>
                <w:webHidden/>
              </w:rPr>
            </w:r>
            <w:r w:rsidR="00B07353">
              <w:rPr>
                <w:noProof/>
                <w:webHidden/>
              </w:rPr>
              <w:fldChar w:fldCharType="separate"/>
            </w:r>
            <w:r w:rsidR="00805FCB">
              <w:rPr>
                <w:noProof/>
                <w:webHidden/>
              </w:rPr>
              <w:t>7</w:t>
            </w:r>
            <w:r w:rsidR="00B07353">
              <w:rPr>
                <w:noProof/>
                <w:webHidden/>
              </w:rPr>
              <w:fldChar w:fldCharType="end"/>
            </w:r>
          </w:hyperlink>
        </w:p>
        <w:p w14:paraId="609D9B38" w14:textId="59955655" w:rsidR="00B07353" w:rsidRDefault="0009211D">
          <w:pPr>
            <w:pStyle w:val="TOC3"/>
            <w:tabs>
              <w:tab w:val="right" w:leader="dot" w:pos="9016"/>
            </w:tabs>
            <w:rPr>
              <w:rFonts w:eastAsiaTheme="minorEastAsia"/>
              <w:noProof/>
              <w:lang w:eastAsia="en-GB"/>
            </w:rPr>
          </w:pPr>
          <w:hyperlink w:anchor="_Toc5827679" w:history="1">
            <w:r w:rsidR="00B07353" w:rsidRPr="00FF559B">
              <w:rPr>
                <w:rStyle w:val="Hyperlink"/>
                <w:noProof/>
              </w:rPr>
              <w:t>Expectancy Theory</w:t>
            </w:r>
            <w:r w:rsidR="00B07353">
              <w:rPr>
                <w:noProof/>
                <w:webHidden/>
              </w:rPr>
              <w:tab/>
            </w:r>
            <w:r w:rsidR="00B07353">
              <w:rPr>
                <w:noProof/>
                <w:webHidden/>
              </w:rPr>
              <w:fldChar w:fldCharType="begin"/>
            </w:r>
            <w:r w:rsidR="00B07353">
              <w:rPr>
                <w:noProof/>
                <w:webHidden/>
              </w:rPr>
              <w:instrText xml:space="preserve"> PAGEREF _Toc5827679 \h </w:instrText>
            </w:r>
            <w:r w:rsidR="00B07353">
              <w:rPr>
                <w:noProof/>
                <w:webHidden/>
              </w:rPr>
            </w:r>
            <w:r w:rsidR="00B07353">
              <w:rPr>
                <w:noProof/>
                <w:webHidden/>
              </w:rPr>
              <w:fldChar w:fldCharType="separate"/>
            </w:r>
            <w:r w:rsidR="00805FCB">
              <w:rPr>
                <w:noProof/>
                <w:webHidden/>
              </w:rPr>
              <w:t>7</w:t>
            </w:r>
            <w:r w:rsidR="00B07353">
              <w:rPr>
                <w:noProof/>
                <w:webHidden/>
              </w:rPr>
              <w:fldChar w:fldCharType="end"/>
            </w:r>
          </w:hyperlink>
        </w:p>
        <w:p w14:paraId="1958A144" w14:textId="25F133C2" w:rsidR="00B07353" w:rsidRDefault="0009211D">
          <w:pPr>
            <w:pStyle w:val="TOC3"/>
            <w:tabs>
              <w:tab w:val="right" w:leader="dot" w:pos="9016"/>
            </w:tabs>
            <w:rPr>
              <w:rFonts w:eastAsiaTheme="minorEastAsia"/>
              <w:noProof/>
              <w:lang w:eastAsia="en-GB"/>
            </w:rPr>
          </w:pPr>
          <w:hyperlink w:anchor="_Toc5827680" w:history="1">
            <w:r w:rsidR="00B07353" w:rsidRPr="00FF559B">
              <w:rPr>
                <w:rStyle w:val="Hyperlink"/>
                <w:noProof/>
              </w:rPr>
              <w:t>Maslow’s Hierarchy of Needs</w:t>
            </w:r>
            <w:r w:rsidR="00B07353">
              <w:rPr>
                <w:noProof/>
                <w:webHidden/>
              </w:rPr>
              <w:tab/>
            </w:r>
            <w:r w:rsidR="00B07353">
              <w:rPr>
                <w:noProof/>
                <w:webHidden/>
              </w:rPr>
              <w:fldChar w:fldCharType="begin"/>
            </w:r>
            <w:r w:rsidR="00B07353">
              <w:rPr>
                <w:noProof/>
                <w:webHidden/>
              </w:rPr>
              <w:instrText xml:space="preserve"> PAGEREF _Toc5827680 \h </w:instrText>
            </w:r>
            <w:r w:rsidR="00B07353">
              <w:rPr>
                <w:noProof/>
                <w:webHidden/>
              </w:rPr>
            </w:r>
            <w:r w:rsidR="00B07353">
              <w:rPr>
                <w:noProof/>
                <w:webHidden/>
              </w:rPr>
              <w:fldChar w:fldCharType="separate"/>
            </w:r>
            <w:r w:rsidR="00805FCB">
              <w:rPr>
                <w:noProof/>
                <w:webHidden/>
              </w:rPr>
              <w:t>8</w:t>
            </w:r>
            <w:r w:rsidR="00B07353">
              <w:rPr>
                <w:noProof/>
                <w:webHidden/>
              </w:rPr>
              <w:fldChar w:fldCharType="end"/>
            </w:r>
          </w:hyperlink>
        </w:p>
        <w:p w14:paraId="782F7315" w14:textId="5C2CA3C0" w:rsidR="00B07353" w:rsidRDefault="0009211D">
          <w:pPr>
            <w:pStyle w:val="TOC3"/>
            <w:tabs>
              <w:tab w:val="right" w:leader="dot" w:pos="9016"/>
            </w:tabs>
            <w:rPr>
              <w:rFonts w:eastAsiaTheme="minorEastAsia"/>
              <w:noProof/>
              <w:lang w:eastAsia="en-GB"/>
            </w:rPr>
          </w:pPr>
          <w:hyperlink w:anchor="_Toc5827681" w:history="1">
            <w:r w:rsidR="00B07353" w:rsidRPr="00FF559B">
              <w:rPr>
                <w:rStyle w:val="Hyperlink"/>
                <w:noProof/>
              </w:rPr>
              <w:t>Herzberg’s Two-Factor Theory</w:t>
            </w:r>
            <w:r w:rsidR="00B07353">
              <w:rPr>
                <w:noProof/>
                <w:webHidden/>
              </w:rPr>
              <w:tab/>
            </w:r>
            <w:r w:rsidR="00B07353">
              <w:rPr>
                <w:noProof/>
                <w:webHidden/>
              </w:rPr>
              <w:fldChar w:fldCharType="begin"/>
            </w:r>
            <w:r w:rsidR="00B07353">
              <w:rPr>
                <w:noProof/>
                <w:webHidden/>
              </w:rPr>
              <w:instrText xml:space="preserve"> PAGEREF _Toc5827681 \h </w:instrText>
            </w:r>
            <w:r w:rsidR="00B07353">
              <w:rPr>
                <w:noProof/>
                <w:webHidden/>
              </w:rPr>
            </w:r>
            <w:r w:rsidR="00B07353">
              <w:rPr>
                <w:noProof/>
                <w:webHidden/>
              </w:rPr>
              <w:fldChar w:fldCharType="separate"/>
            </w:r>
            <w:r w:rsidR="00805FCB">
              <w:rPr>
                <w:noProof/>
                <w:webHidden/>
              </w:rPr>
              <w:t>9</w:t>
            </w:r>
            <w:r w:rsidR="00B07353">
              <w:rPr>
                <w:noProof/>
                <w:webHidden/>
              </w:rPr>
              <w:fldChar w:fldCharType="end"/>
            </w:r>
          </w:hyperlink>
        </w:p>
        <w:p w14:paraId="4F5EF479" w14:textId="110D1F1F" w:rsidR="00B07353" w:rsidRDefault="0009211D">
          <w:pPr>
            <w:pStyle w:val="TOC1"/>
            <w:tabs>
              <w:tab w:val="right" w:leader="dot" w:pos="9016"/>
            </w:tabs>
            <w:rPr>
              <w:rFonts w:eastAsiaTheme="minorEastAsia"/>
              <w:noProof/>
              <w:lang w:eastAsia="en-GB"/>
            </w:rPr>
          </w:pPr>
          <w:hyperlink w:anchor="_Toc5827682" w:history="1">
            <w:r w:rsidR="00B07353" w:rsidRPr="00FF559B">
              <w:rPr>
                <w:rStyle w:val="Hyperlink"/>
                <w:noProof/>
              </w:rPr>
              <w:t>Conclusion</w:t>
            </w:r>
            <w:r w:rsidR="00B07353">
              <w:rPr>
                <w:noProof/>
                <w:webHidden/>
              </w:rPr>
              <w:tab/>
            </w:r>
            <w:r w:rsidR="00B07353">
              <w:rPr>
                <w:noProof/>
                <w:webHidden/>
              </w:rPr>
              <w:fldChar w:fldCharType="begin"/>
            </w:r>
            <w:r w:rsidR="00B07353">
              <w:rPr>
                <w:noProof/>
                <w:webHidden/>
              </w:rPr>
              <w:instrText xml:space="preserve"> PAGEREF _Toc5827682 \h </w:instrText>
            </w:r>
            <w:r w:rsidR="00B07353">
              <w:rPr>
                <w:noProof/>
                <w:webHidden/>
              </w:rPr>
            </w:r>
            <w:r w:rsidR="00B07353">
              <w:rPr>
                <w:noProof/>
                <w:webHidden/>
              </w:rPr>
              <w:fldChar w:fldCharType="separate"/>
            </w:r>
            <w:r w:rsidR="00805FCB">
              <w:rPr>
                <w:noProof/>
                <w:webHidden/>
              </w:rPr>
              <w:t>10</w:t>
            </w:r>
            <w:r w:rsidR="00B07353">
              <w:rPr>
                <w:noProof/>
                <w:webHidden/>
              </w:rPr>
              <w:fldChar w:fldCharType="end"/>
            </w:r>
          </w:hyperlink>
        </w:p>
        <w:p w14:paraId="08D5ABF0" w14:textId="308BED94" w:rsidR="00B07353" w:rsidRDefault="0009211D">
          <w:pPr>
            <w:pStyle w:val="TOC1"/>
            <w:tabs>
              <w:tab w:val="right" w:leader="dot" w:pos="9016"/>
            </w:tabs>
            <w:rPr>
              <w:rFonts w:eastAsiaTheme="minorEastAsia"/>
              <w:noProof/>
              <w:lang w:eastAsia="en-GB"/>
            </w:rPr>
          </w:pPr>
          <w:hyperlink w:anchor="_Toc5827683" w:history="1">
            <w:r w:rsidR="00B07353" w:rsidRPr="00FF559B">
              <w:rPr>
                <w:rStyle w:val="Hyperlink"/>
                <w:noProof/>
              </w:rPr>
              <w:t>Recommendations</w:t>
            </w:r>
            <w:r w:rsidR="00B07353">
              <w:rPr>
                <w:noProof/>
                <w:webHidden/>
              </w:rPr>
              <w:tab/>
            </w:r>
            <w:r w:rsidR="00B07353">
              <w:rPr>
                <w:noProof/>
                <w:webHidden/>
              </w:rPr>
              <w:fldChar w:fldCharType="begin"/>
            </w:r>
            <w:r w:rsidR="00B07353">
              <w:rPr>
                <w:noProof/>
                <w:webHidden/>
              </w:rPr>
              <w:instrText xml:space="preserve"> PAGEREF _Toc5827683 \h </w:instrText>
            </w:r>
            <w:r w:rsidR="00B07353">
              <w:rPr>
                <w:noProof/>
                <w:webHidden/>
              </w:rPr>
            </w:r>
            <w:r w:rsidR="00B07353">
              <w:rPr>
                <w:noProof/>
                <w:webHidden/>
              </w:rPr>
              <w:fldChar w:fldCharType="separate"/>
            </w:r>
            <w:r w:rsidR="00805FCB">
              <w:rPr>
                <w:noProof/>
                <w:webHidden/>
              </w:rPr>
              <w:t>11</w:t>
            </w:r>
            <w:r w:rsidR="00B07353">
              <w:rPr>
                <w:noProof/>
                <w:webHidden/>
              </w:rPr>
              <w:fldChar w:fldCharType="end"/>
            </w:r>
          </w:hyperlink>
        </w:p>
        <w:p w14:paraId="0831D1D6" w14:textId="67281217" w:rsidR="00B07353" w:rsidRDefault="0009211D">
          <w:pPr>
            <w:pStyle w:val="TOC1"/>
            <w:tabs>
              <w:tab w:val="right" w:leader="dot" w:pos="9016"/>
            </w:tabs>
            <w:rPr>
              <w:rFonts w:eastAsiaTheme="minorEastAsia"/>
              <w:noProof/>
              <w:lang w:eastAsia="en-GB"/>
            </w:rPr>
          </w:pPr>
          <w:hyperlink w:anchor="_Toc5827684" w:history="1">
            <w:r w:rsidR="00B07353" w:rsidRPr="00FF559B">
              <w:rPr>
                <w:rStyle w:val="Hyperlink"/>
                <w:noProof/>
              </w:rPr>
              <w:t>References List</w:t>
            </w:r>
            <w:r w:rsidR="00B07353">
              <w:rPr>
                <w:noProof/>
                <w:webHidden/>
              </w:rPr>
              <w:tab/>
            </w:r>
            <w:r w:rsidR="00B07353">
              <w:rPr>
                <w:noProof/>
                <w:webHidden/>
              </w:rPr>
              <w:fldChar w:fldCharType="begin"/>
            </w:r>
            <w:r w:rsidR="00B07353">
              <w:rPr>
                <w:noProof/>
                <w:webHidden/>
              </w:rPr>
              <w:instrText xml:space="preserve"> PAGEREF _Toc5827684 \h </w:instrText>
            </w:r>
            <w:r w:rsidR="00B07353">
              <w:rPr>
                <w:noProof/>
                <w:webHidden/>
              </w:rPr>
            </w:r>
            <w:r w:rsidR="00B07353">
              <w:rPr>
                <w:noProof/>
                <w:webHidden/>
              </w:rPr>
              <w:fldChar w:fldCharType="separate"/>
            </w:r>
            <w:r w:rsidR="00805FCB">
              <w:rPr>
                <w:noProof/>
                <w:webHidden/>
              </w:rPr>
              <w:t>12</w:t>
            </w:r>
            <w:r w:rsidR="00B07353">
              <w:rPr>
                <w:noProof/>
                <w:webHidden/>
              </w:rPr>
              <w:fldChar w:fldCharType="end"/>
            </w:r>
          </w:hyperlink>
        </w:p>
        <w:p w14:paraId="39EC4DB7" w14:textId="6C878C36" w:rsidR="00764529" w:rsidRDefault="00764529">
          <w:r>
            <w:rPr>
              <w:b/>
              <w:bCs/>
              <w:noProof/>
            </w:rPr>
            <w:fldChar w:fldCharType="end"/>
          </w:r>
        </w:p>
      </w:sdtContent>
    </w:sdt>
    <w:p w14:paraId="396E2ADD" w14:textId="4CE71F06" w:rsidR="00764529" w:rsidRDefault="00764529" w:rsidP="00764529">
      <w:pPr>
        <w:tabs>
          <w:tab w:val="left" w:pos="3030"/>
        </w:tabs>
      </w:pPr>
    </w:p>
    <w:p w14:paraId="526F41C4" w14:textId="77777777" w:rsidR="00764529" w:rsidRPr="00764529" w:rsidRDefault="00764529" w:rsidP="00764529"/>
    <w:p w14:paraId="113AE21C" w14:textId="77777777" w:rsidR="00764529" w:rsidRPr="00764529" w:rsidRDefault="00764529" w:rsidP="00764529"/>
    <w:p w14:paraId="1B0100D9" w14:textId="77777777" w:rsidR="00764529" w:rsidRPr="00764529" w:rsidRDefault="00764529" w:rsidP="00764529"/>
    <w:p w14:paraId="108A52E9" w14:textId="77777777" w:rsidR="00764529" w:rsidRPr="00764529" w:rsidRDefault="00764529" w:rsidP="00764529"/>
    <w:p w14:paraId="259B7276" w14:textId="77777777" w:rsidR="00764529" w:rsidRPr="00764529" w:rsidRDefault="00764529" w:rsidP="00764529"/>
    <w:p w14:paraId="5782ED16" w14:textId="77777777" w:rsidR="00764529" w:rsidRPr="00764529" w:rsidRDefault="00764529" w:rsidP="00764529"/>
    <w:p w14:paraId="54CE4520" w14:textId="77777777" w:rsidR="00764529" w:rsidRPr="00764529" w:rsidRDefault="00764529" w:rsidP="00764529"/>
    <w:p w14:paraId="083EB831" w14:textId="704BE815" w:rsidR="00764529" w:rsidRDefault="00764529" w:rsidP="00764529"/>
    <w:p w14:paraId="2B136F42" w14:textId="79229064" w:rsidR="007C15A7" w:rsidRDefault="007C15A7" w:rsidP="00764529"/>
    <w:p w14:paraId="3E0A4902" w14:textId="2B9FB528" w:rsidR="007C15A7" w:rsidRDefault="007C15A7" w:rsidP="00764529"/>
    <w:p w14:paraId="28F59ACC" w14:textId="77777777" w:rsidR="007C15A7" w:rsidRPr="00764529" w:rsidRDefault="007C15A7" w:rsidP="00764529"/>
    <w:p w14:paraId="692CE1ED" w14:textId="77777777" w:rsidR="00764529" w:rsidRPr="00764529" w:rsidRDefault="00764529" w:rsidP="00764529"/>
    <w:p w14:paraId="79E42ECA" w14:textId="77777777" w:rsidR="00764529" w:rsidRPr="00764529" w:rsidRDefault="00764529" w:rsidP="00764529"/>
    <w:p w14:paraId="1F147FE8" w14:textId="77777777" w:rsidR="00764529" w:rsidRDefault="00764529" w:rsidP="000C44A6">
      <w:pPr>
        <w:pStyle w:val="Heading1"/>
      </w:pPr>
      <w:bookmarkStart w:id="1" w:name="_Toc5827671"/>
      <w:r>
        <w:lastRenderedPageBreak/>
        <w:t>Introduction</w:t>
      </w:r>
      <w:bookmarkEnd w:id="1"/>
    </w:p>
    <w:p w14:paraId="4E6CABA9" w14:textId="2BE37B7E" w:rsidR="00801A20" w:rsidRDefault="00B519A9" w:rsidP="00764529">
      <w:r>
        <w:t>In order to move forward within an organisation change</w:t>
      </w:r>
      <w:r w:rsidR="003E4206">
        <w:t xml:space="preserve"> is essential, organisations </w:t>
      </w:r>
      <w:r w:rsidR="007E5BC9">
        <w:t xml:space="preserve">need to </w:t>
      </w:r>
      <w:r w:rsidR="003E4206">
        <w:t xml:space="preserve">change or adapt their ways of thinking or adjust their targets (Cole &amp; Kelly 2011). </w:t>
      </w:r>
      <w:r w:rsidR="00801A20">
        <w:t>At the start of the change process, an appreciation of the need to change is needed. By analysing the situation as well as the factors or forces around the need for change, several courses of action could be identified</w:t>
      </w:r>
      <w:r w:rsidR="00231F28">
        <w:t xml:space="preserve"> and assessed (Armstrong 2012). According to Hayes (2014 p4), “up to 60% of change programmes fail to achieve targeted outcomes”, managing the change correctly and getting it right is imperative. Crown Holding is one of the largest packaging companies in the world, with operations in 36 countries around the world. </w:t>
      </w:r>
      <w:r w:rsidR="00912298">
        <w:t>In 1996 Crown acquired CarnaudMetalbox, which meant that they purchased the site that was situated in Neath. In 2015 Crown announced the closure of the Neath plant. This report will look at different change models, how Crown managed the change, the forces resisting change and the motivational issues around ceasing operations at the Neath plant. By looking at these changes models and how the change was managed, an indication of what models were potential used</w:t>
      </w:r>
      <w:r w:rsidR="000C44A6">
        <w:t xml:space="preserve"> and if any alternatives were available.</w:t>
      </w:r>
      <w:r w:rsidR="0014100E">
        <w:t xml:space="preserve"> </w:t>
      </w:r>
    </w:p>
    <w:p w14:paraId="217076DF" w14:textId="3E8619C4" w:rsidR="00764529" w:rsidRDefault="00801A20" w:rsidP="000C44A6">
      <w:r>
        <w:t xml:space="preserve"> </w:t>
      </w:r>
    </w:p>
    <w:p w14:paraId="728D0DCB" w14:textId="77777777" w:rsidR="00764529" w:rsidRDefault="00764529" w:rsidP="00764529"/>
    <w:p w14:paraId="28571B36" w14:textId="77777777" w:rsidR="00764529" w:rsidRDefault="00764529" w:rsidP="00764529"/>
    <w:p w14:paraId="30BBA0D6" w14:textId="77777777" w:rsidR="00764529" w:rsidRDefault="00764529" w:rsidP="00764529"/>
    <w:p w14:paraId="291610C1" w14:textId="77777777" w:rsidR="00764529" w:rsidRDefault="00764529" w:rsidP="00764529"/>
    <w:p w14:paraId="4E8D7BE0" w14:textId="77777777" w:rsidR="00764529" w:rsidRDefault="00764529" w:rsidP="00764529"/>
    <w:p w14:paraId="24D63052" w14:textId="77777777" w:rsidR="00764529" w:rsidRDefault="00764529" w:rsidP="00764529"/>
    <w:p w14:paraId="48087B80" w14:textId="77777777" w:rsidR="00764529" w:rsidRDefault="00764529" w:rsidP="00764529"/>
    <w:p w14:paraId="0876C2CF" w14:textId="77777777" w:rsidR="00764529" w:rsidRDefault="00764529" w:rsidP="00764529"/>
    <w:p w14:paraId="4F1C227D" w14:textId="77777777" w:rsidR="00764529" w:rsidRDefault="00764529" w:rsidP="00764529"/>
    <w:p w14:paraId="05640475" w14:textId="77777777" w:rsidR="00764529" w:rsidRDefault="00764529" w:rsidP="00764529"/>
    <w:p w14:paraId="38035638" w14:textId="681E9877" w:rsidR="00A65A61" w:rsidRDefault="00A65A61" w:rsidP="00764529">
      <w:pPr>
        <w:pStyle w:val="Heading1"/>
      </w:pPr>
    </w:p>
    <w:p w14:paraId="35131DA0" w14:textId="44520DD8" w:rsidR="00A65A61" w:rsidRDefault="00A65A61" w:rsidP="00764529">
      <w:pPr>
        <w:pStyle w:val="Heading1"/>
      </w:pPr>
    </w:p>
    <w:p w14:paraId="58DF51F4" w14:textId="1D6DA345" w:rsidR="00A65A61" w:rsidRDefault="00A65A61" w:rsidP="00764529">
      <w:pPr>
        <w:pStyle w:val="Heading1"/>
      </w:pPr>
    </w:p>
    <w:p w14:paraId="6B30EA78" w14:textId="071D8689" w:rsidR="00A65A61" w:rsidRDefault="00A65A61" w:rsidP="00764529">
      <w:pPr>
        <w:pStyle w:val="Heading1"/>
      </w:pPr>
    </w:p>
    <w:p w14:paraId="674BF5B9" w14:textId="5176AAF0" w:rsidR="00A65A61" w:rsidRDefault="00A65A61" w:rsidP="00764529">
      <w:pPr>
        <w:pStyle w:val="Heading1"/>
      </w:pPr>
    </w:p>
    <w:p w14:paraId="50889DD1" w14:textId="77777777" w:rsidR="000C44A6" w:rsidRPr="000C44A6" w:rsidRDefault="000C44A6" w:rsidP="000C44A6"/>
    <w:p w14:paraId="76F0CE01" w14:textId="77777777" w:rsidR="00A65A61" w:rsidRPr="00A65A61" w:rsidRDefault="00A65A61" w:rsidP="00A65A61"/>
    <w:p w14:paraId="757E01BC" w14:textId="50AF41F0" w:rsidR="00764529" w:rsidRDefault="00A65A61" w:rsidP="00764529">
      <w:pPr>
        <w:pStyle w:val="Heading1"/>
      </w:pPr>
      <w:bookmarkStart w:id="2" w:name="_Toc5827672"/>
      <w:r>
        <w:lastRenderedPageBreak/>
        <w:t>M</w:t>
      </w:r>
      <w:r w:rsidR="00764529">
        <w:t>ain Findings</w:t>
      </w:r>
      <w:bookmarkEnd w:id="2"/>
    </w:p>
    <w:p w14:paraId="1899C415" w14:textId="56FA20C5" w:rsidR="00764529" w:rsidRDefault="003324AB" w:rsidP="00764529">
      <w:r>
        <w:t>In October 2015 Crown Food Europe called a plant brief to announce the potential closure of their Neath site. The reason stated was falling volume and over capacity within the European market. After a strategic review of its operations within the United Kingdom and Europe, Crown proposed to cease operations in the Neath plant.</w:t>
      </w:r>
      <w:r w:rsidR="006050FD">
        <w:t xml:space="preserve"> This meant that two hundred and </w:t>
      </w:r>
      <w:r w:rsidR="0032550F">
        <w:t>forty-five</w:t>
      </w:r>
      <w:r w:rsidR="006050FD">
        <w:t xml:space="preserve"> jobs</w:t>
      </w:r>
      <w:r w:rsidR="006B45E0">
        <w:t xml:space="preserve"> were</w:t>
      </w:r>
      <w:r w:rsidR="006050FD">
        <w:t xml:space="preserve"> </w:t>
      </w:r>
      <w:r w:rsidR="0032550F">
        <w:t xml:space="preserve">put </w:t>
      </w:r>
      <w:r w:rsidR="006050FD">
        <w:t xml:space="preserve">at risk of redundancy. </w:t>
      </w:r>
    </w:p>
    <w:p w14:paraId="7184C602" w14:textId="77777777" w:rsidR="002F47CD" w:rsidRDefault="002F47CD" w:rsidP="002F47CD">
      <w:pPr>
        <w:pStyle w:val="Heading2"/>
      </w:pPr>
      <w:bookmarkStart w:id="3" w:name="_Toc5827673"/>
      <w:r>
        <w:t>Change Models</w:t>
      </w:r>
      <w:bookmarkEnd w:id="3"/>
    </w:p>
    <w:p w14:paraId="76A0DA5A" w14:textId="10812814" w:rsidR="00BB62EE" w:rsidRDefault="00A6644A" w:rsidP="00764529">
      <w:r>
        <w:rPr>
          <w:noProof/>
        </w:rPr>
        <mc:AlternateContent>
          <mc:Choice Requires="wps">
            <w:drawing>
              <wp:anchor distT="0" distB="0" distL="114300" distR="114300" simplePos="0" relativeHeight="251689984" behindDoc="0" locked="0" layoutInCell="1" allowOverlap="1" wp14:anchorId="1963E8AB" wp14:editId="07AA81BE">
                <wp:simplePos x="0" y="0"/>
                <wp:positionH relativeFrom="margin">
                  <wp:align>center</wp:align>
                </wp:positionH>
                <wp:positionV relativeFrom="paragraph">
                  <wp:posOffset>2931342</wp:posOffset>
                </wp:positionV>
                <wp:extent cx="3730625" cy="635"/>
                <wp:effectExtent l="0" t="0" r="3175" b="0"/>
                <wp:wrapTopAndBottom/>
                <wp:docPr id="52" name="Text Box 52"/>
                <wp:cNvGraphicFramePr/>
                <a:graphic xmlns:a="http://schemas.openxmlformats.org/drawingml/2006/main">
                  <a:graphicData uri="http://schemas.microsoft.com/office/word/2010/wordprocessingShape">
                    <wps:wsp>
                      <wps:cNvSpPr txBox="1"/>
                      <wps:spPr>
                        <a:xfrm>
                          <a:off x="0" y="0"/>
                          <a:ext cx="3730625" cy="635"/>
                        </a:xfrm>
                        <a:prstGeom prst="rect">
                          <a:avLst/>
                        </a:prstGeom>
                        <a:solidFill>
                          <a:prstClr val="white"/>
                        </a:solidFill>
                        <a:ln>
                          <a:noFill/>
                        </a:ln>
                      </wps:spPr>
                      <wps:txbx>
                        <w:txbxContent>
                          <w:p w14:paraId="1C9CB91A" w14:textId="6C3B93D4" w:rsidR="00D4038F" w:rsidRPr="00774E37" w:rsidRDefault="00D4038F" w:rsidP="00D4038F">
                            <w:pPr>
                              <w:pStyle w:val="Caption"/>
                              <w:rPr>
                                <w:noProof/>
                              </w:rPr>
                            </w:pPr>
                            <w:r>
                              <w:t xml:space="preserve">Figure </w:t>
                            </w:r>
                            <w:r w:rsidR="0009211D">
                              <w:rPr>
                                <w:noProof/>
                              </w:rPr>
                              <w:fldChar w:fldCharType="begin"/>
                            </w:r>
                            <w:r w:rsidR="0009211D">
                              <w:rPr>
                                <w:noProof/>
                              </w:rPr>
                              <w:instrText xml:space="preserve"> SEQ Figure \* ARABIC </w:instrText>
                            </w:r>
                            <w:r w:rsidR="0009211D">
                              <w:rPr>
                                <w:noProof/>
                              </w:rPr>
                              <w:fldChar w:fldCharType="separate"/>
                            </w:r>
                            <w:r w:rsidR="007E5BC9">
                              <w:rPr>
                                <w:noProof/>
                              </w:rPr>
                              <w:t>1</w:t>
                            </w:r>
                            <w:r w:rsidR="0009211D">
                              <w:rPr>
                                <w:noProof/>
                              </w:rPr>
                              <w:fldChar w:fldCharType="end"/>
                            </w:r>
                            <w:r w:rsidR="007C15A7">
                              <w:rPr>
                                <w:noProof/>
                              </w:rPr>
                              <w:t xml:space="preserve"> – Source: Nadler &amp; Tushman (1989 p196)</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963E8AB" id="Text Box 52" o:spid="_x0000_s1057" type="#_x0000_t202" style="position:absolute;margin-left:0;margin-top:230.8pt;width:293.75pt;height:.05pt;z-index:25168998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" stroked="f">
                <v:textbox style="mso-fit-shape-to-text:t" inset="0,0,0,0">
                  <w:txbxContent>
                    <w:p w14:paraId="1C9CB91A" w14:textId="6C3B93D4" w:rsidR="00D4038F" w:rsidRPr="00774E37" w:rsidRDefault="00D4038F" w:rsidP="00D4038F">
                      <w:pPr>
                        <w:pStyle w:val="Caption"/>
                        <w:rPr>
                          <w:noProof/>
                        </w:rPr>
                      </w:pPr>
                      <w:r>
                        <w:t xml:space="preserve">Figure </w:t>
                      </w:r>
                      <w:r w:rsidR="0009211D">
                        <w:rPr>
                          <w:noProof/>
                        </w:rPr>
                        <w:fldChar w:fldCharType="begin"/>
                      </w:r>
                      <w:r w:rsidR="0009211D">
                        <w:rPr>
                          <w:noProof/>
                        </w:rPr>
                        <w:instrText xml:space="preserve"> SEQ Figure \* ARABIC </w:instrText>
                      </w:r>
                      <w:r w:rsidR="0009211D">
                        <w:rPr>
                          <w:noProof/>
                        </w:rPr>
                        <w:fldChar w:fldCharType="separate"/>
                      </w:r>
                      <w:r w:rsidR="007E5BC9">
                        <w:rPr>
                          <w:noProof/>
                        </w:rPr>
                        <w:t>1</w:t>
                      </w:r>
                      <w:r w:rsidR="0009211D">
                        <w:rPr>
                          <w:noProof/>
                        </w:rPr>
                        <w:fldChar w:fldCharType="end"/>
                      </w:r>
                      <w:r w:rsidR="007C15A7">
                        <w:rPr>
                          <w:noProof/>
                        </w:rPr>
                        <w:t xml:space="preserve"> – Source: Nadler &amp; Tushman (1989 p196)</w:t>
                      </w:r>
                    </w:p>
                  </w:txbxContent>
                </v:textbox>
                <w10:wrap type="topAndBottom" anchorx="margin"/>
              </v:shape>
            </w:pict>
          </mc:Fallback>
        </mc:AlternateContent>
      </w:r>
      <w:r>
        <w:rPr>
          <w:noProof/>
        </w:rPr>
        <w:drawing>
          <wp:anchor distT="0" distB="0" distL="114300" distR="114300" simplePos="0" relativeHeight="251684864" behindDoc="0" locked="0" layoutInCell="1" allowOverlap="1" wp14:anchorId="3ACE8745" wp14:editId="1825F9D9">
            <wp:simplePos x="0" y="0"/>
            <wp:positionH relativeFrom="margin">
              <wp:align>center</wp:align>
            </wp:positionH>
            <wp:positionV relativeFrom="paragraph">
              <wp:posOffset>1184158</wp:posOffset>
            </wp:positionV>
            <wp:extent cx="3728085" cy="1638935"/>
            <wp:effectExtent l="0" t="0" r="5715" b="0"/>
            <wp:wrapTopAndBottom/>
            <wp:docPr id="43" name="Picture 43" descr="Image result for nadler and tushman organizational chan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nadler and tushman organizational change"/>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t="28139" b="8937"/>
                    <a:stretch/>
                  </pic:blipFill>
                  <pic:spPr bwMode="auto">
                    <a:xfrm>
                      <a:off x="0" y="0"/>
                      <a:ext cx="3763766" cy="1655198"/>
                    </a:xfrm>
                    <a:prstGeom prst="rect">
                      <a:avLst/>
                    </a:prstGeom>
                    <a:noFill/>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D4038F">
        <w:t>Several</w:t>
      </w:r>
      <w:r w:rsidR="00B40B0B">
        <w:t xml:space="preserve"> different</w:t>
      </w:r>
      <w:r w:rsidR="00D4038F">
        <w:t xml:space="preserve"> change</w:t>
      </w:r>
      <w:r w:rsidR="00B40B0B">
        <w:t xml:space="preserve"> models exist in order to assist organisations to gauge what change is needed in changing environments (Cole &amp; Kelly 2011). Hayes (2014) suggests that those who can foresee the required change may be better placed in order to </w:t>
      </w:r>
      <w:r w:rsidR="00D4038F">
        <w:t xml:space="preserve">introduce the change. The Nadler – </w:t>
      </w:r>
      <w:proofErr w:type="spellStart"/>
      <w:r w:rsidR="00D4038F">
        <w:t>Tushman</w:t>
      </w:r>
      <w:proofErr w:type="spellEnd"/>
      <w:r w:rsidR="00D4038F">
        <w:t xml:space="preserve"> model, figure 1, identifies different types of change</w:t>
      </w:r>
      <w:r w:rsidR="00B40B0B">
        <w:t>, there are four different types of change that an organisation can make, these are: tuning, adaptation, reorientation and re-creation</w:t>
      </w:r>
      <w:r w:rsidR="006F4377">
        <w:t xml:space="preserve"> (Cassidy and </w:t>
      </w:r>
      <w:proofErr w:type="spellStart"/>
      <w:r w:rsidR="006F4377">
        <w:t>Kreitner</w:t>
      </w:r>
      <w:proofErr w:type="spellEnd"/>
      <w:r w:rsidR="006F4377">
        <w:t xml:space="preserve"> 2012). </w:t>
      </w:r>
    </w:p>
    <w:p w14:paraId="5B3BBF75" w14:textId="36204EF0" w:rsidR="006F4377" w:rsidRDefault="006F4377" w:rsidP="00A6644A">
      <w:pPr>
        <w:spacing w:after="0"/>
      </w:pPr>
      <w:r>
        <w:t xml:space="preserve">Crown stated that they had recently conducted a strategic review of its operations due to overcapacity in the European market. This led to the proposed closure of the Neath site. This change, by using this model, was reorientation. Reorientation is a strategic change made when the organisation can no longer be effective in the future. As described by Nadler and </w:t>
      </w:r>
      <w:proofErr w:type="spellStart"/>
      <w:r>
        <w:t>Tushman</w:t>
      </w:r>
      <w:proofErr w:type="spellEnd"/>
      <w:r>
        <w:t xml:space="preserve"> (1989 p196), “fundamental redirection of the organisation” are involved.  </w:t>
      </w:r>
    </w:p>
    <w:p w14:paraId="009BC7F7" w14:textId="5F5BBDDB" w:rsidR="00A6644A" w:rsidRDefault="00A6644A" w:rsidP="00A6644A">
      <w:r>
        <w:rPr>
          <w:noProof/>
        </w:rPr>
        <mc:AlternateContent>
          <mc:Choice Requires="wps">
            <w:drawing>
              <wp:anchor distT="0" distB="0" distL="114300" distR="114300" simplePos="0" relativeHeight="251701248" behindDoc="0" locked="0" layoutInCell="1" allowOverlap="1" wp14:anchorId="5D8F5BBD" wp14:editId="069FB223">
                <wp:simplePos x="0" y="0"/>
                <wp:positionH relativeFrom="column">
                  <wp:posOffset>1539240</wp:posOffset>
                </wp:positionH>
                <wp:positionV relativeFrom="paragraph">
                  <wp:posOffset>2827655</wp:posOffset>
                </wp:positionV>
                <wp:extent cx="2653665" cy="635"/>
                <wp:effectExtent l="0" t="0" r="0" b="0"/>
                <wp:wrapTopAndBottom/>
                <wp:docPr id="56" name="Text Box 56"/>
                <wp:cNvGraphicFramePr/>
                <a:graphic xmlns:a="http://schemas.openxmlformats.org/drawingml/2006/main">
                  <a:graphicData uri="http://schemas.microsoft.com/office/word/2010/wordprocessingShape">
                    <wps:wsp>
                      <wps:cNvSpPr txBox="1"/>
                      <wps:spPr>
                        <a:xfrm>
                          <a:off x="0" y="0"/>
                          <a:ext cx="2653665" cy="635"/>
                        </a:xfrm>
                        <a:prstGeom prst="rect">
                          <a:avLst/>
                        </a:prstGeom>
                        <a:solidFill>
                          <a:prstClr val="white"/>
                        </a:solidFill>
                        <a:ln>
                          <a:noFill/>
                        </a:ln>
                      </wps:spPr>
                      <wps:txbx>
                        <w:txbxContent>
                          <w:p w14:paraId="1CC57D11" w14:textId="5D7721E0" w:rsidR="00A6644A" w:rsidRPr="00877C80" w:rsidRDefault="00A6644A" w:rsidP="00A6644A">
                            <w:pPr>
                              <w:pStyle w:val="Caption"/>
                              <w:rPr>
                                <w:noProof/>
                              </w:rPr>
                            </w:pPr>
                            <w:r>
                              <w:t xml:space="preserve">Figure </w:t>
                            </w:r>
                            <w:r w:rsidR="0009211D">
                              <w:rPr>
                                <w:noProof/>
                              </w:rPr>
                              <w:fldChar w:fldCharType="begin"/>
                            </w:r>
                            <w:r w:rsidR="0009211D">
                              <w:rPr>
                                <w:noProof/>
                              </w:rPr>
                              <w:instrText xml:space="preserve"> SEQ Figure \* ARABIC </w:instrText>
                            </w:r>
                            <w:r w:rsidR="0009211D">
                              <w:rPr>
                                <w:noProof/>
                              </w:rPr>
                              <w:fldChar w:fldCharType="separate"/>
                            </w:r>
                            <w:r w:rsidR="007E5BC9">
                              <w:rPr>
                                <w:noProof/>
                              </w:rPr>
                              <w:t>2</w:t>
                            </w:r>
                            <w:r w:rsidR="0009211D">
                              <w:rPr>
                                <w:noProof/>
                              </w:rPr>
                              <w:fldChar w:fldCharType="end"/>
                            </w:r>
                            <w:r w:rsidR="007C15A7">
                              <w:rPr>
                                <w:noProof/>
                              </w:rPr>
                              <w:t xml:space="preserve"> – Source: Nadler &amp; Tushman (1989 p196)</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D8F5BBD" id="Text Box 56" o:spid="_x0000_s1058" type="#_x0000_t202" style="position:absolute;margin-left:121.2pt;margin-top:222.65pt;width:208.95pt;height:.05pt;z-index:2517012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" stroked="f">
                <v:textbox style="mso-fit-shape-to-text:t" inset="0,0,0,0">
                  <w:txbxContent>
                    <w:p w14:paraId="1CC57D11" w14:textId="5D7721E0" w:rsidR="00A6644A" w:rsidRPr="00877C80" w:rsidRDefault="00A6644A" w:rsidP="00A6644A">
                      <w:pPr>
                        <w:pStyle w:val="Caption"/>
                        <w:rPr>
                          <w:noProof/>
                        </w:rPr>
                      </w:pPr>
                      <w:r>
                        <w:t xml:space="preserve">Figure </w:t>
                      </w:r>
                      <w:r w:rsidR="0009211D">
                        <w:rPr>
                          <w:noProof/>
                        </w:rPr>
                        <w:fldChar w:fldCharType="begin"/>
                      </w:r>
                      <w:r w:rsidR="0009211D">
                        <w:rPr>
                          <w:noProof/>
                        </w:rPr>
                        <w:instrText xml:space="preserve"> SEQ Figure \* ARABIC </w:instrText>
                      </w:r>
                      <w:r w:rsidR="0009211D">
                        <w:rPr>
                          <w:noProof/>
                        </w:rPr>
                        <w:fldChar w:fldCharType="separate"/>
                      </w:r>
                      <w:r w:rsidR="007E5BC9">
                        <w:rPr>
                          <w:noProof/>
                        </w:rPr>
                        <w:t>2</w:t>
                      </w:r>
                      <w:r w:rsidR="0009211D">
                        <w:rPr>
                          <w:noProof/>
                        </w:rPr>
                        <w:fldChar w:fldCharType="end"/>
                      </w:r>
                      <w:r w:rsidR="007C15A7">
                        <w:rPr>
                          <w:noProof/>
                        </w:rPr>
                        <w:t xml:space="preserve"> – Source: Nadler &amp; Tushman (1989 p196)</w:t>
                      </w:r>
                    </w:p>
                  </w:txbxContent>
                </v:textbox>
                <w10:wrap type="topAndBottom"/>
              </v:shape>
            </w:pict>
          </mc:Fallback>
        </mc:AlternateContent>
      </w:r>
      <w:r>
        <w:rPr>
          <w:noProof/>
        </w:rPr>
        <w:drawing>
          <wp:anchor distT="0" distB="0" distL="114300" distR="114300" simplePos="0" relativeHeight="251696128" behindDoc="0" locked="0" layoutInCell="1" allowOverlap="1" wp14:anchorId="1A7E3E75" wp14:editId="3CDE4C79">
            <wp:simplePos x="0" y="0"/>
            <wp:positionH relativeFrom="margin">
              <wp:align>center</wp:align>
            </wp:positionH>
            <wp:positionV relativeFrom="paragraph">
              <wp:posOffset>804000</wp:posOffset>
            </wp:positionV>
            <wp:extent cx="2653665" cy="1966595"/>
            <wp:effectExtent l="0" t="0" r="0" b="0"/>
            <wp:wrapTopAndBottom/>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58027" t="39673" r="17606" b="28206"/>
                    <a:stretch/>
                  </pic:blipFill>
                  <pic:spPr bwMode="auto">
                    <a:xfrm>
                      <a:off x="0" y="0"/>
                      <a:ext cx="2653665" cy="19665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Reorientation can be referred to as an intense change, figure 2, due to the level of disturbance and disruption involved (Hayes 2014). By using Lewin’s theory and by looking at and reducing the restraining forces, the intensity of this change would reduce and limit the (Hayes 2014 p60) “burden of change management”.</w:t>
      </w:r>
    </w:p>
    <w:p w14:paraId="78A7C7EE" w14:textId="37DAAD6B" w:rsidR="006050FD" w:rsidRDefault="006050FD" w:rsidP="002F47CD">
      <w:pPr>
        <w:pStyle w:val="Heading3"/>
      </w:pPr>
      <w:bookmarkStart w:id="4" w:name="_Toc5827674"/>
      <w:r>
        <w:lastRenderedPageBreak/>
        <w:t>Lewin’s Force Field Analysis</w:t>
      </w:r>
      <w:r w:rsidR="00E06AD6">
        <w:t xml:space="preserve"> and Change Model</w:t>
      </w:r>
      <w:bookmarkEnd w:id="4"/>
    </w:p>
    <w:p w14:paraId="2C6B3DD9" w14:textId="77074531" w:rsidR="00D4038F" w:rsidRDefault="00A6644A" w:rsidP="00D4038F">
      <w:pPr>
        <w:spacing w:after="0"/>
      </w:pPr>
      <w:r>
        <w:rPr>
          <w:noProof/>
        </w:rPr>
        <mc:AlternateContent>
          <mc:Choice Requires="wps">
            <w:drawing>
              <wp:anchor distT="0" distB="0" distL="114300" distR="114300" simplePos="0" relativeHeight="251699200" behindDoc="0" locked="0" layoutInCell="1" allowOverlap="1" wp14:anchorId="2B09BEFE" wp14:editId="64050F39">
                <wp:simplePos x="0" y="0"/>
                <wp:positionH relativeFrom="column">
                  <wp:posOffset>1360805</wp:posOffset>
                </wp:positionH>
                <wp:positionV relativeFrom="paragraph">
                  <wp:posOffset>3645535</wp:posOffset>
                </wp:positionV>
                <wp:extent cx="3005455" cy="635"/>
                <wp:effectExtent l="0" t="0" r="0" b="0"/>
                <wp:wrapTopAndBottom/>
                <wp:docPr id="55" name="Text Box 55"/>
                <wp:cNvGraphicFramePr/>
                <a:graphic xmlns:a="http://schemas.openxmlformats.org/drawingml/2006/main">
                  <a:graphicData uri="http://schemas.microsoft.com/office/word/2010/wordprocessingShape">
                    <wps:wsp>
                      <wps:cNvSpPr txBox="1"/>
                      <wps:spPr>
                        <a:xfrm>
                          <a:off x="0" y="0"/>
                          <a:ext cx="3005455" cy="635"/>
                        </a:xfrm>
                        <a:prstGeom prst="rect">
                          <a:avLst/>
                        </a:prstGeom>
                        <a:solidFill>
                          <a:prstClr val="white"/>
                        </a:solidFill>
                        <a:ln>
                          <a:noFill/>
                        </a:ln>
                      </wps:spPr>
                      <wps:txbx>
                        <w:txbxContent>
                          <w:p w14:paraId="19731DBD" w14:textId="61393929" w:rsidR="00A6644A" w:rsidRPr="004155F7" w:rsidRDefault="00A6644A" w:rsidP="00A6644A">
                            <w:pPr>
                              <w:pStyle w:val="Caption"/>
                              <w:rPr>
                                <w:noProof/>
                              </w:rPr>
                            </w:pPr>
                            <w:r>
                              <w:t>Figure 3</w:t>
                            </w:r>
                            <w:r w:rsidR="007C15A7">
                              <w:t xml:space="preserve"> – Source: Mindtools (2019)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B09BEFE" id="Text Box 55" o:spid="_x0000_s1059" type="#_x0000_t202" style="position:absolute;margin-left:107.15pt;margin-top:287.05pt;width:236.65pt;height:.05pt;z-index:2516992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" stroked="f">
                <v:textbox style="mso-fit-shape-to-text:t" inset="0,0,0,0">
                  <w:txbxContent>
                    <w:p w14:paraId="19731DBD" w14:textId="61393929" w:rsidR="00A6644A" w:rsidRPr="004155F7" w:rsidRDefault="00A6644A" w:rsidP="00A6644A">
                      <w:pPr>
                        <w:pStyle w:val="Caption"/>
                        <w:rPr>
                          <w:noProof/>
                        </w:rPr>
                      </w:pPr>
                      <w:r>
                        <w:t>Figure 3</w:t>
                      </w:r>
                      <w:r w:rsidR="007C15A7">
                        <w:t xml:space="preserve"> – Source: Mindtools (2019)</w:t>
                      </w:r>
                    </w:p>
                  </w:txbxContent>
                </v:textbox>
                <w10:wrap type="topAndBottom"/>
              </v:shape>
            </w:pict>
          </mc:Fallback>
        </mc:AlternateContent>
      </w:r>
      <w:r>
        <w:rPr>
          <w:noProof/>
        </w:rPr>
        <w:drawing>
          <wp:anchor distT="0" distB="0" distL="114300" distR="114300" simplePos="0" relativeHeight="251687936" behindDoc="0" locked="0" layoutInCell="1" allowOverlap="1" wp14:anchorId="1AEC4BD3" wp14:editId="4EA7DF2C">
            <wp:simplePos x="0" y="0"/>
            <wp:positionH relativeFrom="margin">
              <wp:align>center</wp:align>
            </wp:positionH>
            <wp:positionV relativeFrom="paragraph">
              <wp:posOffset>1589003</wp:posOffset>
            </wp:positionV>
            <wp:extent cx="3005455" cy="1999615"/>
            <wp:effectExtent l="0" t="0" r="4445" b="635"/>
            <wp:wrapTopAndBottom/>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28252" t="24532" r="30036" b="26109"/>
                    <a:stretch/>
                  </pic:blipFill>
                  <pic:spPr bwMode="auto">
                    <a:xfrm>
                      <a:off x="0" y="0"/>
                      <a:ext cx="3005455" cy="19996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B17AB">
        <w:t>I</w:t>
      </w:r>
      <w:r w:rsidR="006A18DE">
        <w:t>t was argued by Lewin (1951) cited by</w:t>
      </w:r>
      <w:r w:rsidR="00C031D6">
        <w:t xml:space="preserve"> Hayes (2014) that change is not always successful in the long term but can be short lived. It is not enough to just focus on the ending, consideration must be given to sustaining the change.</w:t>
      </w:r>
      <w:r w:rsidR="00D4038F">
        <w:t xml:space="preserve"> As part of the force field analysis Lewin suggested that analysis of both the driving and the restraining forces, figure </w:t>
      </w:r>
      <w:r>
        <w:t>3</w:t>
      </w:r>
      <w:r w:rsidR="00D4038F">
        <w:t xml:space="preserve">, is needed as this could affect the change to the coming state. By analysing these forces an organisation can take steps in either, or by both, increasing the driving forces or reducing the restraining forces. However, as </w:t>
      </w:r>
      <w:r w:rsidR="009B17AB">
        <w:t>suggested by</w:t>
      </w:r>
      <w:r w:rsidR="00D4038F">
        <w:t xml:space="preserve"> Hayes (2014), increasing the driving forces could create tension between the work force and the change agent and create poor levels of productive behaviours.</w:t>
      </w:r>
    </w:p>
    <w:p w14:paraId="517C3690" w14:textId="7A3AE0CA" w:rsidR="00E4331C" w:rsidRDefault="00C031D6" w:rsidP="00C031D6">
      <w:pPr>
        <w:spacing w:after="0"/>
      </w:pPr>
      <w:r>
        <w:t>Lewin’s model of change seems to be one of the best known (Armstrong 2012).</w:t>
      </w:r>
      <w:r w:rsidR="0032550F">
        <w:t xml:space="preserve"> For change to be successful Lewin suggested that a three-step method is required</w:t>
      </w:r>
      <w:r w:rsidR="00731E51">
        <w:t xml:space="preserve"> (Hayes 2014):</w:t>
      </w:r>
    </w:p>
    <w:p w14:paraId="5978894A" w14:textId="2E9A1DAF" w:rsidR="00731E51" w:rsidRDefault="00731E51" w:rsidP="00731E51">
      <w:pPr>
        <w:pStyle w:val="ListParagraph"/>
        <w:numPr>
          <w:ilvl w:val="0"/>
          <w:numId w:val="4"/>
        </w:numPr>
        <w:spacing w:after="0"/>
      </w:pPr>
      <w:r>
        <w:t xml:space="preserve">Unfreeze. </w:t>
      </w:r>
      <w:r w:rsidR="00FA683F">
        <w:t xml:space="preserve">To alter the balance between forces driving and restraining change. </w:t>
      </w:r>
      <w:r w:rsidR="006B3C64">
        <w:t xml:space="preserve">Kotter (1995) cited by </w:t>
      </w:r>
      <w:r w:rsidR="0093071D">
        <w:t xml:space="preserve">Hayes (2014) </w:t>
      </w:r>
      <w:r w:rsidR="002727D2">
        <w:t>states</w:t>
      </w:r>
      <w:r w:rsidR="0093071D">
        <w:t xml:space="preserve"> that </w:t>
      </w:r>
      <w:r w:rsidR="002727D2">
        <w:t xml:space="preserve">to strengthen the forces driving change then an organisation would need to provide information about the benefits of the change, and that this action can increase motivation. However, Armstrong (2012) argues that </w:t>
      </w:r>
      <w:r w:rsidR="007E5BC9">
        <w:t xml:space="preserve">attention </w:t>
      </w:r>
      <w:r w:rsidR="0034575B">
        <w:t>must be given to the threat that this change presents and the need to motivate an individual/workforce to reach equilibrium when the change is accepted.</w:t>
      </w:r>
    </w:p>
    <w:p w14:paraId="66E2F640" w14:textId="5BD6F9DD" w:rsidR="0034575B" w:rsidRDefault="0034575B" w:rsidP="00731E51">
      <w:pPr>
        <w:pStyle w:val="ListParagraph"/>
        <w:numPr>
          <w:ilvl w:val="0"/>
          <w:numId w:val="4"/>
        </w:numPr>
        <w:spacing w:after="0"/>
      </w:pPr>
      <w:r>
        <w:t>Change. To implement the change and adjusting attitudes.</w:t>
      </w:r>
      <w:r w:rsidR="001D1485">
        <w:t xml:space="preserve"> The forces that affect the change typically tend to be the behaviours that can</w:t>
      </w:r>
      <w:r>
        <w:t xml:space="preserve"> </w:t>
      </w:r>
      <w:r w:rsidR="001D1485">
        <w:t>disturb performance, changing attitudes and beliefs and adjusting the procedures</w:t>
      </w:r>
      <w:r w:rsidR="006B45E0">
        <w:t xml:space="preserve"> can modify that behaviour</w:t>
      </w:r>
      <w:r w:rsidR="006B3C64">
        <w:t xml:space="preserve"> (Ford &amp; Greer 2006 cited by Hayes 2014)</w:t>
      </w:r>
      <w:r w:rsidR="006B45E0">
        <w:t>.</w:t>
      </w:r>
    </w:p>
    <w:p w14:paraId="515E3FC0" w14:textId="7CAFA1B4" w:rsidR="006B45E0" w:rsidRDefault="006B45E0" w:rsidP="00731E51">
      <w:pPr>
        <w:pStyle w:val="ListParagraph"/>
        <w:numPr>
          <w:ilvl w:val="0"/>
          <w:numId w:val="4"/>
        </w:numPr>
        <w:spacing w:after="0"/>
      </w:pPr>
      <w:r>
        <w:t>Refreeze. To stabilise the change and increase performance. To reinforce the behaviours following the change to sustain higher performance by</w:t>
      </w:r>
      <w:r w:rsidR="007E5BC9">
        <w:t xml:space="preserve"> </w:t>
      </w:r>
      <w:r>
        <w:t xml:space="preserve">Hayes (2014 p23), “incentives that reward new levels of performance”. </w:t>
      </w:r>
    </w:p>
    <w:p w14:paraId="574CBC60" w14:textId="0185EF37" w:rsidR="0032550F" w:rsidRDefault="001160E0" w:rsidP="005C7A91">
      <w:pPr>
        <w:spacing w:after="0"/>
      </w:pPr>
      <w:r>
        <w:t xml:space="preserve">While looking at </w:t>
      </w:r>
      <w:r w:rsidR="00BF0019">
        <w:t>the reasons Crown gave</w:t>
      </w:r>
      <w:r>
        <w:t xml:space="preserve"> to </w:t>
      </w:r>
      <w:r w:rsidR="00BF0019">
        <w:t xml:space="preserve">cease operations at the Neath plant, it could be argued that the forces for change from the organisations point of view greatly outweigh the resisting forces. But, as Armstrong (2012) pointed out, they still needed to motivate the workforce and maintain performance </w:t>
      </w:r>
      <w:proofErr w:type="gramStart"/>
      <w:r w:rsidR="00BF0019">
        <w:t>levels</w:t>
      </w:r>
      <w:proofErr w:type="gramEnd"/>
      <w:r w:rsidR="00BF0019">
        <w:t xml:space="preserve"> </w:t>
      </w:r>
      <w:r w:rsidR="007E5BC9">
        <w:t>so they do not</w:t>
      </w:r>
      <w:r w:rsidR="00BF0019">
        <w:t xml:space="preserve"> affect their customers. Crown tried to remove </w:t>
      </w:r>
      <w:r w:rsidR="006B6C41">
        <w:t xml:space="preserve">some of </w:t>
      </w:r>
      <w:r w:rsidR="00BF0019">
        <w:t xml:space="preserve">the restraining forces by offering an increased redundancy package, monthly bonuses, regular communication in forms of union meetings and plant briefs and by supplying a recruitment team to </w:t>
      </w:r>
      <w:r w:rsidR="006B6C41">
        <w:t xml:space="preserve">assist in finding new employment. These actions affected both the change and refreeze process by modifying the negative behaviours and attitudes that </w:t>
      </w:r>
      <w:r w:rsidR="00132653">
        <w:t>crept in</w:t>
      </w:r>
      <w:r w:rsidR="006B6C41">
        <w:t xml:space="preserve"> during the consultation period. </w:t>
      </w:r>
      <w:r w:rsidR="00C73576">
        <w:t xml:space="preserve"> </w:t>
      </w:r>
    </w:p>
    <w:p w14:paraId="121E7757" w14:textId="146CDA59" w:rsidR="006050FD" w:rsidRDefault="006050FD" w:rsidP="006050FD">
      <w:pPr>
        <w:pStyle w:val="Heading3"/>
      </w:pPr>
      <w:bookmarkStart w:id="5" w:name="_Toc5827675"/>
      <w:r>
        <w:lastRenderedPageBreak/>
        <w:t>Change Curve</w:t>
      </w:r>
      <w:bookmarkEnd w:id="5"/>
    </w:p>
    <w:p w14:paraId="35D4FC21" w14:textId="00F98A11" w:rsidR="006050FD" w:rsidRDefault="007E5BC9" w:rsidP="006050FD">
      <w:r>
        <w:rPr>
          <w:noProof/>
        </w:rPr>
        <w:drawing>
          <wp:anchor distT="0" distB="0" distL="114300" distR="114300" simplePos="0" relativeHeight="251662336" behindDoc="1" locked="0" layoutInCell="1" allowOverlap="1" wp14:anchorId="71D6074C" wp14:editId="030669C3">
            <wp:simplePos x="0" y="0"/>
            <wp:positionH relativeFrom="column">
              <wp:posOffset>2799715</wp:posOffset>
            </wp:positionH>
            <wp:positionV relativeFrom="paragraph">
              <wp:posOffset>1416050</wp:posOffset>
            </wp:positionV>
            <wp:extent cx="3020060" cy="2170430"/>
            <wp:effectExtent l="0" t="0" r="8890" b="1270"/>
            <wp:wrapTopAndBottom/>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33570" t="25123" r="34190" b="34384"/>
                    <a:stretch/>
                  </pic:blipFill>
                  <pic:spPr bwMode="auto">
                    <a:xfrm>
                      <a:off x="0" y="0"/>
                      <a:ext cx="3020060" cy="21704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708416" behindDoc="0" locked="0" layoutInCell="1" allowOverlap="1" wp14:anchorId="68F3BABC" wp14:editId="03A7A55B">
                <wp:simplePos x="0" y="0"/>
                <wp:positionH relativeFrom="column">
                  <wp:posOffset>2780665</wp:posOffset>
                </wp:positionH>
                <wp:positionV relativeFrom="paragraph">
                  <wp:posOffset>3594735</wp:posOffset>
                </wp:positionV>
                <wp:extent cx="3020060" cy="635"/>
                <wp:effectExtent l="0" t="0" r="0" b="0"/>
                <wp:wrapTopAndBottom/>
                <wp:docPr id="34" name="Text Box 34"/>
                <wp:cNvGraphicFramePr/>
                <a:graphic xmlns:a="http://schemas.openxmlformats.org/drawingml/2006/main">
                  <a:graphicData uri="http://schemas.microsoft.com/office/word/2010/wordprocessingShape">
                    <wps:wsp>
                      <wps:cNvSpPr txBox="1"/>
                      <wps:spPr>
                        <a:xfrm>
                          <a:off x="0" y="0"/>
                          <a:ext cx="3020060" cy="635"/>
                        </a:xfrm>
                        <a:prstGeom prst="rect">
                          <a:avLst/>
                        </a:prstGeom>
                        <a:solidFill>
                          <a:prstClr val="white"/>
                        </a:solidFill>
                        <a:ln>
                          <a:noFill/>
                        </a:ln>
                      </wps:spPr>
                      <wps:txbx>
                        <w:txbxContent>
                          <w:p w14:paraId="3BCB9EDB" w14:textId="3689B3FC" w:rsidR="007E5BC9" w:rsidRPr="007C76B2" w:rsidRDefault="007E5BC9" w:rsidP="007E5BC9">
                            <w:pPr>
                              <w:pStyle w:val="Caption"/>
                              <w:rPr>
                                <w:noProof/>
                              </w:rPr>
                            </w:pPr>
                            <w:r>
                              <w:t>Figure 5 – Source: Mindtools (2019)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8F3BABC" id="Text Box 34" o:spid="_x0000_s1060" type="#_x0000_t202" style="position:absolute;margin-left:218.95pt;margin-top:283.05pt;width:237.8pt;height:.05pt;z-index:2517084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" stroked="f">
                <v:textbox style="mso-fit-shape-to-text:t" inset="0,0,0,0">
                  <w:txbxContent>
                    <w:p w14:paraId="3BCB9EDB" w14:textId="3689B3FC" w:rsidR="007E5BC9" w:rsidRPr="007C76B2" w:rsidRDefault="007E5BC9" w:rsidP="007E5BC9">
                      <w:pPr>
                        <w:pStyle w:val="Caption"/>
                        <w:rPr>
                          <w:noProof/>
                        </w:rPr>
                      </w:pPr>
                      <w:r>
                        <w:t>Figure 5 – Source: Mindtools (2019)</w:t>
                      </w:r>
                    </w:p>
                  </w:txbxContent>
                </v:textbox>
                <w10:wrap type="topAndBottom"/>
              </v:shape>
            </w:pict>
          </mc:Fallback>
        </mc:AlternateContent>
      </w:r>
      <w:r w:rsidR="00022A56">
        <w:rPr>
          <w:noProof/>
        </w:rPr>
        <mc:AlternateContent>
          <mc:Choice Requires="wps">
            <w:drawing>
              <wp:anchor distT="0" distB="0" distL="114300" distR="114300" simplePos="0" relativeHeight="251665408" behindDoc="0" locked="0" layoutInCell="1" allowOverlap="1" wp14:anchorId="1066D0C8" wp14:editId="0116652C">
                <wp:simplePos x="0" y="0"/>
                <wp:positionH relativeFrom="column">
                  <wp:posOffset>0</wp:posOffset>
                </wp:positionH>
                <wp:positionV relativeFrom="paragraph">
                  <wp:posOffset>3597910</wp:posOffset>
                </wp:positionV>
                <wp:extent cx="2609850" cy="635"/>
                <wp:effectExtent l="0" t="0" r="0" b="0"/>
                <wp:wrapTopAndBottom/>
                <wp:docPr id="38" name="Text Box 38"/>
                <wp:cNvGraphicFramePr/>
                <a:graphic xmlns:a="http://schemas.openxmlformats.org/drawingml/2006/main">
                  <a:graphicData uri="http://schemas.microsoft.com/office/word/2010/wordprocessingShape">
                    <wps:wsp>
                      <wps:cNvSpPr txBox="1"/>
                      <wps:spPr>
                        <a:xfrm>
                          <a:off x="0" y="0"/>
                          <a:ext cx="2609850" cy="635"/>
                        </a:xfrm>
                        <a:prstGeom prst="rect">
                          <a:avLst/>
                        </a:prstGeom>
                        <a:solidFill>
                          <a:prstClr val="white"/>
                        </a:solidFill>
                        <a:ln>
                          <a:noFill/>
                        </a:ln>
                      </wps:spPr>
                      <wps:txbx>
                        <w:txbxContent>
                          <w:p w14:paraId="401F9FAF" w14:textId="325B9588" w:rsidR="00022A56" w:rsidRPr="005F2DCD" w:rsidRDefault="00022A56" w:rsidP="005C7A91">
                            <w:pPr>
                              <w:pStyle w:val="Caption"/>
                              <w:rPr>
                                <w:noProof/>
                              </w:rPr>
                            </w:pPr>
                            <w:r>
                              <w:t xml:space="preserve">Figure </w:t>
                            </w:r>
                            <w:r w:rsidR="00D62836">
                              <w:t>4</w:t>
                            </w:r>
                            <w:r w:rsidR="007C15A7">
                              <w:t xml:space="preserve"> – Source: </w:t>
                            </w:r>
                            <w:r w:rsidR="009C17F1">
                              <w:t xml:space="preserve">Scott &amp; Jaffe (1988 p26)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066D0C8" id="Text Box 38" o:spid="_x0000_s1061" type="#_x0000_t202" style="position:absolute;margin-left:0;margin-top:283.3pt;width:205.5pt;height:.0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" stroked="f">
                <v:textbox style="mso-fit-shape-to-text:t" inset="0,0,0,0">
                  <w:txbxContent>
                    <w:p w14:paraId="401F9FAF" w14:textId="325B9588" w:rsidR="00022A56" w:rsidRPr="005F2DCD" w:rsidRDefault="00022A56" w:rsidP="005C7A91">
                      <w:pPr>
                        <w:pStyle w:val="Caption"/>
                        <w:rPr>
                          <w:noProof/>
                        </w:rPr>
                      </w:pPr>
                      <w:r>
                        <w:t xml:space="preserve">Figure </w:t>
                      </w:r>
                      <w:r w:rsidR="00D62836">
                        <w:t>4</w:t>
                      </w:r>
                      <w:r w:rsidR="007C15A7">
                        <w:t xml:space="preserve"> – Source: </w:t>
                      </w:r>
                      <w:r w:rsidR="009C17F1">
                        <w:t xml:space="preserve">Scott &amp; Jaffe (1988 p26) </w:t>
                      </w:r>
                    </w:p>
                  </w:txbxContent>
                </v:textbox>
                <w10:wrap type="topAndBottom"/>
              </v:shape>
            </w:pict>
          </mc:Fallback>
        </mc:AlternateContent>
      </w:r>
      <w:r w:rsidR="00022A56">
        <w:rPr>
          <w:noProof/>
        </w:rPr>
        <w:drawing>
          <wp:anchor distT="0" distB="0" distL="114300" distR="114300" simplePos="0" relativeHeight="251663360" behindDoc="0" locked="0" layoutInCell="1" allowOverlap="1" wp14:anchorId="4A340C64" wp14:editId="3A7DC7F4">
            <wp:simplePos x="0" y="0"/>
            <wp:positionH relativeFrom="margin">
              <wp:align>left</wp:align>
            </wp:positionH>
            <wp:positionV relativeFrom="paragraph">
              <wp:posOffset>1469675</wp:posOffset>
            </wp:positionV>
            <wp:extent cx="2609850" cy="2071370"/>
            <wp:effectExtent l="0" t="0" r="0" b="5080"/>
            <wp:wrapTopAndBottom/>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50911" t="30754" r="18676" b="20788"/>
                    <a:stretch/>
                  </pic:blipFill>
                  <pic:spPr bwMode="auto">
                    <a:xfrm>
                      <a:off x="0" y="0"/>
                      <a:ext cx="2609850" cy="2071370"/>
                    </a:xfrm>
                    <a:prstGeom prst="rect">
                      <a:avLst/>
                    </a:prstGeom>
                    <a:ln>
                      <a:noFill/>
                    </a:ln>
                    <a:extLst>
                      <a:ext uri="{53640926-AAD7-44D8-BBD7-CCE9431645EC}">
                        <a14:shadowObscured xmlns:a14="http://schemas.microsoft.com/office/drawing/2010/main"/>
                      </a:ext>
                    </a:extLst>
                  </pic:spPr>
                </pic:pic>
              </a:graphicData>
            </a:graphic>
          </wp:anchor>
        </w:drawing>
      </w:r>
      <w:r w:rsidR="00E15D49">
        <w:t xml:space="preserve">This theory, sometimes known as </w:t>
      </w:r>
      <w:r w:rsidR="006050FD">
        <w:t>The Kubler-Ross Change Curve</w:t>
      </w:r>
      <w:r w:rsidR="00E15D49">
        <w:t>,</w:t>
      </w:r>
      <w:r w:rsidR="006050FD">
        <w:t xml:space="preserve"> </w:t>
      </w:r>
      <w:r w:rsidR="005C7A91">
        <w:t>suggests</w:t>
      </w:r>
      <w:r w:rsidR="006050FD">
        <w:t xml:space="preserve"> that everyone going through change goes through the same process. The Change Curve shows these states of change, with the goal being to reach commitment or integration as fast as possible. The Change curve, based on Kubler-Ross (1973) research into grief and understanding bereavement has identified five stages of grief, these are denial, anger, bargaining, depression and acceptance. This can be transferred to business’ as shown in Scott and Jaffe (1988) who adapted the Change Curve to from the Change Grid, Figur</w:t>
      </w:r>
      <w:r w:rsidR="00022A56">
        <w:t xml:space="preserve">e </w:t>
      </w:r>
      <w:r w:rsidR="00D62836">
        <w:t>4</w:t>
      </w:r>
      <w:r w:rsidR="006050FD">
        <w:t xml:space="preserve">, and shown in MindTools (2019), Figure </w:t>
      </w:r>
      <w:r w:rsidR="00D62836">
        <w:t>5</w:t>
      </w:r>
      <w:r w:rsidR="006050FD">
        <w:t>.</w:t>
      </w:r>
    </w:p>
    <w:p w14:paraId="46D94851" w14:textId="3F0D0E80" w:rsidR="006050FD" w:rsidRDefault="006050FD" w:rsidP="006050FD">
      <w:r>
        <w:t>Through the first and second stages, shock or denial and resist or anger, communication and support is key</w:t>
      </w:r>
      <w:r w:rsidR="00E06AD6">
        <w:t xml:space="preserve"> (Mindtools 2019)</w:t>
      </w:r>
      <w:r>
        <w:t xml:space="preserve">. </w:t>
      </w:r>
      <w:r w:rsidR="007E5BC9">
        <w:t>This is what</w:t>
      </w:r>
      <w:r>
        <w:t xml:space="preserve"> Crown did when the</w:t>
      </w:r>
      <w:r w:rsidR="007E5BC9">
        <w:t>y announced the</w:t>
      </w:r>
      <w:r>
        <w:t xml:space="preserve"> potential closure, with a plant brief and a letter explaining what was happening and why sent to each employees’ house. Regular updates were issued </w:t>
      </w:r>
      <w:r w:rsidR="00E15D49">
        <w:t>thereafter</w:t>
      </w:r>
      <w:r>
        <w:t xml:space="preserve"> in the form of notices and plant briefs, as well as a one to one session with a senior manager to address any concerns or issues and potential redeployment. The third stage, explore or acceptance, can mean that the employees accept the change and </w:t>
      </w:r>
      <w:r w:rsidR="00E15D49">
        <w:t>(</w:t>
      </w:r>
      <w:r>
        <w:t>Scott and Jaffe 1988 p27) “focus their attention to the future”. Making sure people are well trained can assist in this stage. Crown had additional one to one meetings with all employees to again go through any concerns and to highlight any training or courses that could prove valuable in the future. These courses were organised and paid for by the company while allowing employees to attend during normal working hours. The final stage of the Change Curve or Change Grid is commitment or rebuild</w:t>
      </w:r>
      <w:r w:rsidR="00E15D49">
        <w:t>.</w:t>
      </w:r>
    </w:p>
    <w:p w14:paraId="31E1ED87" w14:textId="44C11CC1" w:rsidR="00E15D49" w:rsidRDefault="00E15D49" w:rsidP="00E15D49">
      <w:r>
        <w:t xml:space="preserve">This theory could offer as an alternate to Lewin’s, even though there are some similarities to both theories the Change Curve focuses on the </w:t>
      </w:r>
      <w:r w:rsidR="00E06AD6">
        <w:t>way people adapt to the change and the change is only beneficial when the employees have made their personal transition (Mindtools2019).</w:t>
      </w:r>
      <w:r>
        <w:t xml:space="preserve"> Whereas, Lewin concentrates more on the forces </w:t>
      </w:r>
      <w:r w:rsidR="001111B9">
        <w:t>of the change</w:t>
      </w:r>
      <w:r w:rsidR="00E06AD6">
        <w:t xml:space="preserve"> and reacting to them </w:t>
      </w:r>
      <w:r w:rsidR="006F4377">
        <w:t>(Cole and Kelly 2011).</w:t>
      </w:r>
    </w:p>
    <w:p w14:paraId="53C09872" w14:textId="1EA52A2D" w:rsidR="001E0960" w:rsidRDefault="001E0960" w:rsidP="00764529">
      <w:pPr>
        <w:pStyle w:val="Heading2"/>
      </w:pPr>
    </w:p>
    <w:p w14:paraId="414FD53E" w14:textId="77777777" w:rsidR="001E0960" w:rsidRPr="001E0960" w:rsidRDefault="001E0960" w:rsidP="001E0960"/>
    <w:p w14:paraId="00280AD6" w14:textId="26D88548" w:rsidR="00A6644A" w:rsidRDefault="00A6644A" w:rsidP="00764529">
      <w:pPr>
        <w:pStyle w:val="Heading2"/>
      </w:pPr>
    </w:p>
    <w:p w14:paraId="413845BF" w14:textId="090499A2" w:rsidR="00A6644A" w:rsidRDefault="00A6644A" w:rsidP="00764529">
      <w:pPr>
        <w:pStyle w:val="Heading2"/>
      </w:pPr>
    </w:p>
    <w:p w14:paraId="1086915B" w14:textId="77777777" w:rsidR="00A6644A" w:rsidRPr="00A6644A" w:rsidRDefault="00A6644A" w:rsidP="00A6644A"/>
    <w:p w14:paraId="56E1EBDA" w14:textId="1B3451F1" w:rsidR="006050FD" w:rsidRDefault="00A9211F" w:rsidP="00764529">
      <w:pPr>
        <w:pStyle w:val="Heading2"/>
      </w:pPr>
      <w:bookmarkStart w:id="6" w:name="_Toc5827676"/>
      <w:r>
        <w:lastRenderedPageBreak/>
        <w:t>Resistance to Change</w:t>
      </w:r>
      <w:bookmarkEnd w:id="6"/>
    </w:p>
    <w:p w14:paraId="160C1168" w14:textId="39DA1FDE" w:rsidR="00A9211F" w:rsidRDefault="009A331E" w:rsidP="00F43A85">
      <w:r>
        <w:t xml:space="preserve">People can resist change for various reasons, according to Armstrong (2012) and Hayes (2014) these reasons could be, lack of trust, economic fears, uncertainty or competency fears. To over come these resistances Armstrong (2012) suggests that analysis of how the potential change could affect </w:t>
      </w:r>
      <w:r w:rsidR="00DA78EE">
        <w:t xml:space="preserve">people working within the organisation. This is what Lewin </w:t>
      </w:r>
      <w:r w:rsidR="001958E8">
        <w:t>suggested</w:t>
      </w:r>
      <w:r w:rsidR="00DA78EE">
        <w:t xml:space="preserve"> in force field analysis. Once the organisation knows what the restraining factors are, they can plan to overcome them. Hayes (2014) suggests other ways of overcoming resistance. These include, education, support, negotiation and goal setting. These seem to focus more on motivating </w:t>
      </w:r>
      <w:r w:rsidR="003B6746">
        <w:t>to maintain operational performance during the change. Also suggested by Hayes (2014) is that expectancy theory can be used to motivate and help to reduce resistance.</w:t>
      </w:r>
    </w:p>
    <w:p w14:paraId="33DD8C56" w14:textId="2F9F5F6E" w:rsidR="00B26887" w:rsidRDefault="00B26887" w:rsidP="00B26887">
      <w:pPr>
        <w:pStyle w:val="Heading2"/>
      </w:pPr>
      <w:bookmarkStart w:id="7" w:name="_Toc5827677"/>
      <w:r>
        <w:t>Organisational Culture</w:t>
      </w:r>
      <w:bookmarkEnd w:id="7"/>
    </w:p>
    <w:p w14:paraId="101CD4FB" w14:textId="594EA969" w:rsidR="00B26887" w:rsidRPr="00B26887" w:rsidRDefault="00F43A85" w:rsidP="00B26887">
      <w:r>
        <w:t xml:space="preserve">Culture within an organisation is described by </w:t>
      </w:r>
      <w:r w:rsidR="00403A6B">
        <w:t>Cole &amp; Kelly (2011 p143) as a “set of values, beliefs, goals, norms and rituals” that exists within an organisation</w:t>
      </w:r>
      <w:r>
        <w:t>. Four types of cultures can be classified, according to Harrison (1972) cited by Hayes (201</w:t>
      </w:r>
      <w:r w:rsidR="009104FF">
        <w:t>4</w:t>
      </w:r>
      <w:r>
        <w:t xml:space="preserve">) and Mullins (2016), these are power, role, task and person cultures. Within Crown at the time of the change there was a mixture of </w:t>
      </w:r>
      <w:r w:rsidR="009104FF">
        <w:t>power and role cultures, Hayes (2014 p416) describes power culture as the employee must “do what they are told”</w:t>
      </w:r>
      <w:r w:rsidR="007E5BC9">
        <w:t xml:space="preserve">. During the change this seemed to be the way in which Crown Neath was managed. This seemed to create tension, by using Lewin’s force field analysis, the management team could have seen this </w:t>
      </w:r>
      <w:r w:rsidR="002B7D8D">
        <w:t xml:space="preserve">resistant </w:t>
      </w:r>
      <w:r w:rsidR="007E5BC9">
        <w:t>force and acted upon it.</w:t>
      </w:r>
    </w:p>
    <w:p w14:paraId="6048EA82" w14:textId="5826784C" w:rsidR="00764529" w:rsidRDefault="002776F1" w:rsidP="00764529">
      <w:pPr>
        <w:pStyle w:val="Heading2"/>
      </w:pPr>
      <w:bookmarkStart w:id="8" w:name="_Toc5827678"/>
      <w:r>
        <w:t>Motivation</w:t>
      </w:r>
      <w:bookmarkEnd w:id="8"/>
    </w:p>
    <w:p w14:paraId="0A5C2FC7" w14:textId="43A63717" w:rsidR="002776F1" w:rsidRDefault="00D62836" w:rsidP="003A4CCE">
      <w:pPr>
        <w:spacing w:after="0"/>
      </w:pPr>
      <w:r>
        <w:t>M</w:t>
      </w:r>
      <w:r w:rsidR="00F15A73">
        <w:t>otivation</w:t>
      </w:r>
      <w:r w:rsidR="001111B9">
        <w:t xml:space="preserve"> </w:t>
      </w:r>
      <w:r w:rsidR="002F47CD">
        <w:t xml:space="preserve">and performance can decrease if </w:t>
      </w:r>
      <w:r>
        <w:t xml:space="preserve">an organisational </w:t>
      </w:r>
      <w:r w:rsidR="002F47CD">
        <w:t>change is not managed correctly.</w:t>
      </w:r>
      <w:r w:rsidR="00F15A73">
        <w:t xml:space="preserve"> </w:t>
      </w:r>
      <w:r w:rsidR="002F47CD">
        <w:t xml:space="preserve">Organisations or employers need to motivate employees in order to pursue the objectives or goals set out by the company (Cassidy and </w:t>
      </w:r>
      <w:proofErr w:type="spellStart"/>
      <w:r w:rsidR="002F47CD">
        <w:t>Kreitner</w:t>
      </w:r>
      <w:proofErr w:type="spellEnd"/>
      <w:r w:rsidR="002F47CD">
        <w:t xml:space="preserve"> 2012).</w:t>
      </w:r>
      <w:r w:rsidR="003A4CCE">
        <w:t xml:space="preserve"> </w:t>
      </w:r>
      <w:r w:rsidR="006E372D">
        <w:t>Mullins (2016) states that in times of uncertainty or rapid change, money and job security are the main motivators. In the case of Crown Neath, when the statement</w:t>
      </w:r>
      <w:r w:rsidR="002C272E">
        <w:t xml:space="preserve"> </w:t>
      </w:r>
      <w:r w:rsidR="006E372D">
        <w:t>was released about the potential closure</w:t>
      </w:r>
      <w:r w:rsidR="00244A6B">
        <w:t>,</w:t>
      </w:r>
      <w:r w:rsidR="006E372D">
        <w:t xml:space="preserve"> job security</w:t>
      </w:r>
      <w:r w:rsidR="00244A6B">
        <w:t xml:space="preserve"> as a motivator</w:t>
      </w:r>
      <w:r w:rsidR="006E372D">
        <w:t xml:space="preserve"> is </w:t>
      </w:r>
      <w:r w:rsidR="00244A6B">
        <w:t xml:space="preserve">non-existent. Crown needed to keep the employees motivated to keep </w:t>
      </w:r>
      <w:r w:rsidR="002F47CD">
        <w:t>performing</w:t>
      </w:r>
      <w:r w:rsidR="002C272E">
        <w:t xml:space="preserve"> </w:t>
      </w:r>
      <w:r w:rsidR="00244A6B">
        <w:t xml:space="preserve">as the plant still needed </w:t>
      </w:r>
      <w:r w:rsidR="00C63EF2">
        <w:t>supply its customers.</w:t>
      </w:r>
      <w:r w:rsidR="00244A6B">
        <w:t xml:space="preserve"> </w:t>
      </w:r>
    </w:p>
    <w:p w14:paraId="6A8E517B" w14:textId="77777777" w:rsidR="00D62836" w:rsidRPr="002C272E" w:rsidRDefault="00D62836" w:rsidP="00D62836">
      <w:pPr>
        <w:pStyle w:val="Heading3"/>
      </w:pPr>
      <w:bookmarkStart w:id="9" w:name="_Toc5827679"/>
      <w:r w:rsidRPr="002C272E">
        <w:t>Expectancy Theory</w:t>
      </w:r>
      <w:bookmarkEnd w:id="9"/>
    </w:p>
    <w:p w14:paraId="70D8DDD5" w14:textId="52520AA7" w:rsidR="00D62836" w:rsidRDefault="003A4CCE" w:rsidP="00D62836">
      <w:pPr>
        <w:spacing w:after="0"/>
      </w:pPr>
      <w:r>
        <w:rPr>
          <w:noProof/>
        </w:rPr>
        <w:drawing>
          <wp:anchor distT="0" distB="0" distL="114300" distR="114300" simplePos="0" relativeHeight="251703296" behindDoc="0" locked="0" layoutInCell="1" allowOverlap="1" wp14:anchorId="640E079D" wp14:editId="13399505">
            <wp:simplePos x="0" y="0"/>
            <wp:positionH relativeFrom="margin">
              <wp:align>center</wp:align>
            </wp:positionH>
            <wp:positionV relativeFrom="paragraph">
              <wp:posOffset>1483360</wp:posOffset>
            </wp:positionV>
            <wp:extent cx="4589145" cy="1714500"/>
            <wp:effectExtent l="0" t="0" r="1905" b="0"/>
            <wp:wrapTopAndBottom/>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43042" t="39310" r="23222" b="36158"/>
                    <a:stretch/>
                  </pic:blipFill>
                  <pic:spPr bwMode="auto">
                    <a:xfrm>
                      <a:off x="0" y="0"/>
                      <a:ext cx="4589145" cy="171450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Pr>
          <w:noProof/>
        </w:rPr>
        <mc:AlternateContent>
          <mc:Choice Requires="wps">
            <w:drawing>
              <wp:anchor distT="0" distB="0" distL="114300" distR="114300" simplePos="0" relativeHeight="251704320" behindDoc="0" locked="0" layoutInCell="1" allowOverlap="1" wp14:anchorId="3AF38A43" wp14:editId="3A126BA8">
                <wp:simplePos x="0" y="0"/>
                <wp:positionH relativeFrom="margin">
                  <wp:align>center</wp:align>
                </wp:positionH>
                <wp:positionV relativeFrom="paragraph">
                  <wp:posOffset>3094990</wp:posOffset>
                </wp:positionV>
                <wp:extent cx="4589145" cy="635"/>
                <wp:effectExtent l="0" t="0" r="1905" b="0"/>
                <wp:wrapTopAndBottom/>
                <wp:docPr id="48" name="Text Box 48"/>
                <wp:cNvGraphicFramePr/>
                <a:graphic xmlns:a="http://schemas.openxmlformats.org/drawingml/2006/main">
                  <a:graphicData uri="http://schemas.microsoft.com/office/word/2010/wordprocessingShape">
                    <wps:wsp>
                      <wps:cNvSpPr txBox="1"/>
                      <wps:spPr>
                        <a:xfrm>
                          <a:off x="0" y="0"/>
                          <a:ext cx="4589145" cy="635"/>
                        </a:xfrm>
                        <a:prstGeom prst="rect">
                          <a:avLst/>
                        </a:prstGeom>
                        <a:solidFill>
                          <a:prstClr val="white"/>
                        </a:solidFill>
                        <a:ln>
                          <a:noFill/>
                        </a:ln>
                      </wps:spPr>
                      <wps:txbx>
                        <w:txbxContent>
                          <w:p w14:paraId="0D53FFF0" w14:textId="46BA8D19" w:rsidR="00D62836" w:rsidRPr="000C6369" w:rsidRDefault="00D62836" w:rsidP="0088438E">
                            <w:pPr>
                              <w:pStyle w:val="Caption"/>
                              <w:rPr>
                                <w:noProof/>
                              </w:rPr>
                            </w:pPr>
                            <w:r>
                              <w:t xml:space="preserve">Figure </w:t>
                            </w:r>
                            <w:r w:rsidR="0088438E">
                              <w:t>6</w:t>
                            </w:r>
                            <w:r w:rsidR="007C15A7">
                              <w:t xml:space="preserve"> – Source: Armstrong (2012 p163)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AF38A43" id="Text Box 48" o:spid="_x0000_s1062" type="#_x0000_t202" style="position:absolute;margin-left:0;margin-top:243.7pt;width:361.35pt;height:.05pt;z-index:251704320;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" stroked="f">
                <v:textbox style="mso-fit-shape-to-text:t" inset="0,0,0,0">
                  <w:txbxContent>
                    <w:p w14:paraId="0D53FFF0" w14:textId="46BA8D19" w:rsidR="00D62836" w:rsidRPr="000C6369" w:rsidRDefault="00D62836" w:rsidP="0088438E">
                      <w:pPr>
                        <w:pStyle w:val="Caption"/>
                        <w:rPr>
                          <w:noProof/>
                        </w:rPr>
                      </w:pPr>
                      <w:r>
                        <w:t xml:space="preserve">Figure </w:t>
                      </w:r>
                      <w:r w:rsidR="0088438E">
                        <w:t>6</w:t>
                      </w:r>
                      <w:r w:rsidR="007C15A7">
                        <w:t xml:space="preserve"> – Source: Armstrong (2012 p163)</w:t>
                      </w:r>
                    </w:p>
                  </w:txbxContent>
                </v:textbox>
                <w10:wrap type="topAndBottom" anchorx="margin"/>
              </v:shape>
            </w:pict>
          </mc:Fallback>
        </mc:AlternateContent>
      </w:r>
      <w:r w:rsidR="00D62836">
        <w:t xml:space="preserve">According to Armstrong (2012) and Cassidy and </w:t>
      </w:r>
      <w:proofErr w:type="spellStart"/>
      <w:r w:rsidR="00D62836">
        <w:t>Kretiner</w:t>
      </w:r>
      <w:proofErr w:type="spellEnd"/>
      <w:r w:rsidR="00D62836">
        <w:t xml:space="preserve"> (2012), expectancy theory is the theory that increased work effort or motivation is based on the perceived rewards that an employee might receive and the value that the employee places on said rewards. The expectations of effort-performance-reward can determine whether an </w:t>
      </w:r>
      <w:proofErr w:type="spellStart"/>
      <w:proofErr w:type="gramStart"/>
      <w:r w:rsidR="00D62836">
        <w:t>individuals</w:t>
      </w:r>
      <w:proofErr w:type="spellEnd"/>
      <w:proofErr w:type="gramEnd"/>
      <w:r w:rsidR="00D62836">
        <w:t xml:space="preserve"> motivation will be high or low. This theory is described in Mullins (2016) as Vroom’s Expectancy Theory, as it is based Victor Vroom’s work in the 1960s. Further work on this theory, as described in Armstrong (2012) and Mullins (2016), states that effort on its own is not enough to attain high performance. It is stated that two other factors affect performance these are ability and role perception, figure </w:t>
      </w:r>
      <w:r w:rsidR="00E94AC8">
        <w:t>6</w:t>
      </w:r>
      <w:r w:rsidR="00D62836">
        <w:t xml:space="preserve">. </w:t>
      </w:r>
    </w:p>
    <w:p w14:paraId="13159A51" w14:textId="78E8273A" w:rsidR="008F0B49" w:rsidRDefault="009B17AB" w:rsidP="00D62836">
      <w:pPr>
        <w:spacing w:before="240" w:after="0"/>
      </w:pPr>
      <w:r>
        <w:lastRenderedPageBreak/>
        <w:t>Lewin (1951) cited by Hayes (2014) suggests that organisations should focus on reducing resist</w:t>
      </w:r>
      <w:r w:rsidR="003A4CCE">
        <w:t xml:space="preserve">ant </w:t>
      </w:r>
      <w:r>
        <w:t>force</w:t>
      </w:r>
      <w:r w:rsidR="003A4CCE">
        <w:t>s</w:t>
      </w:r>
      <w:r>
        <w:t xml:space="preserve"> of change</w:t>
      </w:r>
      <w:r w:rsidR="007128A4">
        <w:t>, which will create a state of low tension and increase commitment. The management in Crown Neath</w:t>
      </w:r>
      <w:r w:rsidR="00D62836">
        <w:t xml:space="preserve"> implemented a monthly reward or bonus system to encourage the work force to keep performance levels up</w:t>
      </w:r>
      <w:r w:rsidR="008F0B49">
        <w:t xml:space="preserve">, this changed during the phased closure to keep the criteria within reach. They also offered an enhanced redundancy package and recruitment workshops to aid in the search of new employment. These </w:t>
      </w:r>
      <w:r w:rsidR="007128A4">
        <w:t xml:space="preserve">actions </w:t>
      </w:r>
      <w:r w:rsidR="008F0B49">
        <w:t>could be seen</w:t>
      </w:r>
      <w:r w:rsidR="007128A4">
        <w:t>, by using Lewin’s change model,</w:t>
      </w:r>
      <w:r w:rsidR="008F0B49">
        <w:t xml:space="preserve"> </w:t>
      </w:r>
      <w:r>
        <w:t>as reducing the forces resisting change</w:t>
      </w:r>
      <w:r w:rsidR="007128A4">
        <w:t>. Even though increasing commitment might not have been achievable during this change, maintaining current levels of commitment could have been a realistic target.</w:t>
      </w:r>
    </w:p>
    <w:p w14:paraId="0748C256" w14:textId="77777777" w:rsidR="00D62836" w:rsidRDefault="00D62836" w:rsidP="002776F1"/>
    <w:p w14:paraId="0A941912" w14:textId="3FFA7788" w:rsidR="002776F1" w:rsidRDefault="002C272E" w:rsidP="002C272E">
      <w:pPr>
        <w:pStyle w:val="Heading3"/>
      </w:pPr>
      <w:bookmarkStart w:id="10" w:name="_Toc5827680"/>
      <w:r>
        <w:t>Maslow’s Hierarchy of Needs</w:t>
      </w:r>
      <w:bookmarkEnd w:id="10"/>
    </w:p>
    <w:p w14:paraId="4A42D3B0" w14:textId="541770E1" w:rsidR="009F6D04" w:rsidRDefault="001C3B39" w:rsidP="009F6D04">
      <w:pPr>
        <w:spacing w:after="0"/>
      </w:pPr>
      <w:r>
        <w:t>Maslow’s theory of motivation is observed in a succession of steps, figure</w:t>
      </w:r>
      <w:r w:rsidR="001E0960">
        <w:t xml:space="preserve"> </w:t>
      </w:r>
      <w:r w:rsidR="00E94AC8">
        <w:t>7</w:t>
      </w:r>
      <w:r>
        <w:t xml:space="preserve">. As described in </w:t>
      </w:r>
      <w:r w:rsidR="008A0812">
        <w:t xml:space="preserve">Cassidy and </w:t>
      </w:r>
      <w:proofErr w:type="spellStart"/>
      <w:r w:rsidR="008A0812">
        <w:t>Kretiner</w:t>
      </w:r>
      <w:proofErr w:type="spellEnd"/>
      <w:r w:rsidR="008A0812">
        <w:t xml:space="preserve"> (2012) and </w:t>
      </w:r>
      <w:r>
        <w:t xml:space="preserve">Mullins (2016), Maslow’s theory rest basically on the assumption that human needs or requirements are sorted in to </w:t>
      </w:r>
      <w:r w:rsidR="009F6D04">
        <w:t>layer</w:t>
      </w:r>
      <w:r w:rsidR="00AF2175">
        <w:t>s</w:t>
      </w:r>
      <w:r w:rsidR="009F6D04">
        <w:t xml:space="preserve"> or levels that form a</w:t>
      </w:r>
      <w:r w:rsidR="006050FD">
        <w:t xml:space="preserve"> (</w:t>
      </w:r>
      <w:r w:rsidR="009F6D04">
        <w:t>Mullins 2016 p228), “hierarchy of importance”. This hierarchy includes:</w:t>
      </w:r>
    </w:p>
    <w:p w14:paraId="06C87846" w14:textId="40E43054" w:rsidR="002C272E" w:rsidRDefault="009F6D04" w:rsidP="009F6D04">
      <w:pPr>
        <w:pStyle w:val="ListParagraph"/>
        <w:numPr>
          <w:ilvl w:val="0"/>
          <w:numId w:val="1"/>
        </w:numPr>
      </w:pPr>
      <w:r>
        <w:t>Physiological needs – such as the need of water and food.</w:t>
      </w:r>
    </w:p>
    <w:p w14:paraId="6EA68ABC" w14:textId="7D35E4BC" w:rsidR="00B57CCF" w:rsidRDefault="009F6D04" w:rsidP="009F6D04">
      <w:pPr>
        <w:pStyle w:val="ListParagraph"/>
        <w:numPr>
          <w:ilvl w:val="0"/>
          <w:numId w:val="1"/>
        </w:numPr>
      </w:pPr>
      <w:r>
        <w:t xml:space="preserve">Safety needs – the need </w:t>
      </w:r>
      <w:r w:rsidR="00B57CCF">
        <w:t>to keep free from harm</w:t>
      </w:r>
      <w:r w:rsidR="00BE42EE">
        <w:t>, for job tenure or security or for money/savings.</w:t>
      </w:r>
    </w:p>
    <w:p w14:paraId="78B2A2D6" w14:textId="77777777" w:rsidR="00B57CCF" w:rsidRDefault="00B57CCF" w:rsidP="009F6D04">
      <w:pPr>
        <w:pStyle w:val="ListParagraph"/>
        <w:numPr>
          <w:ilvl w:val="0"/>
          <w:numId w:val="1"/>
        </w:numPr>
      </w:pPr>
      <w:r>
        <w:t>Love needs – also known as social needs. Can be the need for friendship, affection or belonging.</w:t>
      </w:r>
    </w:p>
    <w:p w14:paraId="0D1EDB43" w14:textId="5DA3F3FC" w:rsidR="009F6D04" w:rsidRDefault="00B57CCF" w:rsidP="009F6D04">
      <w:pPr>
        <w:pStyle w:val="ListParagraph"/>
        <w:numPr>
          <w:ilvl w:val="0"/>
          <w:numId w:val="1"/>
        </w:numPr>
      </w:pPr>
      <w:r>
        <w:t xml:space="preserve">Esteem needs – self-respect and/or the esteem of others. </w:t>
      </w:r>
    </w:p>
    <w:p w14:paraId="06B57F22" w14:textId="789E5DDA" w:rsidR="00423BA5" w:rsidRDefault="00B57CCF" w:rsidP="00A839F9">
      <w:pPr>
        <w:pStyle w:val="ListParagraph"/>
        <w:numPr>
          <w:ilvl w:val="0"/>
          <w:numId w:val="1"/>
        </w:numPr>
        <w:spacing w:after="0"/>
      </w:pPr>
      <w:r>
        <w:t>Self-actualisation needs – the top of the hierarchy, the desire to become everything they are capable of</w:t>
      </w:r>
      <w:r w:rsidR="00423BA5">
        <w:t xml:space="preserve"> or to reach their potential.  This need is described as, Cassidy and </w:t>
      </w:r>
      <w:proofErr w:type="spellStart"/>
      <w:r w:rsidR="00423BA5">
        <w:t>Kretiner</w:t>
      </w:r>
      <w:proofErr w:type="spellEnd"/>
      <w:r w:rsidR="00423BA5">
        <w:t xml:space="preserve"> (2012 p316), “open ended” as </w:t>
      </w:r>
      <w:r w:rsidR="00AF2175">
        <w:t xml:space="preserve">once a need is met or fulfilled it can no longer be used as a motivator. </w:t>
      </w:r>
      <w:r w:rsidR="00076D72">
        <w:t>Maslow (19</w:t>
      </w:r>
      <w:r w:rsidR="00586E9A">
        <w:t>43</w:t>
      </w:r>
      <w:r w:rsidR="00067D3F">
        <w:t xml:space="preserve"> p395</w:t>
      </w:r>
      <w:r w:rsidR="00586E9A">
        <w:t>) states, “gratified needs are not active motivators”.</w:t>
      </w:r>
    </w:p>
    <w:p w14:paraId="11D60C85" w14:textId="5FD6979F" w:rsidR="008A0812" w:rsidRPr="00AC211A" w:rsidRDefault="001E0960" w:rsidP="000129A7">
      <w:pPr>
        <w:spacing w:after="0"/>
      </w:pPr>
      <w:r>
        <w:rPr>
          <w:noProof/>
        </w:rPr>
        <mc:AlternateContent>
          <mc:Choice Requires="wps">
            <w:drawing>
              <wp:anchor distT="0" distB="0" distL="114300" distR="114300" simplePos="0" relativeHeight="251676672" behindDoc="0" locked="0" layoutInCell="1" allowOverlap="1" wp14:anchorId="3CE1F6CF" wp14:editId="1A9501A5">
                <wp:simplePos x="0" y="0"/>
                <wp:positionH relativeFrom="column">
                  <wp:posOffset>1673225</wp:posOffset>
                </wp:positionH>
                <wp:positionV relativeFrom="paragraph">
                  <wp:posOffset>1295400</wp:posOffset>
                </wp:positionV>
                <wp:extent cx="2385060" cy="635"/>
                <wp:effectExtent l="0" t="0" r="0" b="0"/>
                <wp:wrapTopAndBottom/>
                <wp:docPr id="46" name="Text Box 46"/>
                <wp:cNvGraphicFramePr/>
                <a:graphic xmlns:a="http://schemas.openxmlformats.org/drawingml/2006/main">
                  <a:graphicData uri="http://schemas.microsoft.com/office/word/2010/wordprocessingShape">
                    <wps:wsp>
                      <wps:cNvSpPr txBox="1"/>
                      <wps:spPr>
                        <a:xfrm>
                          <a:off x="0" y="0"/>
                          <a:ext cx="2385060" cy="635"/>
                        </a:xfrm>
                        <a:prstGeom prst="rect">
                          <a:avLst/>
                        </a:prstGeom>
                        <a:solidFill>
                          <a:prstClr val="white"/>
                        </a:solidFill>
                        <a:ln>
                          <a:noFill/>
                        </a:ln>
                      </wps:spPr>
                      <wps:txbx>
                        <w:txbxContent>
                          <w:p w14:paraId="2528A827" w14:textId="2BFFDA17" w:rsidR="001E0960" w:rsidRPr="007673BC" w:rsidRDefault="001E0960" w:rsidP="00E94AC8">
                            <w:pPr>
                              <w:pStyle w:val="Caption"/>
                              <w:rPr>
                                <w:noProof/>
                              </w:rPr>
                            </w:pPr>
                            <w:r>
                              <w:t xml:space="preserve">Figure </w:t>
                            </w:r>
                            <w:r w:rsidR="00E94AC8">
                              <w:t>7</w:t>
                            </w:r>
                            <w:r w:rsidR="00952E8A">
                              <w:t xml:space="preserve"> – Source: Mullins (2016 p229)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CE1F6CF" id="Text Box 46" o:spid="_x0000_s1063" type="#_x0000_t202" style="position:absolute;margin-left:131.75pt;margin-top:102pt;width:187.8pt;height:.05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" stroked="f">
                <v:textbox style="mso-fit-shape-to-text:t" inset="0,0,0,0">
                  <w:txbxContent>
                    <w:p w14:paraId="2528A827" w14:textId="2BFFDA17" w:rsidR="001E0960" w:rsidRPr="007673BC" w:rsidRDefault="001E0960" w:rsidP="00E94AC8">
                      <w:pPr>
                        <w:pStyle w:val="Caption"/>
                        <w:rPr>
                          <w:noProof/>
                        </w:rPr>
                      </w:pPr>
                      <w:r>
                        <w:t xml:space="preserve">Figure </w:t>
                      </w:r>
                      <w:r w:rsidR="00E94AC8">
                        <w:t>7</w:t>
                      </w:r>
                      <w:r w:rsidR="00952E8A">
                        <w:t xml:space="preserve"> – Source: Mullins (2016 p229)</w:t>
                      </w:r>
                    </w:p>
                  </w:txbxContent>
                </v:textbox>
                <w10:wrap type="topAndBottom"/>
              </v:shape>
            </w:pict>
          </mc:Fallback>
        </mc:AlternateContent>
      </w:r>
      <w:r>
        <w:rPr>
          <w:noProof/>
        </w:rPr>
        <w:drawing>
          <wp:anchor distT="0" distB="0" distL="114300" distR="114300" simplePos="0" relativeHeight="251674624" behindDoc="0" locked="0" layoutInCell="1" allowOverlap="1" wp14:anchorId="2B3E91B2" wp14:editId="38810098">
            <wp:simplePos x="0" y="0"/>
            <wp:positionH relativeFrom="margin">
              <wp:align>center</wp:align>
            </wp:positionH>
            <wp:positionV relativeFrom="paragraph">
              <wp:posOffset>0</wp:posOffset>
            </wp:positionV>
            <wp:extent cx="2385060" cy="1238250"/>
            <wp:effectExtent l="0" t="0" r="0" b="0"/>
            <wp:wrapTopAndBottom/>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48194" t="25419" r="16907" b="42364"/>
                    <a:stretch/>
                  </pic:blipFill>
                  <pic:spPr bwMode="auto">
                    <a:xfrm>
                      <a:off x="0" y="0"/>
                      <a:ext cx="2385060" cy="12382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050FD">
        <w:t>It could be argued w</w:t>
      </w:r>
      <w:r w:rsidR="00AC211A">
        <w:t xml:space="preserve">hen Crown Neath announced the potential closure and subsequent closure of the plant, </w:t>
      </w:r>
      <w:r w:rsidR="00034F3B">
        <w:t>this could</w:t>
      </w:r>
      <w:r w:rsidR="000129A7">
        <w:t xml:space="preserve"> have</w:t>
      </w:r>
      <w:r w:rsidR="00034F3B">
        <w:t xml:space="preserve"> affect</w:t>
      </w:r>
      <w:r w:rsidR="000129A7">
        <w:t>ed</w:t>
      </w:r>
      <w:r w:rsidR="00034F3B">
        <w:t xml:space="preserve"> </w:t>
      </w:r>
      <w:r w:rsidR="00E94AC8">
        <w:t xml:space="preserve">all the stages on the hierarchy. </w:t>
      </w:r>
      <w:r w:rsidR="000129A7">
        <w:t>I</w:t>
      </w:r>
      <w:r w:rsidR="008A0812">
        <w:t xml:space="preserve">n the work of both Cassidy and </w:t>
      </w:r>
      <w:proofErr w:type="spellStart"/>
      <w:r w:rsidR="008A0812">
        <w:t>Kretiner</w:t>
      </w:r>
      <w:proofErr w:type="spellEnd"/>
      <w:r w:rsidR="008A0812">
        <w:t xml:space="preserve"> (2012) and Mullins (2016), they both question the relevance of the hierarchy in work situations. </w:t>
      </w:r>
      <w:r w:rsidR="00E60244">
        <w:t xml:space="preserve">As the values someone places on a </w:t>
      </w:r>
      <w:proofErr w:type="gramStart"/>
      <w:r w:rsidR="00E60244">
        <w:t>particular need</w:t>
      </w:r>
      <w:proofErr w:type="gramEnd"/>
      <w:r w:rsidR="00E60244">
        <w:t xml:space="preserve"> may not be the same as someone else or as someone being satisfied does not guarantee enhanced work performance.</w:t>
      </w:r>
    </w:p>
    <w:p w14:paraId="3DF41263" w14:textId="5772384E" w:rsidR="002C272E" w:rsidRDefault="002C272E" w:rsidP="002C272E"/>
    <w:p w14:paraId="53E6E818" w14:textId="2CAFDFB0" w:rsidR="002C272E" w:rsidRDefault="002C272E" w:rsidP="002C272E">
      <w:pPr>
        <w:pStyle w:val="Heading3"/>
      </w:pPr>
      <w:bookmarkStart w:id="11" w:name="_Toc5827681"/>
      <w:r>
        <w:lastRenderedPageBreak/>
        <w:t>Herzberg’s Two-Factor Theory</w:t>
      </w:r>
      <w:bookmarkEnd w:id="11"/>
    </w:p>
    <w:p w14:paraId="72253AAD" w14:textId="73773D4C" w:rsidR="002C272E" w:rsidRDefault="003A4CCE" w:rsidP="002C272E">
      <w:r>
        <w:rPr>
          <w:noProof/>
        </w:rPr>
        <mc:AlternateContent>
          <mc:Choice Requires="wps">
            <w:drawing>
              <wp:anchor distT="0" distB="0" distL="114300" distR="114300" simplePos="0" relativeHeight="251706368" behindDoc="0" locked="0" layoutInCell="1" allowOverlap="1" wp14:anchorId="1183D3CB" wp14:editId="141DF054">
                <wp:simplePos x="0" y="0"/>
                <wp:positionH relativeFrom="margin">
                  <wp:align>center</wp:align>
                </wp:positionH>
                <wp:positionV relativeFrom="paragraph">
                  <wp:posOffset>5009515</wp:posOffset>
                </wp:positionV>
                <wp:extent cx="3310890" cy="635"/>
                <wp:effectExtent l="0" t="0" r="3810" b="0"/>
                <wp:wrapTopAndBottom/>
                <wp:docPr id="57" name="Text Box 57"/>
                <wp:cNvGraphicFramePr/>
                <a:graphic xmlns:a="http://schemas.openxmlformats.org/drawingml/2006/main">
                  <a:graphicData uri="http://schemas.microsoft.com/office/word/2010/wordprocessingShape">
                    <wps:wsp>
                      <wps:cNvSpPr txBox="1"/>
                      <wps:spPr>
                        <a:xfrm>
                          <a:off x="0" y="0"/>
                          <a:ext cx="3310890" cy="635"/>
                        </a:xfrm>
                        <a:prstGeom prst="rect">
                          <a:avLst/>
                        </a:prstGeom>
                        <a:solidFill>
                          <a:prstClr val="white"/>
                        </a:solidFill>
                        <a:ln>
                          <a:noFill/>
                        </a:ln>
                      </wps:spPr>
                      <wps:txbx>
                        <w:txbxContent>
                          <w:p w14:paraId="5C093E80" w14:textId="124EB7B2" w:rsidR="00F56E6A" w:rsidRPr="00135ADC" w:rsidRDefault="00F56E6A" w:rsidP="00F56E6A">
                            <w:pPr>
                              <w:pStyle w:val="Caption"/>
                              <w:rPr>
                                <w:noProof/>
                              </w:rPr>
                            </w:pPr>
                            <w:r>
                              <w:t>Figure 8</w:t>
                            </w:r>
                            <w:r w:rsidR="00620063">
                              <w:t xml:space="preserve"> </w:t>
                            </w:r>
                            <w:r w:rsidR="00952E8A">
                              <w:t>– Source: Mullins (2016 p233)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183D3CB" id="Text Box 57" o:spid="_x0000_s1064" type="#_x0000_t202" style="position:absolute;margin-left:0;margin-top:394.45pt;width:260.7pt;height:.05pt;z-index:25170636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" stroked="f">
                <v:textbox style="mso-fit-shape-to-text:t" inset="0,0,0,0">
                  <w:txbxContent>
                    <w:p w14:paraId="5C093E80" w14:textId="124EB7B2" w:rsidR="00F56E6A" w:rsidRPr="00135ADC" w:rsidRDefault="00F56E6A" w:rsidP="00F56E6A">
                      <w:pPr>
                        <w:pStyle w:val="Caption"/>
                        <w:rPr>
                          <w:noProof/>
                        </w:rPr>
                      </w:pPr>
                      <w:r>
                        <w:t>Figure 8</w:t>
                      </w:r>
                      <w:r w:rsidR="00620063">
                        <w:t xml:space="preserve"> </w:t>
                      </w:r>
                      <w:r w:rsidR="00952E8A">
                        <w:t>– Source: Mullins (2016 p233)</w:t>
                      </w:r>
                    </w:p>
                  </w:txbxContent>
                </v:textbox>
                <w10:wrap type="topAndBottom" anchorx="margin"/>
              </v:shape>
            </w:pict>
          </mc:Fallback>
        </mc:AlternateContent>
      </w:r>
      <w:r>
        <w:rPr>
          <w:noProof/>
          <w:lang w:eastAsia="en-GB"/>
        </w:rPr>
        <w:drawing>
          <wp:anchor distT="0" distB="0" distL="114300" distR="114300" simplePos="0" relativeHeight="251677696" behindDoc="0" locked="0" layoutInCell="1" allowOverlap="1" wp14:anchorId="67BCD803" wp14:editId="590B21D1">
            <wp:simplePos x="0" y="0"/>
            <wp:positionH relativeFrom="margin">
              <wp:align>center</wp:align>
            </wp:positionH>
            <wp:positionV relativeFrom="paragraph">
              <wp:posOffset>1314450</wp:posOffset>
            </wp:positionV>
            <wp:extent cx="3310890" cy="3700145"/>
            <wp:effectExtent l="0" t="0" r="3810" b="0"/>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310890" cy="3700145"/>
                    </a:xfrm>
                    <a:prstGeom prst="rect">
                      <a:avLst/>
                    </a:prstGeom>
                    <a:noFill/>
                  </pic:spPr>
                </pic:pic>
              </a:graphicData>
            </a:graphic>
            <wp14:sizeRelH relativeFrom="margin">
              <wp14:pctWidth>0</wp14:pctWidth>
            </wp14:sizeRelH>
            <wp14:sizeRelV relativeFrom="margin">
              <wp14:pctHeight>0</wp14:pctHeight>
            </wp14:sizeRelV>
          </wp:anchor>
        </w:drawing>
      </w:r>
      <w:r w:rsidR="007C1FDE">
        <w:t xml:space="preserve">Herzberg’s theory consists of not just looking at what motivates, but also looks </w:t>
      </w:r>
      <w:r w:rsidR="00067D3F">
        <w:t xml:space="preserve">at </w:t>
      </w:r>
      <w:r w:rsidR="007C1FDE">
        <w:t xml:space="preserve">what satisfies and dissatisfies and how these </w:t>
      </w:r>
      <w:r w:rsidR="00067D3F">
        <w:t xml:space="preserve">could </w:t>
      </w:r>
      <w:r w:rsidR="007C1FDE">
        <w:t xml:space="preserve">relate to motivation. </w:t>
      </w:r>
      <w:r w:rsidR="00067D3F">
        <w:t xml:space="preserve">As described in both Cassidy and </w:t>
      </w:r>
      <w:proofErr w:type="spellStart"/>
      <w:r w:rsidR="00067D3F">
        <w:t>Kretiner</w:t>
      </w:r>
      <w:proofErr w:type="spellEnd"/>
      <w:r w:rsidR="00067D3F">
        <w:t xml:space="preserve"> (2012) and Mullins (2016), </w:t>
      </w:r>
      <w:r w:rsidR="002A4110">
        <w:t xml:space="preserve">Herzberg observed that there are two different factors that can influence work and motivation. </w:t>
      </w:r>
      <w:r w:rsidR="0076430B">
        <w:t>These were hygiene factors and motivators, figur</w:t>
      </w:r>
      <w:r w:rsidR="00EF2335">
        <w:t xml:space="preserve">e </w:t>
      </w:r>
      <w:r w:rsidR="00E94AC8">
        <w:t>8</w:t>
      </w:r>
      <w:r w:rsidR="0076430B">
        <w:t>.</w:t>
      </w:r>
      <w:r w:rsidR="00F56E6A">
        <w:t xml:space="preserve"> </w:t>
      </w:r>
      <w:r w:rsidR="00620063">
        <w:t>Cole &amp; Kelly (2011) suggest that even if the hygiene factors are m</w:t>
      </w:r>
      <w:r w:rsidR="005C4AF1">
        <w:t>ade, hygiene itself does not promote positive attitudes. A</w:t>
      </w:r>
      <w:r w:rsidR="00F56E6A">
        <w:t xml:space="preserve">s the change directly affects </w:t>
      </w:r>
      <w:r w:rsidR="005C4AF1">
        <w:t>both hygiene factors and motivators, Lewin’s theory may not be relevant.</w:t>
      </w:r>
    </w:p>
    <w:p w14:paraId="7BBFB488" w14:textId="40FB0C01" w:rsidR="00825123" w:rsidRDefault="00825123" w:rsidP="002C272E">
      <w:r>
        <w:t>As with Maslow’s theory, Herzberg’s theory has also been criticised. As pointed out b</w:t>
      </w:r>
      <w:r w:rsidR="00DC7032">
        <w:t xml:space="preserve">y </w:t>
      </w:r>
      <w:r w:rsidR="00E0568E">
        <w:t xml:space="preserve">Armstrong (2012) and Cassidy and </w:t>
      </w:r>
      <w:proofErr w:type="spellStart"/>
      <w:r w:rsidR="00E0568E">
        <w:t>Kretiner</w:t>
      </w:r>
      <w:proofErr w:type="spellEnd"/>
      <w:r w:rsidR="00E0568E">
        <w:t xml:space="preserve"> (2012), Herzberg assumed that there was a direct and positive relationship between job performance and satisfaction. </w:t>
      </w:r>
      <w:r w:rsidR="000B16C4">
        <w:t xml:space="preserve">This theory has also been noted to apply less to lower skilled or manual workers, Mullins (2016). Even though </w:t>
      </w:r>
      <w:r w:rsidR="005C4AF1">
        <w:t>much of</w:t>
      </w:r>
      <w:r w:rsidR="000B16C4">
        <w:t xml:space="preserve"> the workforce in Crown at the time were classed as skilled jobs, they were still manual or hands on jobs. </w:t>
      </w:r>
    </w:p>
    <w:p w14:paraId="1EB59B55" w14:textId="3814DD8D" w:rsidR="002C272E" w:rsidRDefault="002C272E" w:rsidP="002C272E"/>
    <w:p w14:paraId="7886E765" w14:textId="77777777" w:rsidR="004E2D06" w:rsidRDefault="004E2D06" w:rsidP="00812A2C">
      <w:pPr>
        <w:spacing w:before="240" w:after="0"/>
      </w:pPr>
    </w:p>
    <w:p w14:paraId="0CE18326" w14:textId="5371E7A5" w:rsidR="00A42A6B" w:rsidRDefault="00A42A6B" w:rsidP="0018515E">
      <w:pPr>
        <w:pStyle w:val="Heading1"/>
        <w:shd w:val="clear" w:color="auto" w:fill="FFFFFF"/>
        <w:spacing w:before="0" w:after="150" w:line="288" w:lineRule="atLeast"/>
        <w:rPr>
          <w:rFonts w:ascii="Arial Unicode MS" w:hAnsi="Arial Unicode MS"/>
          <w:color w:val="000000"/>
          <w:sz w:val="29"/>
          <w:szCs w:val="29"/>
        </w:rPr>
      </w:pPr>
    </w:p>
    <w:p w14:paraId="4B08C4FC" w14:textId="2A79DEA6" w:rsidR="00A839F9" w:rsidRDefault="00A839F9" w:rsidP="00A839F9"/>
    <w:p w14:paraId="205F5DC0" w14:textId="46839EDB" w:rsidR="00A839F9" w:rsidRDefault="00A839F9" w:rsidP="00A839F9"/>
    <w:p w14:paraId="42720735" w14:textId="2B8B5951" w:rsidR="000129A7" w:rsidRDefault="000129A7" w:rsidP="00A839F9"/>
    <w:p w14:paraId="101994A2" w14:textId="3849B89C" w:rsidR="00764529" w:rsidRDefault="00764529" w:rsidP="00764529">
      <w:pPr>
        <w:pStyle w:val="Heading1"/>
      </w:pPr>
      <w:bookmarkStart w:id="12" w:name="_Toc5827682"/>
      <w:r>
        <w:lastRenderedPageBreak/>
        <w:t>Conclusion</w:t>
      </w:r>
      <w:bookmarkEnd w:id="12"/>
    </w:p>
    <w:p w14:paraId="6EB70D49" w14:textId="592EAC52" w:rsidR="003F2AE9" w:rsidRDefault="00F82920" w:rsidP="000C44A6">
      <w:r>
        <w:t>In conclusion,</w:t>
      </w:r>
      <w:r w:rsidR="00982BD5">
        <w:t xml:space="preserve"> </w:t>
      </w:r>
      <w:r w:rsidR="008304A6">
        <w:t xml:space="preserve">the approach that Crown took during the phased closure of the plant seem to mimic Lewin’s theory. </w:t>
      </w:r>
      <w:r w:rsidR="003F2AE9">
        <w:t xml:space="preserve">Lewin’s approach to change involves analysing the force that drive and resist change (Hayes 2014). By analysing these forces, the change agent can assess which of these forces are critical and will need addressing. Part of Lewin’s change model is to unfreeze, this means to modify the equilibrium between the driving and resisting forces (Hayes 2014). By the management team offering bonuses and other rewards they managed to reduce the resisting forces against this change, as suggested by Hayes (2014) this method decreases the chance of tension being created and operational performance being maintained. Using Expectancy theory, these financial rewards where used to influence motivation. As proposed by Armstrong (2012) and Cassidy and </w:t>
      </w:r>
      <w:proofErr w:type="spellStart"/>
      <w:r w:rsidR="003F2AE9">
        <w:t>Kreitner</w:t>
      </w:r>
      <w:proofErr w:type="spellEnd"/>
      <w:r w:rsidR="003F2AE9">
        <w:t xml:space="preserve"> (2012), increased or maintained performance could be gained by offering rewards that the workforce valued.</w:t>
      </w:r>
      <w:r w:rsidR="001958E8">
        <w:t xml:space="preserve"> According to</w:t>
      </w:r>
      <w:r w:rsidR="003F2AE9">
        <w:t xml:space="preserve"> </w:t>
      </w:r>
      <w:r w:rsidR="001958E8">
        <w:t>Hayes (2014)</w:t>
      </w:r>
      <w:r w:rsidR="008304A6">
        <w:t>,</w:t>
      </w:r>
      <w:r w:rsidR="001958E8">
        <w:t xml:space="preserve"> this theory could assist an organisation in reducing resistance</w:t>
      </w:r>
      <w:r w:rsidR="008304A6">
        <w:t>, which could l</w:t>
      </w:r>
      <w:r w:rsidR="008464A6">
        <w:t>ink</w:t>
      </w:r>
      <w:r w:rsidR="008304A6">
        <w:t xml:space="preserve"> to Lewin’s theory about analysing and reducing resisting forces. Maintaining motivation during this change might not have been successful if Crown followed Maslow’s or Herzberg’s theories. Cassidy and </w:t>
      </w:r>
      <w:proofErr w:type="spellStart"/>
      <w:r w:rsidR="008304A6">
        <w:t>Kretiner</w:t>
      </w:r>
      <w:proofErr w:type="spellEnd"/>
      <w:r w:rsidR="008304A6">
        <w:t xml:space="preserve"> (2012) and Mullins (2016) seems to question the relevance of these theories in work situations</w:t>
      </w:r>
      <w:r w:rsidR="00FC60FE">
        <w:t xml:space="preserve">. The change curve could be used as a suitable alternative change model to Lewin’s. According to Mindtools (2019) this model assesses the states an individual goes through during the change, with the goal being to reach the commitment stages as soon as possible. </w:t>
      </w:r>
      <w:r w:rsidR="008464A6">
        <w:t>F</w:t>
      </w:r>
      <w:r w:rsidR="00FC60FE">
        <w:t>ocusing on communication and support early on</w:t>
      </w:r>
      <w:r w:rsidR="009708DA">
        <w:t xml:space="preserve"> can speed up the change process.</w:t>
      </w:r>
      <w:r w:rsidR="008464A6">
        <w:t xml:space="preserve"> This is something that Crown concentrated on during the change.</w:t>
      </w:r>
    </w:p>
    <w:p w14:paraId="75618777" w14:textId="03E8210D" w:rsidR="00F82920" w:rsidRDefault="00F82920" w:rsidP="00F1323F"/>
    <w:p w14:paraId="5FB1CBC8" w14:textId="5D9FACAB" w:rsidR="00F1323F" w:rsidRDefault="00F1323F" w:rsidP="00F1323F"/>
    <w:p w14:paraId="42E39DB5" w14:textId="77777777" w:rsidR="00F1323F" w:rsidRDefault="00F1323F" w:rsidP="00F1323F"/>
    <w:p w14:paraId="312611BB" w14:textId="77777777" w:rsidR="00F1323F" w:rsidRDefault="00F1323F" w:rsidP="00F1323F"/>
    <w:p w14:paraId="1C82F8C5" w14:textId="77777777" w:rsidR="00F1323F" w:rsidRDefault="00F1323F" w:rsidP="00F1323F"/>
    <w:p w14:paraId="678E5C21" w14:textId="77777777" w:rsidR="00F1323F" w:rsidRDefault="00F1323F" w:rsidP="00F1323F"/>
    <w:p w14:paraId="5B715187" w14:textId="77777777" w:rsidR="00F1323F" w:rsidRDefault="00F1323F" w:rsidP="00F1323F"/>
    <w:p w14:paraId="25518555" w14:textId="77777777" w:rsidR="00F1323F" w:rsidRDefault="00F1323F" w:rsidP="00F1323F"/>
    <w:p w14:paraId="4374C6D3" w14:textId="77777777" w:rsidR="00F1323F" w:rsidRDefault="00F1323F" w:rsidP="00F1323F"/>
    <w:p w14:paraId="71FC6849" w14:textId="77777777" w:rsidR="00F1323F" w:rsidRDefault="00F1323F" w:rsidP="00F1323F"/>
    <w:p w14:paraId="7B39BE57" w14:textId="77777777" w:rsidR="00F1323F" w:rsidRDefault="00F1323F" w:rsidP="00F1323F"/>
    <w:p w14:paraId="7147F954" w14:textId="77777777" w:rsidR="00F1323F" w:rsidRDefault="00F1323F" w:rsidP="00F1323F"/>
    <w:p w14:paraId="7134F0BE" w14:textId="77777777" w:rsidR="00F1323F" w:rsidRDefault="00F1323F" w:rsidP="00F1323F"/>
    <w:p w14:paraId="17049227" w14:textId="77777777" w:rsidR="00F1323F" w:rsidRDefault="00F1323F" w:rsidP="00F1323F"/>
    <w:p w14:paraId="25678FA7" w14:textId="77777777" w:rsidR="00F1323F" w:rsidRDefault="00F1323F" w:rsidP="00F1323F"/>
    <w:p w14:paraId="10FEB6F6" w14:textId="77777777" w:rsidR="00F1323F" w:rsidRDefault="00F1323F" w:rsidP="00F1323F"/>
    <w:p w14:paraId="16BDC52D" w14:textId="77777777" w:rsidR="00F1323F" w:rsidRDefault="00F1323F" w:rsidP="00F1323F"/>
    <w:p w14:paraId="176CA543" w14:textId="7077FB67" w:rsidR="00F1323F" w:rsidRDefault="00F1323F" w:rsidP="00F1323F">
      <w:pPr>
        <w:pStyle w:val="Heading1"/>
      </w:pPr>
      <w:bookmarkStart w:id="13" w:name="_Toc5827683"/>
      <w:r>
        <w:lastRenderedPageBreak/>
        <w:t>Recommendation</w:t>
      </w:r>
      <w:bookmarkEnd w:id="13"/>
    </w:p>
    <w:p w14:paraId="3E0CC91E" w14:textId="1FB2F1C2" w:rsidR="00F1323F" w:rsidRDefault="009708DA" w:rsidP="000C44A6">
      <w:r>
        <w:t>During the change period, the managerial style adopted by company was a mix of power and role. Hayes (2014) suggests that in a power culture</w:t>
      </w:r>
      <w:r w:rsidR="006D7BE6">
        <w:t>,</w:t>
      </w:r>
      <w:r>
        <w:t xml:space="preserve"> employees must do as </w:t>
      </w:r>
      <w:r w:rsidR="006D7BE6">
        <w:t>told,</w:t>
      </w:r>
      <w:r>
        <w:t xml:space="preserve"> and</w:t>
      </w:r>
      <w:r w:rsidR="006D7BE6">
        <w:t xml:space="preserve"> </w:t>
      </w:r>
      <w:r>
        <w:t xml:space="preserve">decisions </w:t>
      </w:r>
      <w:r w:rsidR="006D7BE6">
        <w:t>get made by the (Hayes 2014 p416) “central power source”. R</w:t>
      </w:r>
      <w:r>
        <w:t xml:space="preserve">ole cultures are very hierarchical, </w:t>
      </w:r>
      <w:r w:rsidR="006D7BE6">
        <w:t>Mullins (2016) suggests that in role cultures, emphasis is placed more on job method or description than on an individual. By adopting a different managerial style such as person or support culture, Crown could have reduced the friction between the change agent and the work force. This management style, as described by Hayes (2014), focuses on trust and valuing employees.</w:t>
      </w:r>
    </w:p>
    <w:p w14:paraId="5CE4E4DA" w14:textId="77777777" w:rsidR="00F1323F" w:rsidRDefault="00F1323F" w:rsidP="00F1323F"/>
    <w:p w14:paraId="542C68D8" w14:textId="77777777" w:rsidR="00F1323F" w:rsidRDefault="00F1323F" w:rsidP="00F1323F"/>
    <w:p w14:paraId="46BF04A7" w14:textId="77777777" w:rsidR="00F1323F" w:rsidRDefault="00F1323F" w:rsidP="00F1323F"/>
    <w:p w14:paraId="292260DF" w14:textId="77777777" w:rsidR="00F1323F" w:rsidRDefault="00F1323F" w:rsidP="00F1323F"/>
    <w:p w14:paraId="26EB1B90" w14:textId="77777777" w:rsidR="00F1323F" w:rsidRDefault="00F1323F" w:rsidP="00F1323F"/>
    <w:p w14:paraId="248D20E8" w14:textId="77777777" w:rsidR="00F1323F" w:rsidRDefault="00F1323F" w:rsidP="00F1323F"/>
    <w:p w14:paraId="55342398" w14:textId="77777777" w:rsidR="00F1323F" w:rsidRDefault="00F1323F" w:rsidP="00F1323F"/>
    <w:p w14:paraId="4C466AB7" w14:textId="77777777" w:rsidR="00F1323F" w:rsidRDefault="00F1323F" w:rsidP="00F1323F"/>
    <w:p w14:paraId="4478C8EB" w14:textId="77777777" w:rsidR="00F1323F" w:rsidRDefault="00F1323F" w:rsidP="00F1323F"/>
    <w:p w14:paraId="68C0C26D" w14:textId="77777777" w:rsidR="00F1323F" w:rsidRDefault="00F1323F" w:rsidP="00F1323F"/>
    <w:p w14:paraId="45EFAE62" w14:textId="77777777" w:rsidR="00F1323F" w:rsidRDefault="00F1323F" w:rsidP="00F1323F"/>
    <w:p w14:paraId="1701B6D4" w14:textId="77777777" w:rsidR="00F1323F" w:rsidRDefault="00F1323F" w:rsidP="00F1323F"/>
    <w:p w14:paraId="37CF9299" w14:textId="77777777" w:rsidR="00F1323F" w:rsidRDefault="00F1323F" w:rsidP="00F1323F"/>
    <w:p w14:paraId="3137B82C" w14:textId="77777777" w:rsidR="00F1323F" w:rsidRDefault="00F1323F" w:rsidP="00F1323F"/>
    <w:p w14:paraId="41A1397D" w14:textId="77777777" w:rsidR="00F1323F" w:rsidRDefault="00F1323F" w:rsidP="00F1323F"/>
    <w:p w14:paraId="61275184" w14:textId="77777777" w:rsidR="00F1323F" w:rsidRDefault="00F1323F" w:rsidP="00F1323F"/>
    <w:p w14:paraId="3C6F1E61" w14:textId="77777777" w:rsidR="00F1323F" w:rsidRDefault="00F1323F" w:rsidP="00F1323F"/>
    <w:p w14:paraId="0DED3886" w14:textId="77777777" w:rsidR="00F1323F" w:rsidRDefault="00F1323F" w:rsidP="00F1323F"/>
    <w:p w14:paraId="609E1284" w14:textId="77777777" w:rsidR="00F1323F" w:rsidRDefault="00F1323F" w:rsidP="00F1323F"/>
    <w:p w14:paraId="2B3947BE" w14:textId="77777777" w:rsidR="00F1323F" w:rsidRDefault="00F1323F" w:rsidP="00F1323F"/>
    <w:p w14:paraId="4F820C2E" w14:textId="77777777" w:rsidR="00F1323F" w:rsidRDefault="00F1323F" w:rsidP="00F1323F"/>
    <w:p w14:paraId="4B1A177A" w14:textId="77777777" w:rsidR="00F1323F" w:rsidRDefault="00F1323F" w:rsidP="00F1323F"/>
    <w:p w14:paraId="43038A32" w14:textId="77777777" w:rsidR="00F1323F" w:rsidRDefault="00F1323F" w:rsidP="00F1323F"/>
    <w:p w14:paraId="79D9890F" w14:textId="77777777" w:rsidR="00F1323F" w:rsidRDefault="00F1323F" w:rsidP="00F1323F"/>
    <w:p w14:paraId="296C100B" w14:textId="77777777" w:rsidR="00F1323F" w:rsidRDefault="00F1323F" w:rsidP="00F1323F"/>
    <w:p w14:paraId="1626D393" w14:textId="77777777" w:rsidR="00F1323F" w:rsidRDefault="00F1323F" w:rsidP="00F1323F">
      <w:pPr>
        <w:pStyle w:val="Heading1"/>
      </w:pPr>
      <w:bookmarkStart w:id="14" w:name="_Toc5827684"/>
      <w:r>
        <w:lastRenderedPageBreak/>
        <w:t>References List</w:t>
      </w:r>
      <w:bookmarkEnd w:id="14"/>
    </w:p>
    <w:p w14:paraId="0218B120" w14:textId="77777777" w:rsidR="00061905" w:rsidRPr="00C02B46" w:rsidRDefault="00061905" w:rsidP="00B978F5">
      <w:pPr>
        <w:spacing w:before="240"/>
      </w:pPr>
      <w:r>
        <w:t xml:space="preserve">Armstrong, M. (2012), </w:t>
      </w:r>
      <w:r w:rsidRPr="00C02B46">
        <w:rPr>
          <w:i/>
        </w:rPr>
        <w:t xml:space="preserve">Armstrong's </w:t>
      </w:r>
      <w:r>
        <w:rPr>
          <w:i/>
        </w:rPr>
        <w:t>H</w:t>
      </w:r>
      <w:r w:rsidRPr="00C02B46">
        <w:rPr>
          <w:i/>
        </w:rPr>
        <w:t xml:space="preserve">andbook of </w:t>
      </w:r>
      <w:r>
        <w:rPr>
          <w:i/>
        </w:rPr>
        <w:t>M</w:t>
      </w:r>
      <w:r w:rsidRPr="00C02B46">
        <w:rPr>
          <w:i/>
        </w:rPr>
        <w:t xml:space="preserve">anagement and </w:t>
      </w:r>
      <w:r>
        <w:rPr>
          <w:i/>
        </w:rPr>
        <w:t>L</w:t>
      </w:r>
      <w:r w:rsidRPr="00C02B46">
        <w:rPr>
          <w:i/>
        </w:rPr>
        <w:t xml:space="preserve">eadership </w:t>
      </w:r>
      <w:r>
        <w:rPr>
          <w:i/>
        </w:rPr>
        <w:t>D</w:t>
      </w:r>
      <w:r w:rsidRPr="00C02B46">
        <w:rPr>
          <w:i/>
        </w:rPr>
        <w:t xml:space="preserve">eveloping </w:t>
      </w:r>
      <w:r>
        <w:rPr>
          <w:i/>
        </w:rPr>
        <w:t>E</w:t>
      </w:r>
      <w:r w:rsidRPr="00C02B46">
        <w:rPr>
          <w:i/>
        </w:rPr>
        <w:t xml:space="preserve">ffective </w:t>
      </w:r>
      <w:r>
        <w:rPr>
          <w:i/>
        </w:rPr>
        <w:t>P</w:t>
      </w:r>
      <w:r w:rsidRPr="00C02B46">
        <w:rPr>
          <w:i/>
        </w:rPr>
        <w:t xml:space="preserve">eople </w:t>
      </w:r>
      <w:r>
        <w:rPr>
          <w:i/>
        </w:rPr>
        <w:t>S</w:t>
      </w:r>
      <w:r w:rsidRPr="00C02B46">
        <w:rPr>
          <w:i/>
        </w:rPr>
        <w:t xml:space="preserve">kills for </w:t>
      </w:r>
      <w:r>
        <w:rPr>
          <w:i/>
        </w:rPr>
        <w:t>B</w:t>
      </w:r>
      <w:r w:rsidRPr="00C02B46">
        <w:rPr>
          <w:i/>
        </w:rPr>
        <w:t xml:space="preserve">etter </w:t>
      </w:r>
      <w:r>
        <w:rPr>
          <w:i/>
        </w:rPr>
        <w:t>L</w:t>
      </w:r>
      <w:r w:rsidRPr="00C02B46">
        <w:rPr>
          <w:i/>
        </w:rPr>
        <w:t xml:space="preserve">eadership and </w:t>
      </w:r>
      <w:r>
        <w:rPr>
          <w:i/>
        </w:rPr>
        <w:t>M</w:t>
      </w:r>
      <w:r w:rsidRPr="00C02B46">
        <w:rPr>
          <w:i/>
        </w:rPr>
        <w:t>anagement</w:t>
      </w:r>
      <w:r>
        <w:rPr>
          <w:i/>
        </w:rPr>
        <w:t xml:space="preserve">, </w:t>
      </w:r>
      <w:r>
        <w:t>(3</w:t>
      </w:r>
      <w:r w:rsidRPr="004A2424">
        <w:rPr>
          <w:vertAlign w:val="superscript"/>
        </w:rPr>
        <w:t>rd</w:t>
      </w:r>
      <w:r>
        <w:t xml:space="preserve"> Edition), London, Kogan Page.</w:t>
      </w:r>
    </w:p>
    <w:p w14:paraId="0B562010" w14:textId="79EA9AEF" w:rsidR="00061905" w:rsidRDefault="00061905" w:rsidP="00061905">
      <w:r>
        <w:t>BBC. (2015</w:t>
      </w:r>
      <w:r w:rsidRPr="00061905">
        <w:rPr>
          <w:i/>
        </w:rPr>
        <w:t>), Fears 250 Jobs are at Risk at Crown Packaging in Neath</w:t>
      </w:r>
      <w:r>
        <w:t xml:space="preserve"> [online], </w:t>
      </w:r>
      <w:r w:rsidRPr="00061905">
        <w:rPr>
          <w:u w:val="single"/>
        </w:rPr>
        <w:t>https://www.bbc.co.uk/news/uk-wales-south-west-wales-34541470</w:t>
      </w:r>
      <w:r>
        <w:rPr>
          <w:u w:val="single"/>
        </w:rPr>
        <w:t>, Accessed 01/03/2019.</w:t>
      </w:r>
    </w:p>
    <w:p w14:paraId="34C10618" w14:textId="77777777" w:rsidR="00061905" w:rsidRDefault="00061905" w:rsidP="00061905">
      <w:r>
        <w:t xml:space="preserve">Cassidy, C.M. &amp; </w:t>
      </w:r>
      <w:proofErr w:type="spellStart"/>
      <w:r>
        <w:t>Kreitner</w:t>
      </w:r>
      <w:proofErr w:type="spellEnd"/>
      <w:r>
        <w:t xml:space="preserve">, R. (2012), </w:t>
      </w:r>
      <w:r w:rsidRPr="004A2424">
        <w:rPr>
          <w:i/>
        </w:rPr>
        <w:t>Principles of Management</w:t>
      </w:r>
      <w:r>
        <w:t>, 12</w:t>
      </w:r>
      <w:r w:rsidRPr="004A2424">
        <w:rPr>
          <w:vertAlign w:val="superscript"/>
        </w:rPr>
        <w:t>th</w:t>
      </w:r>
      <w:r>
        <w:t xml:space="preserve"> Edition, UK, South Western College.</w:t>
      </w:r>
    </w:p>
    <w:p w14:paraId="3EF76CF0" w14:textId="38B1F91F" w:rsidR="00061905" w:rsidRDefault="00061905" w:rsidP="00061905">
      <w:r>
        <w:t xml:space="preserve">Cole, G.A. &amp; Kelly, P. (2011), </w:t>
      </w:r>
      <w:r w:rsidRPr="00061905">
        <w:rPr>
          <w:i/>
        </w:rPr>
        <w:t>Management Theory and Practice</w:t>
      </w:r>
      <w:r>
        <w:t>, 7</w:t>
      </w:r>
      <w:r w:rsidRPr="00061905">
        <w:rPr>
          <w:vertAlign w:val="superscript"/>
        </w:rPr>
        <w:t>th</w:t>
      </w:r>
      <w:r>
        <w:t xml:space="preserve"> Edition, Hampshire, Cengage Learning EMEA.</w:t>
      </w:r>
    </w:p>
    <w:p w14:paraId="1EAEEE1C" w14:textId="7A6A30B6" w:rsidR="002A76BB" w:rsidRDefault="002A76BB" w:rsidP="00061905">
      <w:r>
        <w:t xml:space="preserve">Crown Cork. (2019), </w:t>
      </w:r>
      <w:r w:rsidRPr="002A76BB">
        <w:rPr>
          <w:i/>
        </w:rPr>
        <w:t>Facts and Figures</w:t>
      </w:r>
      <w:r>
        <w:t xml:space="preserve"> [online], </w:t>
      </w:r>
      <w:r w:rsidRPr="002A76BB">
        <w:rPr>
          <w:u w:val="single"/>
        </w:rPr>
        <w:t>https://www.crowncork.com</w:t>
      </w:r>
      <w:r>
        <w:t>. Accessed 10/04/2019.</w:t>
      </w:r>
    </w:p>
    <w:p w14:paraId="7DCC039B" w14:textId="77777777" w:rsidR="00061905" w:rsidRDefault="00061905" w:rsidP="00061905">
      <w:r>
        <w:t xml:space="preserve">Hayes, J. (2014), </w:t>
      </w:r>
      <w:r w:rsidRPr="004A2424">
        <w:rPr>
          <w:i/>
        </w:rPr>
        <w:t>The Theory and Practice of Change Management</w:t>
      </w:r>
      <w:r>
        <w:t>, 4</w:t>
      </w:r>
      <w:r w:rsidRPr="004A2424">
        <w:rPr>
          <w:vertAlign w:val="superscript"/>
        </w:rPr>
        <w:t>th</w:t>
      </w:r>
      <w:r>
        <w:t xml:space="preserve"> Edition, Hampshire, Palgrave Macmillan.</w:t>
      </w:r>
    </w:p>
    <w:p w14:paraId="7A394A17" w14:textId="77777777" w:rsidR="00061905" w:rsidRDefault="00061905" w:rsidP="00061905">
      <w:r>
        <w:t xml:space="preserve">Kubler-Ross, E. (1973), </w:t>
      </w:r>
      <w:r w:rsidRPr="00C02B46">
        <w:rPr>
          <w:i/>
        </w:rPr>
        <w:t>On Death and Dying</w:t>
      </w:r>
      <w:r>
        <w:t>, New York, Collier-Macmillan.</w:t>
      </w:r>
    </w:p>
    <w:p w14:paraId="50772218" w14:textId="77777777" w:rsidR="00061905" w:rsidRDefault="00061905" w:rsidP="00061905">
      <w:r>
        <w:t>Maslow, A.H. (1943</w:t>
      </w:r>
      <w:r w:rsidRPr="004A2424">
        <w:rPr>
          <w:i/>
        </w:rPr>
        <w:t>), A Theory of Human Motivation</w:t>
      </w:r>
      <w:r>
        <w:t>, American Psychological Association, 50, 370-396.</w:t>
      </w:r>
    </w:p>
    <w:p w14:paraId="5F806912" w14:textId="77777777" w:rsidR="00061905" w:rsidRPr="00714C7F" w:rsidRDefault="00061905" w:rsidP="00061905">
      <w:r>
        <w:t xml:space="preserve">Mindtools. (2019), </w:t>
      </w:r>
      <w:r w:rsidRPr="00714C7F">
        <w:rPr>
          <w:i/>
        </w:rPr>
        <w:t>Force Field Analysis</w:t>
      </w:r>
      <w:r>
        <w:t xml:space="preserve"> [online], </w:t>
      </w:r>
      <w:hyperlink r:id="rId17" w:history="1">
        <w:r w:rsidRPr="00714C7F">
          <w:rPr>
            <w:rStyle w:val="Hyperlink"/>
            <w:color w:val="auto"/>
          </w:rPr>
          <w:t>https://www.mindtools.com/community/pages/article/newTED_06.php</w:t>
        </w:r>
      </w:hyperlink>
      <w:r>
        <w:t>, Accessed 01/04/2019.</w:t>
      </w:r>
    </w:p>
    <w:p w14:paraId="5FCC5D4E" w14:textId="77777777" w:rsidR="00061905" w:rsidRDefault="00061905" w:rsidP="00061905">
      <w:r>
        <w:t xml:space="preserve">Mindtools. (2019), </w:t>
      </w:r>
      <w:r w:rsidRPr="00AD379A">
        <w:rPr>
          <w:i/>
        </w:rPr>
        <w:t>The Change Curve</w:t>
      </w:r>
      <w:r>
        <w:rPr>
          <w:i/>
        </w:rPr>
        <w:t xml:space="preserve"> </w:t>
      </w:r>
      <w:r>
        <w:t xml:space="preserve">[online], </w:t>
      </w:r>
      <w:r>
        <w:rPr>
          <w:i/>
        </w:rPr>
        <w:t xml:space="preserve"> </w:t>
      </w:r>
      <w:hyperlink r:id="rId18" w:history="1">
        <w:r w:rsidRPr="00714C7F">
          <w:rPr>
            <w:rStyle w:val="Hyperlink"/>
            <w:color w:val="auto"/>
          </w:rPr>
          <w:t>https://www.mindtools.com/pages/articles/newPPM_96.htm</w:t>
        </w:r>
      </w:hyperlink>
      <w:r>
        <w:t>, Accessed 25/03/2019.</w:t>
      </w:r>
    </w:p>
    <w:p w14:paraId="6EE5F56E" w14:textId="77777777" w:rsidR="00793840" w:rsidRDefault="00793840" w:rsidP="00793840">
      <w:r>
        <w:t xml:space="preserve">Mullins, L.J. (2016), </w:t>
      </w:r>
      <w:r w:rsidRPr="00AD379A">
        <w:rPr>
          <w:i/>
        </w:rPr>
        <w:t>Management and Organisational Behaviour</w:t>
      </w:r>
      <w:r>
        <w:t>, (11</w:t>
      </w:r>
      <w:r w:rsidRPr="00AD379A">
        <w:rPr>
          <w:vertAlign w:val="superscript"/>
        </w:rPr>
        <w:t>th</w:t>
      </w:r>
      <w:r>
        <w:t xml:space="preserve"> Edition), Harlow, Pearson Education Limited.</w:t>
      </w:r>
    </w:p>
    <w:p w14:paraId="755B0B90" w14:textId="3F178337" w:rsidR="00793840" w:rsidRDefault="00793840" w:rsidP="00793840">
      <w:r>
        <w:t xml:space="preserve">Nadler, D.A. &amp; </w:t>
      </w:r>
      <w:proofErr w:type="spellStart"/>
      <w:r>
        <w:t>Tushman</w:t>
      </w:r>
      <w:proofErr w:type="spellEnd"/>
      <w:r>
        <w:t xml:space="preserve">, M.L. (1989), </w:t>
      </w:r>
      <w:r w:rsidRPr="00714C7F">
        <w:rPr>
          <w:i/>
        </w:rPr>
        <w:t xml:space="preserve">Organizational Frame Bending: Principles </w:t>
      </w:r>
      <w:r w:rsidR="000D240E" w:rsidRPr="00714C7F">
        <w:rPr>
          <w:i/>
        </w:rPr>
        <w:t>for</w:t>
      </w:r>
      <w:r w:rsidRPr="00714C7F">
        <w:rPr>
          <w:i/>
        </w:rPr>
        <w:t xml:space="preserve"> Managing Reorientation,</w:t>
      </w:r>
      <w:r>
        <w:t xml:space="preserve"> The Academy of Management Executive, 3:3, 194-204.</w:t>
      </w:r>
      <w:r w:rsidRPr="00714C7F">
        <w:t xml:space="preserve"> </w:t>
      </w:r>
    </w:p>
    <w:p w14:paraId="400B2AA2" w14:textId="3846C354" w:rsidR="00061905" w:rsidRDefault="00061905" w:rsidP="00061905">
      <w:r>
        <w:t xml:space="preserve">Packaging Gateway. (2015), </w:t>
      </w:r>
      <w:r w:rsidRPr="00061905">
        <w:rPr>
          <w:i/>
        </w:rPr>
        <w:t>UK to Experience 250 Job Cuts as Crown Packaging Plans Neath Facility Shut Down</w:t>
      </w:r>
      <w:r>
        <w:t xml:space="preserve"> [online], </w:t>
      </w:r>
      <w:hyperlink r:id="rId19" w:history="1">
        <w:r w:rsidRPr="00061905">
          <w:rPr>
            <w:rStyle w:val="Hyperlink"/>
            <w:color w:val="auto"/>
          </w:rPr>
          <w:t>https://www.packaging-gateway.com/news/uk-to-experience-250-job-cuts-as-crown-packaging-plans-neath-facility-shut-down-4695538/</w:t>
        </w:r>
      </w:hyperlink>
      <w:r>
        <w:t>, Accessed 01/03/2019.</w:t>
      </w:r>
    </w:p>
    <w:p w14:paraId="2554A0C0" w14:textId="73168D28" w:rsidR="00714C7F" w:rsidRDefault="00C02B46" w:rsidP="00F1323F">
      <w:r>
        <w:t xml:space="preserve">Scott, C.D. &amp; Jaffe, D.T. (1988), </w:t>
      </w:r>
      <w:r w:rsidRPr="00C02B46">
        <w:rPr>
          <w:i/>
        </w:rPr>
        <w:t>Survive and Thrive in Times of Change</w:t>
      </w:r>
      <w:r>
        <w:t>, Training and Development Journal, 42:4, 25-27.</w:t>
      </w:r>
    </w:p>
    <w:p w14:paraId="4332303E" w14:textId="777185F9" w:rsidR="00AB11DA" w:rsidRDefault="00AB11DA" w:rsidP="00F1323F"/>
    <w:p w14:paraId="592D9E49" w14:textId="461E4809" w:rsidR="00AB11DA" w:rsidRDefault="00AB11DA" w:rsidP="00F1323F"/>
    <w:p w14:paraId="12BE623B" w14:textId="2CCB268F" w:rsidR="00AB11DA" w:rsidRDefault="00AB11DA" w:rsidP="00F1323F"/>
    <w:p w14:paraId="08930D7A" w14:textId="0C78A66A" w:rsidR="00AB11DA" w:rsidRDefault="00AB11DA" w:rsidP="00F1323F"/>
    <w:p w14:paraId="0B94E09E" w14:textId="6979B209" w:rsidR="00AB11DA" w:rsidRDefault="00AB11DA" w:rsidP="00F1323F"/>
    <w:p w14:paraId="7CAFFCA6" w14:textId="067C7667" w:rsidR="00AB11DA" w:rsidRDefault="00AB11DA" w:rsidP="00F1323F"/>
    <w:p w14:paraId="6FD6F7E6" w14:textId="24F13262" w:rsidR="00AB11DA" w:rsidRDefault="00AB11DA" w:rsidP="00F1323F"/>
    <w:p w14:paraId="5426AEF2" w14:textId="59402DF0" w:rsidR="00AB11DA" w:rsidRDefault="00AB11DA" w:rsidP="00AB11DA">
      <w:pPr>
        <w:pStyle w:val="Heading1"/>
      </w:pPr>
      <w:r>
        <w:lastRenderedPageBreak/>
        <w:t>Bibliography</w:t>
      </w:r>
    </w:p>
    <w:p w14:paraId="2864B03D" w14:textId="77777777" w:rsidR="00AB11DA" w:rsidRPr="00C02B46" w:rsidRDefault="00AB11DA" w:rsidP="00AB11DA">
      <w:pPr>
        <w:spacing w:before="240"/>
      </w:pPr>
      <w:r>
        <w:t xml:space="preserve">Armstrong, M. (2012), </w:t>
      </w:r>
      <w:r w:rsidRPr="00C02B46">
        <w:rPr>
          <w:i/>
        </w:rPr>
        <w:t xml:space="preserve">Armstrong's </w:t>
      </w:r>
      <w:r>
        <w:rPr>
          <w:i/>
        </w:rPr>
        <w:t>H</w:t>
      </w:r>
      <w:r w:rsidRPr="00C02B46">
        <w:rPr>
          <w:i/>
        </w:rPr>
        <w:t xml:space="preserve">andbook of </w:t>
      </w:r>
      <w:r>
        <w:rPr>
          <w:i/>
        </w:rPr>
        <w:t>M</w:t>
      </w:r>
      <w:r w:rsidRPr="00C02B46">
        <w:rPr>
          <w:i/>
        </w:rPr>
        <w:t xml:space="preserve">anagement and </w:t>
      </w:r>
      <w:r>
        <w:rPr>
          <w:i/>
        </w:rPr>
        <w:t>L</w:t>
      </w:r>
      <w:r w:rsidRPr="00C02B46">
        <w:rPr>
          <w:i/>
        </w:rPr>
        <w:t xml:space="preserve">eadership </w:t>
      </w:r>
      <w:r>
        <w:rPr>
          <w:i/>
        </w:rPr>
        <w:t>D</w:t>
      </w:r>
      <w:r w:rsidRPr="00C02B46">
        <w:rPr>
          <w:i/>
        </w:rPr>
        <w:t xml:space="preserve">eveloping </w:t>
      </w:r>
      <w:r>
        <w:rPr>
          <w:i/>
        </w:rPr>
        <w:t>E</w:t>
      </w:r>
      <w:r w:rsidRPr="00C02B46">
        <w:rPr>
          <w:i/>
        </w:rPr>
        <w:t xml:space="preserve">ffective </w:t>
      </w:r>
      <w:r>
        <w:rPr>
          <w:i/>
        </w:rPr>
        <w:t>P</w:t>
      </w:r>
      <w:r w:rsidRPr="00C02B46">
        <w:rPr>
          <w:i/>
        </w:rPr>
        <w:t xml:space="preserve">eople </w:t>
      </w:r>
      <w:r>
        <w:rPr>
          <w:i/>
        </w:rPr>
        <w:t>S</w:t>
      </w:r>
      <w:r w:rsidRPr="00C02B46">
        <w:rPr>
          <w:i/>
        </w:rPr>
        <w:t xml:space="preserve">kills for </w:t>
      </w:r>
      <w:r>
        <w:rPr>
          <w:i/>
        </w:rPr>
        <w:t>B</w:t>
      </w:r>
      <w:r w:rsidRPr="00C02B46">
        <w:rPr>
          <w:i/>
        </w:rPr>
        <w:t xml:space="preserve">etter </w:t>
      </w:r>
      <w:r>
        <w:rPr>
          <w:i/>
        </w:rPr>
        <w:t>L</w:t>
      </w:r>
      <w:r w:rsidRPr="00C02B46">
        <w:rPr>
          <w:i/>
        </w:rPr>
        <w:t xml:space="preserve">eadership and </w:t>
      </w:r>
      <w:r>
        <w:rPr>
          <w:i/>
        </w:rPr>
        <w:t>M</w:t>
      </w:r>
      <w:r w:rsidRPr="00C02B46">
        <w:rPr>
          <w:i/>
        </w:rPr>
        <w:t>anagement</w:t>
      </w:r>
      <w:r>
        <w:rPr>
          <w:i/>
        </w:rPr>
        <w:t xml:space="preserve">, </w:t>
      </w:r>
      <w:r>
        <w:t>(3</w:t>
      </w:r>
      <w:r w:rsidRPr="004A2424">
        <w:rPr>
          <w:vertAlign w:val="superscript"/>
        </w:rPr>
        <w:t>rd</w:t>
      </w:r>
      <w:r>
        <w:t xml:space="preserve"> Edition), London, Kogan Page.</w:t>
      </w:r>
    </w:p>
    <w:p w14:paraId="39C9CEAE" w14:textId="46DB30A8" w:rsidR="00AB11DA" w:rsidRDefault="00AB11DA" w:rsidP="00AB11DA">
      <w:pPr>
        <w:rPr>
          <w:u w:val="single"/>
        </w:rPr>
      </w:pPr>
      <w:r>
        <w:t>BBC. (2015</w:t>
      </w:r>
      <w:r w:rsidRPr="00061905">
        <w:rPr>
          <w:i/>
        </w:rPr>
        <w:t>), Fears 250 Jobs are at Risk at Crown Packaging in Neath</w:t>
      </w:r>
      <w:r>
        <w:t xml:space="preserve"> [online], </w:t>
      </w:r>
      <w:r w:rsidRPr="00061905">
        <w:rPr>
          <w:u w:val="single"/>
        </w:rPr>
        <w:t>https://www.bbc.co.uk/news/uk-wales-south-west-wales-34541470</w:t>
      </w:r>
      <w:r>
        <w:rPr>
          <w:u w:val="single"/>
        </w:rPr>
        <w:t>, Accessed 01/03/2019.</w:t>
      </w:r>
    </w:p>
    <w:p w14:paraId="61E66A0E" w14:textId="5062C705" w:rsidR="00AB11DA" w:rsidRDefault="00AB11DA" w:rsidP="00AB11DA">
      <w:proofErr w:type="spellStart"/>
      <w:r>
        <w:t>Carnall</w:t>
      </w:r>
      <w:proofErr w:type="spellEnd"/>
      <w:r>
        <w:t xml:space="preserve">, C.A. (2016), </w:t>
      </w:r>
      <w:r w:rsidRPr="00AB11DA">
        <w:rPr>
          <w:i/>
        </w:rPr>
        <w:t>Managing Change in Organisation</w:t>
      </w:r>
      <w:r>
        <w:t>, 6</w:t>
      </w:r>
      <w:r w:rsidRPr="00AB11DA">
        <w:rPr>
          <w:vertAlign w:val="superscript"/>
        </w:rPr>
        <w:t>th</w:t>
      </w:r>
      <w:r>
        <w:t xml:space="preserve"> Edition, Harlow, Pearson Education.</w:t>
      </w:r>
    </w:p>
    <w:p w14:paraId="0E0ABDBC" w14:textId="77777777" w:rsidR="00AB11DA" w:rsidRDefault="00AB11DA" w:rsidP="00AB11DA">
      <w:r>
        <w:t xml:space="preserve">Cassidy, C.M. &amp; </w:t>
      </w:r>
      <w:proofErr w:type="spellStart"/>
      <w:r>
        <w:t>Kreitner</w:t>
      </w:r>
      <w:proofErr w:type="spellEnd"/>
      <w:r>
        <w:t xml:space="preserve">, R. (2012), </w:t>
      </w:r>
      <w:r w:rsidRPr="004A2424">
        <w:rPr>
          <w:i/>
        </w:rPr>
        <w:t>Principles of Management</w:t>
      </w:r>
      <w:r>
        <w:t>, 12</w:t>
      </w:r>
      <w:r w:rsidRPr="004A2424">
        <w:rPr>
          <w:vertAlign w:val="superscript"/>
        </w:rPr>
        <w:t>th</w:t>
      </w:r>
      <w:r>
        <w:t xml:space="preserve"> Edition, UK, South Western College.</w:t>
      </w:r>
    </w:p>
    <w:p w14:paraId="4D1D8493" w14:textId="77777777" w:rsidR="00AB11DA" w:rsidRDefault="00AB11DA" w:rsidP="00AB11DA">
      <w:r>
        <w:t xml:space="preserve">Cole, G.A. &amp; Kelly, P. (2011), </w:t>
      </w:r>
      <w:r w:rsidRPr="00061905">
        <w:rPr>
          <w:i/>
        </w:rPr>
        <w:t>Management Theory and Practice</w:t>
      </w:r>
      <w:r>
        <w:t>, 7</w:t>
      </w:r>
      <w:r w:rsidRPr="00061905">
        <w:rPr>
          <w:vertAlign w:val="superscript"/>
        </w:rPr>
        <w:t>th</w:t>
      </w:r>
      <w:r>
        <w:t xml:space="preserve"> Edition, Hampshire, Cengage Learning EMEA.</w:t>
      </w:r>
    </w:p>
    <w:p w14:paraId="0073ECD9" w14:textId="35293EB1" w:rsidR="00AB11DA" w:rsidRDefault="00AB11DA" w:rsidP="00AB11DA">
      <w:r>
        <w:t xml:space="preserve">Crown Cork. (2019), </w:t>
      </w:r>
      <w:r w:rsidRPr="002A76BB">
        <w:rPr>
          <w:i/>
        </w:rPr>
        <w:t>Facts and Figures</w:t>
      </w:r>
      <w:r>
        <w:t xml:space="preserve"> [online], </w:t>
      </w:r>
      <w:r w:rsidRPr="002A76BB">
        <w:rPr>
          <w:u w:val="single"/>
        </w:rPr>
        <w:t>https://www.crowncork.com</w:t>
      </w:r>
      <w:r>
        <w:t>. Accessed 10/04/2019.</w:t>
      </w:r>
    </w:p>
    <w:p w14:paraId="0A56D49C" w14:textId="56FE8116" w:rsidR="0009211D" w:rsidRDefault="0009211D" w:rsidP="00AB11DA">
      <w:proofErr w:type="spellStart"/>
      <w:r>
        <w:t>Francke</w:t>
      </w:r>
      <w:proofErr w:type="spellEnd"/>
      <w:r>
        <w:t xml:space="preserve">, A. (2014), </w:t>
      </w:r>
      <w:r w:rsidRPr="0009211D">
        <w:rPr>
          <w:i/>
        </w:rPr>
        <w:t>The Financial Times Guide to Management: How to Make a Difference and get Results</w:t>
      </w:r>
      <w:r>
        <w:t>, Harlow, Pearson Education.</w:t>
      </w:r>
    </w:p>
    <w:p w14:paraId="7A51F474" w14:textId="77777777" w:rsidR="00AB11DA" w:rsidRDefault="00AB11DA" w:rsidP="00AB11DA">
      <w:r>
        <w:t xml:space="preserve">Hayes, J. (2014), </w:t>
      </w:r>
      <w:r w:rsidRPr="004A2424">
        <w:rPr>
          <w:i/>
        </w:rPr>
        <w:t>The Theory and Practice of Change Management</w:t>
      </w:r>
      <w:r>
        <w:t>, 4</w:t>
      </w:r>
      <w:r w:rsidRPr="004A2424">
        <w:rPr>
          <w:vertAlign w:val="superscript"/>
        </w:rPr>
        <w:t>th</w:t>
      </w:r>
      <w:r>
        <w:t xml:space="preserve"> Edition, Hampshire, Palgrave Macmillan.</w:t>
      </w:r>
      <w:bookmarkStart w:id="15" w:name="_GoBack"/>
      <w:bookmarkEnd w:id="15"/>
    </w:p>
    <w:p w14:paraId="351C0C1D" w14:textId="77777777" w:rsidR="00AB11DA" w:rsidRDefault="00AB11DA" w:rsidP="00AB11DA">
      <w:r>
        <w:t xml:space="preserve">Kubler-Ross, E. (1973), </w:t>
      </w:r>
      <w:r w:rsidRPr="00C02B46">
        <w:rPr>
          <w:i/>
        </w:rPr>
        <w:t>On Death and Dying</w:t>
      </w:r>
      <w:r>
        <w:t>, New York, Collier-Macmillan.</w:t>
      </w:r>
    </w:p>
    <w:p w14:paraId="1009913A" w14:textId="7879ED1F" w:rsidR="00AB11DA" w:rsidRDefault="00AB11DA" w:rsidP="00AB11DA">
      <w:r>
        <w:t>Maslow, A.H. (1943</w:t>
      </w:r>
      <w:r w:rsidRPr="004A2424">
        <w:rPr>
          <w:i/>
        </w:rPr>
        <w:t>), A Theory of Human Motivation</w:t>
      </w:r>
      <w:r>
        <w:t>, American Psychological Association, 50, 370-396.</w:t>
      </w:r>
    </w:p>
    <w:p w14:paraId="788AA416" w14:textId="6DBE93C4" w:rsidR="00AB11DA" w:rsidRDefault="00AB11DA" w:rsidP="00AB11DA">
      <w:r>
        <w:t xml:space="preserve">Maylor, H. (2010), </w:t>
      </w:r>
      <w:r w:rsidRPr="0009211D">
        <w:rPr>
          <w:i/>
        </w:rPr>
        <w:t>Project Management</w:t>
      </w:r>
      <w:r>
        <w:t>, 4</w:t>
      </w:r>
      <w:r w:rsidRPr="00AB11DA">
        <w:rPr>
          <w:vertAlign w:val="superscript"/>
        </w:rPr>
        <w:t>th</w:t>
      </w:r>
      <w:r>
        <w:t xml:space="preserve"> Edition, Harlow, Financial Times</w:t>
      </w:r>
      <w:r w:rsidR="0009211D">
        <w:t xml:space="preserve"> Prentice Hall.</w:t>
      </w:r>
    </w:p>
    <w:p w14:paraId="4337BCF7" w14:textId="66127C58" w:rsidR="0009211D" w:rsidRDefault="0009211D" w:rsidP="00AB11DA">
      <w:r>
        <w:t xml:space="preserve">Miles, R.E. (1975), </w:t>
      </w:r>
      <w:r w:rsidRPr="0009211D">
        <w:rPr>
          <w:i/>
        </w:rPr>
        <w:t>Theories of Management: Implications for Organisational Behaviour and Development</w:t>
      </w:r>
      <w:r>
        <w:t>, London, McGraw-Hill.</w:t>
      </w:r>
    </w:p>
    <w:p w14:paraId="5A1505A2" w14:textId="77777777" w:rsidR="00AB11DA" w:rsidRPr="00714C7F" w:rsidRDefault="00AB11DA" w:rsidP="00AB11DA">
      <w:r>
        <w:t xml:space="preserve">Mindtools. (2019), </w:t>
      </w:r>
      <w:r w:rsidRPr="00714C7F">
        <w:rPr>
          <w:i/>
        </w:rPr>
        <w:t>Force Field Analysis</w:t>
      </w:r>
      <w:r>
        <w:t xml:space="preserve"> [online], </w:t>
      </w:r>
      <w:hyperlink r:id="rId20" w:history="1">
        <w:r w:rsidRPr="00714C7F">
          <w:rPr>
            <w:rStyle w:val="Hyperlink"/>
            <w:color w:val="auto"/>
          </w:rPr>
          <w:t>https://www.mindtools.com/community/pages/article/newTED_06.php</w:t>
        </w:r>
      </w:hyperlink>
      <w:r>
        <w:t>, Accessed 01/04/2019.</w:t>
      </w:r>
    </w:p>
    <w:p w14:paraId="7385EE17" w14:textId="77777777" w:rsidR="00AB11DA" w:rsidRDefault="00AB11DA" w:rsidP="00AB11DA">
      <w:r>
        <w:t xml:space="preserve">Mindtools. (2019), </w:t>
      </w:r>
      <w:r w:rsidRPr="00AD379A">
        <w:rPr>
          <w:i/>
        </w:rPr>
        <w:t>The Change Curve</w:t>
      </w:r>
      <w:r>
        <w:rPr>
          <w:i/>
        </w:rPr>
        <w:t xml:space="preserve"> </w:t>
      </w:r>
      <w:r>
        <w:t xml:space="preserve">[online], </w:t>
      </w:r>
      <w:r>
        <w:rPr>
          <w:i/>
        </w:rPr>
        <w:t xml:space="preserve"> </w:t>
      </w:r>
      <w:hyperlink r:id="rId21" w:history="1">
        <w:r w:rsidRPr="00714C7F">
          <w:rPr>
            <w:rStyle w:val="Hyperlink"/>
            <w:color w:val="auto"/>
          </w:rPr>
          <w:t>https://www.mindtools.com/pages/articles/newPPM_96.htm</w:t>
        </w:r>
      </w:hyperlink>
      <w:r>
        <w:t>, Accessed 25/03/2019.</w:t>
      </w:r>
    </w:p>
    <w:p w14:paraId="740BEB2D" w14:textId="77777777" w:rsidR="00AB11DA" w:rsidRDefault="00AB11DA" w:rsidP="00AB11DA">
      <w:r>
        <w:t xml:space="preserve">Mullins, L.J. (2016), </w:t>
      </w:r>
      <w:r w:rsidRPr="00AD379A">
        <w:rPr>
          <w:i/>
        </w:rPr>
        <w:t>Management and Organisational Behaviour</w:t>
      </w:r>
      <w:r>
        <w:t>, (11</w:t>
      </w:r>
      <w:r w:rsidRPr="00AD379A">
        <w:rPr>
          <w:vertAlign w:val="superscript"/>
        </w:rPr>
        <w:t>th</w:t>
      </w:r>
      <w:r>
        <w:t xml:space="preserve"> Edition), Harlow, Pearson Education Limited.</w:t>
      </w:r>
    </w:p>
    <w:p w14:paraId="084A2340" w14:textId="77777777" w:rsidR="00AB11DA" w:rsidRDefault="00AB11DA" w:rsidP="00AB11DA">
      <w:r>
        <w:t xml:space="preserve">Nadler, D.A. &amp; </w:t>
      </w:r>
      <w:proofErr w:type="spellStart"/>
      <w:r>
        <w:t>Tushman</w:t>
      </w:r>
      <w:proofErr w:type="spellEnd"/>
      <w:r>
        <w:t xml:space="preserve">, M.L. (1989), </w:t>
      </w:r>
      <w:r w:rsidRPr="00714C7F">
        <w:rPr>
          <w:i/>
        </w:rPr>
        <w:t>Organizational Frame Bending: Principles for Managing Reorientation,</w:t>
      </w:r>
      <w:r>
        <w:t xml:space="preserve"> The Academy of Management Executive, 3:3, 194-204.</w:t>
      </w:r>
      <w:r w:rsidRPr="00714C7F">
        <w:t xml:space="preserve"> </w:t>
      </w:r>
    </w:p>
    <w:p w14:paraId="1F36F225" w14:textId="77777777" w:rsidR="00AB11DA" w:rsidRDefault="00AB11DA" w:rsidP="00AB11DA">
      <w:r>
        <w:t xml:space="preserve">Packaging Gateway. (2015), </w:t>
      </w:r>
      <w:r w:rsidRPr="00061905">
        <w:rPr>
          <w:i/>
        </w:rPr>
        <w:t>UK to Experience 250 Job Cuts as Crown Packaging Plans Neath Facility Shut Down</w:t>
      </w:r>
      <w:r>
        <w:t xml:space="preserve"> [online], </w:t>
      </w:r>
      <w:hyperlink r:id="rId22" w:history="1">
        <w:r w:rsidRPr="00061905">
          <w:rPr>
            <w:rStyle w:val="Hyperlink"/>
            <w:color w:val="auto"/>
          </w:rPr>
          <w:t>https://www.packaging-gateway.com/news/uk-to-experience-250-job-cuts-as-crown-packaging-plans-neath-facility-shut-down-4695538/</w:t>
        </w:r>
      </w:hyperlink>
      <w:r>
        <w:t>, Accessed 01/03/2019.</w:t>
      </w:r>
    </w:p>
    <w:p w14:paraId="19F42925" w14:textId="77777777" w:rsidR="00AB11DA" w:rsidRDefault="00AB11DA" w:rsidP="00AB11DA">
      <w:r>
        <w:t xml:space="preserve">Scott, C.D. &amp; Jaffe, D.T. (1988), </w:t>
      </w:r>
      <w:r w:rsidRPr="00C02B46">
        <w:rPr>
          <w:i/>
        </w:rPr>
        <w:t>Survive and Thrive in Times of Change</w:t>
      </w:r>
      <w:r>
        <w:t>, Training and Development Journal, 42:4, 25-27.</w:t>
      </w:r>
    </w:p>
    <w:p w14:paraId="0E2F3FD6" w14:textId="77777777" w:rsidR="00AB11DA" w:rsidRPr="00AB11DA" w:rsidRDefault="00AB11DA" w:rsidP="00AB11DA"/>
    <w:sectPr w:rsidR="00AB11DA" w:rsidRPr="00AB11DA" w:rsidSect="007362F6">
      <w:headerReference w:type="default" r:id="rId23"/>
      <w:footerReference w:type="defaul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7479FB6" w14:textId="77777777" w:rsidR="007362F6" w:rsidRDefault="007362F6" w:rsidP="007362F6">
      <w:pPr>
        <w:spacing w:after="0" w:line="240" w:lineRule="auto"/>
      </w:pPr>
      <w:r>
        <w:separator/>
      </w:r>
    </w:p>
  </w:endnote>
  <w:endnote w:type="continuationSeparator" w:id="0">
    <w:p w14:paraId="66485F50" w14:textId="77777777" w:rsidR="007362F6" w:rsidRDefault="007362F6" w:rsidP="007362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Unicode MS">
    <w:panose1 w:val="020B0604020202020204"/>
    <w:charset w:val="80"/>
    <w:family w:val="swiss"/>
    <w:pitch w:val="variable"/>
    <w:sig w:usb0="F7FFAFFF" w:usb1="E9DFFFFF" w:usb2="0000003F" w:usb3="00000000" w:csb0="003F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52297592"/>
      <w:docPartObj>
        <w:docPartGallery w:val="Page Numbers (Bottom of Page)"/>
        <w:docPartUnique/>
      </w:docPartObj>
    </w:sdtPr>
    <w:sdtEndPr>
      <w:rPr>
        <w:noProof/>
      </w:rPr>
    </w:sdtEndPr>
    <w:sdtContent>
      <w:p w14:paraId="37C29267" w14:textId="77777777" w:rsidR="007362F6" w:rsidRDefault="007362F6">
        <w:pPr>
          <w:pStyle w:val="Footer"/>
          <w:jc w:val="center"/>
        </w:pPr>
        <w:r>
          <w:fldChar w:fldCharType="begin"/>
        </w:r>
        <w:r>
          <w:instrText xml:space="preserve"> PAGE   \* MERGEFORMAT </w:instrText>
        </w:r>
        <w:r>
          <w:fldChar w:fldCharType="separate"/>
        </w:r>
        <w:r w:rsidR="00F1323F">
          <w:rPr>
            <w:noProof/>
          </w:rPr>
          <w:t>1</w:t>
        </w:r>
        <w:r>
          <w:rPr>
            <w:noProof/>
          </w:rPr>
          <w:fldChar w:fldCharType="end"/>
        </w:r>
      </w:p>
    </w:sdtContent>
  </w:sdt>
  <w:p w14:paraId="3E773FC7" w14:textId="77777777" w:rsidR="007362F6" w:rsidRDefault="007362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5285288" w14:textId="77777777" w:rsidR="007362F6" w:rsidRDefault="007362F6" w:rsidP="007362F6">
      <w:pPr>
        <w:spacing w:after="0" w:line="240" w:lineRule="auto"/>
      </w:pPr>
      <w:r>
        <w:separator/>
      </w:r>
    </w:p>
  </w:footnote>
  <w:footnote w:type="continuationSeparator" w:id="0">
    <w:p w14:paraId="36E033BF" w14:textId="77777777" w:rsidR="007362F6" w:rsidRDefault="007362F6" w:rsidP="007362F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20E37A8" w14:textId="77777777" w:rsidR="007362F6" w:rsidRDefault="007362F6">
    <w:pPr>
      <w:pStyle w:val="Header"/>
    </w:pPr>
    <w:r>
      <w:t>Gavin Clarkson 1809104</w:t>
    </w:r>
  </w:p>
  <w:p w14:paraId="367A0B50" w14:textId="77777777" w:rsidR="007362F6" w:rsidRDefault="007362F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E741DB"/>
    <w:multiLevelType w:val="hybridMultilevel"/>
    <w:tmpl w:val="781659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070B05"/>
    <w:multiLevelType w:val="hybridMultilevel"/>
    <w:tmpl w:val="F3DCD8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C64D32"/>
    <w:multiLevelType w:val="hybridMultilevel"/>
    <w:tmpl w:val="76E0FA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F8E6714"/>
    <w:multiLevelType w:val="hybridMultilevel"/>
    <w:tmpl w:val="7EEE02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362F6"/>
    <w:rsid w:val="0000026A"/>
    <w:rsid w:val="000129A7"/>
    <w:rsid w:val="00015266"/>
    <w:rsid w:val="00022A56"/>
    <w:rsid w:val="00022D0E"/>
    <w:rsid w:val="00034F3B"/>
    <w:rsid w:val="0005269F"/>
    <w:rsid w:val="00061905"/>
    <w:rsid w:val="00067D3F"/>
    <w:rsid w:val="00076D72"/>
    <w:rsid w:val="00086000"/>
    <w:rsid w:val="0009211D"/>
    <w:rsid w:val="000B16C4"/>
    <w:rsid w:val="000C1C13"/>
    <w:rsid w:val="000C44A6"/>
    <w:rsid w:val="000D240E"/>
    <w:rsid w:val="000F39B0"/>
    <w:rsid w:val="00102952"/>
    <w:rsid w:val="001111B9"/>
    <w:rsid w:val="001160E0"/>
    <w:rsid w:val="00132653"/>
    <w:rsid w:val="00140884"/>
    <w:rsid w:val="0014100E"/>
    <w:rsid w:val="00156F83"/>
    <w:rsid w:val="001570E2"/>
    <w:rsid w:val="0016374A"/>
    <w:rsid w:val="0018515E"/>
    <w:rsid w:val="001912EE"/>
    <w:rsid w:val="001958E8"/>
    <w:rsid w:val="001B0E40"/>
    <w:rsid w:val="001C3B39"/>
    <w:rsid w:val="001D1485"/>
    <w:rsid w:val="001E0960"/>
    <w:rsid w:val="001F4DE0"/>
    <w:rsid w:val="002175EC"/>
    <w:rsid w:val="002216D9"/>
    <w:rsid w:val="00231F28"/>
    <w:rsid w:val="00244A6B"/>
    <w:rsid w:val="00245DF0"/>
    <w:rsid w:val="002727D2"/>
    <w:rsid w:val="002776F1"/>
    <w:rsid w:val="002812AE"/>
    <w:rsid w:val="002A4110"/>
    <w:rsid w:val="002A69A2"/>
    <w:rsid w:val="002A76BB"/>
    <w:rsid w:val="002B1817"/>
    <w:rsid w:val="002B7D8D"/>
    <w:rsid w:val="002C272E"/>
    <w:rsid w:val="002C3B3C"/>
    <w:rsid w:val="002E2A04"/>
    <w:rsid w:val="002F47CD"/>
    <w:rsid w:val="00300CD8"/>
    <w:rsid w:val="00303D08"/>
    <w:rsid w:val="0032550F"/>
    <w:rsid w:val="003324AB"/>
    <w:rsid w:val="0034575B"/>
    <w:rsid w:val="00372B1B"/>
    <w:rsid w:val="0037530B"/>
    <w:rsid w:val="003807CB"/>
    <w:rsid w:val="003808F3"/>
    <w:rsid w:val="00394F26"/>
    <w:rsid w:val="00395890"/>
    <w:rsid w:val="003A3543"/>
    <w:rsid w:val="003A4CCE"/>
    <w:rsid w:val="003B6746"/>
    <w:rsid w:val="003E4206"/>
    <w:rsid w:val="003E4B28"/>
    <w:rsid w:val="003E6B13"/>
    <w:rsid w:val="003F2AE9"/>
    <w:rsid w:val="003F4203"/>
    <w:rsid w:val="00403A6B"/>
    <w:rsid w:val="004113DD"/>
    <w:rsid w:val="00423BA5"/>
    <w:rsid w:val="00433A2D"/>
    <w:rsid w:val="00460600"/>
    <w:rsid w:val="00464804"/>
    <w:rsid w:val="004700A2"/>
    <w:rsid w:val="004829F0"/>
    <w:rsid w:val="0048364A"/>
    <w:rsid w:val="004842DC"/>
    <w:rsid w:val="004A2424"/>
    <w:rsid w:val="004B0529"/>
    <w:rsid w:val="004B5E9A"/>
    <w:rsid w:val="004E2D06"/>
    <w:rsid w:val="00561B48"/>
    <w:rsid w:val="005647E3"/>
    <w:rsid w:val="00573B5F"/>
    <w:rsid w:val="00580766"/>
    <w:rsid w:val="00586E9A"/>
    <w:rsid w:val="005C0B3C"/>
    <w:rsid w:val="005C4AF1"/>
    <w:rsid w:val="005C7A91"/>
    <w:rsid w:val="006050FD"/>
    <w:rsid w:val="006168AD"/>
    <w:rsid w:val="00620063"/>
    <w:rsid w:val="00634190"/>
    <w:rsid w:val="00693B1D"/>
    <w:rsid w:val="00695A70"/>
    <w:rsid w:val="006A0D67"/>
    <w:rsid w:val="006A18DE"/>
    <w:rsid w:val="006B3C64"/>
    <w:rsid w:val="006B45E0"/>
    <w:rsid w:val="006B6C41"/>
    <w:rsid w:val="006B796D"/>
    <w:rsid w:val="006C1C1D"/>
    <w:rsid w:val="006D1916"/>
    <w:rsid w:val="006D7BE6"/>
    <w:rsid w:val="006E372D"/>
    <w:rsid w:val="006E61EC"/>
    <w:rsid w:val="006F4377"/>
    <w:rsid w:val="0070326D"/>
    <w:rsid w:val="00712193"/>
    <w:rsid w:val="007128A4"/>
    <w:rsid w:val="00714C7F"/>
    <w:rsid w:val="00731E51"/>
    <w:rsid w:val="007362F6"/>
    <w:rsid w:val="00745A2F"/>
    <w:rsid w:val="00750B50"/>
    <w:rsid w:val="0076430B"/>
    <w:rsid w:val="00764529"/>
    <w:rsid w:val="0078349E"/>
    <w:rsid w:val="007837B3"/>
    <w:rsid w:val="00793840"/>
    <w:rsid w:val="007A0DF4"/>
    <w:rsid w:val="007A5BD0"/>
    <w:rsid w:val="007A742D"/>
    <w:rsid w:val="007B062F"/>
    <w:rsid w:val="007C15A7"/>
    <w:rsid w:val="007C1FDE"/>
    <w:rsid w:val="007E5BC9"/>
    <w:rsid w:val="008011F3"/>
    <w:rsid w:val="00801A20"/>
    <w:rsid w:val="00805FCB"/>
    <w:rsid w:val="00812A2C"/>
    <w:rsid w:val="00825123"/>
    <w:rsid w:val="008304A6"/>
    <w:rsid w:val="008464A6"/>
    <w:rsid w:val="00866542"/>
    <w:rsid w:val="0088438E"/>
    <w:rsid w:val="008974A5"/>
    <w:rsid w:val="008A0812"/>
    <w:rsid w:val="008A7FEA"/>
    <w:rsid w:val="008B0E99"/>
    <w:rsid w:val="008F0B49"/>
    <w:rsid w:val="009104FF"/>
    <w:rsid w:val="00911709"/>
    <w:rsid w:val="00912298"/>
    <w:rsid w:val="0093071D"/>
    <w:rsid w:val="00943206"/>
    <w:rsid w:val="00952E8A"/>
    <w:rsid w:val="00955266"/>
    <w:rsid w:val="009708DA"/>
    <w:rsid w:val="00982BD5"/>
    <w:rsid w:val="009A331E"/>
    <w:rsid w:val="009B17AB"/>
    <w:rsid w:val="009B6172"/>
    <w:rsid w:val="009C071E"/>
    <w:rsid w:val="009C17F1"/>
    <w:rsid w:val="009D4B29"/>
    <w:rsid w:val="009F6D04"/>
    <w:rsid w:val="00A27083"/>
    <w:rsid w:val="00A42A6B"/>
    <w:rsid w:val="00A46D46"/>
    <w:rsid w:val="00A47272"/>
    <w:rsid w:val="00A65A61"/>
    <w:rsid w:val="00A6644A"/>
    <w:rsid w:val="00A773E9"/>
    <w:rsid w:val="00A82C91"/>
    <w:rsid w:val="00A839F9"/>
    <w:rsid w:val="00A866E5"/>
    <w:rsid w:val="00A9211F"/>
    <w:rsid w:val="00AB11DA"/>
    <w:rsid w:val="00AC211A"/>
    <w:rsid w:val="00AD2BA0"/>
    <w:rsid w:val="00AD379A"/>
    <w:rsid w:val="00AE1C2F"/>
    <w:rsid w:val="00AF2175"/>
    <w:rsid w:val="00B07353"/>
    <w:rsid w:val="00B26887"/>
    <w:rsid w:val="00B2701C"/>
    <w:rsid w:val="00B35D2E"/>
    <w:rsid w:val="00B40B0B"/>
    <w:rsid w:val="00B43B04"/>
    <w:rsid w:val="00B519A9"/>
    <w:rsid w:val="00B53483"/>
    <w:rsid w:val="00B57CCF"/>
    <w:rsid w:val="00B67E1A"/>
    <w:rsid w:val="00B978F5"/>
    <w:rsid w:val="00BB62EE"/>
    <w:rsid w:val="00BD3253"/>
    <w:rsid w:val="00BE42EE"/>
    <w:rsid w:val="00BF0019"/>
    <w:rsid w:val="00BF4E3C"/>
    <w:rsid w:val="00BF5958"/>
    <w:rsid w:val="00C02B46"/>
    <w:rsid w:val="00C031D6"/>
    <w:rsid w:val="00C064F7"/>
    <w:rsid w:val="00C2271E"/>
    <w:rsid w:val="00C63EF2"/>
    <w:rsid w:val="00C66920"/>
    <w:rsid w:val="00C73576"/>
    <w:rsid w:val="00C772E5"/>
    <w:rsid w:val="00C8104D"/>
    <w:rsid w:val="00C944F3"/>
    <w:rsid w:val="00CA5B79"/>
    <w:rsid w:val="00CA66A1"/>
    <w:rsid w:val="00CC5ACE"/>
    <w:rsid w:val="00CF346F"/>
    <w:rsid w:val="00D4038F"/>
    <w:rsid w:val="00D62836"/>
    <w:rsid w:val="00D92975"/>
    <w:rsid w:val="00D9592A"/>
    <w:rsid w:val="00DA78EE"/>
    <w:rsid w:val="00DB0276"/>
    <w:rsid w:val="00DB54E6"/>
    <w:rsid w:val="00DC7032"/>
    <w:rsid w:val="00DD0C70"/>
    <w:rsid w:val="00DF7A0C"/>
    <w:rsid w:val="00E0099C"/>
    <w:rsid w:val="00E0568E"/>
    <w:rsid w:val="00E06AD6"/>
    <w:rsid w:val="00E15D49"/>
    <w:rsid w:val="00E23D7B"/>
    <w:rsid w:val="00E4331C"/>
    <w:rsid w:val="00E60244"/>
    <w:rsid w:val="00E94AC8"/>
    <w:rsid w:val="00EC61A0"/>
    <w:rsid w:val="00EE5A17"/>
    <w:rsid w:val="00EF2335"/>
    <w:rsid w:val="00F0114E"/>
    <w:rsid w:val="00F1323F"/>
    <w:rsid w:val="00F15A73"/>
    <w:rsid w:val="00F426E3"/>
    <w:rsid w:val="00F43A85"/>
    <w:rsid w:val="00F51903"/>
    <w:rsid w:val="00F56E6A"/>
    <w:rsid w:val="00F66C64"/>
    <w:rsid w:val="00F82920"/>
    <w:rsid w:val="00F82A95"/>
    <w:rsid w:val="00FA63BE"/>
    <w:rsid w:val="00FA683F"/>
    <w:rsid w:val="00FA78FC"/>
    <w:rsid w:val="00FC60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3964D9"/>
  <w15:chartTrackingRefBased/>
  <w15:docId w15:val="{0CA52ABC-C974-4176-AF0E-71FF93A2E8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452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64529"/>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764529"/>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362F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362F6"/>
    <w:rPr>
      <w:rFonts w:eastAsiaTheme="minorEastAsia"/>
      <w:lang w:val="en-US"/>
    </w:rPr>
  </w:style>
  <w:style w:type="paragraph" w:styleId="Header">
    <w:name w:val="header"/>
    <w:basedOn w:val="Normal"/>
    <w:link w:val="HeaderChar"/>
    <w:uiPriority w:val="99"/>
    <w:unhideWhenUsed/>
    <w:rsid w:val="007362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62F6"/>
  </w:style>
  <w:style w:type="paragraph" w:styleId="Footer">
    <w:name w:val="footer"/>
    <w:basedOn w:val="Normal"/>
    <w:link w:val="FooterChar"/>
    <w:uiPriority w:val="99"/>
    <w:unhideWhenUsed/>
    <w:rsid w:val="007362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62F6"/>
  </w:style>
  <w:style w:type="character" w:customStyle="1" w:styleId="Heading1Char">
    <w:name w:val="Heading 1 Char"/>
    <w:basedOn w:val="DefaultParagraphFont"/>
    <w:link w:val="Heading1"/>
    <w:uiPriority w:val="9"/>
    <w:rsid w:val="00764529"/>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64529"/>
    <w:pPr>
      <w:outlineLvl w:val="9"/>
    </w:pPr>
    <w:rPr>
      <w:lang w:val="en-US"/>
    </w:rPr>
  </w:style>
  <w:style w:type="paragraph" w:styleId="TOC1">
    <w:name w:val="toc 1"/>
    <w:basedOn w:val="Normal"/>
    <w:next w:val="Normal"/>
    <w:autoRedefine/>
    <w:uiPriority w:val="39"/>
    <w:unhideWhenUsed/>
    <w:rsid w:val="00764529"/>
    <w:pPr>
      <w:spacing w:after="100"/>
    </w:pPr>
  </w:style>
  <w:style w:type="character" w:styleId="Hyperlink">
    <w:name w:val="Hyperlink"/>
    <w:basedOn w:val="DefaultParagraphFont"/>
    <w:uiPriority w:val="99"/>
    <w:unhideWhenUsed/>
    <w:rsid w:val="00764529"/>
    <w:rPr>
      <w:color w:val="0563C1" w:themeColor="hyperlink"/>
      <w:u w:val="single"/>
    </w:rPr>
  </w:style>
  <w:style w:type="character" w:customStyle="1" w:styleId="Heading2Char">
    <w:name w:val="Heading 2 Char"/>
    <w:basedOn w:val="DefaultParagraphFont"/>
    <w:link w:val="Heading2"/>
    <w:uiPriority w:val="9"/>
    <w:rsid w:val="00764529"/>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764529"/>
    <w:rPr>
      <w:rFonts w:asciiTheme="majorHAnsi" w:eastAsiaTheme="majorEastAsia" w:hAnsiTheme="majorHAnsi" w:cstheme="majorBidi"/>
      <w:color w:val="1F4D78" w:themeColor="accent1" w:themeShade="7F"/>
      <w:sz w:val="24"/>
      <w:szCs w:val="24"/>
    </w:rPr>
  </w:style>
  <w:style w:type="paragraph" w:styleId="TOC2">
    <w:name w:val="toc 2"/>
    <w:basedOn w:val="Normal"/>
    <w:next w:val="Normal"/>
    <w:autoRedefine/>
    <w:uiPriority w:val="39"/>
    <w:unhideWhenUsed/>
    <w:rsid w:val="00764529"/>
    <w:pPr>
      <w:spacing w:after="100"/>
      <w:ind w:left="220"/>
    </w:pPr>
  </w:style>
  <w:style w:type="paragraph" w:styleId="TOC3">
    <w:name w:val="toc 3"/>
    <w:basedOn w:val="Normal"/>
    <w:next w:val="Normal"/>
    <w:autoRedefine/>
    <w:uiPriority w:val="39"/>
    <w:unhideWhenUsed/>
    <w:rsid w:val="00764529"/>
    <w:pPr>
      <w:spacing w:after="100"/>
      <w:ind w:left="440"/>
    </w:pPr>
  </w:style>
  <w:style w:type="character" w:styleId="Strong">
    <w:name w:val="Strong"/>
    <w:basedOn w:val="DefaultParagraphFont"/>
    <w:uiPriority w:val="22"/>
    <w:qFormat/>
    <w:rsid w:val="00BF5958"/>
    <w:rPr>
      <w:b/>
      <w:bCs/>
    </w:rPr>
  </w:style>
  <w:style w:type="paragraph" w:styleId="ListParagraph">
    <w:name w:val="List Paragraph"/>
    <w:basedOn w:val="Normal"/>
    <w:uiPriority w:val="34"/>
    <w:qFormat/>
    <w:rsid w:val="009F6D04"/>
    <w:pPr>
      <w:ind w:left="720"/>
      <w:contextualSpacing/>
    </w:pPr>
  </w:style>
  <w:style w:type="paragraph" w:styleId="BalloonText">
    <w:name w:val="Balloon Text"/>
    <w:basedOn w:val="Normal"/>
    <w:link w:val="BalloonTextChar"/>
    <w:uiPriority w:val="99"/>
    <w:semiHidden/>
    <w:unhideWhenUsed/>
    <w:rsid w:val="0076430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6430B"/>
    <w:rPr>
      <w:rFonts w:ascii="Segoe UI" w:hAnsi="Segoe UI" w:cs="Segoe UI"/>
      <w:sz w:val="18"/>
      <w:szCs w:val="18"/>
    </w:rPr>
  </w:style>
  <w:style w:type="character" w:customStyle="1" w:styleId="titleauthoretc">
    <w:name w:val="titleauthoretc"/>
    <w:basedOn w:val="DefaultParagraphFont"/>
    <w:rsid w:val="00634190"/>
  </w:style>
  <w:style w:type="paragraph" w:styleId="Caption">
    <w:name w:val="caption"/>
    <w:basedOn w:val="Normal"/>
    <w:next w:val="Normal"/>
    <w:uiPriority w:val="35"/>
    <w:unhideWhenUsed/>
    <w:qFormat/>
    <w:rsid w:val="00022A56"/>
    <w:pPr>
      <w:spacing w:after="200" w:line="240" w:lineRule="auto"/>
    </w:pPr>
    <w:rPr>
      <w:i/>
      <w:iCs/>
      <w:color w:val="44546A" w:themeColor="text2"/>
      <w:sz w:val="18"/>
      <w:szCs w:val="18"/>
    </w:rPr>
  </w:style>
  <w:style w:type="character" w:styleId="CommentReference">
    <w:name w:val="annotation reference"/>
    <w:basedOn w:val="DefaultParagraphFont"/>
    <w:uiPriority w:val="99"/>
    <w:semiHidden/>
    <w:unhideWhenUsed/>
    <w:rsid w:val="008304A6"/>
    <w:rPr>
      <w:sz w:val="16"/>
      <w:szCs w:val="16"/>
    </w:rPr>
  </w:style>
  <w:style w:type="paragraph" w:styleId="CommentText">
    <w:name w:val="annotation text"/>
    <w:basedOn w:val="Normal"/>
    <w:link w:val="CommentTextChar"/>
    <w:uiPriority w:val="99"/>
    <w:semiHidden/>
    <w:unhideWhenUsed/>
    <w:rsid w:val="008304A6"/>
    <w:pPr>
      <w:spacing w:line="240" w:lineRule="auto"/>
    </w:pPr>
    <w:rPr>
      <w:sz w:val="20"/>
      <w:szCs w:val="20"/>
    </w:rPr>
  </w:style>
  <w:style w:type="character" w:customStyle="1" w:styleId="CommentTextChar">
    <w:name w:val="Comment Text Char"/>
    <w:basedOn w:val="DefaultParagraphFont"/>
    <w:link w:val="CommentText"/>
    <w:uiPriority w:val="99"/>
    <w:semiHidden/>
    <w:rsid w:val="008304A6"/>
    <w:rPr>
      <w:sz w:val="20"/>
      <w:szCs w:val="20"/>
    </w:rPr>
  </w:style>
  <w:style w:type="paragraph" w:styleId="CommentSubject">
    <w:name w:val="annotation subject"/>
    <w:basedOn w:val="CommentText"/>
    <w:next w:val="CommentText"/>
    <w:link w:val="CommentSubjectChar"/>
    <w:uiPriority w:val="99"/>
    <w:semiHidden/>
    <w:unhideWhenUsed/>
    <w:rsid w:val="008304A6"/>
    <w:rPr>
      <w:b/>
      <w:bCs/>
    </w:rPr>
  </w:style>
  <w:style w:type="character" w:customStyle="1" w:styleId="CommentSubjectChar">
    <w:name w:val="Comment Subject Char"/>
    <w:basedOn w:val="CommentTextChar"/>
    <w:link w:val="CommentSubject"/>
    <w:uiPriority w:val="99"/>
    <w:semiHidden/>
    <w:rsid w:val="008304A6"/>
    <w:rPr>
      <w:b/>
      <w:bCs/>
      <w:sz w:val="20"/>
      <w:szCs w:val="20"/>
    </w:rPr>
  </w:style>
  <w:style w:type="character" w:styleId="UnresolvedMention">
    <w:name w:val="Unresolved Mention"/>
    <w:basedOn w:val="DefaultParagraphFont"/>
    <w:uiPriority w:val="99"/>
    <w:semiHidden/>
    <w:unhideWhenUsed/>
    <w:rsid w:val="00AD379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6663816">
      <w:bodyDiv w:val="1"/>
      <w:marLeft w:val="0"/>
      <w:marRight w:val="0"/>
      <w:marTop w:val="0"/>
      <w:marBottom w:val="0"/>
      <w:divBdr>
        <w:top w:val="none" w:sz="0" w:space="0" w:color="auto"/>
        <w:left w:val="none" w:sz="0" w:space="0" w:color="auto"/>
        <w:bottom w:val="none" w:sz="0" w:space="0" w:color="auto"/>
        <w:right w:val="none" w:sz="0" w:space="0" w:color="auto"/>
      </w:divBdr>
    </w:div>
    <w:div w:id="406071626">
      <w:bodyDiv w:val="1"/>
      <w:marLeft w:val="0"/>
      <w:marRight w:val="0"/>
      <w:marTop w:val="0"/>
      <w:marBottom w:val="0"/>
      <w:divBdr>
        <w:top w:val="none" w:sz="0" w:space="0" w:color="auto"/>
        <w:left w:val="none" w:sz="0" w:space="0" w:color="auto"/>
        <w:bottom w:val="none" w:sz="0" w:space="0" w:color="auto"/>
        <w:right w:val="none" w:sz="0" w:space="0" w:color="auto"/>
      </w:divBdr>
    </w:div>
    <w:div w:id="1332294111">
      <w:bodyDiv w:val="1"/>
      <w:marLeft w:val="0"/>
      <w:marRight w:val="0"/>
      <w:marTop w:val="0"/>
      <w:marBottom w:val="0"/>
      <w:divBdr>
        <w:top w:val="none" w:sz="0" w:space="0" w:color="auto"/>
        <w:left w:val="none" w:sz="0" w:space="0" w:color="auto"/>
        <w:bottom w:val="none" w:sz="0" w:space="0" w:color="auto"/>
        <w:right w:val="none" w:sz="0" w:space="0" w:color="auto"/>
      </w:divBdr>
    </w:div>
    <w:div w:id="1799184675">
      <w:bodyDiv w:val="1"/>
      <w:marLeft w:val="0"/>
      <w:marRight w:val="0"/>
      <w:marTop w:val="0"/>
      <w:marBottom w:val="0"/>
      <w:divBdr>
        <w:top w:val="none" w:sz="0" w:space="0" w:color="auto"/>
        <w:left w:val="none" w:sz="0" w:space="0" w:color="auto"/>
        <w:bottom w:val="none" w:sz="0" w:space="0" w:color="auto"/>
        <w:right w:val="none" w:sz="0" w:space="0" w:color="auto"/>
      </w:divBdr>
      <w:divsChild>
        <w:div w:id="546794773">
          <w:marLeft w:val="0"/>
          <w:marRight w:val="0"/>
          <w:marTop w:val="0"/>
          <w:marBottom w:val="0"/>
          <w:divBdr>
            <w:top w:val="none" w:sz="0" w:space="0" w:color="auto"/>
            <w:left w:val="none" w:sz="0" w:space="0" w:color="auto"/>
            <w:bottom w:val="none" w:sz="0" w:space="0" w:color="auto"/>
            <w:right w:val="none" w:sz="0" w:space="0" w:color="auto"/>
          </w:divBdr>
        </w:div>
        <w:div w:id="154632912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yperlink" Target="https://www.mindtools.com/pages/articles/newPPM_96.htm" TargetMode="External"/><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hyperlink" Target="https://www.mindtools.com/pages/articles/newPPM_96.htm"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www.mindtools.com/community/pages/article/newTED_06.php"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hyperlink" Target="https://www.mindtools.com/community/pages/article/newTED_06.php"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eader" Target="header1.xml"/><Relationship Id="rId10" Type="http://schemas.openxmlformats.org/officeDocument/2006/relationships/image" Target="media/image2.png"/><Relationship Id="rId19" Type="http://schemas.openxmlformats.org/officeDocument/2006/relationships/hyperlink" Target="https://www.packaging-gateway.com/news/uk-to-experience-250-job-cuts-as-crown-packaging-plans-neath-facility-shut-down-4695538/" TargetMode="Externa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hyperlink" Target="https://www.packaging-gateway.com/news/uk-to-experience-250-job-cuts-as-crown-packaging-plans-neath-facility-shut-down-469553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2019-04-10T00:00:00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E958742-A04C-45A3-BC29-CFB61F134F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FF877FDE</Template>
  <TotalTime>0</TotalTime>
  <Pages>14</Pages>
  <Words>3675</Words>
  <Characters>20954</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BEng mechanical and maunfacturing engineering</Company>
  <LinksUpToDate>false</LinksUpToDate>
  <CharactersWithSpaces>24580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M5X01176</dc:subject>
  <dc:creator>Gavin Clarkson (1809104)</dc:creator>
  <cp:keywords/>
  <dc:description/>
  <cp:lastModifiedBy>Clarkson, Gavin</cp:lastModifiedBy>
  <cp:revision>63</cp:revision>
  <cp:lastPrinted>2019-03-29T11:30:00Z</cp:lastPrinted>
  <dcterms:created xsi:type="dcterms:W3CDTF">2019-03-10T22:04:00Z</dcterms:created>
  <dcterms:modified xsi:type="dcterms:W3CDTF">2019-04-12T10:50:00Z</dcterms:modified>
</cp:coreProperties>
</file>