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8CE" w:rsidRDefault="0078765A" w:rsidP="00B948CE">
      <w:pPr>
        <w:spacing w:line="360" w:lineRule="auto"/>
        <w:jc w:val="center"/>
        <w:rPr>
          <w:rFonts w:ascii="Arial" w:hAnsi="Arial" w:cs="Arial"/>
          <w:b/>
          <w:sz w:val="24"/>
          <w:u w:val="single"/>
        </w:rPr>
      </w:pPr>
      <w:r w:rsidRPr="00B948CE">
        <w:rPr>
          <w:rFonts w:ascii="Arial" w:hAnsi="Arial" w:cs="Arial"/>
          <w:b/>
          <w:sz w:val="24"/>
          <w:u w:val="single"/>
        </w:rPr>
        <w:t xml:space="preserve">Effective Teaching, Learning and Assessment (ETLA) </w:t>
      </w:r>
      <w:r w:rsidR="008E7397" w:rsidRPr="00B948CE">
        <w:rPr>
          <w:rFonts w:ascii="Arial" w:hAnsi="Arial" w:cs="Arial"/>
          <w:b/>
          <w:sz w:val="24"/>
          <w:u w:val="single"/>
        </w:rPr>
        <w:t xml:space="preserve">– </w:t>
      </w:r>
      <w:r w:rsidR="00E46A6B" w:rsidRPr="00B948CE">
        <w:rPr>
          <w:rFonts w:ascii="Arial" w:hAnsi="Arial" w:cs="Arial"/>
          <w:b/>
          <w:sz w:val="24"/>
          <w:u w:val="single"/>
        </w:rPr>
        <w:t>Reflective Critical Evaluation</w:t>
      </w:r>
    </w:p>
    <w:p w:rsidR="00B948CE" w:rsidRDefault="00B948CE" w:rsidP="0032732B">
      <w:pPr>
        <w:spacing w:line="360" w:lineRule="auto"/>
        <w:rPr>
          <w:rFonts w:ascii="Arial" w:hAnsi="Arial" w:cs="Arial"/>
          <w:b/>
          <w:sz w:val="24"/>
          <w:u w:val="single"/>
        </w:rPr>
      </w:pPr>
      <w:bookmarkStart w:id="0" w:name="_GoBack"/>
      <w:bookmarkEnd w:id="0"/>
    </w:p>
    <w:p w:rsidR="00B948CE" w:rsidRPr="00B948CE" w:rsidRDefault="00B948CE" w:rsidP="009C269D">
      <w:pPr>
        <w:pStyle w:val="ListParagraph"/>
        <w:numPr>
          <w:ilvl w:val="0"/>
          <w:numId w:val="12"/>
        </w:numPr>
        <w:spacing w:line="360" w:lineRule="auto"/>
        <w:rPr>
          <w:rFonts w:ascii="Arial" w:hAnsi="Arial" w:cs="Arial"/>
          <w:b/>
          <w:sz w:val="24"/>
          <w:u w:val="single"/>
        </w:rPr>
      </w:pPr>
      <w:r>
        <w:rPr>
          <w:rFonts w:ascii="Arial" w:hAnsi="Arial" w:cs="Arial"/>
          <w:b/>
          <w:sz w:val="24"/>
          <w:u w:val="single"/>
        </w:rPr>
        <w:t>Introduction</w:t>
      </w:r>
    </w:p>
    <w:p w:rsidR="0032732B" w:rsidRPr="000E0F16" w:rsidRDefault="0032732B" w:rsidP="009C269D">
      <w:pPr>
        <w:spacing w:line="360" w:lineRule="auto"/>
        <w:rPr>
          <w:rFonts w:ascii="Arial" w:hAnsi="Arial" w:cs="Arial"/>
          <w:sz w:val="24"/>
        </w:rPr>
      </w:pPr>
      <w:r>
        <w:rPr>
          <w:rFonts w:ascii="Arial" w:hAnsi="Arial" w:cs="Arial"/>
          <w:sz w:val="24"/>
        </w:rPr>
        <w:t>This assignment attempts to critically evaluate and reflect on my second microteaching session and less</w:t>
      </w:r>
      <w:r w:rsidR="00400E30">
        <w:rPr>
          <w:rFonts w:ascii="Arial" w:hAnsi="Arial" w:cs="Arial"/>
          <w:sz w:val="24"/>
        </w:rPr>
        <w:t>on plan, with a new focus on using</w:t>
      </w:r>
      <w:r>
        <w:rPr>
          <w:rFonts w:ascii="Arial" w:hAnsi="Arial" w:cs="Arial"/>
          <w:sz w:val="24"/>
        </w:rPr>
        <w:t xml:space="preserve"> c</w:t>
      </w:r>
      <w:r w:rsidR="00400E30">
        <w:rPr>
          <w:rFonts w:ascii="Arial" w:hAnsi="Arial" w:cs="Arial"/>
          <w:sz w:val="24"/>
        </w:rPr>
        <w:t>ontemporary pedagogies</w:t>
      </w:r>
      <w:r>
        <w:rPr>
          <w:rFonts w:ascii="Arial" w:hAnsi="Arial" w:cs="Arial"/>
          <w:sz w:val="24"/>
        </w:rPr>
        <w:t xml:space="preserve">. For this session, I introduced the topic of ‘rivers’ and put the subject into context with a case study of the River </w:t>
      </w:r>
      <w:proofErr w:type="spellStart"/>
      <w:r>
        <w:rPr>
          <w:rFonts w:ascii="Arial" w:hAnsi="Arial" w:cs="Arial"/>
          <w:sz w:val="24"/>
        </w:rPr>
        <w:t>Ilston</w:t>
      </w:r>
      <w:proofErr w:type="spellEnd"/>
      <w:r>
        <w:rPr>
          <w:rFonts w:ascii="Arial" w:hAnsi="Arial" w:cs="Arial"/>
          <w:sz w:val="24"/>
        </w:rPr>
        <w:t xml:space="preserve"> near Swansea. Again, the theme of reflection is a major aspect of this assignment because “t</w:t>
      </w:r>
      <w:r w:rsidRPr="00FE2872">
        <w:rPr>
          <w:rFonts w:ascii="Arial" w:hAnsi="Arial" w:cs="Arial"/>
          <w:sz w:val="24"/>
        </w:rPr>
        <w:t>eachers need to be reflective of their own practice, carrying out thoughtful, constructive evaluations of their teaching in order to dev</w:t>
      </w:r>
      <w:r>
        <w:rPr>
          <w:rFonts w:ascii="Arial" w:hAnsi="Arial" w:cs="Arial"/>
          <w:sz w:val="24"/>
        </w:rPr>
        <w:t>elop and refine future practice” (Moore, 2012: 135). Although the structure of this essay will again follow the Gibbs (1988) ‘Model of Reflection’, I will place an emphasis on the aspects of Dale’s ‘Cone of Learning’ (as covered in lectures), which will indicate how the various activities and strategies used in my session can enable students to remember and understand the lesson material. Within the planning and practice for my session, I will highlight the areas in which the UKPSF Professional Standards have been met.</w:t>
      </w:r>
    </w:p>
    <w:p w:rsidR="0032732B" w:rsidRPr="000E0F16" w:rsidRDefault="0032732B" w:rsidP="009C269D">
      <w:pPr>
        <w:spacing w:line="360" w:lineRule="auto"/>
        <w:rPr>
          <w:rFonts w:ascii="Arial" w:hAnsi="Arial" w:cs="Arial"/>
          <w:b/>
          <w:sz w:val="24"/>
          <w:u w:val="single"/>
        </w:rPr>
      </w:pPr>
    </w:p>
    <w:p w:rsidR="0032732B" w:rsidRPr="00B948CE" w:rsidRDefault="00B948CE" w:rsidP="009C269D">
      <w:pPr>
        <w:pStyle w:val="ListParagraph"/>
        <w:numPr>
          <w:ilvl w:val="0"/>
          <w:numId w:val="12"/>
        </w:numPr>
        <w:spacing w:line="360" w:lineRule="auto"/>
        <w:rPr>
          <w:rFonts w:ascii="Arial" w:hAnsi="Arial" w:cs="Arial"/>
          <w:b/>
          <w:sz w:val="24"/>
          <w:u w:val="single"/>
        </w:rPr>
      </w:pPr>
      <w:r>
        <w:rPr>
          <w:rFonts w:ascii="Arial" w:hAnsi="Arial" w:cs="Arial"/>
          <w:b/>
          <w:sz w:val="24"/>
          <w:u w:val="single"/>
        </w:rPr>
        <w:t>Development</w:t>
      </w:r>
    </w:p>
    <w:p w:rsidR="0032732B" w:rsidRDefault="0032732B" w:rsidP="009C269D">
      <w:pPr>
        <w:pStyle w:val="ListParagraph"/>
        <w:spacing w:line="360" w:lineRule="auto"/>
        <w:rPr>
          <w:rFonts w:ascii="Arial" w:hAnsi="Arial" w:cs="Arial"/>
          <w:b/>
          <w:sz w:val="24"/>
          <w:u w:val="single"/>
        </w:rPr>
      </w:pPr>
    </w:p>
    <w:p w:rsidR="0032732B" w:rsidRDefault="0032732B" w:rsidP="009C269D">
      <w:pPr>
        <w:pStyle w:val="ListParagraph"/>
        <w:numPr>
          <w:ilvl w:val="0"/>
          <w:numId w:val="10"/>
        </w:numPr>
        <w:spacing w:line="360" w:lineRule="auto"/>
        <w:rPr>
          <w:rFonts w:ascii="Arial" w:hAnsi="Arial" w:cs="Arial"/>
          <w:sz w:val="24"/>
          <w:u w:val="single"/>
        </w:rPr>
      </w:pPr>
      <w:r w:rsidRPr="003637E9">
        <w:rPr>
          <w:rFonts w:ascii="Arial" w:hAnsi="Arial" w:cs="Arial"/>
          <w:sz w:val="24"/>
          <w:u w:val="single"/>
        </w:rPr>
        <w:t>Description</w:t>
      </w:r>
    </w:p>
    <w:p w:rsidR="0032732B" w:rsidRPr="00C110A3" w:rsidRDefault="0032732B" w:rsidP="009C269D">
      <w:pPr>
        <w:spacing w:line="360" w:lineRule="auto"/>
        <w:rPr>
          <w:rFonts w:ascii="Arial" w:hAnsi="Arial" w:cs="Arial"/>
          <w:sz w:val="24"/>
        </w:rPr>
      </w:pPr>
      <w:r>
        <w:rPr>
          <w:rFonts w:ascii="Arial" w:hAnsi="Arial" w:cs="Arial"/>
          <w:sz w:val="24"/>
        </w:rPr>
        <w:t xml:space="preserve">Firstly, I used a lesson plan template to organise the content, structure, themes and details of the session itself. To improve upon </w:t>
      </w:r>
      <w:r w:rsidR="00607D0C">
        <w:rPr>
          <w:rFonts w:ascii="Arial" w:hAnsi="Arial" w:cs="Arial"/>
          <w:sz w:val="24"/>
        </w:rPr>
        <w:t>the previous session</w:t>
      </w:r>
      <w:r>
        <w:rPr>
          <w:rFonts w:ascii="Arial" w:hAnsi="Arial" w:cs="Arial"/>
          <w:sz w:val="24"/>
        </w:rPr>
        <w:t>, I decided to move towards andragogical teach</w:t>
      </w:r>
      <w:r w:rsidR="00607D0C">
        <w:rPr>
          <w:rFonts w:ascii="Arial" w:hAnsi="Arial" w:cs="Arial"/>
          <w:sz w:val="24"/>
        </w:rPr>
        <w:t xml:space="preserve">ing strategies, with less </w:t>
      </w:r>
      <w:r>
        <w:rPr>
          <w:rFonts w:ascii="Arial" w:hAnsi="Arial" w:cs="Arial"/>
          <w:sz w:val="24"/>
        </w:rPr>
        <w:t xml:space="preserve">emphasis on pedagogical strategies such as ‘chalk and talk’ and question and answer sessions. This time, I included group tasks involving handouts, </w:t>
      </w:r>
      <w:r w:rsidR="00607D0C">
        <w:rPr>
          <w:rFonts w:ascii="Arial" w:hAnsi="Arial" w:cs="Arial"/>
          <w:sz w:val="24"/>
        </w:rPr>
        <w:t>visual aids,</w:t>
      </w:r>
      <w:r>
        <w:rPr>
          <w:rFonts w:ascii="Arial" w:hAnsi="Arial" w:cs="Arial"/>
          <w:sz w:val="24"/>
        </w:rPr>
        <w:t xml:space="preserve"> lesson content</w:t>
      </w:r>
      <w:r w:rsidR="00607D0C">
        <w:rPr>
          <w:rFonts w:ascii="Arial" w:hAnsi="Arial" w:cs="Arial"/>
          <w:sz w:val="24"/>
        </w:rPr>
        <w:t xml:space="preserve"> questions</w:t>
      </w:r>
      <w:r>
        <w:rPr>
          <w:rFonts w:ascii="Arial" w:hAnsi="Arial" w:cs="Arial"/>
          <w:sz w:val="24"/>
        </w:rPr>
        <w:t xml:space="preserve"> and interactive drawi</w:t>
      </w:r>
      <w:r w:rsidR="00547C6A">
        <w:rPr>
          <w:rFonts w:ascii="Arial" w:hAnsi="Arial" w:cs="Arial"/>
          <w:sz w:val="24"/>
        </w:rPr>
        <w:t>ng, allowing for a more student-</w:t>
      </w:r>
      <w:r>
        <w:rPr>
          <w:rFonts w:ascii="Arial" w:hAnsi="Arial" w:cs="Arial"/>
          <w:sz w:val="24"/>
        </w:rPr>
        <w:t>led session. Including these elements meets the professional standard of planning and designing learning activities (A1). The lesson content was mostly PowerPoint based and focused on showing how a river’s profile may change downstream in various stages, with a local case study implemented to familiarise the subject with the audience.</w:t>
      </w:r>
      <w:r w:rsidR="0036511F">
        <w:rPr>
          <w:rFonts w:ascii="Arial" w:hAnsi="Arial" w:cs="Arial"/>
          <w:sz w:val="24"/>
        </w:rPr>
        <w:t xml:space="preserve"> </w:t>
      </w:r>
      <w:r w:rsidR="002C32F4">
        <w:rPr>
          <w:rFonts w:ascii="Arial" w:hAnsi="Arial" w:cs="Arial"/>
          <w:sz w:val="24"/>
        </w:rPr>
        <w:t xml:space="preserve">This </w:t>
      </w:r>
      <w:r w:rsidR="0036511F">
        <w:rPr>
          <w:rFonts w:ascii="Arial" w:hAnsi="Arial" w:cs="Arial"/>
          <w:sz w:val="24"/>
        </w:rPr>
        <w:t xml:space="preserve">meets a </w:t>
      </w:r>
      <w:r w:rsidR="0036511F">
        <w:rPr>
          <w:rFonts w:ascii="Arial" w:hAnsi="Arial" w:cs="Arial"/>
          <w:sz w:val="24"/>
        </w:rPr>
        <w:lastRenderedPageBreak/>
        <w:t xml:space="preserve">professional standard (V3) as it provides evidence from research, which is </w:t>
      </w:r>
      <w:r w:rsidR="00C76ADE">
        <w:rPr>
          <w:rFonts w:ascii="Arial" w:hAnsi="Arial" w:cs="Arial"/>
          <w:sz w:val="24"/>
        </w:rPr>
        <w:t>crucial to the lesson material. Also, the</w:t>
      </w:r>
      <w:r w:rsidR="0036511F">
        <w:rPr>
          <w:rFonts w:ascii="Arial" w:hAnsi="Arial" w:cs="Arial"/>
          <w:sz w:val="24"/>
        </w:rPr>
        <w:t xml:space="preserve"> vari</w:t>
      </w:r>
      <w:r w:rsidR="001B5F46">
        <w:rPr>
          <w:rFonts w:ascii="Arial" w:hAnsi="Arial" w:cs="Arial"/>
          <w:sz w:val="24"/>
        </w:rPr>
        <w:t>ety of material</w:t>
      </w:r>
      <w:r w:rsidR="00C76ADE">
        <w:rPr>
          <w:rFonts w:ascii="Arial" w:hAnsi="Arial" w:cs="Arial"/>
          <w:sz w:val="24"/>
        </w:rPr>
        <w:t xml:space="preserve"> allowed</w:t>
      </w:r>
      <w:r w:rsidR="0036511F">
        <w:rPr>
          <w:rFonts w:ascii="Arial" w:hAnsi="Arial" w:cs="Arial"/>
          <w:sz w:val="24"/>
        </w:rPr>
        <w:t xml:space="preserve"> a</w:t>
      </w:r>
      <w:r w:rsidR="00C76ADE">
        <w:rPr>
          <w:rFonts w:ascii="Arial" w:hAnsi="Arial" w:cs="Arial"/>
          <w:sz w:val="24"/>
        </w:rPr>
        <w:t>nother</w:t>
      </w:r>
      <w:r w:rsidR="0036511F">
        <w:rPr>
          <w:rFonts w:ascii="Arial" w:hAnsi="Arial" w:cs="Arial"/>
          <w:sz w:val="24"/>
        </w:rPr>
        <w:t xml:space="preserve"> professional standard to be met (K1).</w:t>
      </w:r>
      <w:r>
        <w:rPr>
          <w:rFonts w:ascii="Arial" w:hAnsi="Arial" w:cs="Arial"/>
          <w:sz w:val="24"/>
        </w:rPr>
        <w:t xml:space="preserve"> To deliver this content, my contemporary pedagogy involved the use of a video lesson, which consisted of my own video clips that provided visual examples of the case study river in action. A Kahoot quiz was included as an emergent technology to assess the student’s learning, with a polling handout given to students at the lesson’s end to obtain useful, constructive feedback. </w:t>
      </w:r>
      <w:r w:rsidR="00DE0FB3">
        <w:rPr>
          <w:rFonts w:ascii="Arial" w:hAnsi="Arial" w:cs="Arial"/>
          <w:sz w:val="24"/>
        </w:rPr>
        <w:t>Also, t</w:t>
      </w:r>
      <w:r>
        <w:rPr>
          <w:rFonts w:ascii="Arial" w:hAnsi="Arial" w:cs="Arial"/>
          <w:sz w:val="24"/>
        </w:rPr>
        <w:t>he use of video, ICT and emergent technologies allowed me to meet another professional standard (K4).</w:t>
      </w:r>
    </w:p>
    <w:p w:rsidR="0032732B" w:rsidRPr="003637E9" w:rsidRDefault="0032732B" w:rsidP="009C269D">
      <w:pPr>
        <w:tabs>
          <w:tab w:val="left" w:pos="921"/>
        </w:tabs>
        <w:spacing w:line="360" w:lineRule="auto"/>
        <w:rPr>
          <w:rFonts w:ascii="Arial" w:hAnsi="Arial" w:cs="Arial"/>
          <w:sz w:val="24"/>
        </w:rPr>
      </w:pPr>
    </w:p>
    <w:p w:rsidR="0032732B" w:rsidRDefault="0032732B" w:rsidP="009C269D">
      <w:pPr>
        <w:pStyle w:val="ListParagraph"/>
        <w:numPr>
          <w:ilvl w:val="0"/>
          <w:numId w:val="10"/>
        </w:numPr>
        <w:spacing w:line="360" w:lineRule="auto"/>
        <w:rPr>
          <w:rFonts w:ascii="Arial" w:hAnsi="Arial" w:cs="Arial"/>
          <w:sz w:val="24"/>
          <w:u w:val="single"/>
        </w:rPr>
      </w:pPr>
      <w:r w:rsidRPr="003637E9">
        <w:rPr>
          <w:rFonts w:ascii="Arial" w:hAnsi="Arial" w:cs="Arial"/>
          <w:sz w:val="24"/>
          <w:u w:val="single"/>
        </w:rPr>
        <w:t>Feelings</w:t>
      </w:r>
    </w:p>
    <w:p w:rsidR="0032732B" w:rsidRPr="00F33EC4" w:rsidRDefault="0032732B" w:rsidP="009C269D">
      <w:pPr>
        <w:spacing w:line="360" w:lineRule="auto"/>
        <w:rPr>
          <w:rFonts w:ascii="Arial" w:hAnsi="Arial" w:cs="Arial"/>
          <w:sz w:val="24"/>
        </w:rPr>
      </w:pPr>
      <w:r>
        <w:rPr>
          <w:rFonts w:ascii="Arial" w:hAnsi="Arial" w:cs="Arial"/>
          <w:sz w:val="24"/>
        </w:rPr>
        <w:t xml:space="preserve">After completing the session, I feel that my second microteaching session was an improvement over the first, as I included a wider variety of strategies, tasks and activities, whilst continuing the theme of implementing effective lesson content, structuring and planning. I was very satisfied that my confidence and leadership in the classroom had considerably improved since the last session and this, combined with following the lesson plan, allowed me to deliver an effective microteaching session and meets the professional standard for teaching and supporting learning (A2). Although I am happy with the wider variety of strategies and tasks included, I feel that I could have experimented more with both pedagogical and andragogical strategies to try new and unique ways of learning, which get the whole class involved. Regardless of this, my overall feeling suggests that, after completing this session, I have </w:t>
      </w:r>
      <w:r w:rsidR="0055770D">
        <w:rPr>
          <w:rFonts w:ascii="Arial" w:hAnsi="Arial" w:cs="Arial"/>
          <w:sz w:val="24"/>
        </w:rPr>
        <w:t>greatly</w:t>
      </w:r>
      <w:r>
        <w:rPr>
          <w:rFonts w:ascii="Arial" w:hAnsi="Arial" w:cs="Arial"/>
          <w:sz w:val="24"/>
        </w:rPr>
        <w:t xml:space="preserve"> improved my practice, planning and methods involved in microteaching, with a greater emphasis on andragogy.</w:t>
      </w:r>
    </w:p>
    <w:p w:rsidR="0032732B" w:rsidRPr="003637E9" w:rsidRDefault="0032732B" w:rsidP="009C269D">
      <w:pPr>
        <w:spacing w:line="360" w:lineRule="auto"/>
        <w:rPr>
          <w:rFonts w:ascii="Arial" w:hAnsi="Arial" w:cs="Arial"/>
          <w:sz w:val="24"/>
        </w:rPr>
      </w:pPr>
    </w:p>
    <w:p w:rsidR="0032732B" w:rsidRDefault="0032732B" w:rsidP="009C269D">
      <w:pPr>
        <w:pStyle w:val="ListParagraph"/>
        <w:numPr>
          <w:ilvl w:val="0"/>
          <w:numId w:val="10"/>
        </w:numPr>
        <w:spacing w:line="360" w:lineRule="auto"/>
        <w:rPr>
          <w:rFonts w:ascii="Arial" w:hAnsi="Arial" w:cs="Arial"/>
          <w:sz w:val="24"/>
          <w:u w:val="single"/>
        </w:rPr>
      </w:pPr>
      <w:r w:rsidRPr="003637E9">
        <w:rPr>
          <w:rFonts w:ascii="Arial" w:hAnsi="Arial" w:cs="Arial"/>
          <w:sz w:val="24"/>
          <w:u w:val="single"/>
        </w:rPr>
        <w:t>Evaluation</w:t>
      </w:r>
    </w:p>
    <w:p w:rsidR="0032732B" w:rsidRDefault="00FB27DC" w:rsidP="009C269D">
      <w:pPr>
        <w:spacing w:line="360" w:lineRule="auto"/>
        <w:rPr>
          <w:rFonts w:ascii="Arial" w:hAnsi="Arial" w:cs="Arial"/>
          <w:sz w:val="24"/>
        </w:rPr>
      </w:pPr>
      <w:r>
        <w:rPr>
          <w:rFonts w:ascii="Arial" w:hAnsi="Arial" w:cs="Arial"/>
          <w:sz w:val="24"/>
        </w:rPr>
        <w:t>To begin my evaluation</w:t>
      </w:r>
      <w:r w:rsidR="0032732B">
        <w:rPr>
          <w:rFonts w:ascii="Arial" w:hAnsi="Arial" w:cs="Arial"/>
          <w:sz w:val="24"/>
        </w:rPr>
        <w:t>, the lesson plan template that I used was struct</w:t>
      </w:r>
      <w:r w:rsidR="00C67CAB">
        <w:rPr>
          <w:rFonts w:ascii="Arial" w:hAnsi="Arial" w:cs="Arial"/>
          <w:sz w:val="24"/>
        </w:rPr>
        <w:t>ured, organised and included key</w:t>
      </w:r>
      <w:r w:rsidR="0032732B">
        <w:rPr>
          <w:rFonts w:ascii="Arial" w:hAnsi="Arial" w:cs="Arial"/>
          <w:sz w:val="24"/>
        </w:rPr>
        <w:t xml:space="preserve"> details that I needed to follow, in ensuring that the session was delivered effectively. In planning my lesson, I followed the advice of Petty (2014) who recommends that you should sensibly structure your sessions, so you can achieve the targets by the lesson’s end and that you have a wide range of </w:t>
      </w:r>
      <w:r w:rsidR="0032732B">
        <w:rPr>
          <w:rFonts w:ascii="Arial" w:hAnsi="Arial" w:cs="Arial"/>
          <w:sz w:val="24"/>
        </w:rPr>
        <w:lastRenderedPageBreak/>
        <w:t xml:space="preserve">methods and activities to do it successfully. However, I failed to plan for preparation difficulties, such as printing errors and ICT issues, which explains why it </w:t>
      </w:r>
      <w:r w:rsidR="0032732B" w:rsidRPr="008B04C3">
        <w:rPr>
          <w:rFonts w:ascii="Arial" w:hAnsi="Arial" w:cs="Arial"/>
          <w:sz w:val="24"/>
        </w:rPr>
        <w:t>is important</w:t>
      </w:r>
      <w:r w:rsidR="008B5C8E">
        <w:rPr>
          <w:rFonts w:ascii="Arial" w:hAnsi="Arial" w:cs="Arial"/>
          <w:sz w:val="24"/>
        </w:rPr>
        <w:t xml:space="preserve"> </w:t>
      </w:r>
      <w:r w:rsidR="00F3692C">
        <w:rPr>
          <w:rFonts w:ascii="Arial" w:hAnsi="Arial" w:cs="Arial"/>
          <w:sz w:val="24"/>
        </w:rPr>
        <w:t>“</w:t>
      </w:r>
      <w:r w:rsidR="0032732B" w:rsidRPr="008B04C3">
        <w:rPr>
          <w:rFonts w:ascii="Arial" w:hAnsi="Arial" w:cs="Arial"/>
          <w:sz w:val="24"/>
        </w:rPr>
        <w:t>that the lesson is always planned with care</w:t>
      </w:r>
      <w:r w:rsidR="0032732B">
        <w:rPr>
          <w:rFonts w:ascii="Arial" w:hAnsi="Arial" w:cs="Arial"/>
          <w:sz w:val="24"/>
        </w:rPr>
        <w:t>” (Reece and Walker, 2007: 258)</w:t>
      </w:r>
      <w:r w:rsidR="001E54C4">
        <w:rPr>
          <w:rFonts w:ascii="Arial" w:hAnsi="Arial" w:cs="Arial"/>
          <w:sz w:val="24"/>
        </w:rPr>
        <w:t xml:space="preserve">. </w:t>
      </w:r>
      <w:r w:rsidR="0032732B">
        <w:rPr>
          <w:rFonts w:ascii="Arial" w:hAnsi="Arial" w:cs="Arial"/>
          <w:sz w:val="24"/>
        </w:rPr>
        <w:t>The lesson aim and objectives were included as part of the lesson plan and highlighted within the session itself. These wer</w:t>
      </w:r>
      <w:r w:rsidR="0032002E">
        <w:rPr>
          <w:rFonts w:ascii="Arial" w:hAnsi="Arial" w:cs="Arial"/>
          <w:sz w:val="24"/>
        </w:rPr>
        <w:t>e successfully met</w:t>
      </w:r>
      <w:r w:rsidR="0032732B">
        <w:rPr>
          <w:rFonts w:ascii="Arial" w:hAnsi="Arial" w:cs="Arial"/>
          <w:sz w:val="24"/>
        </w:rPr>
        <w:t xml:space="preserve"> and, although they played a vital role in determining the lesson structure and content</w:t>
      </w:r>
      <w:r w:rsidR="0032002E">
        <w:rPr>
          <w:rFonts w:ascii="Arial" w:hAnsi="Arial" w:cs="Arial"/>
          <w:sz w:val="24"/>
        </w:rPr>
        <w:t>,</w:t>
      </w:r>
      <w:r w:rsidR="0032732B">
        <w:rPr>
          <w:rFonts w:ascii="Arial" w:hAnsi="Arial" w:cs="Arial"/>
          <w:sz w:val="24"/>
        </w:rPr>
        <w:t xml:space="preserve"> “</w:t>
      </w:r>
      <w:r w:rsidR="0032732B" w:rsidRPr="00D67551">
        <w:rPr>
          <w:rFonts w:ascii="Arial" w:hAnsi="Arial" w:cs="Arial"/>
          <w:sz w:val="24"/>
        </w:rPr>
        <w:t>they are not specific enough to help the teacher pick learning activities, or assess whether learning has taken place</w:t>
      </w:r>
      <w:r w:rsidR="0032732B">
        <w:rPr>
          <w:rFonts w:ascii="Arial" w:hAnsi="Arial" w:cs="Arial"/>
          <w:sz w:val="24"/>
        </w:rPr>
        <w:t>” (Petty, 2014: 385). I incorporated figures and images into my session to encourage visual learning, especially by comparing two different images of the same landscape. Seeing allows students to remember the material as Reece and Walker (2007: 156) note that “75% of what we learn comes through what we see”, with boards recommended to encourage visual learning as they are readily available and simple to use.</w:t>
      </w:r>
    </w:p>
    <w:p w:rsidR="0032732B" w:rsidRDefault="0032732B" w:rsidP="009C269D">
      <w:pPr>
        <w:spacing w:line="360" w:lineRule="auto"/>
        <w:rPr>
          <w:rFonts w:ascii="Arial" w:hAnsi="Arial" w:cs="Arial"/>
          <w:sz w:val="24"/>
        </w:rPr>
      </w:pPr>
      <w:r>
        <w:rPr>
          <w:rFonts w:ascii="Arial" w:hAnsi="Arial" w:cs="Arial"/>
          <w:sz w:val="24"/>
        </w:rPr>
        <w:t>The microteaching session adopted a variety of teaching strategies, with both andragogical and pedagogical methods included</w:t>
      </w:r>
      <w:r w:rsidR="00DE0FB3">
        <w:rPr>
          <w:rFonts w:ascii="Arial" w:hAnsi="Arial" w:cs="Arial"/>
          <w:sz w:val="24"/>
        </w:rPr>
        <w:t xml:space="preserve"> to meet a professional standard (K2)</w:t>
      </w:r>
      <w:r>
        <w:rPr>
          <w:rFonts w:ascii="Arial" w:hAnsi="Arial" w:cs="Arial"/>
          <w:sz w:val="24"/>
        </w:rPr>
        <w:t>. “</w:t>
      </w:r>
      <w:r w:rsidRPr="002F2856">
        <w:rPr>
          <w:rFonts w:ascii="Arial" w:hAnsi="Arial" w:cs="Arial"/>
          <w:sz w:val="24"/>
        </w:rPr>
        <w:t>It is possible to engage the audience in the process of the lecture instead of leaving them as passive observers of it, in order to enhance inter</w:t>
      </w:r>
      <w:r>
        <w:rPr>
          <w:rFonts w:ascii="Arial" w:hAnsi="Arial" w:cs="Arial"/>
          <w:sz w:val="24"/>
        </w:rPr>
        <w:t>est, understanding or retention” (Haynes and Haynes, 2012: 119). Therefore, I effec</w:t>
      </w:r>
      <w:r w:rsidR="00105504">
        <w:rPr>
          <w:rFonts w:ascii="Arial" w:hAnsi="Arial" w:cs="Arial"/>
          <w:sz w:val="24"/>
        </w:rPr>
        <w:t>tively applied andragogy within my</w:t>
      </w:r>
      <w:r>
        <w:rPr>
          <w:rFonts w:ascii="Arial" w:hAnsi="Arial" w:cs="Arial"/>
          <w:sz w:val="24"/>
        </w:rPr>
        <w:t xml:space="preserve"> teaching strategies, with worksheets, questions and diagram drawing shifting the practice from teacher-led to student-led.</w:t>
      </w:r>
      <w:r w:rsidR="0036511F">
        <w:rPr>
          <w:rFonts w:ascii="Arial" w:hAnsi="Arial" w:cs="Arial"/>
          <w:sz w:val="24"/>
        </w:rPr>
        <w:t xml:space="preserve"> I resp</w:t>
      </w:r>
      <w:r w:rsidR="00105504">
        <w:rPr>
          <w:rFonts w:ascii="Arial" w:hAnsi="Arial" w:cs="Arial"/>
          <w:sz w:val="24"/>
        </w:rPr>
        <w:t>ected and valued each student within</w:t>
      </w:r>
      <w:r w:rsidR="0036511F">
        <w:rPr>
          <w:rFonts w:ascii="Arial" w:hAnsi="Arial" w:cs="Arial"/>
          <w:sz w:val="24"/>
        </w:rPr>
        <w:t xml:space="preserve"> these strategies, meeting a professional standard as a result (V1).</w:t>
      </w:r>
      <w:r>
        <w:rPr>
          <w:rFonts w:ascii="Arial" w:hAnsi="Arial" w:cs="Arial"/>
          <w:sz w:val="24"/>
        </w:rPr>
        <w:t xml:space="preserve"> Moreover, allowing students to do these tasks themselves is a major component of Dale’s Cone, as it allows them to effectively remember what they say and do. Nevertheless, Waring and Evans (2015: 26) highlight how “p</w:t>
      </w:r>
      <w:r w:rsidRPr="00F90A3C">
        <w:rPr>
          <w:rFonts w:ascii="Arial" w:hAnsi="Arial" w:cs="Arial"/>
          <w:sz w:val="24"/>
        </w:rPr>
        <w:t xml:space="preserve">edagogy, and the way in which you interpret and operationalise it, plays a vital part in </w:t>
      </w:r>
      <w:r>
        <w:rPr>
          <w:rFonts w:ascii="Arial" w:hAnsi="Arial" w:cs="Arial"/>
          <w:sz w:val="24"/>
        </w:rPr>
        <w:t xml:space="preserve">all dimensions of your teaching”. With this in mind, I ensured that pedagogical strategies, such as ‘chalk and talk’, were also included because it is primarily the teacher’s role to support student learning (Wallace, 2013). The only drawback is that the session could have had a larger andragogical focus, which would have provided a unique and memorable lesson experience. A major improvement with this session was my ability to lead, present and manage the lesson, as my teaching confidence had developed significantly. To improve this aspect, I took the advice of Barnes </w:t>
      </w:r>
      <w:r>
        <w:rPr>
          <w:rFonts w:ascii="Arial" w:hAnsi="Arial" w:cs="Arial"/>
          <w:sz w:val="24"/>
        </w:rPr>
        <w:lastRenderedPageBreak/>
        <w:t>(2015a: 126), who states that “c</w:t>
      </w:r>
      <w:r w:rsidRPr="009477E4">
        <w:rPr>
          <w:rFonts w:ascii="Arial" w:hAnsi="Arial" w:cs="Arial"/>
          <w:sz w:val="24"/>
        </w:rPr>
        <w:t>lassroom management is one of the most important tools to be found in a teacher’s toolkit</w:t>
      </w:r>
      <w:r>
        <w:rPr>
          <w:rFonts w:ascii="Arial" w:hAnsi="Arial" w:cs="Arial"/>
          <w:sz w:val="24"/>
        </w:rPr>
        <w:t>” and also “brings about effective teaching”.</w:t>
      </w:r>
    </w:p>
    <w:p w:rsidR="00B948CE" w:rsidRDefault="0032732B" w:rsidP="009C269D">
      <w:pPr>
        <w:spacing w:line="360" w:lineRule="auto"/>
        <w:rPr>
          <w:rFonts w:ascii="Arial" w:hAnsi="Arial" w:cs="Arial"/>
          <w:sz w:val="24"/>
        </w:rPr>
      </w:pPr>
      <w:r>
        <w:rPr>
          <w:rFonts w:ascii="Arial" w:hAnsi="Arial" w:cs="Arial"/>
          <w:sz w:val="24"/>
        </w:rPr>
        <w:t>My contemporary pedagogy was a video lesson that provided a local example of the topic to put it into context. Although Reece and Walker (2007) identify video as a useful method for teaching large groups, it worked very well with the small group present during my session. A reason for this is suggested by Price and Woodhouse (2015: 325), as video is a technology that encourages cross-curricular learning, which “</w:t>
      </w:r>
      <w:r w:rsidRPr="0032732B">
        <w:rPr>
          <w:rFonts w:ascii="Arial" w:hAnsi="Arial" w:cs="Arial"/>
          <w:sz w:val="24"/>
        </w:rPr>
        <w:t>has the potential to inspire and engage pupils by contextualising their learning in real-</w:t>
      </w:r>
      <w:r>
        <w:rPr>
          <w:rFonts w:ascii="Arial" w:hAnsi="Arial" w:cs="Arial"/>
          <w:sz w:val="24"/>
        </w:rPr>
        <w:t>life situations and experiences”</w:t>
      </w:r>
      <w:r w:rsidR="00DB6FA6">
        <w:rPr>
          <w:rFonts w:ascii="Arial" w:hAnsi="Arial" w:cs="Arial"/>
          <w:sz w:val="24"/>
        </w:rPr>
        <w:t xml:space="preserve">. I incorporated a Kahoot quiz as an emergent technology as “good quizzes find faults and fix learning errors and omissions” (Petty, 2014: 365). </w:t>
      </w:r>
      <w:r w:rsidR="009D262D">
        <w:rPr>
          <w:rFonts w:ascii="Arial" w:hAnsi="Arial" w:cs="Arial"/>
          <w:sz w:val="24"/>
        </w:rPr>
        <w:t>Despite their enjoyable nature, faults were identified in the quiz itself as I only allowed a short time frame of 10 seconds for students to answer each question, which, in hindsight, was not enough. Saying that, the Kahoot quiz, along with the various learning tasks included in each section of the lesson, allowed for formative and summative assessment of the learning that took place.</w:t>
      </w:r>
    </w:p>
    <w:p w:rsidR="009D262D" w:rsidRPr="00664417" w:rsidRDefault="00B948CE" w:rsidP="009C269D">
      <w:pPr>
        <w:spacing w:line="360" w:lineRule="auto"/>
        <w:rPr>
          <w:rFonts w:ascii="Arial" w:hAnsi="Arial" w:cs="Arial"/>
          <w:sz w:val="24"/>
        </w:rPr>
      </w:pPr>
      <w:r>
        <w:rPr>
          <w:rFonts w:ascii="Arial" w:hAnsi="Arial" w:cs="Arial"/>
          <w:sz w:val="24"/>
        </w:rPr>
        <w:t>Despite printing issues, I effectively used handouts within my session as worksheets, but also as lesson evaluation forms. Both Reece &amp; Walker (2007) and Petty (2014) state that handouts have a double purpose, as they can provide information whilst also acting as a worksheet to be used in lesson tasks and activities. When creating my handout for a task within my session, I followed the guidance of Haynes and Haynes (2012: 45), who suggest distributing “</w:t>
      </w:r>
      <w:r w:rsidRPr="00B948CE">
        <w:rPr>
          <w:rFonts w:ascii="Arial" w:hAnsi="Arial" w:cs="Arial"/>
          <w:sz w:val="24"/>
        </w:rPr>
        <w:t>handouts with gaps in them for students to fill in, providing sufficient framework and details t</w:t>
      </w:r>
      <w:r>
        <w:rPr>
          <w:rFonts w:ascii="Arial" w:hAnsi="Arial" w:cs="Arial"/>
          <w:sz w:val="24"/>
        </w:rPr>
        <w:t xml:space="preserve">o remove a burden from students”. An alternative handout was used for students to evaluate the lesson through the </w:t>
      </w:r>
      <w:r w:rsidR="00E25369">
        <w:rPr>
          <w:rFonts w:ascii="Arial" w:hAnsi="Arial" w:cs="Arial"/>
          <w:sz w:val="24"/>
        </w:rPr>
        <w:t>‘</w:t>
      </w:r>
      <w:r>
        <w:rPr>
          <w:rFonts w:ascii="Arial" w:hAnsi="Arial" w:cs="Arial"/>
          <w:sz w:val="24"/>
        </w:rPr>
        <w:t>Kirkpatrick method</w:t>
      </w:r>
      <w:r w:rsidR="00E25369">
        <w:rPr>
          <w:rFonts w:ascii="Arial" w:hAnsi="Arial" w:cs="Arial"/>
          <w:sz w:val="24"/>
        </w:rPr>
        <w:t>’</w:t>
      </w:r>
      <w:r>
        <w:rPr>
          <w:rFonts w:ascii="Arial" w:hAnsi="Arial" w:cs="Arial"/>
          <w:sz w:val="24"/>
        </w:rPr>
        <w:t xml:space="preserve"> for evaluation (as covered in lectures). Students were provided with statements about the lesson and used a lickert scale to determine how far they agreed in reference to the learning experience they received. </w:t>
      </w:r>
      <w:r w:rsidR="00A56C62">
        <w:rPr>
          <w:rFonts w:ascii="Arial" w:hAnsi="Arial" w:cs="Arial"/>
          <w:sz w:val="24"/>
        </w:rPr>
        <w:t xml:space="preserve">Importantly, </w:t>
      </w:r>
      <w:r>
        <w:rPr>
          <w:rFonts w:ascii="Arial" w:hAnsi="Arial" w:cs="Arial"/>
          <w:sz w:val="24"/>
        </w:rPr>
        <w:t xml:space="preserve">Petty (2014) notes how evaluation </w:t>
      </w:r>
      <w:r w:rsidR="00A56C62">
        <w:rPr>
          <w:rFonts w:ascii="Arial" w:hAnsi="Arial" w:cs="Arial"/>
          <w:sz w:val="24"/>
        </w:rPr>
        <w:t>can be adopted as a high-ord</w:t>
      </w:r>
      <w:r w:rsidR="00DE0FB3">
        <w:rPr>
          <w:rFonts w:ascii="Arial" w:hAnsi="Arial" w:cs="Arial"/>
          <w:sz w:val="24"/>
        </w:rPr>
        <w:t>er task that teachers can set, but it also meets the professional standard of evaluating the effectiveness of teaching (K5).</w:t>
      </w:r>
    </w:p>
    <w:p w:rsidR="0032732B" w:rsidRDefault="0032732B" w:rsidP="009C269D">
      <w:pPr>
        <w:spacing w:line="360" w:lineRule="auto"/>
        <w:rPr>
          <w:rFonts w:ascii="Arial" w:hAnsi="Arial" w:cs="Arial"/>
          <w:sz w:val="24"/>
        </w:rPr>
      </w:pPr>
    </w:p>
    <w:p w:rsidR="00025AEE" w:rsidRDefault="00025AEE" w:rsidP="009C269D">
      <w:pPr>
        <w:spacing w:line="360" w:lineRule="auto"/>
        <w:rPr>
          <w:rFonts w:ascii="Arial" w:hAnsi="Arial" w:cs="Arial"/>
          <w:sz w:val="24"/>
        </w:rPr>
      </w:pPr>
    </w:p>
    <w:p w:rsidR="00025AEE" w:rsidRPr="003637E9" w:rsidRDefault="00025AEE" w:rsidP="009C269D">
      <w:pPr>
        <w:spacing w:line="360" w:lineRule="auto"/>
        <w:rPr>
          <w:rFonts w:ascii="Arial" w:hAnsi="Arial" w:cs="Arial"/>
          <w:sz w:val="24"/>
        </w:rPr>
      </w:pPr>
    </w:p>
    <w:p w:rsidR="00537120" w:rsidRPr="00537120" w:rsidRDefault="0032732B" w:rsidP="009C269D">
      <w:pPr>
        <w:pStyle w:val="ListParagraph"/>
        <w:numPr>
          <w:ilvl w:val="0"/>
          <w:numId w:val="10"/>
        </w:numPr>
        <w:spacing w:line="360" w:lineRule="auto"/>
        <w:rPr>
          <w:rFonts w:ascii="Arial" w:hAnsi="Arial" w:cs="Arial"/>
          <w:sz w:val="24"/>
          <w:u w:val="single"/>
        </w:rPr>
      </w:pPr>
      <w:r w:rsidRPr="003637E9">
        <w:rPr>
          <w:rFonts w:ascii="Arial" w:hAnsi="Arial" w:cs="Arial"/>
          <w:sz w:val="24"/>
          <w:u w:val="single"/>
        </w:rPr>
        <w:lastRenderedPageBreak/>
        <w:t>Analysis</w:t>
      </w:r>
    </w:p>
    <w:p w:rsidR="00537120" w:rsidRDefault="00537120" w:rsidP="009C269D">
      <w:pPr>
        <w:spacing w:line="360" w:lineRule="auto"/>
        <w:rPr>
          <w:rFonts w:ascii="Arial" w:hAnsi="Arial" w:cs="Arial"/>
          <w:sz w:val="24"/>
        </w:rPr>
      </w:pPr>
      <w:r>
        <w:rPr>
          <w:rFonts w:ascii="Arial" w:hAnsi="Arial" w:cs="Arial"/>
          <w:sz w:val="24"/>
        </w:rPr>
        <w:t>To make sense of my evaluations, I will now refer to the surrounding theory and literature, which provide explanations behind my thoughts. Starting with the lesson plan, I was pleased with the contents included but failed to prepare for lesson difficulties involving the use of technology. Moore (2012) suggests that teachers must take responsibility and thoroughly prepare for their lessons, which can be achieved through an effective lesson plan. A further addition is highlighted by Barnes (2015a: 128), who mentions that “w</w:t>
      </w:r>
      <w:r w:rsidRPr="00537120">
        <w:rPr>
          <w:rFonts w:ascii="Arial" w:hAnsi="Arial" w:cs="Arial"/>
          <w:sz w:val="24"/>
        </w:rPr>
        <w:t>hen you prepare lesson plans, you will also need to include planning for good behaviour</w:t>
      </w:r>
      <w:r>
        <w:rPr>
          <w:rFonts w:ascii="Arial" w:hAnsi="Arial" w:cs="Arial"/>
          <w:sz w:val="24"/>
        </w:rPr>
        <w:t>”.</w:t>
      </w:r>
      <w:r w:rsidR="002F621F">
        <w:rPr>
          <w:rFonts w:ascii="Arial" w:hAnsi="Arial" w:cs="Arial"/>
          <w:sz w:val="24"/>
        </w:rPr>
        <w:t xml:space="preserve"> Two major elements of the lesson plan were the aims, which were general and clear in describing what I broadly wanted to achieve (Petty, 2014) and objectives, with an assessment included to determine if the students had met these objectives after the learning had occurred (Reece &amp; Walker, 2007).</w:t>
      </w:r>
      <w:r w:rsidR="00133778">
        <w:rPr>
          <w:rFonts w:ascii="Arial" w:hAnsi="Arial" w:cs="Arial"/>
          <w:sz w:val="24"/>
        </w:rPr>
        <w:t xml:space="preserve"> </w:t>
      </w:r>
      <w:r w:rsidR="001E54C4">
        <w:rPr>
          <w:rFonts w:ascii="Arial" w:hAnsi="Arial" w:cs="Arial"/>
          <w:sz w:val="24"/>
        </w:rPr>
        <w:t xml:space="preserve">Encouraging visual learning through figures and comparable images is an important part of Dale’s </w:t>
      </w:r>
      <w:r w:rsidR="00E509D1">
        <w:rPr>
          <w:rFonts w:ascii="Arial" w:hAnsi="Arial" w:cs="Arial"/>
          <w:sz w:val="24"/>
        </w:rPr>
        <w:t>‘</w:t>
      </w:r>
      <w:r w:rsidR="001E54C4">
        <w:rPr>
          <w:rFonts w:ascii="Arial" w:hAnsi="Arial" w:cs="Arial"/>
          <w:sz w:val="24"/>
        </w:rPr>
        <w:t>Cone of Experience</w:t>
      </w:r>
      <w:r w:rsidR="00E509D1">
        <w:rPr>
          <w:rFonts w:ascii="Arial" w:hAnsi="Arial" w:cs="Arial"/>
          <w:sz w:val="24"/>
        </w:rPr>
        <w:t>’</w:t>
      </w:r>
      <w:r w:rsidR="001E54C4">
        <w:rPr>
          <w:rFonts w:ascii="Arial" w:hAnsi="Arial" w:cs="Arial"/>
          <w:sz w:val="24"/>
        </w:rPr>
        <w:t xml:space="preserve">, as 30% of what we see can be remembered by simply seeing materials that aid the learning process. </w:t>
      </w:r>
      <w:r w:rsidR="0036511F">
        <w:rPr>
          <w:rFonts w:ascii="Arial" w:hAnsi="Arial" w:cs="Arial"/>
          <w:sz w:val="24"/>
        </w:rPr>
        <w:t xml:space="preserve">This meets a professional standard (K3) because it is an example of how students can learn. </w:t>
      </w:r>
      <w:r w:rsidR="001E54C4">
        <w:rPr>
          <w:rFonts w:ascii="Arial" w:hAnsi="Arial" w:cs="Arial"/>
          <w:sz w:val="24"/>
        </w:rPr>
        <w:t>According to Barnes (2015b), using ICT is a useful way of presenting visual content and allowing this learning process to happen effectively.</w:t>
      </w:r>
    </w:p>
    <w:p w:rsidR="001E54C4" w:rsidRDefault="00D94257" w:rsidP="009C269D">
      <w:pPr>
        <w:spacing w:line="360" w:lineRule="auto"/>
        <w:rPr>
          <w:rFonts w:ascii="Arial" w:hAnsi="Arial" w:cs="Arial"/>
          <w:sz w:val="24"/>
        </w:rPr>
      </w:pPr>
      <w:r>
        <w:rPr>
          <w:rFonts w:ascii="Arial" w:hAnsi="Arial" w:cs="Arial"/>
          <w:sz w:val="24"/>
        </w:rPr>
        <w:t>With regard to the teaching strategies, a shift from pedagogy to andragogy was evide</w:t>
      </w:r>
      <w:r w:rsidR="00A45034">
        <w:rPr>
          <w:rFonts w:ascii="Arial" w:hAnsi="Arial" w:cs="Arial"/>
          <w:sz w:val="24"/>
        </w:rPr>
        <w:t>nt and, although not a complete shift, I decided to implement it</w:t>
      </w:r>
      <w:r>
        <w:rPr>
          <w:rFonts w:ascii="Arial" w:hAnsi="Arial" w:cs="Arial"/>
          <w:sz w:val="24"/>
        </w:rPr>
        <w:t xml:space="preserve"> because “</w:t>
      </w:r>
      <w:r w:rsidRPr="00D94257">
        <w:rPr>
          <w:rFonts w:ascii="Arial" w:hAnsi="Arial" w:cs="Arial"/>
          <w:sz w:val="24"/>
        </w:rPr>
        <w:t>teaching is much more</w:t>
      </w:r>
      <w:r>
        <w:rPr>
          <w:rFonts w:ascii="Arial" w:hAnsi="Arial" w:cs="Arial"/>
          <w:sz w:val="24"/>
        </w:rPr>
        <w:t xml:space="preserve"> than explanation and modelling” (Allison and </w:t>
      </w:r>
      <w:proofErr w:type="spellStart"/>
      <w:r>
        <w:rPr>
          <w:rFonts w:ascii="Arial" w:hAnsi="Arial" w:cs="Arial"/>
          <w:sz w:val="24"/>
        </w:rPr>
        <w:t>Tharby</w:t>
      </w:r>
      <w:proofErr w:type="spellEnd"/>
      <w:r>
        <w:rPr>
          <w:rFonts w:ascii="Arial" w:hAnsi="Arial" w:cs="Arial"/>
          <w:sz w:val="24"/>
        </w:rPr>
        <w:t>, 2015: 124)</w:t>
      </w:r>
      <w:r w:rsidR="00A45034">
        <w:rPr>
          <w:rFonts w:ascii="Arial" w:hAnsi="Arial" w:cs="Arial"/>
          <w:sz w:val="24"/>
        </w:rPr>
        <w:t>. It is noted by Haynes and Haynes (2012) that students have a greater participatory role in tutorials than lectures, but by applying this active learning to lectures through student discussions and talks, a fundamental aspect of Dale’</w:t>
      </w:r>
      <w:r w:rsidR="00E509D1">
        <w:rPr>
          <w:rFonts w:ascii="Arial" w:hAnsi="Arial" w:cs="Arial"/>
          <w:sz w:val="24"/>
        </w:rPr>
        <w:t>s Cone is covered to</w:t>
      </w:r>
      <w:r w:rsidR="00A45034">
        <w:rPr>
          <w:rFonts w:ascii="Arial" w:hAnsi="Arial" w:cs="Arial"/>
          <w:sz w:val="24"/>
        </w:rPr>
        <w:t xml:space="preserve"> enable the</w:t>
      </w:r>
      <w:r w:rsidR="00764B84">
        <w:rPr>
          <w:rFonts w:ascii="Arial" w:hAnsi="Arial" w:cs="Arial"/>
          <w:sz w:val="24"/>
        </w:rPr>
        <w:t xml:space="preserve"> remembrance of lecture content</w:t>
      </w:r>
      <w:r w:rsidR="00A45034">
        <w:rPr>
          <w:rFonts w:ascii="Arial" w:hAnsi="Arial" w:cs="Arial"/>
          <w:sz w:val="24"/>
        </w:rPr>
        <w:t xml:space="preserve">. </w:t>
      </w:r>
      <w:r w:rsidR="00A143E1">
        <w:rPr>
          <w:rFonts w:ascii="Arial" w:hAnsi="Arial" w:cs="Arial"/>
          <w:sz w:val="24"/>
        </w:rPr>
        <w:t>Some of these strategies included handouts, which have “several advantages”</w:t>
      </w:r>
      <w:r w:rsidR="00530BFF">
        <w:rPr>
          <w:rFonts w:ascii="Arial" w:hAnsi="Arial" w:cs="Arial"/>
          <w:sz w:val="24"/>
        </w:rPr>
        <w:t xml:space="preserve"> (ibid: 41) and </w:t>
      </w:r>
      <w:r w:rsidR="00A143E1">
        <w:rPr>
          <w:rFonts w:ascii="Arial" w:hAnsi="Arial" w:cs="Arial"/>
          <w:sz w:val="24"/>
        </w:rPr>
        <w:t>questioning to “e</w:t>
      </w:r>
      <w:r w:rsidR="00A143E1" w:rsidRPr="00A143E1">
        <w:rPr>
          <w:rFonts w:ascii="Arial" w:hAnsi="Arial" w:cs="Arial"/>
          <w:sz w:val="24"/>
        </w:rPr>
        <w:t>ncourage all answers and build upon wro</w:t>
      </w:r>
      <w:r w:rsidR="00A143E1">
        <w:rPr>
          <w:rFonts w:ascii="Arial" w:hAnsi="Arial" w:cs="Arial"/>
          <w:sz w:val="24"/>
        </w:rPr>
        <w:t>ng or partially correct answers” (</w:t>
      </w:r>
      <w:r w:rsidR="00530BFF">
        <w:rPr>
          <w:rFonts w:ascii="Arial" w:hAnsi="Arial" w:cs="Arial"/>
          <w:sz w:val="24"/>
        </w:rPr>
        <w:t>Reece &amp; Walker, 2007: 117). I included a task that involved students drawing their own diagrams because “i</w:t>
      </w:r>
      <w:r w:rsidR="00530BFF" w:rsidRPr="00530BFF">
        <w:rPr>
          <w:rFonts w:ascii="Arial" w:hAnsi="Arial" w:cs="Arial"/>
          <w:sz w:val="24"/>
        </w:rPr>
        <w:t xml:space="preserve">f students create mind-maps, flow diagrams or other ‘graphic organisers’, their understanding </w:t>
      </w:r>
      <w:r w:rsidR="00530BFF">
        <w:rPr>
          <w:rFonts w:ascii="Arial" w:hAnsi="Arial" w:cs="Arial"/>
          <w:sz w:val="24"/>
        </w:rPr>
        <w:t>is improved by</w:t>
      </w:r>
      <w:r w:rsidR="009237F4">
        <w:rPr>
          <w:rFonts w:ascii="Arial" w:hAnsi="Arial" w:cs="Arial"/>
          <w:sz w:val="24"/>
        </w:rPr>
        <w:t xml:space="preserve"> about two grades” (Petty, 2014</w:t>
      </w:r>
      <w:r w:rsidR="00530BFF">
        <w:rPr>
          <w:rFonts w:ascii="Arial" w:hAnsi="Arial" w:cs="Arial"/>
          <w:sz w:val="24"/>
        </w:rPr>
        <w:t>:</w:t>
      </w:r>
      <w:r w:rsidR="009237F4">
        <w:rPr>
          <w:rFonts w:ascii="Arial" w:hAnsi="Arial" w:cs="Arial"/>
          <w:sz w:val="24"/>
        </w:rPr>
        <w:t xml:space="preserve"> </w:t>
      </w:r>
      <w:r w:rsidR="00513F3D">
        <w:rPr>
          <w:rFonts w:ascii="Arial" w:hAnsi="Arial" w:cs="Arial"/>
          <w:sz w:val="24"/>
        </w:rPr>
        <w:t>348</w:t>
      </w:r>
      <w:r w:rsidR="00530BFF">
        <w:rPr>
          <w:rFonts w:ascii="Arial" w:hAnsi="Arial" w:cs="Arial"/>
          <w:sz w:val="24"/>
        </w:rPr>
        <w:t>).</w:t>
      </w:r>
      <w:r w:rsidR="0036511F">
        <w:rPr>
          <w:rFonts w:ascii="Arial" w:hAnsi="Arial" w:cs="Arial"/>
          <w:sz w:val="24"/>
        </w:rPr>
        <w:t xml:space="preserve"> By encouraging the students to become actively involved in the lesson activities, I was able to meet a professional standard successfully (V2).</w:t>
      </w:r>
      <w:r w:rsidR="00B7445C">
        <w:rPr>
          <w:rFonts w:ascii="Arial" w:hAnsi="Arial" w:cs="Arial"/>
          <w:sz w:val="24"/>
        </w:rPr>
        <w:t xml:space="preserve"> I did, however, decide to keep pedagogical aspects of teaching within the lesson and it is noted by Waring </w:t>
      </w:r>
      <w:r w:rsidR="00B7445C">
        <w:rPr>
          <w:rFonts w:ascii="Arial" w:hAnsi="Arial" w:cs="Arial"/>
          <w:sz w:val="24"/>
        </w:rPr>
        <w:lastRenderedPageBreak/>
        <w:t>and Evans (2015) that pedagogy itself is subject to various approaches. My approach was to allow some pedagogical aspects to remain, whilst adding new, andragogical elements to the lesson to encourage student-led learning.</w:t>
      </w:r>
    </w:p>
    <w:p w:rsidR="00254BB3" w:rsidRDefault="0063622C" w:rsidP="009C269D">
      <w:pPr>
        <w:spacing w:line="360" w:lineRule="auto"/>
        <w:rPr>
          <w:rFonts w:ascii="Arial" w:hAnsi="Arial" w:cs="Arial"/>
          <w:sz w:val="24"/>
        </w:rPr>
      </w:pPr>
      <w:r>
        <w:rPr>
          <w:rFonts w:ascii="Arial" w:hAnsi="Arial" w:cs="Arial"/>
          <w:sz w:val="24"/>
        </w:rPr>
        <w:t>My video lesson worked very well as a contemporary pedagogy because it acts as “a stimulating part of a lesson” (Reece &amp; Walker, 2007: 120).</w:t>
      </w:r>
      <w:r w:rsidR="0033642A">
        <w:rPr>
          <w:rFonts w:ascii="Arial" w:hAnsi="Arial" w:cs="Arial"/>
          <w:sz w:val="24"/>
        </w:rPr>
        <w:t xml:space="preserve"> I followed the advice of Barnes (2015b), who recommends the use of technology for the practice of teach</w:t>
      </w:r>
      <w:r w:rsidR="00F62ED9">
        <w:rPr>
          <w:rFonts w:ascii="Arial" w:hAnsi="Arial" w:cs="Arial"/>
          <w:sz w:val="24"/>
        </w:rPr>
        <w:t>ers in training, albeit only “</w:t>
      </w:r>
      <w:r w:rsidR="00F62ED9" w:rsidRPr="00F62ED9">
        <w:rPr>
          <w:rFonts w:ascii="Arial" w:hAnsi="Arial" w:cs="Arial"/>
          <w:sz w:val="24"/>
        </w:rPr>
        <w:t>if it supports and adds to the learning experience and is designed to a</w:t>
      </w:r>
      <w:r w:rsidR="00F62ED9">
        <w:rPr>
          <w:rFonts w:ascii="Arial" w:hAnsi="Arial" w:cs="Arial"/>
          <w:sz w:val="24"/>
        </w:rPr>
        <w:t>chieve better learning outcomes” (ibid: 217-218).</w:t>
      </w:r>
      <w:r w:rsidR="00457033">
        <w:rPr>
          <w:rFonts w:ascii="Arial" w:hAnsi="Arial" w:cs="Arial"/>
          <w:sz w:val="24"/>
        </w:rPr>
        <w:t xml:space="preserve"> With regard to the emergent technology I used, the Kahoot quiz was largely successful as an assessment strategy</w:t>
      </w:r>
      <w:r w:rsidR="0036511F">
        <w:rPr>
          <w:rFonts w:ascii="Arial" w:hAnsi="Arial" w:cs="Arial"/>
          <w:sz w:val="24"/>
        </w:rPr>
        <w:t xml:space="preserve"> that meets a professional standard for assessing learners (A3)</w:t>
      </w:r>
      <w:r w:rsidR="00457033">
        <w:rPr>
          <w:rFonts w:ascii="Arial" w:hAnsi="Arial" w:cs="Arial"/>
          <w:sz w:val="24"/>
        </w:rPr>
        <w:t xml:space="preserve">, but I included a relatively short time frame for answering the questions. To learn from this, Allison and </w:t>
      </w:r>
      <w:proofErr w:type="spellStart"/>
      <w:r w:rsidR="00457033">
        <w:rPr>
          <w:rFonts w:ascii="Arial" w:hAnsi="Arial" w:cs="Arial"/>
          <w:sz w:val="24"/>
        </w:rPr>
        <w:t>Tharby</w:t>
      </w:r>
      <w:proofErr w:type="spellEnd"/>
      <w:r w:rsidR="00457033">
        <w:rPr>
          <w:rFonts w:ascii="Arial" w:hAnsi="Arial" w:cs="Arial"/>
          <w:sz w:val="24"/>
        </w:rPr>
        <w:t xml:space="preserve"> (2015) recommend allowing enough time for students to carefully process the information available to them. Nevertheless, quizzes can operate as assessment tools and Race (2014: 29) notes how a quiz can encourage student progress through “trial and error – learning through mistakes”</w:t>
      </w:r>
      <w:r w:rsidR="0079268C">
        <w:rPr>
          <w:rFonts w:ascii="Arial" w:hAnsi="Arial" w:cs="Arial"/>
          <w:sz w:val="24"/>
        </w:rPr>
        <w:t xml:space="preserve">. This aspect can also apply to the teacher, because trialling the quiz allowed me to identify the short time frame, which can be </w:t>
      </w:r>
      <w:r w:rsidR="007B386A">
        <w:rPr>
          <w:rFonts w:ascii="Arial" w:hAnsi="Arial" w:cs="Arial"/>
          <w:sz w:val="24"/>
        </w:rPr>
        <w:t xml:space="preserve">extended </w:t>
      </w:r>
      <w:r w:rsidR="0079268C">
        <w:rPr>
          <w:rFonts w:ascii="Arial" w:hAnsi="Arial" w:cs="Arial"/>
          <w:sz w:val="24"/>
        </w:rPr>
        <w:t>in a future session.</w:t>
      </w:r>
    </w:p>
    <w:p w:rsidR="0079268C" w:rsidRDefault="00057CEF" w:rsidP="009C269D">
      <w:pPr>
        <w:spacing w:line="360" w:lineRule="auto"/>
        <w:rPr>
          <w:rFonts w:ascii="Arial" w:hAnsi="Arial" w:cs="Arial"/>
          <w:sz w:val="24"/>
        </w:rPr>
      </w:pPr>
      <w:r>
        <w:rPr>
          <w:rFonts w:ascii="Arial" w:hAnsi="Arial" w:cs="Arial"/>
          <w:sz w:val="24"/>
        </w:rPr>
        <w:t xml:space="preserve">According to Reece &amp; Walker (2007) receiving feedback can provide you with a level of success and, by reflecting upon it, you can determine what must be included within a future session. With regard to my session, I received overwhelmingly positive feedback and achieved this through the widely accepted notion of praising and encouraging the students in attendance (Barnes, 2015a; Race, 2014). </w:t>
      </w:r>
      <w:r w:rsidR="007902F4">
        <w:rPr>
          <w:rFonts w:ascii="Arial" w:hAnsi="Arial" w:cs="Arial"/>
          <w:sz w:val="24"/>
        </w:rPr>
        <w:t xml:space="preserve">Without positive feedback, I would have failed to meet an important professional standard (A4). </w:t>
      </w:r>
      <w:r>
        <w:rPr>
          <w:rFonts w:ascii="Arial" w:hAnsi="Arial" w:cs="Arial"/>
          <w:sz w:val="24"/>
        </w:rPr>
        <w:t>I am confident that this feedback was also due to the passion and motivation I conveyed to the students, which is a major recommendation as stated by B</w:t>
      </w:r>
      <w:r w:rsidR="002305F0">
        <w:rPr>
          <w:rFonts w:ascii="Arial" w:hAnsi="Arial" w:cs="Arial"/>
          <w:sz w:val="24"/>
        </w:rPr>
        <w:t>arnes (2015a). In creating feedback</w:t>
      </w:r>
      <w:r>
        <w:rPr>
          <w:rFonts w:ascii="Arial" w:hAnsi="Arial" w:cs="Arial"/>
          <w:sz w:val="24"/>
        </w:rPr>
        <w:t xml:space="preserve"> forms, I followed the advice of Haynes and Haynes (2012), who encourage leaving gaps and spaces that students can add their own markings to.  </w:t>
      </w:r>
      <w:r w:rsidR="00FA7A5E">
        <w:rPr>
          <w:rFonts w:ascii="Arial" w:hAnsi="Arial" w:cs="Arial"/>
          <w:sz w:val="24"/>
        </w:rPr>
        <w:t xml:space="preserve">This </w:t>
      </w:r>
      <w:r w:rsidR="00A71D57">
        <w:rPr>
          <w:rFonts w:ascii="Arial" w:hAnsi="Arial" w:cs="Arial"/>
          <w:sz w:val="24"/>
        </w:rPr>
        <w:t xml:space="preserve">‘Kirkpatrick </w:t>
      </w:r>
      <w:r w:rsidR="00FA7A5E">
        <w:rPr>
          <w:rFonts w:ascii="Arial" w:hAnsi="Arial" w:cs="Arial"/>
          <w:sz w:val="24"/>
        </w:rPr>
        <w:t>method</w:t>
      </w:r>
      <w:r w:rsidR="00A71D57">
        <w:rPr>
          <w:rFonts w:ascii="Arial" w:hAnsi="Arial" w:cs="Arial"/>
          <w:sz w:val="24"/>
        </w:rPr>
        <w:t xml:space="preserve">’ of evaluation </w:t>
      </w:r>
      <w:r w:rsidR="00FA7A5E">
        <w:rPr>
          <w:rFonts w:ascii="Arial" w:hAnsi="Arial" w:cs="Arial"/>
          <w:sz w:val="24"/>
        </w:rPr>
        <w:t>is vitally important to students as well as teachers and, if the former “</w:t>
      </w:r>
      <w:r w:rsidR="00FA7A5E" w:rsidRPr="00FA7A5E">
        <w:rPr>
          <w:rFonts w:ascii="Arial" w:hAnsi="Arial" w:cs="Arial"/>
          <w:sz w:val="24"/>
        </w:rPr>
        <w:t>cannot evaluate then they cannot take even the first step</w:t>
      </w:r>
      <w:r w:rsidR="00FA7A5E">
        <w:rPr>
          <w:rFonts w:ascii="Arial" w:hAnsi="Arial" w:cs="Arial"/>
          <w:sz w:val="24"/>
        </w:rPr>
        <w:t>s towards their own improvement” (Petty, 2014: 17).</w:t>
      </w:r>
    </w:p>
    <w:p w:rsidR="00537120" w:rsidRDefault="00537120" w:rsidP="009C269D">
      <w:pPr>
        <w:spacing w:line="360" w:lineRule="auto"/>
        <w:rPr>
          <w:rFonts w:ascii="Arial" w:hAnsi="Arial" w:cs="Arial"/>
          <w:sz w:val="24"/>
        </w:rPr>
      </w:pPr>
    </w:p>
    <w:p w:rsidR="00025AEE" w:rsidRPr="003637E9" w:rsidRDefault="00025AEE" w:rsidP="009C269D">
      <w:pPr>
        <w:spacing w:line="360" w:lineRule="auto"/>
        <w:rPr>
          <w:rFonts w:ascii="Arial" w:hAnsi="Arial" w:cs="Arial"/>
          <w:sz w:val="24"/>
        </w:rPr>
      </w:pPr>
    </w:p>
    <w:p w:rsidR="00A56970" w:rsidRDefault="0032732B" w:rsidP="009C269D">
      <w:pPr>
        <w:pStyle w:val="ListParagraph"/>
        <w:numPr>
          <w:ilvl w:val="0"/>
          <w:numId w:val="10"/>
        </w:numPr>
        <w:spacing w:line="360" w:lineRule="auto"/>
        <w:rPr>
          <w:rFonts w:ascii="Arial" w:hAnsi="Arial" w:cs="Arial"/>
          <w:sz w:val="24"/>
          <w:u w:val="single"/>
        </w:rPr>
      </w:pPr>
      <w:r w:rsidRPr="003637E9">
        <w:rPr>
          <w:rFonts w:ascii="Arial" w:hAnsi="Arial" w:cs="Arial"/>
          <w:sz w:val="24"/>
          <w:u w:val="single"/>
        </w:rPr>
        <w:lastRenderedPageBreak/>
        <w:t>Conclusion</w:t>
      </w:r>
    </w:p>
    <w:p w:rsidR="00A56970" w:rsidRPr="00A56970" w:rsidRDefault="00A56970" w:rsidP="009C269D">
      <w:pPr>
        <w:spacing w:line="360" w:lineRule="auto"/>
        <w:rPr>
          <w:rFonts w:ascii="Arial" w:hAnsi="Arial" w:cs="Arial"/>
          <w:sz w:val="24"/>
        </w:rPr>
      </w:pPr>
      <w:r>
        <w:rPr>
          <w:rFonts w:ascii="Arial" w:hAnsi="Arial" w:cs="Arial"/>
          <w:sz w:val="24"/>
        </w:rPr>
        <w:t xml:space="preserve">As an overall outcome, my second microteaching session allowed me to </w:t>
      </w:r>
      <w:r w:rsidR="0022183F">
        <w:rPr>
          <w:rFonts w:ascii="Arial" w:hAnsi="Arial" w:cs="Arial"/>
          <w:sz w:val="24"/>
        </w:rPr>
        <w:t>remarka</w:t>
      </w:r>
      <w:r>
        <w:rPr>
          <w:rFonts w:ascii="Arial" w:hAnsi="Arial" w:cs="Arial"/>
          <w:sz w:val="24"/>
        </w:rPr>
        <w:t xml:space="preserve">bly improve my teaching practice, especially with regard to the wider variety of teaching strategies implemented. </w:t>
      </w:r>
      <w:r w:rsidR="00883416">
        <w:rPr>
          <w:rFonts w:ascii="Arial" w:hAnsi="Arial" w:cs="Arial"/>
          <w:sz w:val="24"/>
        </w:rPr>
        <w:t>I acknowledged that “t</w:t>
      </w:r>
      <w:r w:rsidR="00883416" w:rsidRPr="00883416">
        <w:rPr>
          <w:rFonts w:ascii="Arial" w:hAnsi="Arial" w:cs="Arial"/>
          <w:sz w:val="24"/>
        </w:rPr>
        <w:t>here are many different kinds of</w:t>
      </w:r>
      <w:r w:rsidR="00883416">
        <w:rPr>
          <w:rFonts w:ascii="Arial" w:hAnsi="Arial" w:cs="Arial"/>
          <w:sz w:val="24"/>
        </w:rPr>
        <w:t xml:space="preserve"> good teacher and good teaching” (Moore, 2012: 110) and, as a result, I shifted the lesson activities and content to provide a more andragogical focus. Saying that, the pedagogical focus was not completely eliminated from the lesson content as I implemented a successful contemporary pedagogy that was used to improve the learning experience of the students (Reece and Walker, 2007). </w:t>
      </w:r>
      <w:r w:rsidR="00724811">
        <w:rPr>
          <w:rFonts w:ascii="Arial" w:hAnsi="Arial" w:cs="Arial"/>
          <w:sz w:val="24"/>
        </w:rPr>
        <w:t>There were issues in planning and preparing the lesson, with technical difficulties and some classroom nuisances omitted from the lesson plan. “</w:t>
      </w:r>
      <w:r w:rsidR="00724811" w:rsidRPr="00724811">
        <w:rPr>
          <w:rFonts w:ascii="Arial" w:hAnsi="Arial" w:cs="Arial"/>
          <w:sz w:val="24"/>
        </w:rPr>
        <w:t>It therefore should not surprise u</w:t>
      </w:r>
      <w:r w:rsidR="00724811">
        <w:rPr>
          <w:rFonts w:ascii="Arial" w:hAnsi="Arial" w:cs="Arial"/>
          <w:sz w:val="24"/>
        </w:rPr>
        <w:t xml:space="preserve">s how much we learn as we teach” (Race, 2014: 35), as these issues have acted as lessons themselves to show what should be considered and also avoided during a future microteaching session. Despite the problems encountered, my final verdict suggests that my microteaching session was largely successful once again, with considerable improvements made since the last session. Additionally, many professional standards were met during the session and the activities largely </w:t>
      </w:r>
      <w:r w:rsidR="009D1E10">
        <w:rPr>
          <w:rFonts w:ascii="Arial" w:hAnsi="Arial" w:cs="Arial"/>
          <w:sz w:val="24"/>
        </w:rPr>
        <w:t xml:space="preserve">relate to various elements of </w:t>
      </w:r>
      <w:r w:rsidR="00724811">
        <w:rPr>
          <w:rFonts w:ascii="Arial" w:hAnsi="Arial" w:cs="Arial"/>
          <w:sz w:val="24"/>
        </w:rPr>
        <w:t xml:space="preserve">Dale’s </w:t>
      </w:r>
      <w:r w:rsidR="009D1E10">
        <w:rPr>
          <w:rFonts w:ascii="Arial" w:hAnsi="Arial" w:cs="Arial"/>
          <w:sz w:val="24"/>
        </w:rPr>
        <w:t>‘</w:t>
      </w:r>
      <w:r w:rsidR="00724811">
        <w:rPr>
          <w:rFonts w:ascii="Arial" w:hAnsi="Arial" w:cs="Arial"/>
          <w:sz w:val="24"/>
        </w:rPr>
        <w:t>Cone of Experience’, encouraging students to effectively process and remember the lesson content.</w:t>
      </w:r>
    </w:p>
    <w:p w:rsidR="0032732B" w:rsidRPr="003637E9" w:rsidRDefault="0032732B" w:rsidP="009C269D">
      <w:pPr>
        <w:spacing w:line="360" w:lineRule="auto"/>
        <w:rPr>
          <w:rFonts w:ascii="Arial" w:hAnsi="Arial" w:cs="Arial"/>
          <w:sz w:val="24"/>
          <w:u w:val="single"/>
        </w:rPr>
      </w:pPr>
    </w:p>
    <w:p w:rsidR="0032732B" w:rsidRDefault="0032732B" w:rsidP="009C269D">
      <w:pPr>
        <w:pStyle w:val="ListParagraph"/>
        <w:numPr>
          <w:ilvl w:val="0"/>
          <w:numId w:val="10"/>
        </w:numPr>
        <w:spacing w:line="360" w:lineRule="auto"/>
        <w:rPr>
          <w:rFonts w:ascii="Arial" w:hAnsi="Arial" w:cs="Arial"/>
          <w:sz w:val="24"/>
          <w:u w:val="single"/>
        </w:rPr>
      </w:pPr>
      <w:r w:rsidRPr="003637E9">
        <w:rPr>
          <w:rFonts w:ascii="Arial" w:hAnsi="Arial" w:cs="Arial"/>
          <w:sz w:val="24"/>
          <w:u w:val="single"/>
        </w:rPr>
        <w:t>Action Plan</w:t>
      </w:r>
    </w:p>
    <w:p w:rsidR="00B948CE" w:rsidRPr="00234353" w:rsidRDefault="00234353" w:rsidP="00234353">
      <w:pPr>
        <w:spacing w:line="360" w:lineRule="auto"/>
        <w:rPr>
          <w:rFonts w:ascii="Arial" w:hAnsi="Arial" w:cs="Arial"/>
          <w:sz w:val="24"/>
        </w:rPr>
      </w:pPr>
      <w:r>
        <w:rPr>
          <w:rFonts w:ascii="Arial" w:hAnsi="Arial" w:cs="Arial"/>
          <w:sz w:val="24"/>
        </w:rPr>
        <w:t>Although I have adopted recommendations from my previous action plan for this session, such as including a quiz and providing handouts, there are still improvements that could help in developing my practice for next time.</w:t>
      </w:r>
      <w:r w:rsidR="00816806">
        <w:rPr>
          <w:rFonts w:ascii="Arial" w:hAnsi="Arial" w:cs="Arial"/>
          <w:sz w:val="24"/>
        </w:rPr>
        <w:t xml:space="preserve"> I would place a much greater emphasis upon lesson planning, especially when planning for issues and difficulties that may arise during the session.</w:t>
      </w:r>
      <w:r w:rsidR="00520627">
        <w:rPr>
          <w:rFonts w:ascii="Arial" w:hAnsi="Arial" w:cs="Arial"/>
          <w:sz w:val="24"/>
        </w:rPr>
        <w:t xml:space="preserve"> To develop my future lesson plans, I could follow the recommendation of Allison and </w:t>
      </w:r>
      <w:proofErr w:type="spellStart"/>
      <w:r w:rsidR="00520627">
        <w:rPr>
          <w:rFonts w:ascii="Arial" w:hAnsi="Arial" w:cs="Arial"/>
          <w:sz w:val="24"/>
        </w:rPr>
        <w:t>Tharby</w:t>
      </w:r>
      <w:proofErr w:type="spellEnd"/>
      <w:r w:rsidR="00520627">
        <w:rPr>
          <w:rFonts w:ascii="Arial" w:hAnsi="Arial" w:cs="Arial"/>
          <w:sz w:val="24"/>
        </w:rPr>
        <w:t xml:space="preserve"> (2015), who suggest using checklists as an easy tool to put good manners into my teaching practice.</w:t>
      </w:r>
      <w:r w:rsidR="00816806">
        <w:rPr>
          <w:rFonts w:ascii="Arial" w:hAnsi="Arial" w:cs="Arial"/>
          <w:sz w:val="24"/>
        </w:rPr>
        <w:t xml:space="preserve"> I would continue to use a quiz as an emergent technology, but I would extend the time period for answering the questions, in order to allow students to process the information. Despite a shift towards andragogy in this session, I could make the next session even more andragogical by including unique, active learning exercises and </w:t>
      </w:r>
      <w:r w:rsidR="00816806">
        <w:rPr>
          <w:rFonts w:ascii="Arial" w:hAnsi="Arial" w:cs="Arial"/>
          <w:sz w:val="24"/>
        </w:rPr>
        <w:lastRenderedPageBreak/>
        <w:t>changing my approach to pedagogy by including ‘participatory pedagogies’ (Waring and Evans, 2015). This includes “</w:t>
      </w:r>
      <w:r w:rsidR="00816806" w:rsidRPr="00816806">
        <w:rPr>
          <w:rFonts w:ascii="Arial" w:hAnsi="Arial" w:cs="Arial"/>
          <w:sz w:val="24"/>
        </w:rPr>
        <w:t>a particular type of pedagogical relationship between tutor and student, in which both tea</w:t>
      </w:r>
      <w:r w:rsidR="00816806">
        <w:rPr>
          <w:rFonts w:ascii="Arial" w:hAnsi="Arial" w:cs="Arial"/>
          <w:sz w:val="24"/>
        </w:rPr>
        <w:t xml:space="preserve">cher and learning work together” (ibid: 104). </w:t>
      </w:r>
      <w:r w:rsidR="00520627">
        <w:rPr>
          <w:rFonts w:ascii="Arial" w:hAnsi="Arial" w:cs="Arial"/>
          <w:sz w:val="24"/>
        </w:rPr>
        <w:t>Finally, I could also find alternatives to time-wasting nuisances in the session, such as rubbing out whiteboard writing and struggling to follow a large quantity of notes on paper.</w:t>
      </w:r>
    </w:p>
    <w:p w:rsidR="00B948CE" w:rsidRPr="00B948CE" w:rsidRDefault="00B948CE" w:rsidP="009C269D">
      <w:pPr>
        <w:pStyle w:val="ListParagraph"/>
        <w:tabs>
          <w:tab w:val="left" w:pos="3265"/>
        </w:tabs>
        <w:spacing w:line="360" w:lineRule="auto"/>
        <w:rPr>
          <w:rFonts w:ascii="Arial" w:hAnsi="Arial" w:cs="Arial"/>
          <w:b/>
          <w:sz w:val="24"/>
          <w:u w:val="single"/>
        </w:rPr>
      </w:pPr>
    </w:p>
    <w:p w:rsidR="00E24BD2" w:rsidRPr="00E24BD2" w:rsidRDefault="0032732B" w:rsidP="00E24BD2">
      <w:pPr>
        <w:pStyle w:val="ListParagraph"/>
        <w:numPr>
          <w:ilvl w:val="0"/>
          <w:numId w:val="12"/>
        </w:numPr>
        <w:spacing w:line="360" w:lineRule="auto"/>
        <w:rPr>
          <w:rFonts w:ascii="Arial" w:hAnsi="Arial" w:cs="Arial"/>
          <w:b/>
          <w:sz w:val="24"/>
          <w:u w:val="single"/>
        </w:rPr>
      </w:pPr>
      <w:r w:rsidRPr="00B948CE">
        <w:rPr>
          <w:rFonts w:ascii="Arial" w:hAnsi="Arial" w:cs="Arial"/>
          <w:b/>
          <w:sz w:val="24"/>
          <w:u w:val="single"/>
        </w:rPr>
        <w:t>Summary</w:t>
      </w:r>
    </w:p>
    <w:p w:rsidR="00E24BD2" w:rsidRDefault="00E24BD2" w:rsidP="00E24BD2">
      <w:pPr>
        <w:spacing w:line="360" w:lineRule="auto"/>
        <w:rPr>
          <w:rFonts w:ascii="Arial" w:hAnsi="Arial" w:cs="Arial"/>
          <w:sz w:val="24"/>
        </w:rPr>
      </w:pPr>
      <w:r>
        <w:rPr>
          <w:rFonts w:ascii="Arial" w:hAnsi="Arial" w:cs="Arial"/>
          <w:sz w:val="24"/>
        </w:rPr>
        <w:t>As a summary, this essay has attempted to critically evaluate and reflect on my second microteaching session and lesson plan, with reference to the improvements made since the last session and the inclusion of contemporary pedagogies. After describing the events of the session, my feelings, an evaluation and analysis of what happened, an overall consensus and a plan of what could be done in the future, my reflection shows that my follow up microteachi</w:t>
      </w:r>
      <w:r w:rsidR="00BA1A01">
        <w:rPr>
          <w:rFonts w:ascii="Arial" w:hAnsi="Arial" w:cs="Arial"/>
          <w:sz w:val="24"/>
        </w:rPr>
        <w:t xml:space="preserve">ng session showed a </w:t>
      </w:r>
      <w:r w:rsidR="00FC3936">
        <w:rPr>
          <w:rFonts w:ascii="Arial" w:hAnsi="Arial" w:cs="Arial"/>
          <w:sz w:val="24"/>
        </w:rPr>
        <w:t>substantial</w:t>
      </w:r>
      <w:r>
        <w:rPr>
          <w:rFonts w:ascii="Arial" w:hAnsi="Arial" w:cs="Arial"/>
          <w:sz w:val="24"/>
        </w:rPr>
        <w:t xml:space="preserve"> improvement of teaching style, classroom man</w:t>
      </w:r>
      <w:r w:rsidR="007936FC">
        <w:rPr>
          <w:rFonts w:ascii="Arial" w:hAnsi="Arial" w:cs="Arial"/>
          <w:sz w:val="24"/>
        </w:rPr>
        <w:t>agement and teaching strategies, highlighting a positive development in my practice.</w:t>
      </w:r>
    </w:p>
    <w:p w:rsidR="00E24BD2" w:rsidRPr="00E24BD2" w:rsidRDefault="00E24BD2" w:rsidP="00E24BD2">
      <w:pPr>
        <w:spacing w:line="360" w:lineRule="auto"/>
        <w:rPr>
          <w:rFonts w:ascii="Arial" w:hAnsi="Arial" w:cs="Arial"/>
          <w:b/>
          <w:sz w:val="24"/>
          <w:u w:val="single"/>
        </w:rPr>
      </w:pPr>
    </w:p>
    <w:p w:rsidR="00FC6687" w:rsidRPr="00A71844" w:rsidRDefault="00FC6687" w:rsidP="00A71844">
      <w:pPr>
        <w:spacing w:line="360" w:lineRule="auto"/>
        <w:rPr>
          <w:rFonts w:ascii="Arial" w:hAnsi="Arial" w:cs="Arial"/>
          <w:sz w:val="24"/>
        </w:rPr>
      </w:pPr>
    </w:p>
    <w:p w:rsidR="003637E9" w:rsidRDefault="003637E9" w:rsidP="003637E9">
      <w:pPr>
        <w:spacing w:line="360" w:lineRule="auto"/>
        <w:rPr>
          <w:rFonts w:ascii="Arial" w:hAnsi="Arial" w:cs="Arial"/>
          <w:b/>
          <w:sz w:val="24"/>
          <w:u w:val="single"/>
        </w:rPr>
      </w:pPr>
    </w:p>
    <w:p w:rsidR="00FB7969" w:rsidRDefault="00FB7969">
      <w:pPr>
        <w:rPr>
          <w:rFonts w:ascii="Arial" w:hAnsi="Arial" w:cs="Arial"/>
          <w:sz w:val="24"/>
        </w:rPr>
      </w:pPr>
      <w:r>
        <w:rPr>
          <w:rFonts w:ascii="Arial" w:hAnsi="Arial" w:cs="Arial"/>
          <w:sz w:val="24"/>
        </w:rPr>
        <w:br w:type="page"/>
      </w:r>
    </w:p>
    <w:p w:rsidR="00977579" w:rsidRDefault="00977579" w:rsidP="00977579">
      <w:pPr>
        <w:spacing w:line="360" w:lineRule="auto"/>
        <w:rPr>
          <w:rFonts w:ascii="Arial" w:hAnsi="Arial" w:cs="Arial"/>
          <w:b/>
          <w:sz w:val="24"/>
          <w:u w:val="single"/>
        </w:rPr>
      </w:pPr>
      <w:r>
        <w:rPr>
          <w:rFonts w:ascii="Arial" w:hAnsi="Arial" w:cs="Arial"/>
          <w:b/>
          <w:sz w:val="24"/>
          <w:u w:val="single"/>
        </w:rPr>
        <w:lastRenderedPageBreak/>
        <w:t>References</w:t>
      </w:r>
    </w:p>
    <w:p w:rsidR="00416E40" w:rsidRDefault="00416E40" w:rsidP="00977579">
      <w:pPr>
        <w:spacing w:line="360" w:lineRule="auto"/>
        <w:rPr>
          <w:rFonts w:ascii="Arial" w:hAnsi="Arial" w:cs="Arial"/>
          <w:b/>
          <w:sz w:val="24"/>
          <w:u w:val="single"/>
        </w:rPr>
      </w:pPr>
    </w:p>
    <w:p w:rsidR="004D0EF1" w:rsidRPr="00D94257" w:rsidRDefault="004D0EF1" w:rsidP="00D94257">
      <w:pPr>
        <w:rPr>
          <w:rFonts w:ascii="Arial" w:hAnsi="Arial" w:cs="Arial"/>
          <w:sz w:val="24"/>
        </w:rPr>
      </w:pPr>
      <w:r w:rsidRPr="00D94257">
        <w:rPr>
          <w:rFonts w:ascii="Arial" w:hAnsi="Arial" w:cs="Arial"/>
          <w:sz w:val="24"/>
        </w:rPr>
        <w:t xml:space="preserve">Allison, S. and </w:t>
      </w:r>
      <w:proofErr w:type="spellStart"/>
      <w:r w:rsidRPr="00D94257">
        <w:rPr>
          <w:rFonts w:ascii="Arial" w:hAnsi="Arial" w:cs="Arial"/>
          <w:sz w:val="24"/>
        </w:rPr>
        <w:t>Tharby</w:t>
      </w:r>
      <w:proofErr w:type="spellEnd"/>
      <w:r w:rsidRPr="00D94257">
        <w:rPr>
          <w:rFonts w:ascii="Arial" w:hAnsi="Arial" w:cs="Arial"/>
          <w:sz w:val="24"/>
        </w:rPr>
        <w:t xml:space="preserve">, A. (2015), </w:t>
      </w:r>
      <w:r w:rsidRPr="00B05FA3">
        <w:rPr>
          <w:rFonts w:ascii="Arial" w:hAnsi="Arial" w:cs="Arial"/>
          <w:i/>
          <w:sz w:val="24"/>
        </w:rPr>
        <w:t>Making Every Lesson Count: Six principles to support great teaching and learning</w:t>
      </w:r>
      <w:r w:rsidRPr="00D94257">
        <w:rPr>
          <w:rFonts w:ascii="Arial" w:hAnsi="Arial" w:cs="Arial"/>
          <w:sz w:val="24"/>
        </w:rPr>
        <w:t>, Carmarthen: Crown House Publishing.</w:t>
      </w:r>
    </w:p>
    <w:p w:rsidR="004D0EF1" w:rsidRDefault="004D0EF1" w:rsidP="002F2856">
      <w:pPr>
        <w:rPr>
          <w:rFonts w:ascii="Arial" w:hAnsi="Arial" w:cs="Arial"/>
          <w:sz w:val="24"/>
        </w:rPr>
      </w:pPr>
      <w:r w:rsidRPr="0032732B">
        <w:rPr>
          <w:rFonts w:ascii="Arial" w:hAnsi="Arial" w:cs="Arial"/>
          <w:sz w:val="24"/>
        </w:rPr>
        <w:t xml:space="preserve">Barnes, J. (2015a), Managing your classroom environment. In: </w:t>
      </w:r>
      <w:proofErr w:type="spellStart"/>
      <w:r w:rsidRPr="0032732B">
        <w:rPr>
          <w:rFonts w:ascii="Arial" w:hAnsi="Arial" w:cs="Arial"/>
          <w:sz w:val="24"/>
        </w:rPr>
        <w:t>Denby</w:t>
      </w:r>
      <w:proofErr w:type="spellEnd"/>
      <w:r w:rsidRPr="0032732B">
        <w:rPr>
          <w:rFonts w:ascii="Arial" w:hAnsi="Arial" w:cs="Arial"/>
          <w:sz w:val="24"/>
        </w:rPr>
        <w:t xml:space="preserve">, N. (ed.), (2015), </w:t>
      </w:r>
      <w:r w:rsidRPr="00B05FA3">
        <w:rPr>
          <w:rFonts w:ascii="Arial" w:hAnsi="Arial" w:cs="Arial"/>
          <w:i/>
          <w:sz w:val="24"/>
        </w:rPr>
        <w:t>Training to Teach: A Guide for Students</w:t>
      </w:r>
      <w:r w:rsidRPr="0032732B">
        <w:rPr>
          <w:rFonts w:ascii="Arial" w:hAnsi="Arial" w:cs="Arial"/>
          <w:sz w:val="24"/>
        </w:rPr>
        <w:t>, 3rd Ed., London: Sage, pp. 125-139.</w:t>
      </w:r>
    </w:p>
    <w:p w:rsidR="004D0EF1" w:rsidRDefault="004D0EF1" w:rsidP="00166780">
      <w:pPr>
        <w:rPr>
          <w:rFonts w:ascii="Arial" w:hAnsi="Arial" w:cs="Arial"/>
          <w:sz w:val="24"/>
        </w:rPr>
      </w:pPr>
      <w:r w:rsidRPr="00166780">
        <w:rPr>
          <w:rFonts w:ascii="Arial" w:hAnsi="Arial" w:cs="Arial"/>
          <w:sz w:val="24"/>
        </w:rPr>
        <w:t xml:space="preserve">Barnes, J. (2015b), Using digital technologies in teaching strategies. In: </w:t>
      </w:r>
      <w:proofErr w:type="spellStart"/>
      <w:r w:rsidRPr="00166780">
        <w:rPr>
          <w:rFonts w:ascii="Arial" w:hAnsi="Arial" w:cs="Arial"/>
          <w:sz w:val="24"/>
        </w:rPr>
        <w:t>Denby</w:t>
      </w:r>
      <w:proofErr w:type="spellEnd"/>
      <w:r w:rsidRPr="00166780">
        <w:rPr>
          <w:rFonts w:ascii="Arial" w:hAnsi="Arial" w:cs="Arial"/>
          <w:sz w:val="24"/>
        </w:rPr>
        <w:t xml:space="preserve">, N. (ed.), (2015), </w:t>
      </w:r>
      <w:r w:rsidRPr="00B05FA3">
        <w:rPr>
          <w:rFonts w:ascii="Arial" w:hAnsi="Arial" w:cs="Arial"/>
          <w:i/>
          <w:sz w:val="24"/>
        </w:rPr>
        <w:t>Training to Teach: A Guide for Students</w:t>
      </w:r>
      <w:r w:rsidRPr="00166780">
        <w:rPr>
          <w:rFonts w:ascii="Arial" w:hAnsi="Arial" w:cs="Arial"/>
          <w:sz w:val="24"/>
        </w:rPr>
        <w:t>, 3rd Ed., London: Sage, pp. 212-225.</w:t>
      </w:r>
    </w:p>
    <w:p w:rsidR="004D0EF1" w:rsidRDefault="004D0EF1" w:rsidP="00516E18">
      <w:pPr>
        <w:spacing w:line="240" w:lineRule="auto"/>
        <w:rPr>
          <w:rFonts w:ascii="Arial" w:hAnsi="Arial" w:cs="Arial"/>
          <w:sz w:val="24"/>
        </w:rPr>
      </w:pPr>
      <w:r w:rsidRPr="008C23E5">
        <w:rPr>
          <w:rFonts w:ascii="Arial" w:hAnsi="Arial" w:cs="Arial"/>
          <w:sz w:val="24"/>
        </w:rPr>
        <w:t>Gibbs, G. (1988)</w:t>
      </w:r>
      <w:r>
        <w:rPr>
          <w:rFonts w:ascii="Arial" w:hAnsi="Arial" w:cs="Arial"/>
          <w:sz w:val="24"/>
        </w:rPr>
        <w:t>,</w:t>
      </w:r>
      <w:r w:rsidRPr="008C23E5">
        <w:rPr>
          <w:rFonts w:ascii="Arial" w:hAnsi="Arial" w:cs="Arial"/>
          <w:sz w:val="24"/>
        </w:rPr>
        <w:t xml:space="preserve"> </w:t>
      </w:r>
      <w:r w:rsidRPr="00F8422A">
        <w:rPr>
          <w:rFonts w:ascii="Arial" w:hAnsi="Arial" w:cs="Arial"/>
          <w:i/>
          <w:sz w:val="24"/>
        </w:rPr>
        <w:t>Learning by doing: A guide to teaching and learning methods</w:t>
      </w:r>
      <w:r>
        <w:rPr>
          <w:rFonts w:ascii="Arial" w:hAnsi="Arial" w:cs="Arial"/>
          <w:sz w:val="24"/>
        </w:rPr>
        <w:t xml:space="preserve">. </w:t>
      </w:r>
      <w:r w:rsidRPr="008C23E5">
        <w:rPr>
          <w:rFonts w:ascii="Arial" w:hAnsi="Arial" w:cs="Arial"/>
          <w:sz w:val="24"/>
        </w:rPr>
        <w:t>Further Educational Unit, Oxford Polytechnic, Oxford.</w:t>
      </w:r>
    </w:p>
    <w:p w:rsidR="004D0EF1" w:rsidRDefault="004D0EF1" w:rsidP="002F2856">
      <w:pPr>
        <w:rPr>
          <w:rFonts w:ascii="Arial" w:hAnsi="Arial" w:cs="Arial"/>
          <w:sz w:val="24"/>
        </w:rPr>
      </w:pPr>
      <w:r w:rsidRPr="002F2856">
        <w:rPr>
          <w:rFonts w:ascii="Arial" w:hAnsi="Arial" w:cs="Arial"/>
          <w:sz w:val="24"/>
        </w:rPr>
        <w:t xml:space="preserve">Haynes, A. and Haynes, K. (2012), </w:t>
      </w:r>
      <w:r w:rsidRPr="00B05FA3">
        <w:rPr>
          <w:rFonts w:ascii="Arial" w:hAnsi="Arial" w:cs="Arial"/>
          <w:i/>
          <w:sz w:val="24"/>
        </w:rPr>
        <w:t>53 Interesting Things to Do in Your Lecturers</w:t>
      </w:r>
      <w:r w:rsidRPr="002F2856">
        <w:rPr>
          <w:rFonts w:ascii="Arial" w:hAnsi="Arial" w:cs="Arial"/>
          <w:sz w:val="24"/>
        </w:rPr>
        <w:t>, Ely: The Professional and Higher Education Partnership.</w:t>
      </w:r>
    </w:p>
    <w:p w:rsidR="004D0EF1" w:rsidRDefault="004D0EF1" w:rsidP="00516E18">
      <w:pPr>
        <w:spacing w:line="240" w:lineRule="auto"/>
        <w:rPr>
          <w:rFonts w:ascii="Arial" w:hAnsi="Arial" w:cs="Arial"/>
          <w:sz w:val="24"/>
        </w:rPr>
      </w:pPr>
      <w:r w:rsidRPr="00416E40">
        <w:rPr>
          <w:rFonts w:ascii="Arial" w:hAnsi="Arial" w:cs="Arial"/>
          <w:sz w:val="24"/>
        </w:rPr>
        <w:t xml:space="preserve">Moore, A. (2012), </w:t>
      </w:r>
      <w:r w:rsidRPr="00B05FA3">
        <w:rPr>
          <w:rFonts w:ascii="Arial" w:hAnsi="Arial" w:cs="Arial"/>
          <w:i/>
          <w:sz w:val="24"/>
        </w:rPr>
        <w:t>Teaching and Learning: Pedagogy</w:t>
      </w:r>
      <w:r w:rsidRPr="00416E40">
        <w:rPr>
          <w:rFonts w:ascii="Arial" w:hAnsi="Arial" w:cs="Arial"/>
          <w:sz w:val="24"/>
        </w:rPr>
        <w:t>, Curriculum and Culture, 2nd Ed., Abingdon: Routledge.</w:t>
      </w:r>
    </w:p>
    <w:p w:rsidR="004D0EF1" w:rsidRDefault="004D0EF1" w:rsidP="00855954">
      <w:pPr>
        <w:rPr>
          <w:rFonts w:ascii="Arial" w:hAnsi="Arial" w:cs="Arial"/>
          <w:sz w:val="24"/>
        </w:rPr>
      </w:pPr>
      <w:r w:rsidRPr="00855954">
        <w:rPr>
          <w:rFonts w:ascii="Arial" w:hAnsi="Arial" w:cs="Arial"/>
          <w:sz w:val="24"/>
        </w:rPr>
        <w:t xml:space="preserve">Petty, G. (2014), </w:t>
      </w:r>
      <w:r w:rsidRPr="00B05FA3">
        <w:rPr>
          <w:rFonts w:ascii="Arial" w:hAnsi="Arial" w:cs="Arial"/>
          <w:i/>
          <w:sz w:val="24"/>
        </w:rPr>
        <w:t>Teaching Today</w:t>
      </w:r>
      <w:r w:rsidRPr="00855954">
        <w:rPr>
          <w:rFonts w:ascii="Arial" w:hAnsi="Arial" w:cs="Arial"/>
          <w:sz w:val="24"/>
        </w:rPr>
        <w:t>, 5th Ed., Oxford: Oxford University Press.</w:t>
      </w:r>
    </w:p>
    <w:p w:rsidR="004D0EF1" w:rsidRDefault="004D0EF1" w:rsidP="002F2856">
      <w:pPr>
        <w:rPr>
          <w:rFonts w:ascii="Arial" w:hAnsi="Arial" w:cs="Arial"/>
          <w:sz w:val="24"/>
        </w:rPr>
      </w:pPr>
      <w:r w:rsidRPr="0032732B">
        <w:rPr>
          <w:rFonts w:ascii="Arial" w:hAnsi="Arial" w:cs="Arial"/>
          <w:sz w:val="24"/>
        </w:rPr>
        <w:t xml:space="preserve">Price, J. And Woodhouse, F. (2015), Cross-curricular teaching issues. In: </w:t>
      </w:r>
      <w:proofErr w:type="spellStart"/>
      <w:r w:rsidRPr="0032732B">
        <w:rPr>
          <w:rFonts w:ascii="Arial" w:hAnsi="Arial" w:cs="Arial"/>
          <w:sz w:val="24"/>
        </w:rPr>
        <w:t>Denby</w:t>
      </w:r>
      <w:proofErr w:type="spellEnd"/>
      <w:r w:rsidRPr="0032732B">
        <w:rPr>
          <w:rFonts w:ascii="Arial" w:hAnsi="Arial" w:cs="Arial"/>
          <w:sz w:val="24"/>
        </w:rPr>
        <w:t xml:space="preserve">, N. (ed.), (2015), </w:t>
      </w:r>
      <w:r w:rsidRPr="00B05FA3">
        <w:rPr>
          <w:rFonts w:ascii="Arial" w:hAnsi="Arial" w:cs="Arial"/>
          <w:i/>
          <w:sz w:val="24"/>
        </w:rPr>
        <w:t>Training to Teach: A Guide for Students</w:t>
      </w:r>
      <w:r w:rsidRPr="0032732B">
        <w:rPr>
          <w:rFonts w:ascii="Arial" w:hAnsi="Arial" w:cs="Arial"/>
          <w:sz w:val="24"/>
        </w:rPr>
        <w:t>, 3rd Ed., London: Sage, pp. 321-334.</w:t>
      </w:r>
    </w:p>
    <w:p w:rsidR="004D0EF1" w:rsidRDefault="004D0EF1" w:rsidP="002F2856">
      <w:pPr>
        <w:rPr>
          <w:rFonts w:ascii="Arial" w:hAnsi="Arial" w:cs="Arial"/>
          <w:sz w:val="24"/>
        </w:rPr>
      </w:pPr>
      <w:r w:rsidRPr="004D0EF1">
        <w:rPr>
          <w:rFonts w:ascii="Arial" w:hAnsi="Arial" w:cs="Arial"/>
          <w:sz w:val="24"/>
        </w:rPr>
        <w:t>Race, P. (2014), Making Learning Happen: A Guide for Post-Compulsory Education, 3rd Ed., London: Sage.</w:t>
      </w:r>
    </w:p>
    <w:p w:rsidR="004D0EF1" w:rsidRDefault="004D0EF1" w:rsidP="002F2856">
      <w:pPr>
        <w:rPr>
          <w:rFonts w:ascii="Arial" w:hAnsi="Arial" w:cs="Arial"/>
          <w:sz w:val="24"/>
        </w:rPr>
      </w:pPr>
      <w:r w:rsidRPr="0032732B">
        <w:rPr>
          <w:rFonts w:ascii="Arial" w:hAnsi="Arial" w:cs="Arial"/>
          <w:sz w:val="24"/>
        </w:rPr>
        <w:t xml:space="preserve">Reece, I. and Walker, S. (2007), </w:t>
      </w:r>
      <w:r w:rsidRPr="00B05FA3">
        <w:rPr>
          <w:rFonts w:ascii="Arial" w:hAnsi="Arial" w:cs="Arial"/>
          <w:i/>
          <w:sz w:val="24"/>
        </w:rPr>
        <w:t>Teaching, Training and Learning: A Practical Guide</w:t>
      </w:r>
      <w:r w:rsidRPr="0032732B">
        <w:rPr>
          <w:rFonts w:ascii="Arial" w:hAnsi="Arial" w:cs="Arial"/>
          <w:sz w:val="24"/>
        </w:rPr>
        <w:t>, 6th Ed., Sunderland: Business Education Publishers.</w:t>
      </w:r>
    </w:p>
    <w:p w:rsidR="004D0EF1" w:rsidRDefault="004D0EF1" w:rsidP="002F2856">
      <w:pPr>
        <w:rPr>
          <w:rFonts w:ascii="Arial" w:hAnsi="Arial" w:cs="Arial"/>
          <w:sz w:val="24"/>
        </w:rPr>
      </w:pPr>
      <w:r w:rsidRPr="0032732B">
        <w:rPr>
          <w:rFonts w:ascii="Arial" w:hAnsi="Arial" w:cs="Arial"/>
          <w:sz w:val="24"/>
        </w:rPr>
        <w:t xml:space="preserve">Wallace, S. (2013), </w:t>
      </w:r>
      <w:r w:rsidRPr="00B05FA3">
        <w:rPr>
          <w:rFonts w:ascii="Arial" w:hAnsi="Arial" w:cs="Arial"/>
          <w:i/>
          <w:sz w:val="24"/>
        </w:rPr>
        <w:t>Managing Behaviour in Further and Adult Education</w:t>
      </w:r>
      <w:r w:rsidRPr="0032732B">
        <w:rPr>
          <w:rFonts w:ascii="Arial" w:hAnsi="Arial" w:cs="Arial"/>
          <w:sz w:val="24"/>
        </w:rPr>
        <w:t>, 3rd Ed., London: Sage (Learning Matters).</w:t>
      </w:r>
    </w:p>
    <w:p w:rsidR="004D0EF1" w:rsidRDefault="004D0EF1" w:rsidP="002F2856">
      <w:pPr>
        <w:rPr>
          <w:rFonts w:ascii="Arial" w:hAnsi="Arial" w:cs="Arial"/>
          <w:sz w:val="24"/>
        </w:rPr>
      </w:pPr>
      <w:r w:rsidRPr="0032732B">
        <w:rPr>
          <w:rFonts w:ascii="Arial" w:hAnsi="Arial" w:cs="Arial"/>
          <w:sz w:val="24"/>
        </w:rPr>
        <w:t xml:space="preserve">Waring, M. and Evans, C. (2015), </w:t>
      </w:r>
      <w:r w:rsidRPr="00B05FA3">
        <w:rPr>
          <w:rFonts w:ascii="Arial" w:hAnsi="Arial" w:cs="Arial"/>
          <w:i/>
          <w:sz w:val="24"/>
        </w:rPr>
        <w:t>Understanding Pedagogy: Developing a critical approach to teaching and learning</w:t>
      </w:r>
      <w:r w:rsidRPr="0032732B">
        <w:rPr>
          <w:rFonts w:ascii="Arial" w:hAnsi="Arial" w:cs="Arial"/>
          <w:sz w:val="24"/>
        </w:rPr>
        <w:t>, Abingdon: Routledge.</w:t>
      </w:r>
    </w:p>
    <w:p w:rsidR="002F2856" w:rsidRPr="00416E40" w:rsidRDefault="002F2856" w:rsidP="00855954">
      <w:pPr>
        <w:rPr>
          <w:rFonts w:ascii="Arial" w:hAnsi="Arial" w:cs="Arial"/>
          <w:sz w:val="24"/>
        </w:rPr>
      </w:pPr>
    </w:p>
    <w:p w:rsidR="00416E40" w:rsidRDefault="00416E40" w:rsidP="00977579">
      <w:pPr>
        <w:spacing w:line="360" w:lineRule="auto"/>
        <w:rPr>
          <w:rFonts w:ascii="Arial" w:hAnsi="Arial" w:cs="Arial"/>
          <w:b/>
          <w:sz w:val="24"/>
          <w:u w:val="single"/>
        </w:rPr>
      </w:pPr>
    </w:p>
    <w:p w:rsidR="00977579" w:rsidRPr="00977579" w:rsidRDefault="00977579" w:rsidP="00977579">
      <w:pPr>
        <w:spacing w:line="360" w:lineRule="auto"/>
        <w:rPr>
          <w:rFonts w:ascii="Arial" w:hAnsi="Arial" w:cs="Arial"/>
          <w:b/>
          <w:sz w:val="24"/>
          <w:u w:val="single"/>
        </w:rPr>
      </w:pPr>
      <w:r>
        <w:rPr>
          <w:rFonts w:ascii="Arial" w:hAnsi="Arial" w:cs="Arial"/>
          <w:b/>
          <w:sz w:val="24"/>
          <w:u w:val="single"/>
        </w:rPr>
        <w:t xml:space="preserve">Word Count = </w:t>
      </w:r>
      <w:r w:rsidR="00EB7439">
        <w:rPr>
          <w:rFonts w:ascii="Arial" w:hAnsi="Arial" w:cs="Arial"/>
          <w:b/>
          <w:sz w:val="24"/>
          <w:u w:val="single"/>
        </w:rPr>
        <w:t>2,7</w:t>
      </w:r>
      <w:r w:rsidR="00025AEE">
        <w:rPr>
          <w:rFonts w:ascii="Arial" w:hAnsi="Arial" w:cs="Arial"/>
          <w:b/>
          <w:sz w:val="24"/>
          <w:u w:val="single"/>
        </w:rPr>
        <w:t>2</w:t>
      </w:r>
      <w:r w:rsidR="00D34A08">
        <w:rPr>
          <w:rFonts w:ascii="Arial" w:hAnsi="Arial" w:cs="Arial"/>
          <w:b/>
          <w:sz w:val="24"/>
          <w:u w:val="single"/>
        </w:rPr>
        <w:t>4</w:t>
      </w:r>
    </w:p>
    <w:p w:rsidR="008E7397" w:rsidRDefault="008E7397" w:rsidP="008E7397">
      <w:pPr>
        <w:rPr>
          <w:rFonts w:ascii="Arial" w:hAnsi="Arial" w:cs="Arial"/>
          <w:b/>
          <w:u w:val="single"/>
        </w:rPr>
      </w:pPr>
    </w:p>
    <w:p w:rsidR="008E7397" w:rsidRPr="008E7397" w:rsidRDefault="008E7397" w:rsidP="008E7397">
      <w:pPr>
        <w:rPr>
          <w:rFonts w:ascii="Arial" w:hAnsi="Arial" w:cs="Arial"/>
        </w:rPr>
      </w:pPr>
    </w:p>
    <w:sectPr w:rsidR="008E7397" w:rsidRPr="008E7397" w:rsidSect="0025627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397" w:rsidRDefault="008E7397" w:rsidP="008E7397">
      <w:pPr>
        <w:spacing w:after="0" w:line="240" w:lineRule="auto"/>
      </w:pPr>
      <w:r>
        <w:separator/>
      </w:r>
    </w:p>
  </w:endnote>
  <w:endnote w:type="continuationSeparator" w:id="0">
    <w:p w:rsidR="008E7397" w:rsidRDefault="008E7397" w:rsidP="008E7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397" w:rsidRDefault="008E7397" w:rsidP="008E7397">
      <w:pPr>
        <w:spacing w:after="0" w:line="240" w:lineRule="auto"/>
      </w:pPr>
      <w:r>
        <w:separator/>
      </w:r>
    </w:p>
  </w:footnote>
  <w:footnote w:type="continuationSeparator" w:id="0">
    <w:p w:rsidR="008E7397" w:rsidRDefault="008E7397" w:rsidP="008E7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397" w:rsidRPr="008E7397" w:rsidRDefault="008E7397">
    <w:pPr>
      <w:pStyle w:val="Header"/>
      <w:rPr>
        <w:rFonts w:ascii="Arial" w:hAnsi="Arial" w:cs="Arial"/>
        <w:sz w:val="24"/>
      </w:rPr>
    </w:pPr>
    <w:r>
      <w:rPr>
        <w:rFonts w:ascii="Arial" w:hAnsi="Arial" w:cs="Arial"/>
        <w:sz w:val="24"/>
      </w:rPr>
      <w:t>Student Numbe</w:t>
    </w:r>
    <w:r w:rsidR="003222C3">
      <w:rPr>
        <w:rFonts w:ascii="Arial" w:hAnsi="Arial" w:cs="Arial"/>
        <w:sz w:val="24"/>
      </w:rPr>
      <w:t>r: 1906265</w:t>
    </w:r>
    <w:r w:rsidR="003222C3">
      <w:rPr>
        <w:rFonts w:ascii="Arial" w:hAnsi="Arial" w:cs="Arial"/>
        <w:sz w:val="24"/>
      </w:rPr>
      <w:tab/>
    </w:r>
    <w:r w:rsidR="003222C3">
      <w:rPr>
        <w:rFonts w:ascii="Arial" w:hAnsi="Arial" w:cs="Arial"/>
        <w:sz w:val="24"/>
      </w:rPr>
      <w:tab/>
      <w:t>ETLA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D6704"/>
    <w:multiLevelType w:val="hybridMultilevel"/>
    <w:tmpl w:val="84C2A9A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CA07F1"/>
    <w:multiLevelType w:val="hybridMultilevel"/>
    <w:tmpl w:val="AC62C7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44189"/>
    <w:multiLevelType w:val="hybridMultilevel"/>
    <w:tmpl w:val="E988BFC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9981A2A"/>
    <w:multiLevelType w:val="hybridMultilevel"/>
    <w:tmpl w:val="E9A4E2D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26C1ACE"/>
    <w:multiLevelType w:val="hybridMultilevel"/>
    <w:tmpl w:val="038EA508"/>
    <w:lvl w:ilvl="0" w:tplc="0809000F">
      <w:start w:val="1"/>
      <w:numFmt w:val="decimal"/>
      <w:lvlText w:val="%1."/>
      <w:lvlJc w:val="left"/>
      <w:pPr>
        <w:ind w:left="1490" w:hanging="360"/>
      </w:p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5" w15:restartNumberingAfterBreak="0">
    <w:nsid w:val="343D3E65"/>
    <w:multiLevelType w:val="hybridMultilevel"/>
    <w:tmpl w:val="C974DAC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4F32586"/>
    <w:multiLevelType w:val="hybridMultilevel"/>
    <w:tmpl w:val="58C03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5B10D1"/>
    <w:multiLevelType w:val="hybridMultilevel"/>
    <w:tmpl w:val="14C42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7A75D3"/>
    <w:multiLevelType w:val="hybridMultilevel"/>
    <w:tmpl w:val="047A3D9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8D727CB"/>
    <w:multiLevelType w:val="hybridMultilevel"/>
    <w:tmpl w:val="7D7EB32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8ED6FB5"/>
    <w:multiLevelType w:val="hybridMultilevel"/>
    <w:tmpl w:val="82E89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1C67D0"/>
    <w:multiLevelType w:val="hybridMultilevel"/>
    <w:tmpl w:val="A3FEB88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10"/>
  </w:num>
  <w:num w:numId="3">
    <w:abstractNumId w:val="8"/>
  </w:num>
  <w:num w:numId="4">
    <w:abstractNumId w:val="11"/>
  </w:num>
  <w:num w:numId="5">
    <w:abstractNumId w:val="3"/>
  </w:num>
  <w:num w:numId="6">
    <w:abstractNumId w:val="0"/>
  </w:num>
  <w:num w:numId="7">
    <w:abstractNumId w:val="5"/>
  </w:num>
  <w:num w:numId="8">
    <w:abstractNumId w:val="9"/>
  </w:num>
  <w:num w:numId="9">
    <w:abstractNumId w:val="2"/>
  </w:num>
  <w:num w:numId="10">
    <w:abstractNumId w:val="1"/>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7397"/>
    <w:rsid w:val="00007BC7"/>
    <w:rsid w:val="00024535"/>
    <w:rsid w:val="00025AEE"/>
    <w:rsid w:val="00042D7D"/>
    <w:rsid w:val="0005282B"/>
    <w:rsid w:val="00057CEF"/>
    <w:rsid w:val="00070A80"/>
    <w:rsid w:val="00076218"/>
    <w:rsid w:val="00080F8C"/>
    <w:rsid w:val="000846FF"/>
    <w:rsid w:val="000A15B1"/>
    <w:rsid w:val="000B362A"/>
    <w:rsid w:val="000C1093"/>
    <w:rsid w:val="000D0708"/>
    <w:rsid w:val="000D1326"/>
    <w:rsid w:val="000E0F16"/>
    <w:rsid w:val="000F79A7"/>
    <w:rsid w:val="00105504"/>
    <w:rsid w:val="00117443"/>
    <w:rsid w:val="0011791D"/>
    <w:rsid w:val="00133778"/>
    <w:rsid w:val="00135C8C"/>
    <w:rsid w:val="001430B3"/>
    <w:rsid w:val="00151E26"/>
    <w:rsid w:val="00155E9D"/>
    <w:rsid w:val="00163E5D"/>
    <w:rsid w:val="00166780"/>
    <w:rsid w:val="00170E06"/>
    <w:rsid w:val="0017151A"/>
    <w:rsid w:val="00187AC2"/>
    <w:rsid w:val="00191CC0"/>
    <w:rsid w:val="001B5F46"/>
    <w:rsid w:val="001B6372"/>
    <w:rsid w:val="001B7681"/>
    <w:rsid w:val="001B7D2D"/>
    <w:rsid w:val="001C0BA9"/>
    <w:rsid w:val="001C28AA"/>
    <w:rsid w:val="001C333F"/>
    <w:rsid w:val="001C43EA"/>
    <w:rsid w:val="001C7684"/>
    <w:rsid w:val="001D0771"/>
    <w:rsid w:val="001D0F20"/>
    <w:rsid w:val="001D3E93"/>
    <w:rsid w:val="001E54C4"/>
    <w:rsid w:val="0020703C"/>
    <w:rsid w:val="00215E53"/>
    <w:rsid w:val="00220C62"/>
    <w:rsid w:val="0022183F"/>
    <w:rsid w:val="00222C84"/>
    <w:rsid w:val="00222CB3"/>
    <w:rsid w:val="00222F68"/>
    <w:rsid w:val="002278C8"/>
    <w:rsid w:val="002305F0"/>
    <w:rsid w:val="00234353"/>
    <w:rsid w:val="002356F8"/>
    <w:rsid w:val="00254BB3"/>
    <w:rsid w:val="00256278"/>
    <w:rsid w:val="00263DCE"/>
    <w:rsid w:val="0027644C"/>
    <w:rsid w:val="00276812"/>
    <w:rsid w:val="00280158"/>
    <w:rsid w:val="002847B0"/>
    <w:rsid w:val="00286067"/>
    <w:rsid w:val="002916CB"/>
    <w:rsid w:val="002A2660"/>
    <w:rsid w:val="002A6701"/>
    <w:rsid w:val="002C32F4"/>
    <w:rsid w:val="002C79CD"/>
    <w:rsid w:val="002D1345"/>
    <w:rsid w:val="002D2D32"/>
    <w:rsid w:val="002F2856"/>
    <w:rsid w:val="002F621F"/>
    <w:rsid w:val="00305BDB"/>
    <w:rsid w:val="0032002E"/>
    <w:rsid w:val="00321E0E"/>
    <w:rsid w:val="003222C3"/>
    <w:rsid w:val="0032732B"/>
    <w:rsid w:val="0033642A"/>
    <w:rsid w:val="00342CFD"/>
    <w:rsid w:val="003462F7"/>
    <w:rsid w:val="00352994"/>
    <w:rsid w:val="003637E9"/>
    <w:rsid w:val="0036511F"/>
    <w:rsid w:val="00374731"/>
    <w:rsid w:val="003817B1"/>
    <w:rsid w:val="003818BC"/>
    <w:rsid w:val="003867D8"/>
    <w:rsid w:val="003A5982"/>
    <w:rsid w:val="003B2D29"/>
    <w:rsid w:val="003C01AC"/>
    <w:rsid w:val="003C3441"/>
    <w:rsid w:val="003D2EC1"/>
    <w:rsid w:val="003D51C1"/>
    <w:rsid w:val="003E0E17"/>
    <w:rsid w:val="003E19E5"/>
    <w:rsid w:val="003F3446"/>
    <w:rsid w:val="00400E30"/>
    <w:rsid w:val="00402BA4"/>
    <w:rsid w:val="00410A08"/>
    <w:rsid w:val="004155BF"/>
    <w:rsid w:val="00416E40"/>
    <w:rsid w:val="00422F0E"/>
    <w:rsid w:val="00433EF0"/>
    <w:rsid w:val="004353E6"/>
    <w:rsid w:val="00442B1B"/>
    <w:rsid w:val="00450560"/>
    <w:rsid w:val="00450DFB"/>
    <w:rsid w:val="00453DAC"/>
    <w:rsid w:val="00457033"/>
    <w:rsid w:val="004A1238"/>
    <w:rsid w:val="004A5699"/>
    <w:rsid w:val="004A61E1"/>
    <w:rsid w:val="004A6B71"/>
    <w:rsid w:val="004B12A9"/>
    <w:rsid w:val="004B1366"/>
    <w:rsid w:val="004B136A"/>
    <w:rsid w:val="004B2A3A"/>
    <w:rsid w:val="004C3FAB"/>
    <w:rsid w:val="004D0EF1"/>
    <w:rsid w:val="004E2BFE"/>
    <w:rsid w:val="004F5DF3"/>
    <w:rsid w:val="00511E53"/>
    <w:rsid w:val="00513F3D"/>
    <w:rsid w:val="00516E18"/>
    <w:rsid w:val="00517B22"/>
    <w:rsid w:val="00520627"/>
    <w:rsid w:val="00530BFF"/>
    <w:rsid w:val="00537120"/>
    <w:rsid w:val="00547C6A"/>
    <w:rsid w:val="005568E8"/>
    <w:rsid w:val="0055770D"/>
    <w:rsid w:val="00565F6F"/>
    <w:rsid w:val="005851C8"/>
    <w:rsid w:val="0058696C"/>
    <w:rsid w:val="005B31FF"/>
    <w:rsid w:val="005B3560"/>
    <w:rsid w:val="005B5C29"/>
    <w:rsid w:val="005B7E54"/>
    <w:rsid w:val="005D0C06"/>
    <w:rsid w:val="005D2575"/>
    <w:rsid w:val="005D6674"/>
    <w:rsid w:val="005D7FB1"/>
    <w:rsid w:val="005E0FBB"/>
    <w:rsid w:val="00607D0C"/>
    <w:rsid w:val="00612764"/>
    <w:rsid w:val="00626854"/>
    <w:rsid w:val="00635B7B"/>
    <w:rsid w:val="0063622C"/>
    <w:rsid w:val="00656046"/>
    <w:rsid w:val="006637EB"/>
    <w:rsid w:val="00664417"/>
    <w:rsid w:val="00682FF0"/>
    <w:rsid w:val="00690E85"/>
    <w:rsid w:val="006A4FF2"/>
    <w:rsid w:val="006A5DE8"/>
    <w:rsid w:val="006D047E"/>
    <w:rsid w:val="006E1820"/>
    <w:rsid w:val="00702E9B"/>
    <w:rsid w:val="007077FC"/>
    <w:rsid w:val="0072069D"/>
    <w:rsid w:val="00724811"/>
    <w:rsid w:val="0073074E"/>
    <w:rsid w:val="007330E9"/>
    <w:rsid w:val="00735507"/>
    <w:rsid w:val="00752C59"/>
    <w:rsid w:val="00761F5C"/>
    <w:rsid w:val="00764B84"/>
    <w:rsid w:val="007729FD"/>
    <w:rsid w:val="007753AB"/>
    <w:rsid w:val="00785716"/>
    <w:rsid w:val="0078765A"/>
    <w:rsid w:val="007902F4"/>
    <w:rsid w:val="0079268C"/>
    <w:rsid w:val="007936FC"/>
    <w:rsid w:val="007A57E5"/>
    <w:rsid w:val="007B386A"/>
    <w:rsid w:val="007B6050"/>
    <w:rsid w:val="007D4A23"/>
    <w:rsid w:val="007E294F"/>
    <w:rsid w:val="007E2A60"/>
    <w:rsid w:val="00801F9B"/>
    <w:rsid w:val="0081281C"/>
    <w:rsid w:val="00816806"/>
    <w:rsid w:val="00821739"/>
    <w:rsid w:val="0083539B"/>
    <w:rsid w:val="0084455D"/>
    <w:rsid w:val="0085582C"/>
    <w:rsid w:val="00855954"/>
    <w:rsid w:val="00872407"/>
    <w:rsid w:val="0087511F"/>
    <w:rsid w:val="00876685"/>
    <w:rsid w:val="00883416"/>
    <w:rsid w:val="00894430"/>
    <w:rsid w:val="00897B59"/>
    <w:rsid w:val="008A1019"/>
    <w:rsid w:val="008A138C"/>
    <w:rsid w:val="008B04C3"/>
    <w:rsid w:val="008B5C8E"/>
    <w:rsid w:val="008C23E5"/>
    <w:rsid w:val="008D0EBC"/>
    <w:rsid w:val="008E41A6"/>
    <w:rsid w:val="008E7397"/>
    <w:rsid w:val="008F7991"/>
    <w:rsid w:val="00910053"/>
    <w:rsid w:val="00912356"/>
    <w:rsid w:val="00914544"/>
    <w:rsid w:val="0091610F"/>
    <w:rsid w:val="009237F4"/>
    <w:rsid w:val="009477E4"/>
    <w:rsid w:val="0095286E"/>
    <w:rsid w:val="009578E6"/>
    <w:rsid w:val="00967A0F"/>
    <w:rsid w:val="00977579"/>
    <w:rsid w:val="009859B6"/>
    <w:rsid w:val="009867C0"/>
    <w:rsid w:val="00992E5D"/>
    <w:rsid w:val="00995571"/>
    <w:rsid w:val="009B2AEB"/>
    <w:rsid w:val="009C19BA"/>
    <w:rsid w:val="009C220F"/>
    <w:rsid w:val="009C269D"/>
    <w:rsid w:val="009D03A6"/>
    <w:rsid w:val="009D1E10"/>
    <w:rsid w:val="009D262D"/>
    <w:rsid w:val="009D3FD1"/>
    <w:rsid w:val="009D7280"/>
    <w:rsid w:val="009E630A"/>
    <w:rsid w:val="009F2508"/>
    <w:rsid w:val="00A1271E"/>
    <w:rsid w:val="00A143E1"/>
    <w:rsid w:val="00A30A86"/>
    <w:rsid w:val="00A40C5C"/>
    <w:rsid w:val="00A43708"/>
    <w:rsid w:val="00A45034"/>
    <w:rsid w:val="00A56970"/>
    <w:rsid w:val="00A56C62"/>
    <w:rsid w:val="00A61E8F"/>
    <w:rsid w:val="00A701DE"/>
    <w:rsid w:val="00A71844"/>
    <w:rsid w:val="00A71D57"/>
    <w:rsid w:val="00A80E3A"/>
    <w:rsid w:val="00A846AF"/>
    <w:rsid w:val="00A96E57"/>
    <w:rsid w:val="00AD0B99"/>
    <w:rsid w:val="00AE0109"/>
    <w:rsid w:val="00AE4808"/>
    <w:rsid w:val="00AE7610"/>
    <w:rsid w:val="00B0075D"/>
    <w:rsid w:val="00B02E62"/>
    <w:rsid w:val="00B04EB2"/>
    <w:rsid w:val="00B05FA3"/>
    <w:rsid w:val="00B30D26"/>
    <w:rsid w:val="00B44327"/>
    <w:rsid w:val="00B44789"/>
    <w:rsid w:val="00B7097E"/>
    <w:rsid w:val="00B7445C"/>
    <w:rsid w:val="00B825CA"/>
    <w:rsid w:val="00B948CE"/>
    <w:rsid w:val="00BA1A01"/>
    <w:rsid w:val="00BB6416"/>
    <w:rsid w:val="00BC0CF1"/>
    <w:rsid w:val="00BC14D1"/>
    <w:rsid w:val="00BD7F5A"/>
    <w:rsid w:val="00BE26F7"/>
    <w:rsid w:val="00C110A3"/>
    <w:rsid w:val="00C11EDA"/>
    <w:rsid w:val="00C22ACD"/>
    <w:rsid w:val="00C22CC0"/>
    <w:rsid w:val="00C2565A"/>
    <w:rsid w:val="00C419FF"/>
    <w:rsid w:val="00C6299D"/>
    <w:rsid w:val="00C67CAB"/>
    <w:rsid w:val="00C71143"/>
    <w:rsid w:val="00C76ADE"/>
    <w:rsid w:val="00C8309F"/>
    <w:rsid w:val="00C93B97"/>
    <w:rsid w:val="00C9772C"/>
    <w:rsid w:val="00CB6FD9"/>
    <w:rsid w:val="00CC7024"/>
    <w:rsid w:val="00CD7860"/>
    <w:rsid w:val="00CE21E4"/>
    <w:rsid w:val="00CF5545"/>
    <w:rsid w:val="00D0208A"/>
    <w:rsid w:val="00D13230"/>
    <w:rsid w:val="00D34A08"/>
    <w:rsid w:val="00D465B3"/>
    <w:rsid w:val="00D532E0"/>
    <w:rsid w:val="00D67551"/>
    <w:rsid w:val="00D7180C"/>
    <w:rsid w:val="00D71DA8"/>
    <w:rsid w:val="00D733C2"/>
    <w:rsid w:val="00D907DD"/>
    <w:rsid w:val="00D94257"/>
    <w:rsid w:val="00D96D41"/>
    <w:rsid w:val="00DA4B96"/>
    <w:rsid w:val="00DA51A2"/>
    <w:rsid w:val="00DB2A81"/>
    <w:rsid w:val="00DB6FA6"/>
    <w:rsid w:val="00DD372B"/>
    <w:rsid w:val="00DD3FF8"/>
    <w:rsid w:val="00DE0FB3"/>
    <w:rsid w:val="00DE50B0"/>
    <w:rsid w:val="00DF136F"/>
    <w:rsid w:val="00DF235E"/>
    <w:rsid w:val="00E00E25"/>
    <w:rsid w:val="00E10A1C"/>
    <w:rsid w:val="00E16676"/>
    <w:rsid w:val="00E24BD2"/>
    <w:rsid w:val="00E25369"/>
    <w:rsid w:val="00E35900"/>
    <w:rsid w:val="00E37CD8"/>
    <w:rsid w:val="00E4293C"/>
    <w:rsid w:val="00E4657A"/>
    <w:rsid w:val="00E46A6B"/>
    <w:rsid w:val="00E509D1"/>
    <w:rsid w:val="00E61A4E"/>
    <w:rsid w:val="00E61A8C"/>
    <w:rsid w:val="00E61CFF"/>
    <w:rsid w:val="00E71198"/>
    <w:rsid w:val="00E719AE"/>
    <w:rsid w:val="00E7775C"/>
    <w:rsid w:val="00E93422"/>
    <w:rsid w:val="00EB470B"/>
    <w:rsid w:val="00EB7439"/>
    <w:rsid w:val="00EC214B"/>
    <w:rsid w:val="00EC7CEA"/>
    <w:rsid w:val="00ED68EA"/>
    <w:rsid w:val="00F13875"/>
    <w:rsid w:val="00F15A97"/>
    <w:rsid w:val="00F27ED7"/>
    <w:rsid w:val="00F32C53"/>
    <w:rsid w:val="00F33EC4"/>
    <w:rsid w:val="00F3692C"/>
    <w:rsid w:val="00F443E0"/>
    <w:rsid w:val="00F62ED9"/>
    <w:rsid w:val="00F66F93"/>
    <w:rsid w:val="00F8422A"/>
    <w:rsid w:val="00F852FC"/>
    <w:rsid w:val="00F90A3C"/>
    <w:rsid w:val="00F90AD0"/>
    <w:rsid w:val="00FA0718"/>
    <w:rsid w:val="00FA7A5E"/>
    <w:rsid w:val="00FB26A6"/>
    <w:rsid w:val="00FB27DC"/>
    <w:rsid w:val="00FB2816"/>
    <w:rsid w:val="00FB7969"/>
    <w:rsid w:val="00FC3936"/>
    <w:rsid w:val="00FC6687"/>
    <w:rsid w:val="00FD5508"/>
    <w:rsid w:val="00FE0717"/>
    <w:rsid w:val="00FE28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6ABC3"/>
  <w15:docId w15:val="{8C1A8A6E-FFCF-4FE4-B3E0-56BAD4E6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62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397"/>
  </w:style>
  <w:style w:type="paragraph" w:styleId="Footer">
    <w:name w:val="footer"/>
    <w:basedOn w:val="Normal"/>
    <w:link w:val="FooterChar"/>
    <w:uiPriority w:val="99"/>
    <w:unhideWhenUsed/>
    <w:rsid w:val="008E7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397"/>
  </w:style>
  <w:style w:type="paragraph" w:styleId="ListParagraph">
    <w:name w:val="List Paragraph"/>
    <w:basedOn w:val="Normal"/>
    <w:uiPriority w:val="34"/>
    <w:qFormat/>
    <w:rsid w:val="003637E9"/>
    <w:pPr>
      <w:ind w:left="720"/>
      <w:contextualSpacing/>
    </w:pPr>
  </w:style>
  <w:style w:type="character" w:styleId="Hyperlink">
    <w:name w:val="Hyperlink"/>
    <w:basedOn w:val="DefaultParagraphFont"/>
    <w:uiPriority w:val="99"/>
    <w:unhideWhenUsed/>
    <w:rsid w:val="00F8422A"/>
    <w:rPr>
      <w:color w:val="0563C1" w:themeColor="hyperlink"/>
      <w:u w:val="single"/>
    </w:rPr>
  </w:style>
  <w:style w:type="character" w:styleId="FollowedHyperlink">
    <w:name w:val="FollowedHyperlink"/>
    <w:basedOn w:val="DefaultParagraphFont"/>
    <w:uiPriority w:val="99"/>
    <w:semiHidden/>
    <w:unhideWhenUsed/>
    <w:rsid w:val="00222CB3"/>
    <w:rPr>
      <w:color w:val="954F72" w:themeColor="followedHyperlink"/>
      <w:u w:val="single"/>
    </w:rPr>
  </w:style>
  <w:style w:type="character" w:customStyle="1" w:styleId="UnresolvedMention1">
    <w:name w:val="Unresolved Mention1"/>
    <w:basedOn w:val="DefaultParagraphFont"/>
    <w:uiPriority w:val="99"/>
    <w:semiHidden/>
    <w:unhideWhenUsed/>
    <w:rsid w:val="005B3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607</TotalTime>
  <Pages>9</Pages>
  <Words>2841</Words>
  <Characters>16196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Morgan (1906265)</dc:creator>
  <cp:lastModifiedBy>Joshua Morgan (1906265)</cp:lastModifiedBy>
  <cp:revision>145</cp:revision>
  <dcterms:created xsi:type="dcterms:W3CDTF">2019-12-11T10:13:00Z</dcterms:created>
  <dcterms:modified xsi:type="dcterms:W3CDTF">2019-12-20T10:17:00Z</dcterms:modified>
</cp:coreProperties>
</file>