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34D8C5" w14:textId="77777777" w:rsidR="00D82972" w:rsidRPr="00AF232F" w:rsidRDefault="00D82972" w:rsidP="00D82972">
      <w:pPr>
        <w:rPr>
          <w:rFonts w:cs="Arial"/>
          <w:b/>
          <w:bCs/>
        </w:rPr>
      </w:pPr>
    </w:p>
    <w:p w14:paraId="236CDC34" w14:textId="77777777" w:rsidR="00D82972" w:rsidRPr="00AF232F" w:rsidRDefault="00D82972" w:rsidP="00D82972">
      <w:pPr>
        <w:jc w:val="center"/>
        <w:rPr>
          <w:rFonts w:cs="Arial"/>
          <w:b/>
          <w:bCs/>
        </w:rPr>
      </w:pPr>
      <w:r w:rsidRPr="00AF232F">
        <w:rPr>
          <w:rFonts w:cs="Arial"/>
          <w:b/>
          <w:noProof/>
        </w:rPr>
        <w:drawing>
          <wp:inline distT="0" distB="0" distL="0" distR="0" wp14:anchorId="49865C0D" wp14:editId="4286320B">
            <wp:extent cx="3383280" cy="1356360"/>
            <wp:effectExtent l="0" t="0" r="7620" b="0"/>
            <wp:docPr id="17134616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3280" cy="1356360"/>
                    </a:xfrm>
                    <a:prstGeom prst="rect">
                      <a:avLst/>
                    </a:prstGeom>
                    <a:noFill/>
                    <a:ln>
                      <a:noFill/>
                    </a:ln>
                  </pic:spPr>
                </pic:pic>
              </a:graphicData>
            </a:graphic>
          </wp:inline>
        </w:drawing>
      </w:r>
    </w:p>
    <w:p w14:paraId="22487A2E" w14:textId="77777777" w:rsidR="00D82972" w:rsidRPr="00AF232F" w:rsidRDefault="00D82972" w:rsidP="00D82972">
      <w:pPr>
        <w:rPr>
          <w:rFonts w:cs="Arial"/>
          <w:b/>
        </w:rPr>
      </w:pPr>
    </w:p>
    <w:p w14:paraId="5183EE88" w14:textId="77777777" w:rsidR="00D82972" w:rsidRPr="00AF232F" w:rsidRDefault="00D82972" w:rsidP="00D82972">
      <w:pPr>
        <w:jc w:val="center"/>
        <w:rPr>
          <w:rFonts w:cs="Arial"/>
          <w:b/>
          <w:bCs/>
          <w:lang w:val="en-US"/>
        </w:rPr>
      </w:pPr>
      <w:r w:rsidRPr="00AF232F">
        <w:rPr>
          <w:rFonts w:cs="Arial"/>
          <w:b/>
          <w:bCs/>
        </w:rPr>
        <w:t>Student Name:</w:t>
      </w:r>
      <w:r w:rsidRPr="00AF232F">
        <w:rPr>
          <w:rFonts w:cs="Arial"/>
          <w:b/>
          <w:bCs/>
          <w:lang w:val="en-US"/>
        </w:rPr>
        <w:t xml:space="preserve"> </w:t>
      </w:r>
      <w:r>
        <w:rPr>
          <w:rFonts w:cs="Arial"/>
          <w:b/>
          <w:bCs/>
          <w:lang w:val="en-US"/>
        </w:rPr>
        <w:t>PARTH MAHESHBHAI KHIMANI</w:t>
      </w:r>
    </w:p>
    <w:p w14:paraId="4D62BD9C" w14:textId="77777777" w:rsidR="00D82972" w:rsidRPr="00AF232F" w:rsidRDefault="00D82972" w:rsidP="00D82972">
      <w:pPr>
        <w:jc w:val="center"/>
        <w:rPr>
          <w:rFonts w:cs="Arial"/>
          <w:b/>
          <w:bCs/>
        </w:rPr>
      </w:pPr>
    </w:p>
    <w:p w14:paraId="6010DA38" w14:textId="77777777" w:rsidR="00D82972" w:rsidRPr="00AF232F" w:rsidRDefault="00D82972" w:rsidP="00D82972">
      <w:pPr>
        <w:jc w:val="center"/>
        <w:rPr>
          <w:rFonts w:cs="Arial"/>
          <w:b/>
          <w:bCs/>
          <w:lang w:val="en-US"/>
        </w:rPr>
      </w:pPr>
      <w:r w:rsidRPr="00AF232F">
        <w:rPr>
          <w:rFonts w:cs="Arial"/>
          <w:b/>
          <w:bCs/>
        </w:rPr>
        <w:t xml:space="preserve">Student ID: </w:t>
      </w:r>
      <w:r>
        <w:rPr>
          <w:rFonts w:cs="Arial"/>
          <w:b/>
          <w:bCs/>
        </w:rPr>
        <w:t>2531596</w:t>
      </w:r>
    </w:p>
    <w:p w14:paraId="01907A4D" w14:textId="77777777" w:rsidR="00D82972" w:rsidRPr="00AF232F" w:rsidRDefault="00D82972" w:rsidP="00D82972">
      <w:pPr>
        <w:rPr>
          <w:rFonts w:cs="Arial"/>
          <w:b/>
        </w:rPr>
      </w:pPr>
    </w:p>
    <w:p w14:paraId="1EB09B4A" w14:textId="20D28C95" w:rsidR="00D82972" w:rsidRPr="00D82972" w:rsidRDefault="00D82972" w:rsidP="00D82972">
      <w:pPr>
        <w:jc w:val="center"/>
        <w:rPr>
          <w:rFonts w:cs="Arial"/>
          <w:b/>
          <w:bCs/>
          <w:lang w:val="en-IN"/>
        </w:rPr>
      </w:pPr>
      <w:r w:rsidRPr="00AF232F">
        <w:rPr>
          <w:rFonts w:cs="Arial"/>
          <w:b/>
          <w:bCs/>
        </w:rPr>
        <w:t xml:space="preserve">Module Name: </w:t>
      </w:r>
      <w:r w:rsidRPr="00D82972">
        <w:rPr>
          <w:rFonts w:cs="Arial"/>
          <w:b/>
          <w:bCs/>
          <w:lang w:val="en-IN"/>
        </w:rPr>
        <w:t>Marketing Management</w:t>
      </w:r>
    </w:p>
    <w:p w14:paraId="78422C04" w14:textId="77777777" w:rsidR="00D82972" w:rsidRPr="00AF232F" w:rsidRDefault="00D82972" w:rsidP="00D82972">
      <w:pPr>
        <w:jc w:val="center"/>
        <w:rPr>
          <w:rFonts w:cs="Arial"/>
          <w:b/>
          <w:bCs/>
        </w:rPr>
      </w:pPr>
    </w:p>
    <w:p w14:paraId="1D9F7B65" w14:textId="57DDBD16" w:rsidR="00D82972" w:rsidRPr="00AF232F" w:rsidRDefault="00D82972" w:rsidP="00D82972">
      <w:pPr>
        <w:jc w:val="center"/>
        <w:rPr>
          <w:rFonts w:cs="Arial"/>
          <w:b/>
          <w:bCs/>
          <w:lang w:val="en-US"/>
        </w:rPr>
      </w:pPr>
      <w:r w:rsidRPr="00AF232F">
        <w:rPr>
          <w:rFonts w:cs="Arial"/>
          <w:b/>
          <w:bCs/>
        </w:rPr>
        <w:t>Module Code: LCMB</w:t>
      </w:r>
      <w:r w:rsidRPr="00AF232F">
        <w:rPr>
          <w:rFonts w:cs="Arial"/>
          <w:b/>
          <w:bCs/>
          <w:lang w:val="en-US"/>
        </w:rPr>
        <w:t>702</w:t>
      </w:r>
      <w:r>
        <w:rPr>
          <w:rFonts w:cs="Arial"/>
          <w:b/>
          <w:bCs/>
          <w:lang w:val="en-US"/>
        </w:rPr>
        <w:t>4</w:t>
      </w:r>
    </w:p>
    <w:p w14:paraId="0A4D9D26" w14:textId="77777777" w:rsidR="00D82972" w:rsidRPr="00AF232F" w:rsidRDefault="00D82972" w:rsidP="00D82972">
      <w:pPr>
        <w:rPr>
          <w:rFonts w:cs="Arial"/>
          <w:b/>
          <w:bCs/>
        </w:rPr>
      </w:pPr>
    </w:p>
    <w:p w14:paraId="5E926AE8" w14:textId="0599269A" w:rsidR="00D82972" w:rsidRPr="00AF232F" w:rsidRDefault="00D82972" w:rsidP="00D82972">
      <w:pPr>
        <w:jc w:val="center"/>
        <w:rPr>
          <w:rFonts w:cs="Arial"/>
          <w:b/>
          <w:bCs/>
          <w:lang w:val="en-US"/>
        </w:rPr>
      </w:pPr>
      <w:r w:rsidRPr="00AF232F">
        <w:rPr>
          <w:rFonts w:cs="Arial"/>
          <w:b/>
          <w:bCs/>
        </w:rPr>
        <w:t>Lecturer’s Name:</w:t>
      </w:r>
      <w:r w:rsidRPr="00AF232F">
        <w:rPr>
          <w:rFonts w:cs="Arial"/>
          <w:b/>
          <w:bCs/>
          <w:lang w:val="en-US"/>
        </w:rPr>
        <w:t xml:space="preserve"> </w:t>
      </w:r>
      <w:r w:rsidRPr="00D82972">
        <w:rPr>
          <w:rFonts w:cs="Arial"/>
          <w:b/>
          <w:bCs/>
        </w:rPr>
        <w:t>Dr. Laila Maazouz</w:t>
      </w:r>
    </w:p>
    <w:p w14:paraId="321C37A6" w14:textId="77777777" w:rsidR="00D82972" w:rsidRPr="00AF232F" w:rsidRDefault="00D82972" w:rsidP="00D82972">
      <w:pPr>
        <w:jc w:val="center"/>
        <w:rPr>
          <w:rFonts w:cs="Arial"/>
          <w:b/>
          <w:bCs/>
        </w:rPr>
      </w:pPr>
    </w:p>
    <w:p w14:paraId="7F8FAE52" w14:textId="0E6C8BF1" w:rsidR="00D82972" w:rsidRPr="00AF232F" w:rsidRDefault="00D82972" w:rsidP="00D82972">
      <w:pPr>
        <w:jc w:val="center"/>
        <w:rPr>
          <w:rFonts w:cs="Arial"/>
          <w:b/>
          <w:bCs/>
          <w:lang w:val="en-US"/>
        </w:rPr>
      </w:pPr>
      <w:r w:rsidRPr="00AF232F">
        <w:rPr>
          <w:rFonts w:cs="Arial"/>
          <w:b/>
          <w:bCs/>
        </w:rPr>
        <w:t>Wor</w:t>
      </w:r>
      <w:r>
        <w:rPr>
          <w:rFonts w:cs="Arial"/>
          <w:b/>
          <w:bCs/>
        </w:rPr>
        <w:t>d</w:t>
      </w:r>
      <w:r w:rsidRPr="00AF232F">
        <w:rPr>
          <w:rFonts w:cs="Arial"/>
          <w:b/>
          <w:bCs/>
        </w:rPr>
        <w:t xml:space="preserve"> Count: </w:t>
      </w:r>
      <w:r w:rsidRPr="00AF232F">
        <w:rPr>
          <w:rFonts w:cs="Arial"/>
          <w:b/>
          <w:bCs/>
          <w:lang w:val="en-US"/>
        </w:rPr>
        <w:t>2</w:t>
      </w:r>
      <w:r>
        <w:rPr>
          <w:rFonts w:cs="Arial"/>
          <w:b/>
          <w:bCs/>
          <w:lang w:val="en-US"/>
        </w:rPr>
        <w:t>637</w:t>
      </w:r>
    </w:p>
    <w:p w14:paraId="461F89E2" w14:textId="77777777" w:rsidR="00D82972" w:rsidRDefault="00D82972" w:rsidP="00D82972">
      <w:pPr>
        <w:rPr>
          <w:rFonts w:cs="Arial"/>
          <w:b/>
          <w:bCs/>
        </w:rPr>
      </w:pPr>
    </w:p>
    <w:p w14:paraId="42F973F3" w14:textId="77777777" w:rsidR="00D82972" w:rsidRPr="00AF232F" w:rsidRDefault="00D82972" w:rsidP="00D82972">
      <w:pPr>
        <w:rPr>
          <w:rFonts w:cs="Arial"/>
          <w:b/>
          <w:bCs/>
        </w:rPr>
      </w:pPr>
    </w:p>
    <w:p w14:paraId="76E20ABD" w14:textId="77777777" w:rsidR="00D82972" w:rsidRPr="00AF232F" w:rsidRDefault="00D82972" w:rsidP="00D82972">
      <w:pPr>
        <w:jc w:val="center"/>
        <w:rPr>
          <w:rFonts w:cs="Arial"/>
          <w:b/>
          <w:bCs/>
        </w:rPr>
      </w:pPr>
    </w:p>
    <w:p w14:paraId="58C2F037" w14:textId="77777777" w:rsidR="00D82972" w:rsidRPr="00AF232F" w:rsidRDefault="00D82972" w:rsidP="00D82972">
      <w:pPr>
        <w:jc w:val="center"/>
        <w:rPr>
          <w:rFonts w:cs="Arial"/>
          <w:b/>
          <w:bCs/>
        </w:rPr>
      </w:pPr>
      <w:r w:rsidRPr="00AF232F">
        <w:rPr>
          <w:rFonts w:cs="Arial"/>
          <w:b/>
          <w:bCs/>
        </w:rPr>
        <w:t>Term 1</w:t>
      </w:r>
    </w:p>
    <w:sdt>
      <w:sdtPr>
        <w:rPr>
          <w:rFonts w:eastAsiaTheme="minorHAnsi" w:cstheme="minorBidi"/>
          <w:b w:val="0"/>
          <w:i w:val="0"/>
          <w:color w:val="auto"/>
          <w:szCs w:val="22"/>
          <w:lang w:val="en-GB"/>
        </w:rPr>
        <w:id w:val="2009943650"/>
        <w:docPartObj>
          <w:docPartGallery w:val="Table of Contents"/>
          <w:docPartUnique/>
        </w:docPartObj>
      </w:sdtPr>
      <w:sdtEndPr>
        <w:rPr>
          <w:bCs/>
          <w:noProof/>
        </w:rPr>
      </w:sdtEndPr>
      <w:sdtContent>
        <w:p w14:paraId="20212396" w14:textId="2384E236" w:rsidR="00D123F2" w:rsidRDefault="00D123F2">
          <w:pPr>
            <w:pStyle w:val="TOCHeading"/>
          </w:pPr>
          <w:r>
            <w:t>Table of Contents</w:t>
          </w:r>
        </w:p>
        <w:p w14:paraId="58AA1448" w14:textId="4E0FB984" w:rsidR="00C95745" w:rsidRDefault="00D123F2">
          <w:pPr>
            <w:pStyle w:val="TOC1"/>
            <w:tabs>
              <w:tab w:val="right" w:leader="dot" w:pos="9016"/>
            </w:tabs>
            <w:rPr>
              <w:rFonts w:asciiTheme="minorHAnsi" w:eastAsiaTheme="minorEastAsia" w:hAnsiTheme="minorHAnsi"/>
              <w:noProof/>
              <w:kern w:val="2"/>
              <w:szCs w:val="24"/>
              <w:lang w:eastAsia="en-GB"/>
            </w:rPr>
          </w:pPr>
          <w:r>
            <w:fldChar w:fldCharType="begin"/>
          </w:r>
          <w:r>
            <w:instrText xml:space="preserve"> TOC \o "1-3" \h \z \u </w:instrText>
          </w:r>
          <w:r>
            <w:fldChar w:fldCharType="separate"/>
          </w:r>
          <w:hyperlink w:anchor="_Toc235631218" w:history="1">
            <w:r w:rsidR="00C95745" w:rsidRPr="005B7334">
              <w:rPr>
                <w:rStyle w:val="Hyperlink"/>
                <w:noProof/>
              </w:rPr>
              <w:t>Task 1: Marketing Environment Analysis</w:t>
            </w:r>
            <w:r w:rsidR="00C95745">
              <w:rPr>
                <w:noProof/>
                <w:webHidden/>
              </w:rPr>
              <w:tab/>
            </w:r>
            <w:r w:rsidR="00C95745">
              <w:rPr>
                <w:noProof/>
                <w:webHidden/>
              </w:rPr>
              <w:fldChar w:fldCharType="begin"/>
            </w:r>
            <w:r w:rsidR="00C95745">
              <w:rPr>
                <w:noProof/>
                <w:webHidden/>
              </w:rPr>
              <w:instrText xml:space="preserve"> PAGEREF _Toc235631218 \h </w:instrText>
            </w:r>
            <w:r w:rsidR="00C95745">
              <w:rPr>
                <w:noProof/>
                <w:webHidden/>
              </w:rPr>
            </w:r>
            <w:r w:rsidR="00C95745">
              <w:rPr>
                <w:noProof/>
                <w:webHidden/>
              </w:rPr>
              <w:fldChar w:fldCharType="separate"/>
            </w:r>
            <w:r w:rsidR="00C95745">
              <w:rPr>
                <w:noProof/>
                <w:webHidden/>
              </w:rPr>
              <w:t>3</w:t>
            </w:r>
            <w:r w:rsidR="00C95745">
              <w:rPr>
                <w:noProof/>
                <w:webHidden/>
              </w:rPr>
              <w:fldChar w:fldCharType="end"/>
            </w:r>
          </w:hyperlink>
        </w:p>
        <w:p w14:paraId="0FD8E5AD" w14:textId="3CC7652D" w:rsidR="00C95745" w:rsidRDefault="00C95745">
          <w:pPr>
            <w:pStyle w:val="TOC2"/>
            <w:tabs>
              <w:tab w:val="right" w:leader="dot" w:pos="9016"/>
            </w:tabs>
            <w:rPr>
              <w:rFonts w:asciiTheme="minorHAnsi" w:eastAsiaTheme="minorEastAsia" w:hAnsiTheme="minorHAnsi"/>
              <w:noProof/>
              <w:kern w:val="2"/>
              <w:szCs w:val="24"/>
              <w:lang w:eastAsia="en-GB"/>
            </w:rPr>
          </w:pPr>
          <w:hyperlink w:anchor="_Toc235631219" w:history="1">
            <w:r w:rsidRPr="005B7334">
              <w:rPr>
                <w:rStyle w:val="Hyperlink"/>
                <w:noProof/>
              </w:rPr>
              <w:t>Natural Environment: The Primary Driver of Tata Steel's Low-Carbon Transition</w:t>
            </w:r>
            <w:r>
              <w:rPr>
                <w:noProof/>
                <w:webHidden/>
              </w:rPr>
              <w:tab/>
            </w:r>
            <w:r>
              <w:rPr>
                <w:noProof/>
                <w:webHidden/>
              </w:rPr>
              <w:fldChar w:fldCharType="begin"/>
            </w:r>
            <w:r>
              <w:rPr>
                <w:noProof/>
                <w:webHidden/>
              </w:rPr>
              <w:instrText xml:space="preserve"> PAGEREF _Toc235631219 \h </w:instrText>
            </w:r>
            <w:r>
              <w:rPr>
                <w:noProof/>
                <w:webHidden/>
              </w:rPr>
            </w:r>
            <w:r>
              <w:rPr>
                <w:noProof/>
                <w:webHidden/>
              </w:rPr>
              <w:fldChar w:fldCharType="separate"/>
            </w:r>
            <w:r>
              <w:rPr>
                <w:noProof/>
                <w:webHidden/>
              </w:rPr>
              <w:t>3</w:t>
            </w:r>
            <w:r>
              <w:rPr>
                <w:noProof/>
                <w:webHidden/>
              </w:rPr>
              <w:fldChar w:fldCharType="end"/>
            </w:r>
          </w:hyperlink>
        </w:p>
        <w:p w14:paraId="0EEFD752" w14:textId="2012E871" w:rsidR="00C95745" w:rsidRDefault="00C95745">
          <w:pPr>
            <w:pStyle w:val="TOC2"/>
            <w:tabs>
              <w:tab w:val="right" w:leader="dot" w:pos="9016"/>
            </w:tabs>
            <w:rPr>
              <w:rFonts w:asciiTheme="minorHAnsi" w:eastAsiaTheme="minorEastAsia" w:hAnsiTheme="minorHAnsi"/>
              <w:noProof/>
              <w:kern w:val="2"/>
              <w:szCs w:val="24"/>
              <w:lang w:eastAsia="en-GB"/>
            </w:rPr>
          </w:pPr>
          <w:hyperlink w:anchor="_Toc235631220" w:history="1">
            <w:r w:rsidRPr="005B7334">
              <w:rPr>
                <w:rStyle w:val="Hyperlink"/>
                <w:noProof/>
              </w:rPr>
              <w:t>Political Environment: Policy Support and Regulatory Pressure</w:t>
            </w:r>
            <w:r>
              <w:rPr>
                <w:noProof/>
                <w:webHidden/>
              </w:rPr>
              <w:tab/>
            </w:r>
            <w:r>
              <w:rPr>
                <w:noProof/>
                <w:webHidden/>
              </w:rPr>
              <w:fldChar w:fldCharType="begin"/>
            </w:r>
            <w:r>
              <w:rPr>
                <w:noProof/>
                <w:webHidden/>
              </w:rPr>
              <w:instrText xml:space="preserve"> PAGEREF _Toc235631220 \h </w:instrText>
            </w:r>
            <w:r>
              <w:rPr>
                <w:noProof/>
                <w:webHidden/>
              </w:rPr>
            </w:r>
            <w:r>
              <w:rPr>
                <w:noProof/>
                <w:webHidden/>
              </w:rPr>
              <w:fldChar w:fldCharType="separate"/>
            </w:r>
            <w:r>
              <w:rPr>
                <w:noProof/>
                <w:webHidden/>
              </w:rPr>
              <w:t>6</w:t>
            </w:r>
            <w:r>
              <w:rPr>
                <w:noProof/>
                <w:webHidden/>
              </w:rPr>
              <w:fldChar w:fldCharType="end"/>
            </w:r>
          </w:hyperlink>
        </w:p>
        <w:p w14:paraId="2224247B" w14:textId="1BEAD6D9" w:rsidR="00C95745" w:rsidRDefault="00C95745">
          <w:pPr>
            <w:pStyle w:val="TOC1"/>
            <w:tabs>
              <w:tab w:val="right" w:leader="dot" w:pos="9016"/>
            </w:tabs>
            <w:rPr>
              <w:rFonts w:asciiTheme="minorHAnsi" w:eastAsiaTheme="minorEastAsia" w:hAnsiTheme="minorHAnsi"/>
              <w:noProof/>
              <w:kern w:val="2"/>
              <w:szCs w:val="24"/>
              <w:lang w:eastAsia="en-GB"/>
            </w:rPr>
          </w:pPr>
          <w:hyperlink w:anchor="_Toc235631221" w:history="1">
            <w:r w:rsidRPr="005B7334">
              <w:rPr>
                <w:rStyle w:val="Hyperlink"/>
                <w:noProof/>
              </w:rPr>
              <w:t>Task 2: Strategic Growth and Competitive Positioning</w:t>
            </w:r>
            <w:r>
              <w:rPr>
                <w:noProof/>
                <w:webHidden/>
              </w:rPr>
              <w:tab/>
            </w:r>
            <w:r>
              <w:rPr>
                <w:noProof/>
                <w:webHidden/>
              </w:rPr>
              <w:fldChar w:fldCharType="begin"/>
            </w:r>
            <w:r>
              <w:rPr>
                <w:noProof/>
                <w:webHidden/>
              </w:rPr>
              <w:instrText xml:space="preserve"> PAGEREF _Toc235631221 \h </w:instrText>
            </w:r>
            <w:r>
              <w:rPr>
                <w:noProof/>
                <w:webHidden/>
              </w:rPr>
            </w:r>
            <w:r>
              <w:rPr>
                <w:noProof/>
                <w:webHidden/>
              </w:rPr>
              <w:fldChar w:fldCharType="separate"/>
            </w:r>
            <w:r>
              <w:rPr>
                <w:noProof/>
                <w:webHidden/>
              </w:rPr>
              <w:t>10</w:t>
            </w:r>
            <w:r>
              <w:rPr>
                <w:noProof/>
                <w:webHidden/>
              </w:rPr>
              <w:fldChar w:fldCharType="end"/>
            </w:r>
          </w:hyperlink>
        </w:p>
        <w:p w14:paraId="5F98454B" w14:textId="298E9FD5" w:rsidR="00C95745" w:rsidRDefault="00C95745">
          <w:pPr>
            <w:pStyle w:val="TOC2"/>
            <w:tabs>
              <w:tab w:val="right" w:leader="dot" w:pos="9016"/>
            </w:tabs>
            <w:rPr>
              <w:rFonts w:asciiTheme="minorHAnsi" w:eastAsiaTheme="minorEastAsia" w:hAnsiTheme="minorHAnsi"/>
              <w:noProof/>
              <w:kern w:val="2"/>
              <w:szCs w:val="24"/>
              <w:lang w:eastAsia="en-GB"/>
            </w:rPr>
          </w:pPr>
          <w:hyperlink w:anchor="_Toc235631222" w:history="1">
            <w:r w:rsidRPr="005B7334">
              <w:rPr>
                <w:rStyle w:val="Hyperlink"/>
                <w:noProof/>
              </w:rPr>
              <w:t>Strategic Growth Approach: Product Development Using the Ansoff Matrix</w:t>
            </w:r>
            <w:r>
              <w:rPr>
                <w:noProof/>
                <w:webHidden/>
              </w:rPr>
              <w:tab/>
            </w:r>
            <w:r>
              <w:rPr>
                <w:noProof/>
                <w:webHidden/>
              </w:rPr>
              <w:fldChar w:fldCharType="begin"/>
            </w:r>
            <w:r>
              <w:rPr>
                <w:noProof/>
                <w:webHidden/>
              </w:rPr>
              <w:instrText xml:space="preserve"> PAGEREF _Toc235631222 \h </w:instrText>
            </w:r>
            <w:r>
              <w:rPr>
                <w:noProof/>
                <w:webHidden/>
              </w:rPr>
            </w:r>
            <w:r>
              <w:rPr>
                <w:noProof/>
                <w:webHidden/>
              </w:rPr>
              <w:fldChar w:fldCharType="separate"/>
            </w:r>
            <w:r>
              <w:rPr>
                <w:noProof/>
                <w:webHidden/>
              </w:rPr>
              <w:t>10</w:t>
            </w:r>
            <w:r>
              <w:rPr>
                <w:noProof/>
                <w:webHidden/>
              </w:rPr>
              <w:fldChar w:fldCharType="end"/>
            </w:r>
          </w:hyperlink>
        </w:p>
        <w:p w14:paraId="6FA73A71" w14:textId="2CD21F92" w:rsidR="00C95745" w:rsidRDefault="00C95745">
          <w:pPr>
            <w:pStyle w:val="TOC2"/>
            <w:tabs>
              <w:tab w:val="right" w:leader="dot" w:pos="9016"/>
            </w:tabs>
            <w:rPr>
              <w:rFonts w:asciiTheme="minorHAnsi" w:eastAsiaTheme="minorEastAsia" w:hAnsiTheme="minorHAnsi"/>
              <w:noProof/>
              <w:kern w:val="2"/>
              <w:szCs w:val="24"/>
              <w:lang w:eastAsia="en-GB"/>
            </w:rPr>
          </w:pPr>
          <w:hyperlink w:anchor="_Toc235631223" w:history="1">
            <w:r w:rsidRPr="005B7334">
              <w:rPr>
                <w:rStyle w:val="Hyperlink"/>
                <w:noProof/>
              </w:rPr>
              <w:t>Competitive Positioning, Implementation Recommendations and Risks</w:t>
            </w:r>
            <w:r>
              <w:rPr>
                <w:noProof/>
                <w:webHidden/>
              </w:rPr>
              <w:tab/>
            </w:r>
            <w:r>
              <w:rPr>
                <w:noProof/>
                <w:webHidden/>
              </w:rPr>
              <w:fldChar w:fldCharType="begin"/>
            </w:r>
            <w:r>
              <w:rPr>
                <w:noProof/>
                <w:webHidden/>
              </w:rPr>
              <w:instrText xml:space="preserve"> PAGEREF _Toc235631223 \h </w:instrText>
            </w:r>
            <w:r>
              <w:rPr>
                <w:noProof/>
                <w:webHidden/>
              </w:rPr>
            </w:r>
            <w:r>
              <w:rPr>
                <w:noProof/>
                <w:webHidden/>
              </w:rPr>
              <w:fldChar w:fldCharType="separate"/>
            </w:r>
            <w:r>
              <w:rPr>
                <w:noProof/>
                <w:webHidden/>
              </w:rPr>
              <w:t>12</w:t>
            </w:r>
            <w:r>
              <w:rPr>
                <w:noProof/>
                <w:webHidden/>
              </w:rPr>
              <w:fldChar w:fldCharType="end"/>
            </w:r>
          </w:hyperlink>
        </w:p>
        <w:p w14:paraId="7D79E5FA" w14:textId="0D1DE244" w:rsidR="00C95745" w:rsidRDefault="00C95745">
          <w:pPr>
            <w:pStyle w:val="TOC1"/>
            <w:tabs>
              <w:tab w:val="right" w:leader="dot" w:pos="9016"/>
            </w:tabs>
            <w:rPr>
              <w:rFonts w:asciiTheme="minorHAnsi" w:eastAsiaTheme="minorEastAsia" w:hAnsiTheme="minorHAnsi"/>
              <w:noProof/>
              <w:kern w:val="2"/>
              <w:szCs w:val="24"/>
              <w:lang w:eastAsia="en-GB"/>
            </w:rPr>
          </w:pPr>
          <w:hyperlink w:anchor="_Toc235631224" w:history="1">
            <w:r w:rsidRPr="005B7334">
              <w:rPr>
                <w:rStyle w:val="Hyperlink"/>
                <w:noProof/>
              </w:rPr>
              <w:t>Task 3: Critical Reflection on AI Usage</w:t>
            </w:r>
            <w:r>
              <w:rPr>
                <w:noProof/>
                <w:webHidden/>
              </w:rPr>
              <w:tab/>
            </w:r>
            <w:r>
              <w:rPr>
                <w:noProof/>
                <w:webHidden/>
              </w:rPr>
              <w:fldChar w:fldCharType="begin"/>
            </w:r>
            <w:r>
              <w:rPr>
                <w:noProof/>
                <w:webHidden/>
              </w:rPr>
              <w:instrText xml:space="preserve"> PAGEREF _Toc235631224 \h </w:instrText>
            </w:r>
            <w:r>
              <w:rPr>
                <w:noProof/>
                <w:webHidden/>
              </w:rPr>
            </w:r>
            <w:r>
              <w:rPr>
                <w:noProof/>
                <w:webHidden/>
              </w:rPr>
              <w:fldChar w:fldCharType="separate"/>
            </w:r>
            <w:r>
              <w:rPr>
                <w:noProof/>
                <w:webHidden/>
              </w:rPr>
              <w:t>15</w:t>
            </w:r>
            <w:r>
              <w:rPr>
                <w:noProof/>
                <w:webHidden/>
              </w:rPr>
              <w:fldChar w:fldCharType="end"/>
            </w:r>
          </w:hyperlink>
        </w:p>
        <w:p w14:paraId="48789B6F" w14:textId="51060DF8" w:rsidR="00C95745" w:rsidRDefault="00C95745">
          <w:pPr>
            <w:pStyle w:val="TOC1"/>
            <w:tabs>
              <w:tab w:val="right" w:leader="dot" w:pos="9016"/>
            </w:tabs>
            <w:rPr>
              <w:rFonts w:asciiTheme="minorHAnsi" w:eastAsiaTheme="minorEastAsia" w:hAnsiTheme="minorHAnsi"/>
              <w:noProof/>
              <w:kern w:val="2"/>
              <w:szCs w:val="24"/>
              <w:lang w:eastAsia="en-GB"/>
            </w:rPr>
          </w:pPr>
          <w:hyperlink w:anchor="_Toc235631225" w:history="1">
            <w:r w:rsidRPr="005B7334">
              <w:rPr>
                <w:rStyle w:val="Hyperlink"/>
                <w:noProof/>
              </w:rPr>
              <w:t>References</w:t>
            </w:r>
            <w:r>
              <w:rPr>
                <w:noProof/>
                <w:webHidden/>
              </w:rPr>
              <w:tab/>
            </w:r>
            <w:r>
              <w:rPr>
                <w:noProof/>
                <w:webHidden/>
              </w:rPr>
              <w:fldChar w:fldCharType="begin"/>
            </w:r>
            <w:r>
              <w:rPr>
                <w:noProof/>
                <w:webHidden/>
              </w:rPr>
              <w:instrText xml:space="preserve"> PAGEREF _Toc235631225 \h </w:instrText>
            </w:r>
            <w:r>
              <w:rPr>
                <w:noProof/>
                <w:webHidden/>
              </w:rPr>
            </w:r>
            <w:r>
              <w:rPr>
                <w:noProof/>
                <w:webHidden/>
              </w:rPr>
              <w:fldChar w:fldCharType="separate"/>
            </w:r>
            <w:r>
              <w:rPr>
                <w:noProof/>
                <w:webHidden/>
              </w:rPr>
              <w:t>17</w:t>
            </w:r>
            <w:r>
              <w:rPr>
                <w:noProof/>
                <w:webHidden/>
              </w:rPr>
              <w:fldChar w:fldCharType="end"/>
            </w:r>
          </w:hyperlink>
        </w:p>
        <w:p w14:paraId="325F0809" w14:textId="55EFD5A7" w:rsidR="00D123F2" w:rsidRDefault="00D123F2">
          <w:r>
            <w:rPr>
              <w:b/>
              <w:bCs/>
              <w:noProof/>
            </w:rPr>
            <w:fldChar w:fldCharType="end"/>
          </w:r>
        </w:p>
      </w:sdtContent>
    </w:sdt>
    <w:p w14:paraId="12FDC21D" w14:textId="77777777" w:rsidR="00D123F2" w:rsidRDefault="00D123F2" w:rsidP="00D123F2"/>
    <w:p w14:paraId="13E54FE0" w14:textId="77777777" w:rsidR="00D123F2" w:rsidRDefault="00D123F2">
      <w:pPr>
        <w:jc w:val="center"/>
        <w:rPr>
          <w:rFonts w:eastAsiaTheme="majorEastAsia" w:cstheme="majorBidi"/>
          <w:b/>
          <w:i/>
          <w:color w:val="000000" w:themeColor="text1"/>
          <w:szCs w:val="32"/>
        </w:rPr>
      </w:pPr>
      <w:r>
        <w:br w:type="page"/>
      </w:r>
    </w:p>
    <w:p w14:paraId="3FC686D9" w14:textId="25ED1903" w:rsidR="008574D0" w:rsidRDefault="003736B0" w:rsidP="003736B0">
      <w:pPr>
        <w:pStyle w:val="Heading1"/>
      </w:pPr>
      <w:bookmarkStart w:id="0" w:name="_Toc235631218"/>
      <w:r w:rsidRPr="003736B0">
        <w:lastRenderedPageBreak/>
        <w:t>Task 1: Marketing Environment Analysis</w:t>
      </w:r>
      <w:bookmarkEnd w:id="0"/>
    </w:p>
    <w:p w14:paraId="5DB5D0F4" w14:textId="28D0065F" w:rsidR="00020354" w:rsidRDefault="00020354" w:rsidP="00020354">
      <w:r>
        <w:t>Kotler</w:t>
      </w:r>
      <w:r w:rsidR="00E430D4">
        <w:t>,</w:t>
      </w:r>
      <w:r>
        <w:t xml:space="preserve"> et al</w:t>
      </w:r>
      <w:r w:rsidR="003E6ADA">
        <w:t>.</w:t>
      </w:r>
      <w:r w:rsidR="00E430D4">
        <w:t>,</w:t>
      </w:r>
      <w:r>
        <w:t xml:space="preserve"> (20</w:t>
      </w:r>
      <w:r w:rsidR="00E430D4">
        <w:t>19</w:t>
      </w:r>
      <w:r>
        <w:t>)</w:t>
      </w:r>
      <w:r w:rsidR="00E430D4">
        <w:t>,</w:t>
      </w:r>
      <w:r>
        <w:t xml:space="preserve"> believe that the organi</w:t>
      </w:r>
      <w:r w:rsidR="008F3F57">
        <w:t>s</w:t>
      </w:r>
      <w:r>
        <w:t xml:space="preserve">ation </w:t>
      </w:r>
      <w:r w:rsidR="006844E6">
        <w:t xml:space="preserve">must continuously monitor </w:t>
      </w:r>
      <w:r>
        <w:t xml:space="preserve">macro environment factors as it has to always </w:t>
      </w:r>
      <w:r w:rsidR="008F3F57">
        <w:t xml:space="preserve">stay </w:t>
      </w:r>
      <w:r>
        <w:t xml:space="preserve">ahead to provide value to customers. The following critical discussion is related to the influence of </w:t>
      </w:r>
      <w:r w:rsidR="008F3F57">
        <w:t xml:space="preserve">the </w:t>
      </w:r>
      <w:r>
        <w:t>Natural Environment and Political Environment on Tata Steel's low</w:t>
      </w:r>
      <w:r w:rsidR="008F3F57">
        <w:t>-</w:t>
      </w:r>
      <w:r>
        <w:t>carbon products initiative.</w:t>
      </w:r>
    </w:p>
    <w:p w14:paraId="72939588" w14:textId="0B8DC737" w:rsidR="00312A8B" w:rsidRDefault="00312A8B" w:rsidP="006844E6">
      <w:pPr>
        <w:pStyle w:val="Heading2"/>
      </w:pPr>
      <w:bookmarkStart w:id="1" w:name="_Toc235631219"/>
      <w:r>
        <w:t>Natural Environment: The Primary Driver of Tata Steel's Low-Carbon Transition</w:t>
      </w:r>
      <w:bookmarkEnd w:id="1"/>
    </w:p>
    <w:p w14:paraId="4FC0369F" w14:textId="7C0466D2" w:rsidR="00020354" w:rsidRDefault="007907DA" w:rsidP="00020354">
      <w:r>
        <w:t xml:space="preserve">The </w:t>
      </w:r>
      <w:r w:rsidR="00020354">
        <w:t xml:space="preserve">natural environment </w:t>
      </w:r>
      <w:r w:rsidR="008F3F57">
        <w:t>include</w:t>
      </w:r>
      <w:r w:rsidR="00020354">
        <w:t>s the ecological and environmental elements impacting the organi</w:t>
      </w:r>
      <w:r w:rsidR="008F3F57">
        <w:t>s</w:t>
      </w:r>
      <w:r w:rsidR="00020354">
        <w:t>ation's performance and marketing efforts</w:t>
      </w:r>
      <w:r w:rsidR="00E11D19">
        <w:t xml:space="preserve"> (</w:t>
      </w:r>
      <w:r w:rsidR="00E11D19">
        <w:rPr>
          <w:shd w:val="clear" w:color="auto" w:fill="FFFFFF"/>
        </w:rPr>
        <w:t>Babu, et al., 2026)</w:t>
      </w:r>
      <w:r w:rsidR="00020354">
        <w:t xml:space="preserve">. This macroenvironmental factor is becoming more important to the steel industry as the production of steel produces greenhouse gases and consumes a lot of natural resources. </w:t>
      </w:r>
      <w:r w:rsidR="004347F1" w:rsidRPr="00B26AE0">
        <w:t>In 2024, on average, every tonne of steel produced led to the emission of 2.18 tonnes of CO2e. In the same year, 1,886 million tonnes (Mt) of steel were produced</w:t>
      </w:r>
      <w:hyperlink r:id="rId9" w:anchor="ref8" w:history="1">
        <w:r w:rsidR="004347F1" w:rsidRPr="00B26AE0">
          <w:t>8</w:t>
        </w:r>
      </w:hyperlink>
      <w:r w:rsidR="004347F1" w:rsidRPr="00B26AE0">
        <w:t>, and total emissions from the sector were of the order of 4.1 billion tonnes CO2e</w:t>
      </w:r>
      <w:r w:rsidR="003D6F5D">
        <w:t xml:space="preserve"> (World Steel Association, 2026)</w:t>
      </w:r>
      <w:r w:rsidR="004347F1" w:rsidRPr="00B26AE0">
        <w:t>.</w:t>
      </w:r>
      <w:r w:rsidR="003D6F5D">
        <w:t xml:space="preserve"> </w:t>
      </w:r>
    </w:p>
    <w:p w14:paraId="609B7516" w14:textId="77777777" w:rsidR="00283AFA" w:rsidRDefault="003D6F5D" w:rsidP="00283AFA">
      <w:pPr>
        <w:keepNext/>
      </w:pPr>
      <w:r w:rsidRPr="003D6F5D">
        <w:rPr>
          <w:noProof/>
        </w:rPr>
        <w:drawing>
          <wp:inline distT="0" distB="0" distL="0" distR="0" wp14:anchorId="48D00DC8" wp14:editId="5078D6ED">
            <wp:extent cx="5730048" cy="3296653"/>
            <wp:effectExtent l="0" t="0" r="0" b="0"/>
            <wp:docPr id="15102252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225299" name=""/>
                    <pic:cNvPicPr/>
                  </pic:nvPicPr>
                  <pic:blipFill>
                    <a:blip r:embed="rId10"/>
                    <a:stretch>
                      <a:fillRect/>
                    </a:stretch>
                  </pic:blipFill>
                  <pic:spPr>
                    <a:xfrm>
                      <a:off x="0" y="0"/>
                      <a:ext cx="5736650" cy="3300451"/>
                    </a:xfrm>
                    <a:prstGeom prst="rect">
                      <a:avLst/>
                    </a:prstGeom>
                  </pic:spPr>
                </pic:pic>
              </a:graphicData>
            </a:graphic>
          </wp:inline>
        </w:drawing>
      </w:r>
    </w:p>
    <w:p w14:paraId="155D9FBA" w14:textId="4982584F" w:rsidR="003D6F5D" w:rsidRPr="00283AFA" w:rsidRDefault="00283AFA" w:rsidP="00283AFA">
      <w:pPr>
        <w:jc w:val="center"/>
        <w:rPr>
          <w:b/>
          <w:bCs/>
          <w:i/>
          <w:iCs/>
        </w:rPr>
      </w:pPr>
      <w:r w:rsidRPr="00283AFA">
        <w:rPr>
          <w:b/>
          <w:bCs/>
          <w:i/>
          <w:iCs/>
        </w:rPr>
        <w:t xml:space="preserve">Figure </w:t>
      </w:r>
      <w:r w:rsidRPr="00283AFA">
        <w:rPr>
          <w:b/>
          <w:bCs/>
          <w:i/>
          <w:iCs/>
        </w:rPr>
        <w:fldChar w:fldCharType="begin"/>
      </w:r>
      <w:r w:rsidRPr="00283AFA">
        <w:rPr>
          <w:b/>
          <w:bCs/>
          <w:i/>
          <w:iCs/>
        </w:rPr>
        <w:instrText xml:space="preserve"> SEQ Figure \* ARABIC </w:instrText>
      </w:r>
      <w:r w:rsidRPr="00283AFA">
        <w:rPr>
          <w:b/>
          <w:bCs/>
          <w:i/>
          <w:iCs/>
        </w:rPr>
        <w:fldChar w:fldCharType="separate"/>
      </w:r>
      <w:r w:rsidR="00844DBE">
        <w:rPr>
          <w:b/>
          <w:bCs/>
          <w:i/>
          <w:iCs/>
          <w:noProof/>
        </w:rPr>
        <w:t>1</w:t>
      </w:r>
      <w:r w:rsidRPr="00283AFA">
        <w:rPr>
          <w:b/>
          <w:bCs/>
          <w:i/>
          <w:iCs/>
        </w:rPr>
        <w:fldChar w:fldCharType="end"/>
      </w:r>
      <w:r w:rsidRPr="00283AFA">
        <w:rPr>
          <w:b/>
          <w:bCs/>
          <w:i/>
          <w:iCs/>
        </w:rPr>
        <w:t>: Emissions from the Steel Industry 2024</w:t>
      </w:r>
    </w:p>
    <w:p w14:paraId="4FAF99C6" w14:textId="6A42CCAC" w:rsidR="00283AFA" w:rsidRPr="00283AFA" w:rsidRDefault="00283AFA" w:rsidP="00283AFA">
      <w:pPr>
        <w:jc w:val="center"/>
        <w:rPr>
          <w:b/>
          <w:bCs/>
          <w:i/>
          <w:iCs/>
        </w:rPr>
      </w:pPr>
      <w:r w:rsidRPr="00283AFA">
        <w:rPr>
          <w:b/>
          <w:bCs/>
          <w:i/>
          <w:iCs/>
        </w:rPr>
        <w:t>(Source: World Steel Association, 2026)</w:t>
      </w:r>
    </w:p>
    <w:p w14:paraId="3BFDE150" w14:textId="0410C0ED" w:rsidR="00020354" w:rsidRDefault="00020354" w:rsidP="00020354">
      <w:r>
        <w:lastRenderedPageBreak/>
        <w:t xml:space="preserve">Recently, industrial buyers, investors and the government have begun to demand evidence of a supplier's success in reducing carbon emissions, as climate change is becoming an issue of increased consciousness. To meet those demands, Tata Steel has adopted </w:t>
      </w:r>
      <w:r w:rsidR="008F3F57">
        <w:t>several</w:t>
      </w:r>
      <w:r>
        <w:t xml:space="preserve"> innovations such as renewable energy, </w:t>
      </w:r>
      <w:r w:rsidR="008F3F57">
        <w:t xml:space="preserve">the </w:t>
      </w:r>
      <w:r>
        <w:t xml:space="preserve">electric arc furnace (EAF) process, recycled steel and </w:t>
      </w:r>
      <w:r w:rsidR="008F3F57">
        <w:t xml:space="preserve">the </w:t>
      </w:r>
      <w:r>
        <w:t>hydrogen steel-making process</w:t>
      </w:r>
      <w:r w:rsidR="00760A46">
        <w:t xml:space="preserve"> (Tata Steel, 2026)</w:t>
      </w:r>
      <w:r>
        <w:t xml:space="preserve">. However, </w:t>
      </w:r>
      <w:r w:rsidR="008F3F57">
        <w:t>many strategic risks</w:t>
      </w:r>
      <w:r>
        <w:t xml:space="preserve"> pertain to environmental sustainability. To adapt to the gradual shift towards low-carbon steel production, the company must make significant investments in innovations and infrastructure, thus boosting its cost of capital. Moreover, there are numerous risks associated with innovations</w:t>
      </w:r>
      <w:r w:rsidR="008F3F57">
        <w:t>,</w:t>
      </w:r>
      <w:r>
        <w:t xml:space="preserve"> as both hydrogen steelmaking and carbon capture technologies are still developing</w:t>
      </w:r>
      <w:r w:rsidR="00DD2313">
        <w:t xml:space="preserve"> (</w:t>
      </w:r>
      <w:proofErr w:type="spellStart"/>
      <w:r w:rsidR="00DD2313">
        <w:rPr>
          <w:shd w:val="clear" w:color="auto" w:fill="FFFFFF"/>
        </w:rPr>
        <w:t>Kohitlhetse</w:t>
      </w:r>
      <w:proofErr w:type="spellEnd"/>
      <w:r w:rsidR="00DD2313">
        <w:rPr>
          <w:shd w:val="clear" w:color="auto" w:fill="FFFFFF"/>
        </w:rPr>
        <w:t xml:space="preserve"> and </w:t>
      </w:r>
      <w:proofErr w:type="spellStart"/>
      <w:r w:rsidR="00DD2313">
        <w:rPr>
          <w:shd w:val="clear" w:color="auto" w:fill="FFFFFF"/>
        </w:rPr>
        <w:t>Chiririwa</w:t>
      </w:r>
      <w:proofErr w:type="spellEnd"/>
      <w:r w:rsidR="00DD2313">
        <w:rPr>
          <w:shd w:val="clear" w:color="auto" w:fill="FFFFFF"/>
        </w:rPr>
        <w:t>, 2026)</w:t>
      </w:r>
      <w:r>
        <w:t xml:space="preserve">. Hence, Tata Steel is caught in a strategic </w:t>
      </w:r>
      <w:r w:rsidR="00FD592B">
        <w:t>dilemma</w:t>
      </w:r>
      <w:r>
        <w:t xml:space="preserve"> due to the delay in investment, as this could make the investment base less competitive in the future, but the other way round could also have a lot of uncertainties in terms of finances. </w:t>
      </w:r>
    </w:p>
    <w:p w14:paraId="15B986F1" w14:textId="7560D56C" w:rsidR="00020354" w:rsidRDefault="00020354" w:rsidP="00020354">
      <w:r>
        <w:t xml:space="preserve">The other </w:t>
      </w:r>
      <w:r w:rsidR="00FD592B">
        <w:t>contradiction</w:t>
      </w:r>
      <w:r>
        <w:t xml:space="preserve"> is that of sustainability and consumer behaviour. Customers now have a greater awareness of their environment and want products that are eco-friendly, but the important factor in their buying decisions is the price of these products. </w:t>
      </w:r>
      <w:r w:rsidR="008F3F57">
        <w:t>The s</w:t>
      </w:r>
      <w:r w:rsidR="005B747A" w:rsidRPr="005B747A">
        <w:t>ustainable products market across the globe is forecasted to have a constant growth rate, beginning with USD 412.12 billion in 2026, reaching USD 803.68 billion in 2035</w:t>
      </w:r>
      <w:r w:rsidR="00C2365F">
        <w:t>, as shown in the graph below</w:t>
      </w:r>
      <w:r w:rsidR="00753FF2">
        <w:t xml:space="preserve"> (Business Research Insights, 2026). </w:t>
      </w:r>
      <w:r>
        <w:t>In simple terms, businesses will face challenges in recouping the higher costs incurred while producing low-carbon steel due to price being a critical consideration in emerging markets</w:t>
      </w:r>
      <w:r w:rsidR="00031F08">
        <w:t xml:space="preserve"> (</w:t>
      </w:r>
      <w:r w:rsidR="00031F08" w:rsidRPr="00031F08">
        <w:t>Kim and Sohn, 2022)</w:t>
      </w:r>
      <w:r>
        <w:t xml:space="preserve">. </w:t>
      </w:r>
    </w:p>
    <w:p w14:paraId="61A2F1C7" w14:textId="77777777" w:rsidR="00C2365F" w:rsidRDefault="00C2365F" w:rsidP="00C2365F">
      <w:pPr>
        <w:keepNext/>
        <w:jc w:val="center"/>
      </w:pPr>
      <w:r w:rsidRPr="00C2365F">
        <w:rPr>
          <w:noProof/>
        </w:rPr>
        <w:lastRenderedPageBreak/>
        <w:drawing>
          <wp:inline distT="0" distB="0" distL="0" distR="0" wp14:anchorId="0F303F21" wp14:editId="48F28E4F">
            <wp:extent cx="4381880" cy="3749365"/>
            <wp:effectExtent l="0" t="0" r="0" b="3810"/>
            <wp:docPr id="20745908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590803" name=""/>
                    <pic:cNvPicPr/>
                  </pic:nvPicPr>
                  <pic:blipFill>
                    <a:blip r:embed="rId11"/>
                    <a:stretch>
                      <a:fillRect/>
                    </a:stretch>
                  </pic:blipFill>
                  <pic:spPr>
                    <a:xfrm>
                      <a:off x="0" y="0"/>
                      <a:ext cx="4381880" cy="3749365"/>
                    </a:xfrm>
                    <a:prstGeom prst="rect">
                      <a:avLst/>
                    </a:prstGeom>
                  </pic:spPr>
                </pic:pic>
              </a:graphicData>
            </a:graphic>
          </wp:inline>
        </w:drawing>
      </w:r>
    </w:p>
    <w:p w14:paraId="26B2F18F" w14:textId="7E6DECF7" w:rsidR="00C2365F" w:rsidRPr="00C2365F" w:rsidRDefault="00C2365F" w:rsidP="00C2365F">
      <w:pPr>
        <w:jc w:val="center"/>
        <w:rPr>
          <w:b/>
          <w:bCs/>
          <w:i/>
          <w:iCs/>
        </w:rPr>
      </w:pPr>
      <w:r w:rsidRPr="00C2365F">
        <w:rPr>
          <w:b/>
          <w:bCs/>
          <w:i/>
          <w:iCs/>
        </w:rPr>
        <w:t xml:space="preserve">Figure </w:t>
      </w:r>
      <w:r w:rsidRPr="00C2365F">
        <w:rPr>
          <w:b/>
          <w:bCs/>
          <w:i/>
          <w:iCs/>
        </w:rPr>
        <w:fldChar w:fldCharType="begin"/>
      </w:r>
      <w:r w:rsidRPr="00C2365F">
        <w:rPr>
          <w:b/>
          <w:bCs/>
          <w:i/>
          <w:iCs/>
        </w:rPr>
        <w:instrText xml:space="preserve"> SEQ Figure \* ARABIC </w:instrText>
      </w:r>
      <w:r w:rsidRPr="00C2365F">
        <w:rPr>
          <w:b/>
          <w:bCs/>
          <w:i/>
          <w:iCs/>
        </w:rPr>
        <w:fldChar w:fldCharType="separate"/>
      </w:r>
      <w:r w:rsidR="00844DBE">
        <w:rPr>
          <w:b/>
          <w:bCs/>
          <w:i/>
          <w:iCs/>
          <w:noProof/>
        </w:rPr>
        <w:t>2</w:t>
      </w:r>
      <w:r w:rsidRPr="00C2365F">
        <w:rPr>
          <w:b/>
          <w:bCs/>
          <w:i/>
          <w:iCs/>
        </w:rPr>
        <w:fldChar w:fldCharType="end"/>
      </w:r>
      <w:r w:rsidRPr="00C2365F">
        <w:rPr>
          <w:b/>
          <w:bCs/>
          <w:i/>
          <w:iCs/>
        </w:rPr>
        <w:t>: Sustainable Products Market Size and Share</w:t>
      </w:r>
    </w:p>
    <w:p w14:paraId="6015BC38" w14:textId="093BAA3D" w:rsidR="00C2365F" w:rsidRPr="00C2365F" w:rsidRDefault="00C2365F" w:rsidP="00C2365F">
      <w:pPr>
        <w:jc w:val="center"/>
        <w:rPr>
          <w:b/>
          <w:bCs/>
          <w:i/>
          <w:iCs/>
        </w:rPr>
      </w:pPr>
      <w:r w:rsidRPr="00C2365F">
        <w:rPr>
          <w:b/>
          <w:bCs/>
          <w:i/>
          <w:iCs/>
        </w:rPr>
        <w:t>(Source: Business Research Insights, 2026)</w:t>
      </w:r>
    </w:p>
    <w:p w14:paraId="097A8CF8" w14:textId="0C67F6CE" w:rsidR="00020354" w:rsidRDefault="00020354" w:rsidP="00020354">
      <w:r>
        <w:t>Different strategies used by the pioneer and followers show some difficulties which arise for firms. For example, SSAB</w:t>
      </w:r>
      <w:r w:rsidR="008F3F57">
        <w:t>,</w:t>
      </w:r>
      <w:r>
        <w:t xml:space="preserve"> as a pioneer</w:t>
      </w:r>
      <w:r w:rsidR="008F3F57">
        <w:t>,</w:t>
      </w:r>
      <w:r>
        <w:t xml:space="preserve"> made early investments in </w:t>
      </w:r>
      <w:r w:rsidR="008F3F57">
        <w:t xml:space="preserve">the </w:t>
      </w:r>
      <w:r>
        <w:t xml:space="preserve">manufacturing of steel using hydrogen in the HYBRIT project and gained </w:t>
      </w:r>
      <w:r w:rsidR="008F3F57">
        <w:t xml:space="preserve">a </w:t>
      </w:r>
      <w:r>
        <w:t xml:space="preserve">good reputation and partnerships, however, </w:t>
      </w:r>
      <w:r w:rsidR="008F3F57">
        <w:t xml:space="preserve">it </w:t>
      </w:r>
      <w:r>
        <w:t>took high risks in terms of technology and financing</w:t>
      </w:r>
      <w:r w:rsidR="00475394">
        <w:t xml:space="preserve"> (SSAB, 2026)</w:t>
      </w:r>
      <w:r>
        <w:t xml:space="preserve">. Tata Steel implements a </w:t>
      </w:r>
      <w:r w:rsidR="007C3D3D">
        <w:t xml:space="preserve">similar incremental </w:t>
      </w:r>
      <w:r>
        <w:t xml:space="preserve">approach, considering not only the environment but also the feasibility. The strategy of the company will result in </w:t>
      </w:r>
      <w:r w:rsidR="008F3F57">
        <w:t>a</w:t>
      </w:r>
      <w:r>
        <w:t xml:space="preserve"> slow process of decarbonization compared to the pioneers', but it will increase its financial sustainability because of huge investments and technological uncertainty in the industry. </w:t>
      </w:r>
    </w:p>
    <w:p w14:paraId="3F29EF49" w14:textId="77777777" w:rsidR="00452EEC" w:rsidRDefault="00452EEC" w:rsidP="00452EEC">
      <w:pPr>
        <w:keepNext/>
      </w:pPr>
      <w:r w:rsidRPr="00452EEC">
        <w:rPr>
          <w:noProof/>
        </w:rPr>
        <w:lastRenderedPageBreak/>
        <w:drawing>
          <wp:inline distT="0" distB="0" distL="0" distR="0" wp14:anchorId="1408A69D" wp14:editId="2C3F21A7">
            <wp:extent cx="5731510" cy="2600960"/>
            <wp:effectExtent l="0" t="0" r="0" b="0"/>
            <wp:docPr id="11863615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361540" name=""/>
                    <pic:cNvPicPr/>
                  </pic:nvPicPr>
                  <pic:blipFill>
                    <a:blip r:embed="rId12"/>
                    <a:stretch>
                      <a:fillRect/>
                    </a:stretch>
                  </pic:blipFill>
                  <pic:spPr>
                    <a:xfrm>
                      <a:off x="0" y="0"/>
                      <a:ext cx="5731510" cy="2600960"/>
                    </a:xfrm>
                    <a:prstGeom prst="rect">
                      <a:avLst/>
                    </a:prstGeom>
                  </pic:spPr>
                </pic:pic>
              </a:graphicData>
            </a:graphic>
          </wp:inline>
        </w:drawing>
      </w:r>
    </w:p>
    <w:p w14:paraId="4D446CA0" w14:textId="4F1FEE27" w:rsidR="00452EEC" w:rsidRPr="00CE13BF" w:rsidRDefault="00452EEC" w:rsidP="00CE13BF">
      <w:pPr>
        <w:jc w:val="center"/>
        <w:rPr>
          <w:b/>
          <w:bCs/>
          <w:i/>
          <w:iCs/>
        </w:rPr>
      </w:pPr>
      <w:r w:rsidRPr="00CE13BF">
        <w:rPr>
          <w:b/>
          <w:bCs/>
          <w:i/>
          <w:iCs/>
        </w:rPr>
        <w:t xml:space="preserve">Figure </w:t>
      </w:r>
      <w:r w:rsidRPr="00CE13BF">
        <w:rPr>
          <w:b/>
          <w:bCs/>
          <w:i/>
          <w:iCs/>
        </w:rPr>
        <w:fldChar w:fldCharType="begin"/>
      </w:r>
      <w:r w:rsidRPr="00CE13BF">
        <w:rPr>
          <w:b/>
          <w:bCs/>
          <w:i/>
          <w:iCs/>
        </w:rPr>
        <w:instrText xml:space="preserve"> SEQ Figure \* ARABIC </w:instrText>
      </w:r>
      <w:r w:rsidRPr="00CE13BF">
        <w:rPr>
          <w:b/>
          <w:bCs/>
          <w:i/>
          <w:iCs/>
        </w:rPr>
        <w:fldChar w:fldCharType="separate"/>
      </w:r>
      <w:r w:rsidR="00844DBE">
        <w:rPr>
          <w:b/>
          <w:bCs/>
          <w:i/>
          <w:iCs/>
          <w:noProof/>
        </w:rPr>
        <w:t>3</w:t>
      </w:r>
      <w:r w:rsidRPr="00CE13BF">
        <w:rPr>
          <w:b/>
          <w:bCs/>
          <w:i/>
          <w:iCs/>
        </w:rPr>
        <w:fldChar w:fldCharType="end"/>
      </w:r>
      <w:r w:rsidRPr="00CE13BF">
        <w:rPr>
          <w:b/>
          <w:bCs/>
          <w:i/>
          <w:iCs/>
        </w:rPr>
        <w:t>: HYBRIT Technology by SSAB</w:t>
      </w:r>
    </w:p>
    <w:p w14:paraId="4478DD32" w14:textId="3BA9DDE0" w:rsidR="00452EEC" w:rsidRPr="00CE13BF" w:rsidRDefault="00452EEC" w:rsidP="00CE13BF">
      <w:pPr>
        <w:jc w:val="center"/>
        <w:rPr>
          <w:b/>
          <w:bCs/>
          <w:i/>
          <w:iCs/>
        </w:rPr>
      </w:pPr>
      <w:r w:rsidRPr="00CE13BF">
        <w:rPr>
          <w:b/>
          <w:bCs/>
          <w:i/>
          <w:iCs/>
        </w:rPr>
        <w:t>(Source: SSAB, 2026)</w:t>
      </w:r>
    </w:p>
    <w:p w14:paraId="0CD0B8EF" w14:textId="3F1E6C95" w:rsidR="00312A8B" w:rsidRPr="006844E6" w:rsidRDefault="006844E6" w:rsidP="006844E6">
      <w:pPr>
        <w:pStyle w:val="Heading2"/>
        <w:rPr>
          <w:rFonts w:ascii="Times New Roman" w:hAnsi="Times New Roman"/>
          <w:sz w:val="36"/>
        </w:rPr>
      </w:pPr>
      <w:bookmarkStart w:id="2" w:name="_Toc235631220"/>
      <w:r>
        <w:t>Political Environment: Policy Support and Regulatory Pressure</w:t>
      </w:r>
      <w:bookmarkEnd w:id="2"/>
    </w:p>
    <w:p w14:paraId="25067474" w14:textId="750F510F" w:rsidR="00020354" w:rsidRDefault="00020354" w:rsidP="00020354">
      <w:r>
        <w:t>The political environment is another important macro environment variable that can impact the transition of Tata Steel to less carbonized product. Kotler</w:t>
      </w:r>
      <w:r w:rsidR="007C3D3D">
        <w:t>,</w:t>
      </w:r>
      <w:r>
        <w:t xml:space="preserve"> et al.</w:t>
      </w:r>
      <w:r w:rsidR="007C3D3D">
        <w:t>,</w:t>
      </w:r>
      <w:r>
        <w:t xml:space="preserve"> (20</w:t>
      </w:r>
      <w:r w:rsidR="007C3D3D">
        <w:t>19</w:t>
      </w:r>
      <w:r>
        <w:t>)</w:t>
      </w:r>
      <w:r w:rsidR="007C3D3D">
        <w:t>,</w:t>
      </w:r>
      <w:r>
        <w:t xml:space="preserve"> state that engaging the government in business operations involves regulations, environmental laws, taxes and industrial policies. In industries where carbon is key, </w:t>
      </w:r>
      <w:r w:rsidR="00B733E7">
        <w:t>such as</w:t>
      </w:r>
      <w:r>
        <w:t xml:space="preserve"> steel, any political decision will impact investments, production and competitiveness directly. The political environment speeds up decarbonization, in contrast to the natural environment</w:t>
      </w:r>
      <w:r w:rsidR="008F3F57">
        <w:t>,</w:t>
      </w:r>
      <w:r>
        <w:t xml:space="preserve"> which exerts pressure through the market.</w:t>
      </w:r>
      <w:r w:rsidR="006B7E5E">
        <w:t xml:space="preserve"> </w:t>
      </w:r>
      <w:r>
        <w:t xml:space="preserve">Government environmental policies have helped in investments made by Tata Steel in more sustainable technology and manufacturing processes. </w:t>
      </w:r>
      <w:r w:rsidR="007C3B5B">
        <w:t>According to The World Economic Forum</w:t>
      </w:r>
      <w:r w:rsidR="008F3F57">
        <w:t>,</w:t>
      </w:r>
      <w:r w:rsidR="007C3B5B">
        <w:t xml:space="preserve"> (2021), t</w:t>
      </w:r>
      <w:r>
        <w:t xml:space="preserve">he government's vision of achieving ‘Net Zero' by 2070 and its policies that encourage the use of renewable energy and decarbonisation of industries have raised the likelihood of Tata Steel </w:t>
      </w:r>
      <w:r w:rsidR="008F3F57">
        <w:t>investing</w:t>
      </w:r>
      <w:r>
        <w:t xml:space="preserve"> in </w:t>
      </w:r>
      <w:r w:rsidR="008F3F57">
        <w:t>a</w:t>
      </w:r>
      <w:r>
        <w:t xml:space="preserve"> steel manufacturing process that emits lower greenhouse gases. In a similar manner, the activities of Tata Steel in Europe are under the scope of the Carbon Border Adjustment Mechanism (CBAM) of the European Union</w:t>
      </w:r>
      <w:r w:rsidR="006E5F83">
        <w:t xml:space="preserve"> (Tata Steel, </w:t>
      </w:r>
      <w:r w:rsidR="00D27D55">
        <w:t>2026).</w:t>
      </w:r>
    </w:p>
    <w:p w14:paraId="27DAA546" w14:textId="77777777" w:rsidR="0003494A" w:rsidRDefault="0003494A" w:rsidP="0003494A">
      <w:pPr>
        <w:keepNext/>
      </w:pPr>
      <w:r w:rsidRPr="0003494A">
        <w:rPr>
          <w:noProof/>
        </w:rPr>
        <w:lastRenderedPageBreak/>
        <w:drawing>
          <wp:inline distT="0" distB="0" distL="0" distR="0" wp14:anchorId="0C51ABDD" wp14:editId="764E0E46">
            <wp:extent cx="5731071" cy="4347411"/>
            <wp:effectExtent l="0" t="0" r="0" b="0"/>
            <wp:docPr id="3102511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251129" name=""/>
                    <pic:cNvPicPr/>
                  </pic:nvPicPr>
                  <pic:blipFill>
                    <a:blip r:embed="rId13"/>
                    <a:stretch>
                      <a:fillRect/>
                    </a:stretch>
                  </pic:blipFill>
                  <pic:spPr>
                    <a:xfrm>
                      <a:off x="0" y="0"/>
                      <a:ext cx="5735974" cy="4351130"/>
                    </a:xfrm>
                    <a:prstGeom prst="rect">
                      <a:avLst/>
                    </a:prstGeom>
                  </pic:spPr>
                </pic:pic>
              </a:graphicData>
            </a:graphic>
          </wp:inline>
        </w:drawing>
      </w:r>
    </w:p>
    <w:p w14:paraId="40C4F888" w14:textId="598F70DB" w:rsidR="007F07FE" w:rsidRPr="0003494A" w:rsidRDefault="0003494A" w:rsidP="0003494A">
      <w:pPr>
        <w:jc w:val="center"/>
        <w:rPr>
          <w:b/>
          <w:bCs/>
          <w:i/>
          <w:iCs/>
        </w:rPr>
      </w:pPr>
      <w:r w:rsidRPr="0003494A">
        <w:rPr>
          <w:b/>
          <w:bCs/>
          <w:i/>
          <w:iCs/>
        </w:rPr>
        <w:t xml:space="preserve">Figure </w:t>
      </w:r>
      <w:r w:rsidRPr="0003494A">
        <w:rPr>
          <w:b/>
          <w:bCs/>
          <w:i/>
          <w:iCs/>
        </w:rPr>
        <w:fldChar w:fldCharType="begin"/>
      </w:r>
      <w:r w:rsidRPr="0003494A">
        <w:rPr>
          <w:b/>
          <w:bCs/>
          <w:i/>
          <w:iCs/>
        </w:rPr>
        <w:instrText xml:space="preserve"> SEQ Figure \* ARABIC </w:instrText>
      </w:r>
      <w:r w:rsidRPr="0003494A">
        <w:rPr>
          <w:b/>
          <w:bCs/>
          <w:i/>
          <w:iCs/>
        </w:rPr>
        <w:fldChar w:fldCharType="separate"/>
      </w:r>
      <w:r w:rsidR="00844DBE">
        <w:rPr>
          <w:b/>
          <w:bCs/>
          <w:i/>
          <w:iCs/>
          <w:noProof/>
        </w:rPr>
        <w:t>4</w:t>
      </w:r>
      <w:r w:rsidRPr="0003494A">
        <w:rPr>
          <w:b/>
          <w:bCs/>
          <w:i/>
          <w:iCs/>
        </w:rPr>
        <w:fldChar w:fldCharType="end"/>
      </w:r>
      <w:r w:rsidRPr="0003494A">
        <w:rPr>
          <w:b/>
          <w:bCs/>
          <w:i/>
          <w:iCs/>
        </w:rPr>
        <w:t>: About Mission Net Zero by 2070</w:t>
      </w:r>
    </w:p>
    <w:p w14:paraId="6EB8757D" w14:textId="3AEF44DA" w:rsidR="0003494A" w:rsidRPr="0003494A" w:rsidRDefault="0003494A" w:rsidP="0003494A">
      <w:pPr>
        <w:jc w:val="center"/>
        <w:rPr>
          <w:b/>
          <w:bCs/>
          <w:i/>
          <w:iCs/>
        </w:rPr>
      </w:pPr>
      <w:r w:rsidRPr="0003494A">
        <w:rPr>
          <w:b/>
          <w:bCs/>
          <w:i/>
          <w:iCs/>
        </w:rPr>
        <w:t>(Source: The World Economic Forum, 2021)</w:t>
      </w:r>
    </w:p>
    <w:p w14:paraId="03AE4F0D" w14:textId="4A937A1C" w:rsidR="00020354" w:rsidRDefault="00020354" w:rsidP="00020354">
      <w:r>
        <w:t>At the same time, there are opportunities and challenges in the political environment. Government incentives, funding of research and government</w:t>
      </w:r>
      <w:r w:rsidR="00C02FA4">
        <w:t xml:space="preserve"> or </w:t>
      </w:r>
      <w:r>
        <w:t xml:space="preserve">private entity collaboration lessen financial risk associated with green innovation. These will enable Tata Steel to implement </w:t>
      </w:r>
      <w:r w:rsidR="008F3F57">
        <w:t>its</w:t>
      </w:r>
      <w:r>
        <w:t xml:space="preserve"> sustainability plan and bring more money into the company, and more credibility to low-carbon products into the market. The uncertainty of political actions is more or less typical in international business, however. Various environmental regulations, subsidies and prices on carbon will lead to distinct legal regimes in each country</w:t>
      </w:r>
      <w:r w:rsidR="006E7E89">
        <w:t xml:space="preserve"> (</w:t>
      </w:r>
      <w:r w:rsidR="006E7E89">
        <w:rPr>
          <w:shd w:val="clear" w:color="auto" w:fill="FFFFFF"/>
        </w:rPr>
        <w:t>Borowiec, et al., 2024)</w:t>
      </w:r>
      <w:r>
        <w:t xml:space="preserve">. </w:t>
      </w:r>
    </w:p>
    <w:p w14:paraId="511B4F15" w14:textId="4123230A" w:rsidR="00020354" w:rsidRDefault="00020354" w:rsidP="00020354">
      <w:r>
        <w:t xml:space="preserve">The contrasting performance of </w:t>
      </w:r>
      <w:r w:rsidR="006E1817">
        <w:t>pioneers</w:t>
      </w:r>
      <w:r>
        <w:t xml:space="preserve"> and followers in terms of their behaviour will enable one to understand the effect of politics </w:t>
      </w:r>
      <w:r w:rsidR="008F3F57">
        <w:t>o</w:t>
      </w:r>
      <w:r>
        <w:t xml:space="preserve">n their performance. </w:t>
      </w:r>
      <w:r w:rsidR="008F3F57">
        <w:t>T</w:t>
      </w:r>
      <w:r>
        <w:t xml:space="preserve">he success of SSAB is due to the favourable political climate in Sweden, and the company's ability to be part of the profitable government policy on hydrogen steel and </w:t>
      </w:r>
      <w:r>
        <w:lastRenderedPageBreak/>
        <w:t>renewable energy, which have enabled the company to be commerciali</w:t>
      </w:r>
      <w:r w:rsidR="008F3F57">
        <w:t>s</w:t>
      </w:r>
      <w:r>
        <w:t xml:space="preserve">ed. </w:t>
      </w:r>
      <w:r w:rsidR="00733222">
        <w:t xml:space="preserve">On the other hand, </w:t>
      </w:r>
      <w:r>
        <w:t>ArcelorMittal</w:t>
      </w:r>
      <w:r w:rsidR="00733222">
        <w:t xml:space="preserve"> </w:t>
      </w:r>
      <w:r>
        <w:t>has taken a conservative approach, meaning that it is working on the company's low</w:t>
      </w:r>
      <w:r w:rsidR="008F3F57">
        <w:t>-</w:t>
      </w:r>
      <w:r>
        <w:t>carbon technologies</w:t>
      </w:r>
      <w:r w:rsidR="00D0221A">
        <w:t xml:space="preserve"> such as XCarb</w:t>
      </w:r>
      <w:r>
        <w:t xml:space="preserve"> in harmony with the new regulations</w:t>
      </w:r>
      <w:r w:rsidR="00733222">
        <w:t xml:space="preserve"> (ArcelorMittal Projects, 2026).</w:t>
      </w:r>
    </w:p>
    <w:p w14:paraId="675AD4B0" w14:textId="77777777" w:rsidR="00D0221A" w:rsidRDefault="00D0221A" w:rsidP="00DA39B6">
      <w:pPr>
        <w:keepNext/>
        <w:jc w:val="center"/>
      </w:pPr>
      <w:r w:rsidRPr="00D0221A">
        <w:rPr>
          <w:noProof/>
        </w:rPr>
        <w:drawing>
          <wp:inline distT="0" distB="0" distL="0" distR="0" wp14:anchorId="3C2B5A20" wp14:editId="355962EC">
            <wp:extent cx="3852545" cy="3216442"/>
            <wp:effectExtent l="0" t="0" r="0" b="0"/>
            <wp:docPr id="7419356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935659" name=""/>
                    <pic:cNvPicPr/>
                  </pic:nvPicPr>
                  <pic:blipFill>
                    <a:blip r:embed="rId14"/>
                    <a:stretch>
                      <a:fillRect/>
                    </a:stretch>
                  </pic:blipFill>
                  <pic:spPr>
                    <a:xfrm>
                      <a:off x="0" y="0"/>
                      <a:ext cx="3863747" cy="3225794"/>
                    </a:xfrm>
                    <a:prstGeom prst="rect">
                      <a:avLst/>
                    </a:prstGeom>
                  </pic:spPr>
                </pic:pic>
              </a:graphicData>
            </a:graphic>
          </wp:inline>
        </w:drawing>
      </w:r>
    </w:p>
    <w:p w14:paraId="1E791B63" w14:textId="0245C55F" w:rsidR="00D0221A" w:rsidRPr="00D0221A" w:rsidRDefault="00D0221A" w:rsidP="00D0221A">
      <w:pPr>
        <w:jc w:val="center"/>
        <w:rPr>
          <w:b/>
          <w:bCs/>
          <w:i/>
          <w:iCs/>
        </w:rPr>
      </w:pPr>
      <w:r w:rsidRPr="00D0221A">
        <w:rPr>
          <w:b/>
          <w:bCs/>
          <w:i/>
          <w:iCs/>
        </w:rPr>
        <w:t xml:space="preserve">Figure </w:t>
      </w:r>
      <w:r w:rsidRPr="00D0221A">
        <w:rPr>
          <w:b/>
          <w:bCs/>
          <w:i/>
          <w:iCs/>
        </w:rPr>
        <w:fldChar w:fldCharType="begin"/>
      </w:r>
      <w:r w:rsidRPr="00D0221A">
        <w:rPr>
          <w:b/>
          <w:bCs/>
          <w:i/>
          <w:iCs/>
        </w:rPr>
        <w:instrText xml:space="preserve"> SEQ Figure \* ARABIC </w:instrText>
      </w:r>
      <w:r w:rsidRPr="00D0221A">
        <w:rPr>
          <w:b/>
          <w:bCs/>
          <w:i/>
          <w:iCs/>
        </w:rPr>
        <w:fldChar w:fldCharType="separate"/>
      </w:r>
      <w:r w:rsidR="00844DBE">
        <w:rPr>
          <w:b/>
          <w:bCs/>
          <w:i/>
          <w:iCs/>
          <w:noProof/>
        </w:rPr>
        <w:t>5</w:t>
      </w:r>
      <w:r w:rsidRPr="00D0221A">
        <w:rPr>
          <w:b/>
          <w:bCs/>
          <w:i/>
          <w:iCs/>
        </w:rPr>
        <w:fldChar w:fldCharType="end"/>
      </w:r>
      <w:r w:rsidRPr="00D0221A">
        <w:rPr>
          <w:b/>
          <w:bCs/>
          <w:i/>
          <w:iCs/>
        </w:rPr>
        <w:t>: XCarb Initiative by ArcelorMittal</w:t>
      </w:r>
    </w:p>
    <w:p w14:paraId="24589FBA" w14:textId="7BD8086E" w:rsidR="00A76F2A" w:rsidRPr="00A76F2A" w:rsidRDefault="00D0221A" w:rsidP="00A76F2A">
      <w:pPr>
        <w:jc w:val="center"/>
        <w:rPr>
          <w:b/>
          <w:bCs/>
          <w:i/>
          <w:iCs/>
        </w:rPr>
      </w:pPr>
      <w:r w:rsidRPr="00D0221A">
        <w:rPr>
          <w:b/>
          <w:bCs/>
          <w:i/>
          <w:iCs/>
        </w:rPr>
        <w:t>(Source: ArcelorMittal Projects, 2026)</w:t>
      </w:r>
    </w:p>
    <w:tbl>
      <w:tblPr>
        <w:tblStyle w:val="TableGrid"/>
        <w:tblW w:w="0" w:type="auto"/>
        <w:tblLook w:val="04A0" w:firstRow="1" w:lastRow="0" w:firstColumn="1" w:lastColumn="0" w:noHBand="0" w:noVBand="1"/>
      </w:tblPr>
      <w:tblGrid>
        <w:gridCol w:w="1809"/>
        <w:gridCol w:w="4820"/>
        <w:gridCol w:w="2613"/>
      </w:tblGrid>
      <w:tr w:rsidR="00DA39B6" w14:paraId="452F64EE" w14:textId="77777777" w:rsidTr="005F2E12">
        <w:tc>
          <w:tcPr>
            <w:tcW w:w="1809" w:type="dxa"/>
            <w:shd w:val="clear" w:color="auto" w:fill="9CC2E5" w:themeFill="accent5" w:themeFillTint="99"/>
            <w:vAlign w:val="center"/>
          </w:tcPr>
          <w:p w14:paraId="4094FC71" w14:textId="6B0A8626" w:rsidR="00DA39B6" w:rsidRPr="00DA39B6" w:rsidRDefault="00DA39B6" w:rsidP="00C95745">
            <w:pPr>
              <w:spacing w:line="360" w:lineRule="auto"/>
              <w:jc w:val="center"/>
              <w:rPr>
                <w:b/>
                <w:bCs/>
                <w:i/>
                <w:iCs/>
              </w:rPr>
            </w:pPr>
            <w:r w:rsidRPr="00DA39B6">
              <w:rPr>
                <w:b/>
                <w:bCs/>
                <w:i/>
                <w:iCs/>
              </w:rPr>
              <w:t>Marketing Environment Actor</w:t>
            </w:r>
          </w:p>
        </w:tc>
        <w:tc>
          <w:tcPr>
            <w:tcW w:w="4820" w:type="dxa"/>
            <w:shd w:val="clear" w:color="auto" w:fill="9CC2E5" w:themeFill="accent5" w:themeFillTint="99"/>
            <w:vAlign w:val="center"/>
          </w:tcPr>
          <w:p w14:paraId="2EA564A0" w14:textId="0DC9511A" w:rsidR="00DA39B6" w:rsidRPr="00DA39B6" w:rsidRDefault="00DA39B6" w:rsidP="00C95745">
            <w:pPr>
              <w:spacing w:line="360" w:lineRule="auto"/>
              <w:jc w:val="center"/>
              <w:rPr>
                <w:b/>
                <w:bCs/>
                <w:i/>
                <w:iCs/>
              </w:rPr>
            </w:pPr>
            <w:r w:rsidRPr="00DA39B6">
              <w:rPr>
                <w:b/>
                <w:bCs/>
                <w:i/>
                <w:iCs/>
              </w:rPr>
              <w:t>Impact on Tata Steel</w:t>
            </w:r>
          </w:p>
        </w:tc>
        <w:tc>
          <w:tcPr>
            <w:tcW w:w="2613" w:type="dxa"/>
            <w:shd w:val="clear" w:color="auto" w:fill="9CC2E5" w:themeFill="accent5" w:themeFillTint="99"/>
            <w:vAlign w:val="center"/>
          </w:tcPr>
          <w:p w14:paraId="1A122558" w14:textId="7F38F821" w:rsidR="00DA39B6" w:rsidRPr="00DA39B6" w:rsidRDefault="00DA39B6" w:rsidP="00C95745">
            <w:pPr>
              <w:spacing w:line="360" w:lineRule="auto"/>
              <w:jc w:val="center"/>
              <w:rPr>
                <w:b/>
                <w:bCs/>
                <w:i/>
                <w:iCs/>
              </w:rPr>
            </w:pPr>
            <w:r w:rsidRPr="00DA39B6">
              <w:rPr>
                <w:b/>
                <w:bCs/>
                <w:i/>
                <w:iCs/>
              </w:rPr>
              <w:t>Strategic Implication</w:t>
            </w:r>
          </w:p>
        </w:tc>
      </w:tr>
      <w:tr w:rsidR="00DA39B6" w14:paraId="506B32F2" w14:textId="77777777" w:rsidTr="005F2E12">
        <w:tc>
          <w:tcPr>
            <w:tcW w:w="1809" w:type="dxa"/>
            <w:shd w:val="clear" w:color="auto" w:fill="BDD6EE" w:themeFill="accent5" w:themeFillTint="66"/>
            <w:vAlign w:val="center"/>
          </w:tcPr>
          <w:p w14:paraId="463FCEA2" w14:textId="47941834" w:rsidR="00DA39B6" w:rsidRDefault="00DA39B6" w:rsidP="00C95745">
            <w:pPr>
              <w:spacing w:line="360" w:lineRule="auto"/>
              <w:jc w:val="center"/>
              <w:rPr>
                <w:b/>
                <w:bCs/>
                <w:i/>
                <w:iCs/>
              </w:rPr>
            </w:pPr>
            <w:r>
              <w:rPr>
                <w:rStyle w:val="Strong"/>
              </w:rPr>
              <w:t>Natural Environment</w:t>
            </w:r>
          </w:p>
        </w:tc>
        <w:tc>
          <w:tcPr>
            <w:tcW w:w="4820" w:type="dxa"/>
            <w:shd w:val="clear" w:color="auto" w:fill="DEEAF6" w:themeFill="accent5" w:themeFillTint="33"/>
            <w:vAlign w:val="center"/>
          </w:tcPr>
          <w:p w14:paraId="18E70455" w14:textId="51412A4F" w:rsidR="00DA39B6" w:rsidRDefault="004E7867" w:rsidP="00C95745">
            <w:pPr>
              <w:spacing w:line="360" w:lineRule="auto"/>
              <w:rPr>
                <w:b/>
                <w:bCs/>
                <w:i/>
                <w:iCs/>
              </w:rPr>
            </w:pPr>
            <w:r>
              <w:t>Investment in lower carbon technologies is driven by the following: Climate change, Carbon reduction targets, and increasing demand for green steel</w:t>
            </w:r>
            <w:r w:rsidR="00473F84">
              <w:t>.</w:t>
            </w:r>
          </w:p>
        </w:tc>
        <w:tc>
          <w:tcPr>
            <w:tcW w:w="2613" w:type="dxa"/>
            <w:shd w:val="clear" w:color="auto" w:fill="DEEAF6" w:themeFill="accent5" w:themeFillTint="33"/>
            <w:vAlign w:val="center"/>
          </w:tcPr>
          <w:p w14:paraId="719DDE6F" w14:textId="2AA52CFE" w:rsidR="00DA39B6" w:rsidRPr="00374A54" w:rsidRDefault="00374A54" w:rsidP="00C95745">
            <w:pPr>
              <w:spacing w:line="360" w:lineRule="auto"/>
            </w:pPr>
            <w:r>
              <w:t>Create lower carbon products, sustainability and profitability.</w:t>
            </w:r>
          </w:p>
        </w:tc>
      </w:tr>
      <w:tr w:rsidR="00DA39B6" w14:paraId="7CD2DBD7" w14:textId="77777777" w:rsidTr="005F2E12">
        <w:tc>
          <w:tcPr>
            <w:tcW w:w="1809" w:type="dxa"/>
            <w:shd w:val="clear" w:color="auto" w:fill="BDD6EE" w:themeFill="accent5" w:themeFillTint="66"/>
            <w:vAlign w:val="center"/>
          </w:tcPr>
          <w:p w14:paraId="3B8E5A09" w14:textId="5BB62041" w:rsidR="00DA39B6" w:rsidRDefault="00DA39B6" w:rsidP="00C95745">
            <w:pPr>
              <w:spacing w:line="360" w:lineRule="auto"/>
              <w:jc w:val="center"/>
              <w:rPr>
                <w:b/>
                <w:bCs/>
                <w:i/>
                <w:iCs/>
              </w:rPr>
            </w:pPr>
            <w:r>
              <w:rPr>
                <w:rStyle w:val="Strong"/>
              </w:rPr>
              <w:t>Political Environment</w:t>
            </w:r>
          </w:p>
        </w:tc>
        <w:tc>
          <w:tcPr>
            <w:tcW w:w="4820" w:type="dxa"/>
            <w:shd w:val="clear" w:color="auto" w:fill="DEEAF6" w:themeFill="accent5" w:themeFillTint="33"/>
            <w:vAlign w:val="center"/>
          </w:tcPr>
          <w:p w14:paraId="5F20E93A" w14:textId="1DBBCEF6" w:rsidR="00DA39B6" w:rsidRPr="00640D87" w:rsidRDefault="00640D87" w:rsidP="00C95745">
            <w:pPr>
              <w:spacing w:line="360" w:lineRule="auto"/>
            </w:pPr>
            <w:r>
              <w:t>Investment and production decisions are impacted by environmental regulations, carbon pricing and government incentives.</w:t>
            </w:r>
          </w:p>
        </w:tc>
        <w:tc>
          <w:tcPr>
            <w:tcW w:w="2613" w:type="dxa"/>
            <w:shd w:val="clear" w:color="auto" w:fill="DEEAF6" w:themeFill="accent5" w:themeFillTint="33"/>
            <w:vAlign w:val="center"/>
          </w:tcPr>
          <w:p w14:paraId="0CA04DBC" w14:textId="6A301276" w:rsidR="00DA39B6" w:rsidRPr="00472F4F" w:rsidRDefault="00472F4F" w:rsidP="00C95745">
            <w:pPr>
              <w:spacing w:line="360" w:lineRule="auto"/>
            </w:pPr>
            <w:r>
              <w:t>Fast</w:t>
            </w:r>
            <w:r w:rsidR="00473F84">
              <w:t>-</w:t>
            </w:r>
            <w:r>
              <w:t>track decarbonisation process with compliance in international markets.</w:t>
            </w:r>
          </w:p>
        </w:tc>
      </w:tr>
    </w:tbl>
    <w:p w14:paraId="1F615875" w14:textId="59E07F2E" w:rsidR="00DA39B6" w:rsidRPr="00A76F2A" w:rsidRDefault="00A76F2A" w:rsidP="00A76F2A">
      <w:pPr>
        <w:jc w:val="center"/>
        <w:rPr>
          <w:b/>
          <w:bCs/>
          <w:i/>
          <w:iCs/>
        </w:rPr>
      </w:pPr>
      <w:r w:rsidRPr="00A76F2A">
        <w:rPr>
          <w:b/>
          <w:bCs/>
          <w:i/>
          <w:iCs/>
        </w:rPr>
        <w:lastRenderedPageBreak/>
        <w:t xml:space="preserve">Table </w:t>
      </w:r>
      <w:r w:rsidRPr="00A76F2A">
        <w:rPr>
          <w:b/>
          <w:bCs/>
          <w:i/>
          <w:iCs/>
        </w:rPr>
        <w:fldChar w:fldCharType="begin"/>
      </w:r>
      <w:r w:rsidRPr="00A76F2A">
        <w:rPr>
          <w:b/>
          <w:bCs/>
          <w:i/>
          <w:iCs/>
        </w:rPr>
        <w:instrText xml:space="preserve"> SEQ Table \* ARABIC </w:instrText>
      </w:r>
      <w:r w:rsidRPr="00A76F2A">
        <w:rPr>
          <w:b/>
          <w:bCs/>
          <w:i/>
          <w:iCs/>
        </w:rPr>
        <w:fldChar w:fldCharType="separate"/>
      </w:r>
      <w:r w:rsidR="002D29BA">
        <w:rPr>
          <w:b/>
          <w:bCs/>
          <w:i/>
          <w:iCs/>
          <w:noProof/>
        </w:rPr>
        <w:t>1</w:t>
      </w:r>
      <w:r w:rsidRPr="00A76F2A">
        <w:rPr>
          <w:b/>
          <w:bCs/>
          <w:i/>
          <w:iCs/>
        </w:rPr>
        <w:fldChar w:fldCharType="end"/>
      </w:r>
      <w:r w:rsidRPr="00A76F2A">
        <w:rPr>
          <w:b/>
          <w:bCs/>
          <w:i/>
          <w:iCs/>
        </w:rPr>
        <w:t xml:space="preserve">: Summary of External Marketing Environment </w:t>
      </w:r>
      <w:r w:rsidR="00D13343">
        <w:rPr>
          <w:b/>
          <w:bCs/>
          <w:i/>
          <w:iCs/>
        </w:rPr>
        <w:t>Fa</w:t>
      </w:r>
      <w:r w:rsidRPr="00A76F2A">
        <w:rPr>
          <w:b/>
          <w:bCs/>
          <w:i/>
          <w:iCs/>
        </w:rPr>
        <w:t>ctors Affecting Tata Steel</w:t>
      </w:r>
    </w:p>
    <w:p w14:paraId="0C95895A" w14:textId="77777777" w:rsidR="0062243F" w:rsidRDefault="0062243F">
      <w:pPr>
        <w:jc w:val="center"/>
      </w:pPr>
      <w:r>
        <w:br w:type="page"/>
      </w:r>
    </w:p>
    <w:p w14:paraId="30AE066E" w14:textId="200A3260" w:rsidR="00395E6F" w:rsidRDefault="00395E6F" w:rsidP="003A6D8D">
      <w:pPr>
        <w:pStyle w:val="Heading1"/>
      </w:pPr>
      <w:bookmarkStart w:id="3" w:name="_Toc235631221"/>
      <w:r>
        <w:lastRenderedPageBreak/>
        <w:t>T</w:t>
      </w:r>
      <w:r w:rsidRPr="00395E6F">
        <w:t>ask 2: Strategic Growth and Competitive Positioning</w:t>
      </w:r>
      <w:bookmarkEnd w:id="3"/>
    </w:p>
    <w:p w14:paraId="732F6371" w14:textId="15CDF615" w:rsidR="00DA6C4B" w:rsidRDefault="00DA6C4B" w:rsidP="00D579EB">
      <w:pPr>
        <w:pStyle w:val="Heading2"/>
      </w:pPr>
      <w:bookmarkStart w:id="4" w:name="_Toc235631222"/>
      <w:r>
        <w:t>Strategic Growth Approach: Product Development Using the Ansoff Matrix</w:t>
      </w:r>
      <w:bookmarkEnd w:id="4"/>
    </w:p>
    <w:p w14:paraId="078CE275" w14:textId="2FDADF04" w:rsidR="006C29B5" w:rsidRDefault="006C29B5" w:rsidP="006C29B5">
      <w:pPr>
        <w:rPr>
          <w:rFonts w:eastAsiaTheme="majorEastAsia" w:cstheme="majorBidi"/>
          <w:color w:val="000000" w:themeColor="text1"/>
          <w:szCs w:val="32"/>
        </w:rPr>
      </w:pPr>
      <w:r w:rsidRPr="006C29B5">
        <w:rPr>
          <w:rFonts w:eastAsiaTheme="majorEastAsia" w:cstheme="majorBidi"/>
          <w:color w:val="000000" w:themeColor="text1"/>
          <w:szCs w:val="32"/>
        </w:rPr>
        <w:t xml:space="preserve">In </w:t>
      </w:r>
      <w:r w:rsidR="00473F84">
        <w:rPr>
          <w:rFonts w:eastAsiaTheme="majorEastAsia" w:cstheme="majorBidi"/>
          <w:color w:val="000000" w:themeColor="text1"/>
          <w:szCs w:val="32"/>
        </w:rPr>
        <w:t xml:space="preserve">the </w:t>
      </w:r>
      <w:r w:rsidRPr="006C29B5">
        <w:rPr>
          <w:rFonts w:eastAsiaTheme="majorEastAsia" w:cstheme="majorBidi"/>
          <w:color w:val="000000" w:themeColor="text1"/>
          <w:szCs w:val="32"/>
        </w:rPr>
        <w:t>Ansoff matrix</w:t>
      </w:r>
      <w:r w:rsidR="004E6168">
        <w:rPr>
          <w:rFonts w:eastAsiaTheme="majorEastAsia" w:cstheme="majorBidi"/>
          <w:color w:val="000000" w:themeColor="text1"/>
          <w:szCs w:val="32"/>
        </w:rPr>
        <w:t>,</w:t>
      </w:r>
      <w:r w:rsidRPr="006C29B5">
        <w:rPr>
          <w:rFonts w:eastAsiaTheme="majorEastAsia" w:cstheme="majorBidi"/>
          <w:color w:val="000000" w:themeColor="text1"/>
          <w:szCs w:val="32"/>
        </w:rPr>
        <w:t xml:space="preserve"> there are</w:t>
      </w:r>
      <w:r w:rsidR="004E6168">
        <w:rPr>
          <w:rFonts w:eastAsiaTheme="majorEastAsia" w:cstheme="majorBidi"/>
          <w:color w:val="000000" w:themeColor="text1"/>
          <w:szCs w:val="32"/>
        </w:rPr>
        <w:t xml:space="preserve"> four</w:t>
      </w:r>
      <w:r w:rsidRPr="006C29B5">
        <w:rPr>
          <w:rFonts w:eastAsiaTheme="majorEastAsia" w:cstheme="majorBidi"/>
          <w:color w:val="000000" w:themeColor="text1"/>
          <w:szCs w:val="32"/>
        </w:rPr>
        <w:t xml:space="preserve"> strategies of growth</w:t>
      </w:r>
      <w:r w:rsidR="00473F84">
        <w:rPr>
          <w:rFonts w:eastAsiaTheme="majorEastAsia" w:cstheme="majorBidi"/>
          <w:color w:val="000000" w:themeColor="text1"/>
          <w:szCs w:val="32"/>
        </w:rPr>
        <w:t>,</w:t>
      </w:r>
      <w:r w:rsidR="004E6168">
        <w:rPr>
          <w:rFonts w:eastAsiaTheme="majorEastAsia" w:cstheme="majorBidi"/>
          <w:color w:val="000000" w:themeColor="text1"/>
          <w:szCs w:val="32"/>
        </w:rPr>
        <w:t xml:space="preserve"> including</w:t>
      </w:r>
      <w:r w:rsidRPr="006C29B5">
        <w:rPr>
          <w:rFonts w:eastAsiaTheme="majorEastAsia" w:cstheme="majorBidi"/>
          <w:color w:val="000000" w:themeColor="text1"/>
          <w:szCs w:val="32"/>
        </w:rPr>
        <w:t xml:space="preserve"> market penetration, market development, product development, and diversification</w:t>
      </w:r>
      <w:r w:rsidR="00EC4682">
        <w:rPr>
          <w:rFonts w:eastAsiaTheme="majorEastAsia" w:cstheme="majorBidi"/>
          <w:color w:val="000000" w:themeColor="text1"/>
          <w:szCs w:val="32"/>
        </w:rPr>
        <w:t xml:space="preserve"> (Peterdy, 2022)</w:t>
      </w:r>
      <w:r w:rsidRPr="006C29B5">
        <w:rPr>
          <w:rFonts w:eastAsiaTheme="majorEastAsia" w:cstheme="majorBidi"/>
          <w:color w:val="000000" w:themeColor="text1"/>
          <w:szCs w:val="32"/>
        </w:rPr>
        <w:t xml:space="preserve">. Ansoff's </w:t>
      </w:r>
      <w:r w:rsidR="006F70EC">
        <w:rPr>
          <w:rFonts w:eastAsiaTheme="majorEastAsia" w:cstheme="majorBidi"/>
          <w:color w:val="000000" w:themeColor="text1"/>
          <w:szCs w:val="32"/>
        </w:rPr>
        <w:t>matrix discusses that a</w:t>
      </w:r>
      <w:r w:rsidRPr="006C29B5">
        <w:rPr>
          <w:rFonts w:eastAsiaTheme="majorEastAsia" w:cstheme="majorBidi"/>
          <w:color w:val="000000" w:themeColor="text1"/>
          <w:szCs w:val="32"/>
        </w:rPr>
        <w:t xml:space="preserve"> company should select a strategy suited to its </w:t>
      </w:r>
      <w:r w:rsidR="00CB67CC">
        <w:rPr>
          <w:rFonts w:eastAsiaTheme="majorEastAsia" w:cstheme="majorBidi"/>
          <w:color w:val="000000" w:themeColor="text1"/>
          <w:szCs w:val="32"/>
        </w:rPr>
        <w:t>capabilities</w:t>
      </w:r>
      <w:r w:rsidRPr="006C29B5">
        <w:rPr>
          <w:rFonts w:eastAsiaTheme="majorEastAsia" w:cstheme="majorBidi"/>
          <w:color w:val="000000" w:themeColor="text1"/>
          <w:szCs w:val="32"/>
        </w:rPr>
        <w:t xml:space="preserve"> and that will also help it take advantage of the external opportunities of the market. From an environmental perspective, the product development strategy fits very well into the overall development of Tata Steel Company</w:t>
      </w:r>
      <w:r w:rsidR="00473F84">
        <w:rPr>
          <w:rFonts w:eastAsiaTheme="majorEastAsia" w:cstheme="majorBidi"/>
          <w:color w:val="000000" w:themeColor="text1"/>
          <w:szCs w:val="32"/>
        </w:rPr>
        <w:t>,</w:t>
      </w:r>
      <w:r w:rsidRPr="006C29B5">
        <w:rPr>
          <w:rFonts w:eastAsiaTheme="majorEastAsia" w:cstheme="majorBidi"/>
          <w:color w:val="000000" w:themeColor="text1"/>
          <w:szCs w:val="32"/>
        </w:rPr>
        <w:t xml:space="preserve"> as this strategy will enable </w:t>
      </w:r>
      <w:r w:rsidR="00473F84">
        <w:rPr>
          <w:rFonts w:eastAsiaTheme="majorEastAsia" w:cstheme="majorBidi"/>
          <w:color w:val="000000" w:themeColor="text1"/>
          <w:szCs w:val="32"/>
        </w:rPr>
        <w:t>it</w:t>
      </w:r>
      <w:r w:rsidRPr="006C29B5">
        <w:rPr>
          <w:rFonts w:eastAsiaTheme="majorEastAsia" w:cstheme="majorBidi"/>
          <w:color w:val="000000" w:themeColor="text1"/>
          <w:szCs w:val="32"/>
        </w:rPr>
        <w:t xml:space="preserve"> to launch low</w:t>
      </w:r>
      <w:r w:rsidR="00473F84">
        <w:rPr>
          <w:rFonts w:eastAsiaTheme="majorEastAsia" w:cstheme="majorBidi"/>
          <w:color w:val="000000" w:themeColor="text1"/>
          <w:szCs w:val="32"/>
        </w:rPr>
        <w:t>-</w:t>
      </w:r>
      <w:r w:rsidRPr="006C29B5">
        <w:rPr>
          <w:rFonts w:eastAsiaTheme="majorEastAsia" w:cstheme="majorBidi"/>
          <w:color w:val="000000" w:themeColor="text1"/>
          <w:szCs w:val="32"/>
        </w:rPr>
        <w:t xml:space="preserve">carbon steel products in the industrial market. </w:t>
      </w:r>
      <w:r w:rsidR="00E728E7" w:rsidRPr="00E728E7">
        <w:rPr>
          <w:rFonts w:eastAsiaTheme="majorEastAsia" w:cstheme="majorBidi"/>
          <w:color w:val="000000" w:themeColor="text1"/>
          <w:szCs w:val="32"/>
        </w:rPr>
        <w:t>The concept of product development strategy refers to an organi</w:t>
      </w:r>
      <w:r w:rsidR="00473F84">
        <w:rPr>
          <w:rFonts w:eastAsiaTheme="majorEastAsia" w:cstheme="majorBidi"/>
          <w:color w:val="000000" w:themeColor="text1"/>
          <w:szCs w:val="32"/>
        </w:rPr>
        <w:t>s</w:t>
      </w:r>
      <w:r w:rsidR="00E728E7" w:rsidRPr="00E728E7">
        <w:rPr>
          <w:rFonts w:eastAsiaTheme="majorEastAsia" w:cstheme="majorBidi"/>
          <w:color w:val="000000" w:themeColor="text1"/>
          <w:szCs w:val="32"/>
        </w:rPr>
        <w:t>ed approach to creating or improving products to satisfy the requirements of the market and the business</w:t>
      </w:r>
      <w:r w:rsidR="003C059A">
        <w:rPr>
          <w:rFonts w:eastAsiaTheme="majorEastAsia" w:cstheme="majorBidi"/>
          <w:color w:val="000000" w:themeColor="text1"/>
          <w:szCs w:val="32"/>
        </w:rPr>
        <w:t xml:space="preserve"> (IBM, 2026). </w:t>
      </w:r>
    </w:p>
    <w:p w14:paraId="4EA2D466" w14:textId="77777777" w:rsidR="00EC4682" w:rsidRDefault="00EC4682" w:rsidP="00EC4682">
      <w:pPr>
        <w:keepNext/>
        <w:jc w:val="center"/>
      </w:pPr>
      <w:r>
        <w:rPr>
          <w:noProof/>
        </w:rPr>
        <w:drawing>
          <wp:inline distT="0" distB="0" distL="0" distR="0" wp14:anchorId="3B3E2AAD" wp14:editId="27ED1910">
            <wp:extent cx="5731510" cy="3319780"/>
            <wp:effectExtent l="0" t="0" r="0" b="0"/>
            <wp:docPr id="1541663699" name="Picture 1" descr="Breakdown of Ansoff Matrix, including Products on the X-axis and Markets on the Y-ax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eakdown of Ansoff Matrix, including Products on the X-axis and Markets on the Y-axi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319780"/>
                    </a:xfrm>
                    <a:prstGeom prst="rect">
                      <a:avLst/>
                    </a:prstGeom>
                    <a:noFill/>
                    <a:ln>
                      <a:noFill/>
                    </a:ln>
                  </pic:spPr>
                </pic:pic>
              </a:graphicData>
            </a:graphic>
          </wp:inline>
        </w:drawing>
      </w:r>
    </w:p>
    <w:p w14:paraId="075293CE" w14:textId="34ACE26D" w:rsidR="00EC4682" w:rsidRPr="00EC4682" w:rsidRDefault="00EC4682" w:rsidP="00EC4682">
      <w:pPr>
        <w:jc w:val="center"/>
        <w:rPr>
          <w:b/>
          <w:bCs/>
          <w:i/>
          <w:iCs/>
        </w:rPr>
      </w:pPr>
      <w:r w:rsidRPr="00EC4682">
        <w:rPr>
          <w:b/>
          <w:bCs/>
          <w:i/>
          <w:iCs/>
        </w:rPr>
        <w:t xml:space="preserve">Figure </w:t>
      </w:r>
      <w:r w:rsidRPr="00EC4682">
        <w:rPr>
          <w:b/>
          <w:bCs/>
          <w:i/>
          <w:iCs/>
        </w:rPr>
        <w:fldChar w:fldCharType="begin"/>
      </w:r>
      <w:r w:rsidRPr="00EC4682">
        <w:rPr>
          <w:b/>
          <w:bCs/>
          <w:i/>
          <w:iCs/>
        </w:rPr>
        <w:instrText xml:space="preserve"> SEQ Figure \* ARABIC </w:instrText>
      </w:r>
      <w:r w:rsidRPr="00EC4682">
        <w:rPr>
          <w:b/>
          <w:bCs/>
          <w:i/>
          <w:iCs/>
        </w:rPr>
        <w:fldChar w:fldCharType="separate"/>
      </w:r>
      <w:r w:rsidR="00844DBE">
        <w:rPr>
          <w:b/>
          <w:bCs/>
          <w:i/>
          <w:iCs/>
          <w:noProof/>
        </w:rPr>
        <w:t>6</w:t>
      </w:r>
      <w:r w:rsidRPr="00EC4682">
        <w:rPr>
          <w:b/>
          <w:bCs/>
          <w:i/>
          <w:iCs/>
        </w:rPr>
        <w:fldChar w:fldCharType="end"/>
      </w:r>
      <w:r w:rsidRPr="00EC4682">
        <w:rPr>
          <w:b/>
          <w:bCs/>
          <w:i/>
          <w:iCs/>
        </w:rPr>
        <w:t>: Ansoff Matrix</w:t>
      </w:r>
    </w:p>
    <w:p w14:paraId="247F0A00" w14:textId="7B151D4B" w:rsidR="00EC4682" w:rsidRPr="00EC4682" w:rsidRDefault="00EC4682" w:rsidP="00EC4682">
      <w:pPr>
        <w:jc w:val="center"/>
        <w:rPr>
          <w:b/>
          <w:bCs/>
          <w:i/>
          <w:iCs/>
        </w:rPr>
      </w:pPr>
      <w:r w:rsidRPr="00EC4682">
        <w:rPr>
          <w:b/>
          <w:bCs/>
          <w:i/>
          <w:iCs/>
        </w:rPr>
        <w:t>(Source: Peterdy, 2022)</w:t>
      </w:r>
    </w:p>
    <w:p w14:paraId="42D846FF" w14:textId="34138B38" w:rsidR="006C29B5" w:rsidRPr="006C29B5" w:rsidRDefault="006D7842" w:rsidP="006C29B5">
      <w:pPr>
        <w:rPr>
          <w:rFonts w:eastAsiaTheme="majorEastAsia" w:cstheme="majorBidi"/>
          <w:color w:val="000000" w:themeColor="text1"/>
          <w:szCs w:val="32"/>
        </w:rPr>
      </w:pPr>
      <w:r>
        <w:t xml:space="preserve">This strategy closely aligns with the external pressures identified in Task 1. </w:t>
      </w:r>
      <w:r w:rsidR="006C29B5" w:rsidRPr="006C29B5">
        <w:rPr>
          <w:rFonts w:eastAsiaTheme="majorEastAsia" w:cstheme="majorBidi"/>
          <w:color w:val="000000" w:themeColor="text1"/>
          <w:szCs w:val="32"/>
        </w:rPr>
        <w:t xml:space="preserve">Environmental issues have made it more necessary to produce green steel as customers and </w:t>
      </w:r>
      <w:r w:rsidR="00EF43A0">
        <w:rPr>
          <w:rFonts w:eastAsiaTheme="majorEastAsia" w:cstheme="majorBidi"/>
          <w:color w:val="000000" w:themeColor="text1"/>
          <w:szCs w:val="32"/>
        </w:rPr>
        <w:t xml:space="preserve">the </w:t>
      </w:r>
      <w:r w:rsidR="006C29B5" w:rsidRPr="006C29B5">
        <w:rPr>
          <w:rFonts w:eastAsiaTheme="majorEastAsia" w:cstheme="majorBidi"/>
          <w:color w:val="000000" w:themeColor="text1"/>
          <w:szCs w:val="32"/>
        </w:rPr>
        <w:t>government have a higher standard</w:t>
      </w:r>
      <w:r w:rsidR="00EF43A0">
        <w:rPr>
          <w:rFonts w:eastAsiaTheme="majorEastAsia" w:cstheme="majorBidi"/>
          <w:color w:val="000000" w:themeColor="text1"/>
          <w:szCs w:val="32"/>
        </w:rPr>
        <w:t>,</w:t>
      </w:r>
      <w:r w:rsidR="006C29B5" w:rsidRPr="006C29B5">
        <w:rPr>
          <w:rFonts w:eastAsiaTheme="majorEastAsia" w:cstheme="majorBidi"/>
          <w:color w:val="000000" w:themeColor="text1"/>
          <w:szCs w:val="32"/>
        </w:rPr>
        <w:t xml:space="preserve"> expecting more from the </w:t>
      </w:r>
      <w:r w:rsidR="006C29B5" w:rsidRPr="006C29B5">
        <w:rPr>
          <w:rFonts w:eastAsiaTheme="majorEastAsia" w:cstheme="majorBidi"/>
          <w:color w:val="000000" w:themeColor="text1"/>
          <w:szCs w:val="32"/>
        </w:rPr>
        <w:lastRenderedPageBreak/>
        <w:t>company in terms of carbon footprint reduction</w:t>
      </w:r>
      <w:r w:rsidR="000F7E6A">
        <w:rPr>
          <w:rFonts w:eastAsiaTheme="majorEastAsia" w:cstheme="majorBidi"/>
          <w:color w:val="000000" w:themeColor="text1"/>
          <w:szCs w:val="32"/>
        </w:rPr>
        <w:t xml:space="preserve"> (</w:t>
      </w:r>
      <w:r w:rsidR="000F7E6A">
        <w:rPr>
          <w:shd w:val="clear" w:color="auto" w:fill="FFFFFF"/>
        </w:rPr>
        <w:t>Mallett and Pal, 2022)</w:t>
      </w:r>
      <w:r w:rsidR="006C29B5" w:rsidRPr="006C29B5">
        <w:rPr>
          <w:rFonts w:eastAsiaTheme="majorEastAsia" w:cstheme="majorBidi"/>
          <w:color w:val="000000" w:themeColor="text1"/>
          <w:szCs w:val="32"/>
        </w:rPr>
        <w:t>. Governmental intervention and the introduction of carbon pricing have helped speed up innovation in the industry</w:t>
      </w:r>
      <w:r w:rsidR="00753C44">
        <w:rPr>
          <w:rFonts w:eastAsiaTheme="majorEastAsia" w:cstheme="majorBidi"/>
          <w:color w:val="000000" w:themeColor="text1"/>
          <w:szCs w:val="32"/>
        </w:rPr>
        <w:t xml:space="preserve"> (Steel Ministry, 2025)</w:t>
      </w:r>
      <w:r w:rsidR="006C29B5" w:rsidRPr="006C29B5">
        <w:rPr>
          <w:rFonts w:eastAsiaTheme="majorEastAsia" w:cstheme="majorBidi"/>
          <w:color w:val="000000" w:themeColor="text1"/>
          <w:szCs w:val="32"/>
        </w:rPr>
        <w:t xml:space="preserve">. </w:t>
      </w:r>
    </w:p>
    <w:p w14:paraId="7E2869B8" w14:textId="34782D4B" w:rsidR="006C29B5" w:rsidRPr="006C29B5" w:rsidRDefault="006C29B5" w:rsidP="006C29B5">
      <w:pPr>
        <w:rPr>
          <w:rFonts w:eastAsiaTheme="majorEastAsia" w:cstheme="majorBidi"/>
          <w:color w:val="000000" w:themeColor="text1"/>
          <w:szCs w:val="32"/>
        </w:rPr>
      </w:pPr>
      <w:r w:rsidRPr="006C29B5">
        <w:rPr>
          <w:rFonts w:eastAsiaTheme="majorEastAsia" w:cstheme="majorBidi"/>
          <w:color w:val="000000" w:themeColor="text1"/>
          <w:szCs w:val="32"/>
        </w:rPr>
        <w:t>Secondly, product development has the least amount of risk and</w:t>
      </w:r>
      <w:r w:rsidR="00EF43A0">
        <w:rPr>
          <w:rFonts w:eastAsiaTheme="majorEastAsia" w:cstheme="majorBidi"/>
          <w:color w:val="000000" w:themeColor="text1"/>
          <w:szCs w:val="32"/>
        </w:rPr>
        <w:t>,</w:t>
      </w:r>
      <w:r w:rsidRPr="006C29B5">
        <w:rPr>
          <w:rFonts w:eastAsiaTheme="majorEastAsia" w:cstheme="majorBidi"/>
          <w:color w:val="000000" w:themeColor="text1"/>
          <w:szCs w:val="32"/>
        </w:rPr>
        <w:t xml:space="preserve"> for this reason</w:t>
      </w:r>
      <w:r w:rsidR="00EF43A0">
        <w:rPr>
          <w:rFonts w:eastAsiaTheme="majorEastAsia" w:cstheme="majorBidi"/>
          <w:color w:val="000000" w:themeColor="text1"/>
          <w:szCs w:val="32"/>
        </w:rPr>
        <w:t>,</w:t>
      </w:r>
      <w:r w:rsidRPr="006C29B5">
        <w:rPr>
          <w:rFonts w:eastAsiaTheme="majorEastAsia" w:cstheme="majorBidi"/>
          <w:color w:val="000000" w:themeColor="text1"/>
          <w:szCs w:val="32"/>
        </w:rPr>
        <w:t xml:space="preserve"> is the most strategic option when compared to diversification. For instance, diversification involves entering into a new market entirely</w:t>
      </w:r>
      <w:r w:rsidR="00EF43A0">
        <w:rPr>
          <w:rFonts w:eastAsiaTheme="majorEastAsia" w:cstheme="majorBidi"/>
          <w:color w:val="000000" w:themeColor="text1"/>
          <w:szCs w:val="32"/>
        </w:rPr>
        <w:t>,</w:t>
      </w:r>
      <w:r w:rsidRPr="006C29B5">
        <w:rPr>
          <w:rFonts w:eastAsiaTheme="majorEastAsia" w:cstheme="majorBidi"/>
          <w:color w:val="000000" w:themeColor="text1"/>
          <w:szCs w:val="32"/>
        </w:rPr>
        <w:t xml:space="preserve"> and therefore, there will always be risks involved as well as massive capital outlay</w:t>
      </w:r>
      <w:r w:rsidR="006162BD">
        <w:rPr>
          <w:rFonts w:eastAsiaTheme="majorEastAsia" w:cstheme="majorBidi"/>
          <w:color w:val="000000" w:themeColor="text1"/>
          <w:szCs w:val="32"/>
        </w:rPr>
        <w:t xml:space="preserve"> (CFI, 2020)</w:t>
      </w:r>
      <w:r w:rsidRPr="006C29B5">
        <w:rPr>
          <w:rFonts w:eastAsiaTheme="majorEastAsia" w:cstheme="majorBidi"/>
          <w:color w:val="000000" w:themeColor="text1"/>
          <w:szCs w:val="32"/>
        </w:rPr>
        <w:t>. Market penetration strategy will lead to higher sales of existing products</w:t>
      </w:r>
      <w:r w:rsidR="00F26637">
        <w:rPr>
          <w:rFonts w:eastAsiaTheme="majorEastAsia" w:cstheme="majorBidi"/>
          <w:color w:val="000000" w:themeColor="text1"/>
          <w:szCs w:val="32"/>
        </w:rPr>
        <w:t>,</w:t>
      </w:r>
      <w:r w:rsidR="00AB446B">
        <w:rPr>
          <w:rFonts w:eastAsiaTheme="majorEastAsia" w:cstheme="majorBidi"/>
          <w:color w:val="000000" w:themeColor="text1"/>
          <w:szCs w:val="32"/>
        </w:rPr>
        <w:t xml:space="preserve"> but</w:t>
      </w:r>
      <w:r w:rsidRPr="006C29B5">
        <w:rPr>
          <w:rFonts w:eastAsiaTheme="majorEastAsia" w:cstheme="majorBidi"/>
          <w:color w:val="000000" w:themeColor="text1"/>
          <w:szCs w:val="32"/>
        </w:rPr>
        <w:t xml:space="preserve"> it is very unlikely that it will produce any profit as there are a lot of environmental issues that the existing steel product is facing. Moreover, market development looks unsuitable </w:t>
      </w:r>
      <w:r w:rsidR="00EF43A0">
        <w:rPr>
          <w:rFonts w:eastAsiaTheme="majorEastAsia" w:cstheme="majorBidi"/>
          <w:color w:val="000000" w:themeColor="text1"/>
          <w:szCs w:val="32"/>
        </w:rPr>
        <w:t>because</w:t>
      </w:r>
      <w:r w:rsidRPr="006C29B5">
        <w:rPr>
          <w:rFonts w:eastAsiaTheme="majorEastAsia" w:cstheme="majorBidi"/>
          <w:color w:val="000000" w:themeColor="text1"/>
          <w:szCs w:val="32"/>
        </w:rPr>
        <w:t xml:space="preserve"> geographical expansion without an obvious decrease in the emissions of the product will not satisfy the increasing demands for sustainability. Thus, the most promising alternative is product development which meets the needs of the market and leverages the existing knowledge base of Tata Steel.</w:t>
      </w:r>
    </w:p>
    <w:p w14:paraId="6F6CA3D0" w14:textId="69CE30D3" w:rsidR="006C29B5" w:rsidRPr="006C29B5" w:rsidRDefault="006C29B5" w:rsidP="006C29B5">
      <w:pPr>
        <w:rPr>
          <w:rFonts w:eastAsiaTheme="majorEastAsia" w:cstheme="majorBidi"/>
          <w:color w:val="000000" w:themeColor="text1"/>
          <w:szCs w:val="32"/>
        </w:rPr>
      </w:pPr>
      <w:r w:rsidRPr="006C29B5">
        <w:rPr>
          <w:rFonts w:eastAsiaTheme="majorEastAsia" w:cstheme="majorBidi"/>
          <w:color w:val="000000" w:themeColor="text1"/>
          <w:szCs w:val="32"/>
        </w:rPr>
        <w:t>Meanwhile, Tata Steel continues to invest in the electric arc furnace, steel recycling, renewable energy and hydrogen steelmaking technologies</w:t>
      </w:r>
      <w:r w:rsidR="00EB2266">
        <w:rPr>
          <w:rFonts w:eastAsiaTheme="majorEastAsia" w:cstheme="majorBidi"/>
          <w:color w:val="000000" w:themeColor="text1"/>
          <w:szCs w:val="32"/>
        </w:rPr>
        <w:t xml:space="preserve"> </w:t>
      </w:r>
      <w:r w:rsidR="00A473DE">
        <w:rPr>
          <w:rFonts w:eastAsiaTheme="majorEastAsia" w:cstheme="majorBidi"/>
          <w:color w:val="000000" w:themeColor="text1"/>
          <w:szCs w:val="32"/>
        </w:rPr>
        <w:t>(Tata Steel, 2026)</w:t>
      </w:r>
      <w:r w:rsidRPr="006C29B5">
        <w:rPr>
          <w:rFonts w:eastAsiaTheme="majorEastAsia" w:cstheme="majorBidi"/>
          <w:color w:val="000000" w:themeColor="text1"/>
          <w:szCs w:val="32"/>
        </w:rPr>
        <w:t>. These innovations are the technological infrastructure to enable the commerciali</w:t>
      </w:r>
      <w:r w:rsidR="00EF43A0">
        <w:rPr>
          <w:rFonts w:eastAsiaTheme="majorEastAsia" w:cstheme="majorBidi"/>
          <w:color w:val="000000" w:themeColor="text1"/>
          <w:szCs w:val="32"/>
        </w:rPr>
        <w:t>s</w:t>
      </w:r>
      <w:r w:rsidRPr="006C29B5">
        <w:rPr>
          <w:rFonts w:eastAsiaTheme="majorEastAsia" w:cstheme="majorBidi"/>
          <w:color w:val="000000" w:themeColor="text1"/>
          <w:szCs w:val="32"/>
        </w:rPr>
        <w:t>ation of the new product, within the framework of the current business model. Tata Steel will leverage the already existing skills, which will benefit in reducing the risk of implementation and motivat</w:t>
      </w:r>
      <w:r w:rsidR="00EF43A0">
        <w:rPr>
          <w:rFonts w:eastAsiaTheme="majorEastAsia" w:cstheme="majorBidi"/>
          <w:color w:val="000000" w:themeColor="text1"/>
          <w:szCs w:val="32"/>
        </w:rPr>
        <w:t>e</w:t>
      </w:r>
      <w:r w:rsidRPr="006C29B5">
        <w:rPr>
          <w:rFonts w:eastAsiaTheme="majorEastAsia" w:cstheme="majorBidi"/>
          <w:color w:val="000000" w:themeColor="text1"/>
          <w:szCs w:val="32"/>
        </w:rPr>
        <w:t xml:space="preserve"> innovation.</w:t>
      </w:r>
    </w:p>
    <w:p w14:paraId="35D55906" w14:textId="41B45D96" w:rsidR="006C29B5" w:rsidRPr="006C29B5" w:rsidRDefault="006C29B5" w:rsidP="006C29B5">
      <w:pPr>
        <w:rPr>
          <w:rFonts w:eastAsiaTheme="majorEastAsia" w:cstheme="majorBidi"/>
          <w:color w:val="000000" w:themeColor="text1"/>
          <w:szCs w:val="32"/>
        </w:rPr>
      </w:pPr>
      <w:r w:rsidRPr="006C29B5">
        <w:rPr>
          <w:rFonts w:eastAsiaTheme="majorEastAsia" w:cstheme="majorBidi"/>
          <w:color w:val="000000" w:themeColor="text1"/>
          <w:szCs w:val="32"/>
        </w:rPr>
        <w:t>But product development is not the only thing to do regarding the investment in technology, it is also about adding value for the customer with sustainable, quality and cost considerations</w:t>
      </w:r>
      <w:r w:rsidR="005370C3">
        <w:rPr>
          <w:rFonts w:eastAsiaTheme="majorEastAsia" w:cstheme="majorBidi"/>
          <w:color w:val="000000" w:themeColor="text1"/>
          <w:szCs w:val="32"/>
        </w:rPr>
        <w:t xml:space="preserve"> (</w:t>
      </w:r>
      <w:proofErr w:type="spellStart"/>
      <w:r w:rsidR="005370C3">
        <w:rPr>
          <w:shd w:val="clear" w:color="auto" w:fill="FFFFFF"/>
        </w:rPr>
        <w:t>Falahat</w:t>
      </w:r>
      <w:proofErr w:type="spellEnd"/>
      <w:r w:rsidR="005370C3">
        <w:rPr>
          <w:shd w:val="clear" w:color="auto" w:fill="FFFFFF"/>
        </w:rPr>
        <w:t>, et al., 2024)</w:t>
      </w:r>
      <w:r w:rsidRPr="006C29B5">
        <w:rPr>
          <w:rFonts w:eastAsiaTheme="majorEastAsia" w:cstheme="majorBidi"/>
          <w:color w:val="000000" w:themeColor="text1"/>
          <w:szCs w:val="32"/>
        </w:rPr>
        <w:t xml:space="preserve">. If the price of </w:t>
      </w:r>
      <w:r w:rsidR="0013356A">
        <w:rPr>
          <w:rFonts w:eastAsiaTheme="majorEastAsia" w:cstheme="majorBidi"/>
          <w:color w:val="000000" w:themeColor="text1"/>
          <w:szCs w:val="32"/>
        </w:rPr>
        <w:t>low-carbon</w:t>
      </w:r>
      <w:r w:rsidRPr="006C29B5">
        <w:rPr>
          <w:rFonts w:eastAsiaTheme="majorEastAsia" w:cstheme="majorBidi"/>
          <w:color w:val="000000" w:themeColor="text1"/>
          <w:szCs w:val="32"/>
        </w:rPr>
        <w:t xml:space="preserve"> steel </w:t>
      </w:r>
      <w:r w:rsidR="00EF43A0">
        <w:rPr>
          <w:rFonts w:eastAsiaTheme="majorEastAsia" w:cstheme="majorBidi"/>
          <w:color w:val="000000" w:themeColor="text1"/>
          <w:szCs w:val="32"/>
        </w:rPr>
        <w:t>does</w:t>
      </w:r>
      <w:r w:rsidRPr="006C29B5">
        <w:rPr>
          <w:rFonts w:eastAsiaTheme="majorEastAsia" w:cstheme="majorBidi"/>
          <w:color w:val="000000" w:themeColor="text1"/>
          <w:szCs w:val="32"/>
        </w:rPr>
        <w:t xml:space="preserve"> not drop and continue</w:t>
      </w:r>
      <w:r w:rsidR="00EF43A0">
        <w:rPr>
          <w:rFonts w:eastAsiaTheme="majorEastAsia" w:cstheme="majorBidi"/>
          <w:color w:val="000000" w:themeColor="text1"/>
          <w:szCs w:val="32"/>
        </w:rPr>
        <w:t>s</w:t>
      </w:r>
      <w:r w:rsidRPr="006C29B5">
        <w:rPr>
          <w:rFonts w:eastAsiaTheme="majorEastAsia" w:cstheme="majorBidi"/>
          <w:color w:val="000000" w:themeColor="text1"/>
          <w:szCs w:val="32"/>
        </w:rPr>
        <w:t xml:space="preserve"> to be higher than the price of regular steel, then there is a possibility that this product will not be adopted because of the growing awareness of the environment. Therefore, Tata Steel should be gradually moving towards commerciali</w:t>
      </w:r>
      <w:r w:rsidR="00EF43A0">
        <w:rPr>
          <w:rFonts w:eastAsiaTheme="majorEastAsia" w:cstheme="majorBidi"/>
          <w:color w:val="000000" w:themeColor="text1"/>
          <w:szCs w:val="32"/>
        </w:rPr>
        <w:t>sation</w:t>
      </w:r>
      <w:r w:rsidRPr="006C29B5">
        <w:rPr>
          <w:rFonts w:eastAsiaTheme="majorEastAsia" w:cstheme="majorBidi"/>
          <w:color w:val="000000" w:themeColor="text1"/>
          <w:szCs w:val="32"/>
        </w:rPr>
        <w:t xml:space="preserve"> by introducing its products in industries like </w:t>
      </w:r>
      <w:r w:rsidR="00EF43A0">
        <w:rPr>
          <w:rFonts w:eastAsiaTheme="majorEastAsia" w:cstheme="majorBidi"/>
          <w:color w:val="000000" w:themeColor="text1"/>
          <w:szCs w:val="32"/>
        </w:rPr>
        <w:t xml:space="preserve">the </w:t>
      </w:r>
      <w:r w:rsidRPr="006C29B5">
        <w:rPr>
          <w:rFonts w:eastAsiaTheme="majorEastAsia" w:cstheme="majorBidi"/>
          <w:color w:val="000000" w:themeColor="text1"/>
          <w:szCs w:val="32"/>
        </w:rPr>
        <w:t>automobile industry, renewable energy infrastructure, and construction</w:t>
      </w:r>
      <w:r w:rsidR="00EF43A0">
        <w:rPr>
          <w:rFonts w:eastAsiaTheme="majorEastAsia" w:cstheme="majorBidi"/>
          <w:color w:val="000000" w:themeColor="text1"/>
          <w:szCs w:val="32"/>
        </w:rPr>
        <w:t>,</w:t>
      </w:r>
      <w:r w:rsidRPr="006C29B5">
        <w:rPr>
          <w:rFonts w:eastAsiaTheme="majorEastAsia" w:cstheme="majorBidi"/>
          <w:color w:val="000000" w:themeColor="text1"/>
          <w:szCs w:val="32"/>
        </w:rPr>
        <w:t xml:space="preserve"> </w:t>
      </w:r>
      <w:r w:rsidR="000E5F94">
        <w:rPr>
          <w:rFonts w:eastAsiaTheme="majorEastAsia" w:cstheme="majorBidi"/>
          <w:color w:val="000000" w:themeColor="text1"/>
          <w:szCs w:val="32"/>
        </w:rPr>
        <w:t>in</w:t>
      </w:r>
      <w:r w:rsidRPr="006C29B5">
        <w:rPr>
          <w:rFonts w:eastAsiaTheme="majorEastAsia" w:cstheme="majorBidi"/>
          <w:color w:val="000000" w:themeColor="text1"/>
          <w:szCs w:val="32"/>
        </w:rPr>
        <w:t xml:space="preserve"> which </w:t>
      </w:r>
      <w:r w:rsidR="00EF43A0">
        <w:rPr>
          <w:rFonts w:eastAsiaTheme="majorEastAsia" w:cstheme="majorBidi"/>
          <w:color w:val="000000" w:themeColor="text1"/>
          <w:szCs w:val="32"/>
        </w:rPr>
        <w:t xml:space="preserve">companies </w:t>
      </w:r>
      <w:r w:rsidRPr="006C29B5">
        <w:rPr>
          <w:rFonts w:eastAsiaTheme="majorEastAsia" w:cstheme="majorBidi"/>
          <w:color w:val="000000" w:themeColor="text1"/>
          <w:szCs w:val="32"/>
        </w:rPr>
        <w:t xml:space="preserve">procure their products on </w:t>
      </w:r>
      <w:r w:rsidR="00EF43A0">
        <w:rPr>
          <w:rFonts w:eastAsiaTheme="majorEastAsia" w:cstheme="majorBidi"/>
          <w:color w:val="000000" w:themeColor="text1"/>
          <w:szCs w:val="32"/>
        </w:rPr>
        <w:t xml:space="preserve">a </w:t>
      </w:r>
      <w:r w:rsidRPr="006C29B5">
        <w:rPr>
          <w:rFonts w:eastAsiaTheme="majorEastAsia" w:cstheme="majorBidi"/>
          <w:color w:val="000000" w:themeColor="text1"/>
          <w:szCs w:val="32"/>
        </w:rPr>
        <w:t xml:space="preserve">sustainability basis. </w:t>
      </w:r>
    </w:p>
    <w:p w14:paraId="54C51BC3" w14:textId="673B42F9" w:rsidR="006C29B5" w:rsidRPr="006C29B5" w:rsidRDefault="006C29B5" w:rsidP="006C29B5">
      <w:pPr>
        <w:rPr>
          <w:rFonts w:eastAsiaTheme="majorEastAsia" w:cstheme="majorBidi"/>
          <w:color w:val="000000" w:themeColor="text1"/>
          <w:szCs w:val="32"/>
        </w:rPr>
      </w:pPr>
      <w:r w:rsidRPr="006C29B5">
        <w:rPr>
          <w:rFonts w:eastAsiaTheme="majorEastAsia" w:cstheme="majorBidi"/>
          <w:color w:val="000000" w:themeColor="text1"/>
          <w:szCs w:val="32"/>
        </w:rPr>
        <w:t>Another advantage of this approach is the fact that it</w:t>
      </w:r>
      <w:r w:rsidR="000E5F94">
        <w:rPr>
          <w:rFonts w:eastAsiaTheme="majorEastAsia" w:cstheme="majorBidi"/>
          <w:color w:val="000000" w:themeColor="text1"/>
          <w:szCs w:val="32"/>
        </w:rPr>
        <w:t xml:space="preserve"> i</w:t>
      </w:r>
      <w:r w:rsidRPr="006C29B5">
        <w:rPr>
          <w:rFonts w:eastAsiaTheme="majorEastAsia" w:cstheme="majorBidi"/>
          <w:color w:val="000000" w:themeColor="text1"/>
          <w:szCs w:val="32"/>
        </w:rPr>
        <w:t xml:space="preserve">s recommended because of the experience that is gained by the competing companies. For instance, SSAB has </w:t>
      </w:r>
      <w:r w:rsidRPr="006C29B5">
        <w:rPr>
          <w:rFonts w:eastAsiaTheme="majorEastAsia" w:cstheme="majorBidi"/>
          <w:color w:val="000000" w:themeColor="text1"/>
          <w:szCs w:val="32"/>
        </w:rPr>
        <w:lastRenderedPageBreak/>
        <w:t>been one of the leading companies that went ahead and produced fossil</w:t>
      </w:r>
      <w:r w:rsidR="00EF43A0">
        <w:rPr>
          <w:rFonts w:eastAsiaTheme="majorEastAsia" w:cstheme="majorBidi"/>
          <w:color w:val="000000" w:themeColor="text1"/>
          <w:szCs w:val="32"/>
        </w:rPr>
        <w:t>-</w:t>
      </w:r>
      <w:r w:rsidRPr="006C29B5">
        <w:rPr>
          <w:rFonts w:eastAsiaTheme="majorEastAsia" w:cstheme="majorBidi"/>
          <w:color w:val="000000" w:themeColor="text1"/>
          <w:szCs w:val="32"/>
        </w:rPr>
        <w:t>free steel using hydrogen</w:t>
      </w:r>
      <w:r w:rsidR="00EF43A0">
        <w:rPr>
          <w:rFonts w:eastAsiaTheme="majorEastAsia" w:cstheme="majorBidi"/>
          <w:color w:val="000000" w:themeColor="text1"/>
          <w:szCs w:val="32"/>
        </w:rPr>
        <w:t>,</w:t>
      </w:r>
      <w:r w:rsidRPr="006C29B5">
        <w:rPr>
          <w:rFonts w:eastAsiaTheme="majorEastAsia" w:cstheme="majorBidi"/>
          <w:color w:val="000000" w:themeColor="text1"/>
          <w:szCs w:val="32"/>
        </w:rPr>
        <w:t xml:space="preserve"> which, however, was at high R&amp;D expense</w:t>
      </w:r>
      <w:r w:rsidR="00FD25A1">
        <w:rPr>
          <w:rFonts w:eastAsiaTheme="majorEastAsia" w:cstheme="majorBidi"/>
          <w:color w:val="000000" w:themeColor="text1"/>
          <w:szCs w:val="32"/>
        </w:rPr>
        <w:t xml:space="preserve"> (SSAB, 2026)</w:t>
      </w:r>
      <w:r w:rsidRPr="006C29B5">
        <w:rPr>
          <w:rFonts w:eastAsiaTheme="majorEastAsia" w:cstheme="majorBidi"/>
          <w:color w:val="000000" w:themeColor="text1"/>
          <w:szCs w:val="32"/>
        </w:rPr>
        <w:t xml:space="preserve">. </w:t>
      </w:r>
      <w:r w:rsidR="00B0580C">
        <w:rPr>
          <w:rFonts w:eastAsiaTheme="majorEastAsia" w:cstheme="majorBidi"/>
          <w:color w:val="000000" w:themeColor="text1"/>
          <w:szCs w:val="32"/>
        </w:rPr>
        <w:t xml:space="preserve">However, </w:t>
      </w:r>
      <w:r w:rsidR="00901CBE">
        <w:rPr>
          <w:rFonts w:eastAsiaTheme="majorEastAsia" w:cstheme="majorBidi"/>
          <w:color w:val="000000" w:themeColor="text1"/>
          <w:szCs w:val="32"/>
        </w:rPr>
        <w:t>i</w:t>
      </w:r>
      <w:r w:rsidRPr="006C29B5">
        <w:rPr>
          <w:rFonts w:eastAsiaTheme="majorEastAsia" w:cstheme="majorBidi"/>
          <w:color w:val="000000" w:themeColor="text1"/>
          <w:szCs w:val="32"/>
        </w:rPr>
        <w:t>n the case of ArcelorMittal</w:t>
      </w:r>
      <w:r w:rsidR="00B0580C">
        <w:rPr>
          <w:rFonts w:eastAsiaTheme="majorEastAsia" w:cstheme="majorBidi"/>
          <w:color w:val="000000" w:themeColor="text1"/>
          <w:szCs w:val="32"/>
        </w:rPr>
        <w:t>,</w:t>
      </w:r>
      <w:r w:rsidRPr="006C29B5">
        <w:rPr>
          <w:rFonts w:eastAsiaTheme="majorEastAsia" w:cstheme="majorBidi"/>
          <w:color w:val="000000" w:themeColor="text1"/>
          <w:szCs w:val="32"/>
        </w:rPr>
        <w:t xml:space="preserve"> the introduction of new low-carbon technologies has taken place gradually and in parallel, and improvements have been made to the existing processes, using the followership approach. </w:t>
      </w:r>
    </w:p>
    <w:p w14:paraId="0EB197A1" w14:textId="0787E947" w:rsidR="00D579EB" w:rsidRDefault="00D579EB" w:rsidP="00E233B8">
      <w:pPr>
        <w:pStyle w:val="Heading2"/>
        <w:rPr>
          <w:szCs w:val="32"/>
        </w:rPr>
      </w:pPr>
      <w:bookmarkStart w:id="5" w:name="_Toc235631223"/>
      <w:r>
        <w:t>Competitive Positioning, Implementation Recommendations and Risks</w:t>
      </w:r>
      <w:bookmarkEnd w:id="5"/>
    </w:p>
    <w:p w14:paraId="7192F8F5" w14:textId="25FDDCC3" w:rsidR="006C29B5" w:rsidRPr="006C29B5" w:rsidRDefault="00107155" w:rsidP="006C29B5">
      <w:pPr>
        <w:rPr>
          <w:rFonts w:eastAsiaTheme="majorEastAsia" w:cstheme="majorBidi"/>
          <w:color w:val="000000" w:themeColor="text1"/>
          <w:szCs w:val="32"/>
        </w:rPr>
      </w:pPr>
      <w:r>
        <w:rPr>
          <w:shd w:val="clear" w:color="auto" w:fill="FFFFFF"/>
        </w:rPr>
        <w:t xml:space="preserve">According to </w:t>
      </w:r>
      <w:proofErr w:type="spellStart"/>
      <w:r>
        <w:rPr>
          <w:shd w:val="clear" w:color="auto" w:fill="FFFFFF"/>
        </w:rPr>
        <w:t>Jerab</w:t>
      </w:r>
      <w:proofErr w:type="spellEnd"/>
      <w:r>
        <w:rPr>
          <w:shd w:val="clear" w:color="auto" w:fill="FFFFFF"/>
        </w:rPr>
        <w:t xml:space="preserve"> and Mabrouk, (2023), </w:t>
      </w:r>
      <w:r>
        <w:rPr>
          <w:rFonts w:eastAsiaTheme="majorEastAsia" w:cstheme="majorBidi"/>
          <w:color w:val="000000" w:themeColor="text1"/>
          <w:szCs w:val="32"/>
        </w:rPr>
        <w:t>a</w:t>
      </w:r>
      <w:r w:rsidR="006C29B5" w:rsidRPr="006C29B5">
        <w:rPr>
          <w:rFonts w:eastAsiaTheme="majorEastAsia" w:cstheme="majorBidi"/>
          <w:color w:val="000000" w:themeColor="text1"/>
          <w:szCs w:val="32"/>
        </w:rPr>
        <w:t xml:space="preserve">dopting the product development strategy will assist Tata Steel to enhance </w:t>
      </w:r>
      <w:r w:rsidR="00EF43A0">
        <w:rPr>
          <w:rFonts w:eastAsiaTheme="majorEastAsia" w:cstheme="majorBidi"/>
          <w:color w:val="000000" w:themeColor="text1"/>
          <w:szCs w:val="32"/>
        </w:rPr>
        <w:t>its</w:t>
      </w:r>
      <w:r w:rsidR="006C29B5" w:rsidRPr="006C29B5">
        <w:rPr>
          <w:rFonts w:eastAsiaTheme="majorEastAsia" w:cstheme="majorBidi"/>
          <w:color w:val="000000" w:themeColor="text1"/>
          <w:szCs w:val="32"/>
        </w:rPr>
        <w:t xml:space="preserve"> competitive position by differentiating </w:t>
      </w:r>
      <w:r w:rsidR="00EF43A0">
        <w:rPr>
          <w:rFonts w:eastAsiaTheme="majorEastAsia" w:cstheme="majorBidi"/>
          <w:color w:val="000000" w:themeColor="text1"/>
          <w:szCs w:val="32"/>
        </w:rPr>
        <w:t>its</w:t>
      </w:r>
      <w:r w:rsidR="006C29B5" w:rsidRPr="006C29B5">
        <w:rPr>
          <w:rFonts w:eastAsiaTheme="majorEastAsia" w:cstheme="majorBidi"/>
          <w:color w:val="000000" w:themeColor="text1"/>
          <w:szCs w:val="32"/>
        </w:rPr>
        <w:t xml:space="preserve"> product based on the principles of sustainability instead of competing on price. The differentiation strategy will be the one that the organi</w:t>
      </w:r>
      <w:r w:rsidR="00EF43A0">
        <w:rPr>
          <w:rFonts w:eastAsiaTheme="majorEastAsia" w:cstheme="majorBidi"/>
          <w:color w:val="000000" w:themeColor="text1"/>
          <w:szCs w:val="32"/>
        </w:rPr>
        <w:t>s</w:t>
      </w:r>
      <w:r w:rsidR="006C29B5" w:rsidRPr="006C29B5">
        <w:rPr>
          <w:rFonts w:eastAsiaTheme="majorEastAsia" w:cstheme="majorBidi"/>
          <w:color w:val="000000" w:themeColor="text1"/>
          <w:szCs w:val="32"/>
        </w:rPr>
        <w:t>ation can offer that differentiates it in a way that customers will perceive as providing more value. Because of the pressure from their own customers, shareholders and regulatory bodies on their companies to reduce emissions through their value chains, low</w:t>
      </w:r>
      <w:r w:rsidR="00EF43A0">
        <w:rPr>
          <w:rFonts w:eastAsiaTheme="majorEastAsia" w:cstheme="majorBidi"/>
          <w:color w:val="000000" w:themeColor="text1"/>
          <w:szCs w:val="32"/>
        </w:rPr>
        <w:t>-</w:t>
      </w:r>
      <w:r w:rsidR="006C29B5" w:rsidRPr="006C29B5">
        <w:rPr>
          <w:rFonts w:eastAsiaTheme="majorEastAsia" w:cstheme="majorBidi"/>
          <w:color w:val="000000" w:themeColor="text1"/>
          <w:szCs w:val="32"/>
        </w:rPr>
        <w:t>carbon products are increasingly becoming an opportunity for differentiation for the steel</w:t>
      </w:r>
      <w:r w:rsidR="00EF43A0">
        <w:rPr>
          <w:rFonts w:eastAsiaTheme="majorEastAsia" w:cstheme="majorBidi"/>
          <w:color w:val="000000" w:themeColor="text1"/>
          <w:szCs w:val="32"/>
        </w:rPr>
        <w:t>-</w:t>
      </w:r>
      <w:r w:rsidR="006C29B5" w:rsidRPr="006C29B5">
        <w:rPr>
          <w:rFonts w:eastAsiaTheme="majorEastAsia" w:cstheme="majorBidi"/>
          <w:color w:val="000000" w:themeColor="text1"/>
          <w:szCs w:val="32"/>
        </w:rPr>
        <w:t>producing companies. Therefore, Tata Steel has to develop a strategy to become a quality low</w:t>
      </w:r>
      <w:r w:rsidR="00EF43A0">
        <w:rPr>
          <w:rFonts w:eastAsiaTheme="majorEastAsia" w:cstheme="majorBidi"/>
          <w:color w:val="000000" w:themeColor="text1"/>
          <w:szCs w:val="32"/>
        </w:rPr>
        <w:t>-</w:t>
      </w:r>
      <w:r w:rsidR="006C29B5" w:rsidRPr="006C29B5">
        <w:rPr>
          <w:rFonts w:eastAsiaTheme="majorEastAsia" w:cstheme="majorBidi"/>
          <w:color w:val="000000" w:themeColor="text1"/>
          <w:szCs w:val="32"/>
        </w:rPr>
        <w:t>carbon steel manufacturer.</w:t>
      </w:r>
    </w:p>
    <w:p w14:paraId="2E65BEF3" w14:textId="28991C37" w:rsidR="006C29B5" w:rsidRDefault="006C29B5" w:rsidP="006C29B5">
      <w:pPr>
        <w:rPr>
          <w:rFonts w:eastAsiaTheme="majorEastAsia" w:cstheme="majorBidi"/>
          <w:color w:val="000000" w:themeColor="text1"/>
          <w:szCs w:val="32"/>
        </w:rPr>
      </w:pPr>
      <w:r w:rsidRPr="006C29B5">
        <w:rPr>
          <w:rFonts w:eastAsiaTheme="majorEastAsia" w:cstheme="majorBidi"/>
          <w:color w:val="000000" w:themeColor="text1"/>
          <w:szCs w:val="32"/>
        </w:rPr>
        <w:t xml:space="preserve">Alternatively, competitive advantage could be achieved </w:t>
      </w:r>
      <w:r w:rsidR="00F208DA">
        <w:rPr>
          <w:rFonts w:eastAsiaTheme="majorEastAsia" w:cstheme="majorBidi"/>
          <w:color w:val="000000" w:themeColor="text1"/>
          <w:szCs w:val="32"/>
        </w:rPr>
        <w:t>through</w:t>
      </w:r>
      <w:r w:rsidRPr="006C29B5">
        <w:rPr>
          <w:rFonts w:eastAsiaTheme="majorEastAsia" w:cstheme="majorBidi"/>
          <w:color w:val="000000" w:themeColor="text1"/>
          <w:szCs w:val="32"/>
        </w:rPr>
        <w:t xml:space="preserve"> innovations continuously being introduced</w:t>
      </w:r>
      <w:r w:rsidR="00A05567">
        <w:rPr>
          <w:rFonts w:eastAsiaTheme="majorEastAsia" w:cstheme="majorBidi"/>
          <w:color w:val="000000" w:themeColor="text1"/>
          <w:szCs w:val="32"/>
        </w:rPr>
        <w:t xml:space="preserve"> (</w:t>
      </w:r>
      <w:r w:rsidR="00A05567">
        <w:rPr>
          <w:shd w:val="clear" w:color="auto" w:fill="FFFFFF"/>
        </w:rPr>
        <w:t>Farida and Setiawan, 2022)</w:t>
      </w:r>
      <w:r w:rsidRPr="006C29B5">
        <w:rPr>
          <w:rFonts w:eastAsiaTheme="majorEastAsia" w:cstheme="majorBidi"/>
          <w:color w:val="000000" w:themeColor="text1"/>
          <w:szCs w:val="32"/>
        </w:rPr>
        <w:t xml:space="preserve">. Tata Steel </w:t>
      </w:r>
      <w:r w:rsidR="00220581">
        <w:rPr>
          <w:rFonts w:eastAsiaTheme="majorEastAsia" w:cstheme="majorBidi"/>
          <w:color w:val="000000" w:themeColor="text1"/>
          <w:szCs w:val="32"/>
        </w:rPr>
        <w:t>can</w:t>
      </w:r>
      <w:r w:rsidRPr="006C29B5">
        <w:rPr>
          <w:rFonts w:eastAsiaTheme="majorEastAsia" w:cstheme="majorBidi"/>
          <w:color w:val="000000" w:themeColor="text1"/>
          <w:szCs w:val="32"/>
        </w:rPr>
        <w:t xml:space="preserve"> keep investing in electric arc furnace technology, utili</w:t>
      </w:r>
      <w:r w:rsidR="00EF43A0">
        <w:rPr>
          <w:rFonts w:eastAsiaTheme="majorEastAsia" w:cstheme="majorBidi"/>
          <w:color w:val="000000" w:themeColor="text1"/>
          <w:szCs w:val="32"/>
        </w:rPr>
        <w:t>s</w:t>
      </w:r>
      <w:r w:rsidRPr="006C29B5">
        <w:rPr>
          <w:rFonts w:eastAsiaTheme="majorEastAsia" w:cstheme="majorBidi"/>
          <w:color w:val="000000" w:themeColor="text1"/>
          <w:szCs w:val="32"/>
        </w:rPr>
        <w:t>ation of renewable energy and production of steel with hydrogen to maximi</w:t>
      </w:r>
      <w:r w:rsidR="00EF43A0">
        <w:rPr>
          <w:rFonts w:eastAsiaTheme="majorEastAsia" w:cstheme="majorBidi"/>
          <w:color w:val="000000" w:themeColor="text1"/>
          <w:szCs w:val="32"/>
        </w:rPr>
        <w:t>s</w:t>
      </w:r>
      <w:r w:rsidRPr="006C29B5">
        <w:rPr>
          <w:rFonts w:eastAsiaTheme="majorEastAsia" w:cstheme="majorBidi"/>
          <w:color w:val="000000" w:themeColor="text1"/>
          <w:szCs w:val="32"/>
        </w:rPr>
        <w:t xml:space="preserve">e this result in the most environmentally friendly way. </w:t>
      </w:r>
      <w:r w:rsidR="00FF377E">
        <w:t xml:space="preserve">Figure </w:t>
      </w:r>
      <w:r w:rsidR="00466CCE">
        <w:t>7</w:t>
      </w:r>
      <w:r w:rsidR="00FF377E">
        <w:t xml:space="preserve"> supports the projection that global renewable energy capacity will expand by approximately 4,600 GW between 2025 and 2030 </w:t>
      </w:r>
      <w:r w:rsidR="00D7730F">
        <w:rPr>
          <w:rFonts w:eastAsiaTheme="majorEastAsia" w:cstheme="majorBidi"/>
          <w:color w:val="000000" w:themeColor="text1"/>
          <w:szCs w:val="32"/>
        </w:rPr>
        <w:t xml:space="preserve">(IEA, 2025). </w:t>
      </w:r>
    </w:p>
    <w:p w14:paraId="37E7CF95" w14:textId="77777777" w:rsidR="00844DBE" w:rsidRDefault="001A7A05" w:rsidP="00844DBE">
      <w:pPr>
        <w:keepNext/>
      </w:pPr>
      <w:r w:rsidRPr="001A7A05">
        <w:rPr>
          <w:rFonts w:eastAsiaTheme="majorEastAsia" w:cstheme="majorBidi"/>
          <w:noProof/>
          <w:color w:val="000000" w:themeColor="text1"/>
          <w:szCs w:val="32"/>
        </w:rPr>
        <w:lastRenderedPageBreak/>
        <w:drawing>
          <wp:inline distT="0" distB="0" distL="0" distR="0" wp14:anchorId="25D19EF0" wp14:editId="0FBB75CC">
            <wp:extent cx="5731510" cy="2713990"/>
            <wp:effectExtent l="0" t="0" r="0" b="0"/>
            <wp:docPr id="2275131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513168" name=""/>
                    <pic:cNvPicPr/>
                  </pic:nvPicPr>
                  <pic:blipFill>
                    <a:blip r:embed="rId16"/>
                    <a:stretch>
                      <a:fillRect/>
                    </a:stretch>
                  </pic:blipFill>
                  <pic:spPr>
                    <a:xfrm>
                      <a:off x="0" y="0"/>
                      <a:ext cx="5731510" cy="2713990"/>
                    </a:xfrm>
                    <a:prstGeom prst="rect">
                      <a:avLst/>
                    </a:prstGeom>
                  </pic:spPr>
                </pic:pic>
              </a:graphicData>
            </a:graphic>
          </wp:inline>
        </w:drawing>
      </w:r>
    </w:p>
    <w:p w14:paraId="6916C67C" w14:textId="70A268E4" w:rsidR="001A7A05" w:rsidRPr="00844DBE" w:rsidRDefault="00844DBE" w:rsidP="00844DBE">
      <w:pPr>
        <w:jc w:val="center"/>
        <w:rPr>
          <w:b/>
          <w:bCs/>
          <w:i/>
          <w:iCs/>
        </w:rPr>
      </w:pPr>
      <w:r w:rsidRPr="00844DBE">
        <w:rPr>
          <w:b/>
          <w:bCs/>
          <w:i/>
          <w:iCs/>
        </w:rPr>
        <w:t xml:space="preserve">Figure </w:t>
      </w:r>
      <w:r w:rsidRPr="00844DBE">
        <w:rPr>
          <w:b/>
          <w:bCs/>
          <w:i/>
          <w:iCs/>
        </w:rPr>
        <w:fldChar w:fldCharType="begin"/>
      </w:r>
      <w:r w:rsidRPr="00844DBE">
        <w:rPr>
          <w:b/>
          <w:bCs/>
          <w:i/>
          <w:iCs/>
        </w:rPr>
        <w:instrText xml:space="preserve"> SEQ Figure \* ARABIC </w:instrText>
      </w:r>
      <w:r w:rsidRPr="00844DBE">
        <w:rPr>
          <w:b/>
          <w:bCs/>
          <w:i/>
          <w:iCs/>
        </w:rPr>
        <w:fldChar w:fldCharType="separate"/>
      </w:r>
      <w:r w:rsidRPr="00844DBE">
        <w:rPr>
          <w:b/>
          <w:bCs/>
          <w:i/>
          <w:iCs/>
          <w:noProof/>
        </w:rPr>
        <w:t>7</w:t>
      </w:r>
      <w:r w:rsidRPr="00844DBE">
        <w:rPr>
          <w:b/>
          <w:bCs/>
          <w:i/>
          <w:iCs/>
        </w:rPr>
        <w:fldChar w:fldCharType="end"/>
      </w:r>
      <w:r w:rsidRPr="00844DBE">
        <w:rPr>
          <w:b/>
          <w:bCs/>
          <w:i/>
          <w:iCs/>
        </w:rPr>
        <w:t>: Renewables 2024: Analysis and Forecast to 2030</w:t>
      </w:r>
    </w:p>
    <w:p w14:paraId="4F527F47" w14:textId="50A71D19" w:rsidR="00844DBE" w:rsidRPr="00844DBE" w:rsidRDefault="00844DBE" w:rsidP="00844DBE">
      <w:pPr>
        <w:jc w:val="center"/>
        <w:rPr>
          <w:b/>
          <w:bCs/>
          <w:i/>
          <w:iCs/>
        </w:rPr>
      </w:pPr>
      <w:r w:rsidRPr="00844DBE">
        <w:rPr>
          <w:b/>
          <w:bCs/>
          <w:i/>
          <w:iCs/>
        </w:rPr>
        <w:t>(Source: IEA, 2025)</w:t>
      </w:r>
    </w:p>
    <w:p w14:paraId="104A1808" w14:textId="447BA8B0" w:rsidR="00A95735" w:rsidRPr="00A95735" w:rsidRDefault="006C29B5" w:rsidP="002D29BA">
      <w:pPr>
        <w:rPr>
          <w:shd w:val="clear" w:color="auto" w:fill="FFFFFF"/>
        </w:rPr>
      </w:pPr>
      <w:r w:rsidRPr="006C29B5">
        <w:rPr>
          <w:rFonts w:eastAsiaTheme="majorEastAsia" w:cstheme="majorBidi"/>
          <w:color w:val="000000" w:themeColor="text1"/>
          <w:szCs w:val="32"/>
        </w:rPr>
        <w:t xml:space="preserve">If the above strategy is to be effective, Tata Steel needs to have a process of phased implementation of the strategy. To begin with, Tata Steel </w:t>
      </w:r>
      <w:r w:rsidR="00B35A78">
        <w:rPr>
          <w:rFonts w:eastAsiaTheme="majorEastAsia" w:cstheme="majorBidi"/>
          <w:color w:val="000000" w:themeColor="text1"/>
          <w:szCs w:val="32"/>
        </w:rPr>
        <w:t>can</w:t>
      </w:r>
      <w:r w:rsidRPr="006C29B5">
        <w:rPr>
          <w:rFonts w:eastAsiaTheme="majorEastAsia" w:cstheme="majorBidi"/>
          <w:color w:val="000000" w:themeColor="text1"/>
          <w:szCs w:val="32"/>
        </w:rPr>
        <w:t xml:space="preserve"> concentrate on making low-carbon steel products for sectors which are highly committed to sustainable development. This makes products more likely to be accepted since environmental performance is a more important factor in the purchasing decision. Secondly, Tata Steel </w:t>
      </w:r>
      <w:r w:rsidR="00742AE1">
        <w:rPr>
          <w:rFonts w:eastAsiaTheme="majorEastAsia" w:cstheme="majorBidi"/>
          <w:color w:val="000000" w:themeColor="text1"/>
          <w:szCs w:val="32"/>
        </w:rPr>
        <w:t>can</w:t>
      </w:r>
      <w:r w:rsidRPr="006C29B5">
        <w:rPr>
          <w:rFonts w:eastAsiaTheme="majorEastAsia" w:cstheme="majorBidi"/>
          <w:color w:val="000000" w:themeColor="text1"/>
          <w:szCs w:val="32"/>
        </w:rPr>
        <w:t xml:space="preserve"> strengthen its collaboration with technology partners, research institutes and Renewable Energy (RE) companies to promote innovations and minimi</w:t>
      </w:r>
      <w:r w:rsidR="00EF43A0">
        <w:rPr>
          <w:rFonts w:eastAsiaTheme="majorEastAsia" w:cstheme="majorBidi"/>
          <w:color w:val="000000" w:themeColor="text1"/>
          <w:szCs w:val="32"/>
        </w:rPr>
        <w:t>s</w:t>
      </w:r>
      <w:r w:rsidRPr="006C29B5">
        <w:rPr>
          <w:rFonts w:eastAsiaTheme="majorEastAsia" w:cstheme="majorBidi"/>
          <w:color w:val="000000" w:themeColor="text1"/>
          <w:szCs w:val="32"/>
        </w:rPr>
        <w:t>e development expenses. Lastly, Tata Steel needs to boost its sustainability marketing by communicating carbon savings via a certification process and environmental reporting</w:t>
      </w:r>
      <w:r w:rsidR="006D279E">
        <w:rPr>
          <w:rFonts w:eastAsiaTheme="majorEastAsia" w:cstheme="majorBidi"/>
          <w:color w:val="000000" w:themeColor="text1"/>
          <w:szCs w:val="32"/>
        </w:rPr>
        <w:t xml:space="preserve"> (</w:t>
      </w:r>
      <w:r w:rsidR="006D279E">
        <w:rPr>
          <w:shd w:val="clear" w:color="auto" w:fill="FFFFFF"/>
        </w:rPr>
        <w:t>Shaik, et al., 2025).</w:t>
      </w:r>
    </w:p>
    <w:tbl>
      <w:tblPr>
        <w:tblStyle w:val="TableGrid"/>
        <w:tblW w:w="0" w:type="auto"/>
        <w:tblLook w:val="04A0" w:firstRow="1" w:lastRow="0" w:firstColumn="1" w:lastColumn="0" w:noHBand="0" w:noVBand="1"/>
      </w:tblPr>
      <w:tblGrid>
        <w:gridCol w:w="1724"/>
        <w:gridCol w:w="3771"/>
        <w:gridCol w:w="3747"/>
      </w:tblGrid>
      <w:tr w:rsidR="00604C84" w14:paraId="56FEFC76" w14:textId="77777777" w:rsidTr="00ED2F23">
        <w:tc>
          <w:tcPr>
            <w:tcW w:w="1724" w:type="dxa"/>
            <w:shd w:val="clear" w:color="auto" w:fill="C5E0B3" w:themeFill="accent6" w:themeFillTint="66"/>
            <w:vAlign w:val="center"/>
          </w:tcPr>
          <w:p w14:paraId="46D3CDD5" w14:textId="6E223071" w:rsidR="00604C84" w:rsidRPr="00604C84" w:rsidRDefault="00604C84" w:rsidP="00C95745">
            <w:pPr>
              <w:spacing w:line="360" w:lineRule="auto"/>
              <w:jc w:val="center"/>
              <w:rPr>
                <w:rFonts w:eastAsiaTheme="majorEastAsia" w:cstheme="majorBidi"/>
                <w:i/>
                <w:iCs/>
                <w:color w:val="000000" w:themeColor="text1"/>
                <w:szCs w:val="32"/>
              </w:rPr>
            </w:pPr>
            <w:r w:rsidRPr="00604C84">
              <w:rPr>
                <w:b/>
                <w:bCs/>
                <w:i/>
                <w:iCs/>
              </w:rPr>
              <w:t>Ansoff Strategy</w:t>
            </w:r>
          </w:p>
        </w:tc>
        <w:tc>
          <w:tcPr>
            <w:tcW w:w="3771" w:type="dxa"/>
            <w:shd w:val="clear" w:color="auto" w:fill="C5E0B3" w:themeFill="accent6" w:themeFillTint="66"/>
            <w:vAlign w:val="center"/>
          </w:tcPr>
          <w:p w14:paraId="468C4EED" w14:textId="30A9427B" w:rsidR="00604C84" w:rsidRPr="00604C84" w:rsidRDefault="00604C84" w:rsidP="00C95745">
            <w:pPr>
              <w:spacing w:line="360" w:lineRule="auto"/>
              <w:jc w:val="center"/>
              <w:rPr>
                <w:rFonts w:eastAsiaTheme="majorEastAsia" w:cstheme="majorBidi"/>
                <w:i/>
                <w:iCs/>
                <w:color w:val="000000" w:themeColor="text1"/>
                <w:szCs w:val="32"/>
              </w:rPr>
            </w:pPr>
            <w:r w:rsidRPr="00604C84">
              <w:rPr>
                <w:b/>
                <w:bCs/>
                <w:i/>
                <w:iCs/>
              </w:rPr>
              <w:t>Recommendation for Tata Steel</w:t>
            </w:r>
          </w:p>
        </w:tc>
        <w:tc>
          <w:tcPr>
            <w:tcW w:w="3747" w:type="dxa"/>
            <w:shd w:val="clear" w:color="auto" w:fill="C5E0B3" w:themeFill="accent6" w:themeFillTint="66"/>
            <w:vAlign w:val="center"/>
          </w:tcPr>
          <w:p w14:paraId="0FBCBF2E" w14:textId="68684405" w:rsidR="00604C84" w:rsidRPr="00604C84" w:rsidRDefault="00604C84" w:rsidP="00C95745">
            <w:pPr>
              <w:spacing w:line="360" w:lineRule="auto"/>
              <w:jc w:val="center"/>
              <w:rPr>
                <w:rFonts w:eastAsiaTheme="majorEastAsia" w:cstheme="majorBidi"/>
                <w:i/>
                <w:iCs/>
                <w:color w:val="000000" w:themeColor="text1"/>
                <w:szCs w:val="32"/>
              </w:rPr>
            </w:pPr>
            <w:r w:rsidRPr="00604C84">
              <w:rPr>
                <w:b/>
                <w:bCs/>
                <w:i/>
                <w:iCs/>
              </w:rPr>
              <w:t>Expected Competitive Advantage</w:t>
            </w:r>
          </w:p>
        </w:tc>
      </w:tr>
      <w:tr w:rsidR="00604C84" w14:paraId="2C3DFE29" w14:textId="77777777" w:rsidTr="00ED2F23">
        <w:tc>
          <w:tcPr>
            <w:tcW w:w="1724" w:type="dxa"/>
            <w:shd w:val="clear" w:color="auto" w:fill="E2EFD9" w:themeFill="accent6" w:themeFillTint="33"/>
            <w:vAlign w:val="center"/>
          </w:tcPr>
          <w:p w14:paraId="0F280FEA" w14:textId="03065DC5" w:rsidR="00604C84" w:rsidRDefault="00604C84" w:rsidP="00C95745">
            <w:pPr>
              <w:spacing w:line="360" w:lineRule="auto"/>
              <w:jc w:val="center"/>
              <w:rPr>
                <w:rFonts w:eastAsiaTheme="majorEastAsia" w:cstheme="majorBidi"/>
                <w:color w:val="000000" w:themeColor="text1"/>
                <w:szCs w:val="32"/>
              </w:rPr>
            </w:pPr>
            <w:r>
              <w:rPr>
                <w:rStyle w:val="Strong"/>
              </w:rPr>
              <w:t>Product Development</w:t>
            </w:r>
          </w:p>
        </w:tc>
        <w:tc>
          <w:tcPr>
            <w:tcW w:w="3771" w:type="dxa"/>
            <w:shd w:val="clear" w:color="auto" w:fill="E2EFD9" w:themeFill="accent6" w:themeFillTint="33"/>
            <w:vAlign w:val="center"/>
          </w:tcPr>
          <w:p w14:paraId="38021331" w14:textId="77777777" w:rsidR="009979E8" w:rsidRDefault="009979E8" w:rsidP="00C95745">
            <w:pPr>
              <w:spacing w:line="360" w:lineRule="auto"/>
            </w:pPr>
            <w:r>
              <w:t>Continue to work on and market reduced carbon steel products to current industrial customers.</w:t>
            </w:r>
          </w:p>
          <w:p w14:paraId="0EF73DB5" w14:textId="4E4D0ADA" w:rsidR="00604C84" w:rsidRDefault="00604C84" w:rsidP="00C95745">
            <w:pPr>
              <w:spacing w:line="360" w:lineRule="auto"/>
              <w:rPr>
                <w:rFonts w:eastAsiaTheme="majorEastAsia" w:cstheme="majorBidi"/>
                <w:color w:val="000000" w:themeColor="text1"/>
                <w:szCs w:val="32"/>
              </w:rPr>
            </w:pPr>
          </w:p>
        </w:tc>
        <w:tc>
          <w:tcPr>
            <w:tcW w:w="3747" w:type="dxa"/>
            <w:shd w:val="clear" w:color="auto" w:fill="E2EFD9" w:themeFill="accent6" w:themeFillTint="33"/>
            <w:vAlign w:val="center"/>
          </w:tcPr>
          <w:p w14:paraId="3E06F6FC" w14:textId="757873FA" w:rsidR="00604C84" w:rsidRPr="00ED2F23" w:rsidRDefault="00ED2F23" w:rsidP="00C95745">
            <w:pPr>
              <w:spacing w:line="360" w:lineRule="auto"/>
            </w:pPr>
            <w:r>
              <w:t>Product differentiation, better relationships with customers, sustainability leadership and long-term market competitiveness.</w:t>
            </w:r>
          </w:p>
        </w:tc>
      </w:tr>
    </w:tbl>
    <w:p w14:paraId="082AF224" w14:textId="3E66A793" w:rsidR="00604C84" w:rsidRDefault="002D29BA" w:rsidP="002D29BA">
      <w:pPr>
        <w:jc w:val="center"/>
        <w:rPr>
          <w:b/>
          <w:bCs/>
          <w:i/>
          <w:iCs/>
        </w:rPr>
      </w:pPr>
      <w:r w:rsidRPr="002D29BA">
        <w:rPr>
          <w:b/>
          <w:bCs/>
          <w:i/>
          <w:iCs/>
        </w:rPr>
        <w:t xml:space="preserve">Table </w:t>
      </w:r>
      <w:r w:rsidRPr="002D29BA">
        <w:rPr>
          <w:b/>
          <w:bCs/>
          <w:i/>
          <w:iCs/>
        </w:rPr>
        <w:fldChar w:fldCharType="begin"/>
      </w:r>
      <w:r w:rsidRPr="002D29BA">
        <w:rPr>
          <w:b/>
          <w:bCs/>
          <w:i/>
          <w:iCs/>
        </w:rPr>
        <w:instrText xml:space="preserve"> SEQ Table \* ARABIC </w:instrText>
      </w:r>
      <w:r w:rsidRPr="002D29BA">
        <w:rPr>
          <w:b/>
          <w:bCs/>
          <w:i/>
          <w:iCs/>
        </w:rPr>
        <w:fldChar w:fldCharType="separate"/>
      </w:r>
      <w:r w:rsidRPr="002D29BA">
        <w:rPr>
          <w:b/>
          <w:bCs/>
          <w:i/>
          <w:iCs/>
          <w:noProof/>
        </w:rPr>
        <w:t>2</w:t>
      </w:r>
      <w:r w:rsidRPr="002D29BA">
        <w:rPr>
          <w:b/>
          <w:bCs/>
          <w:i/>
          <w:iCs/>
        </w:rPr>
        <w:fldChar w:fldCharType="end"/>
      </w:r>
      <w:r w:rsidRPr="002D29BA">
        <w:rPr>
          <w:b/>
          <w:bCs/>
          <w:i/>
          <w:iCs/>
        </w:rPr>
        <w:t>:</w:t>
      </w:r>
      <w:r w:rsidR="00EF43A0">
        <w:rPr>
          <w:b/>
          <w:bCs/>
          <w:i/>
          <w:iCs/>
        </w:rPr>
        <w:t xml:space="preserve"> </w:t>
      </w:r>
      <w:r w:rsidRPr="002D29BA">
        <w:rPr>
          <w:b/>
          <w:bCs/>
          <w:i/>
          <w:iCs/>
        </w:rPr>
        <w:t>Recommended Strategic Growth Approach for Tata Steel</w:t>
      </w:r>
    </w:p>
    <w:p w14:paraId="0A034CC1" w14:textId="25F0C8A4" w:rsidR="00A95735" w:rsidRDefault="00A95735" w:rsidP="00A95735">
      <w:r>
        <w:lastRenderedPageBreak/>
        <w:t>But some of the risks may affect the successful implementation of this strategy. For instance, development of low-carbon steel will involve great financial costs, as well as the costs related to new technologies, which are currently too costly and unproven. In addition, customers' demand for high-cost green steel products may be lower than the expected consumption rate, resulting in low short-term profitability. Lastly, there is a possibility of a delayed transformation due to regulatory adjustments, varying energy costs and a lack of renewable energy resources (</w:t>
      </w:r>
      <w:proofErr w:type="spellStart"/>
      <w:r>
        <w:t>Olabi</w:t>
      </w:r>
      <w:proofErr w:type="spellEnd"/>
      <w:r>
        <w:t>, et al., 2023). The above-listed threats prove the idea that innovation is not enough to gain a competitive advantage.</w:t>
      </w:r>
    </w:p>
    <w:p w14:paraId="2228D0A4" w14:textId="603AA22C" w:rsidR="00A95735" w:rsidRDefault="00EF43A0" w:rsidP="00A95735">
      <w:r>
        <w:t>T</w:t>
      </w:r>
      <w:r w:rsidR="00A95735">
        <w:t xml:space="preserve">o avoid the identified threats, Tata Steel </w:t>
      </w:r>
      <w:r w:rsidR="00444C14">
        <w:t>can</w:t>
      </w:r>
      <w:r w:rsidR="00A95735">
        <w:t xml:space="preserve"> conduct investments step by step, constantly monitor customers' needs and retain flexibility. This will enable the company to make strides towards gaining a competitive edge despite financial and technological challenges. To prevent these issues, Tata Steel </w:t>
      </w:r>
      <w:r w:rsidR="00444C14">
        <w:t>can</w:t>
      </w:r>
      <w:r w:rsidR="00A95735">
        <w:t xml:space="preserve"> make a gradual investment and keep </w:t>
      </w:r>
      <w:r w:rsidR="00440851">
        <w:t>a check</w:t>
      </w:r>
      <w:r w:rsidR="00A95735">
        <w:t xml:space="preserve"> on market demand. This will give Tata Steel a competitive edge even amidst all the uncertainties that exist, in terms of finances and technology. It will allow Tata Steel to have a competitive edge by innovating in products and sustainable marketing strategies.</w:t>
      </w:r>
    </w:p>
    <w:p w14:paraId="5077E213" w14:textId="77777777" w:rsidR="00A95735" w:rsidRPr="002D29BA" w:rsidRDefault="00A95735" w:rsidP="00A95735"/>
    <w:p w14:paraId="5715F73D" w14:textId="77777777" w:rsidR="00E142FD" w:rsidRPr="002D29BA" w:rsidRDefault="00E142FD" w:rsidP="002D29BA">
      <w:pPr>
        <w:jc w:val="center"/>
        <w:rPr>
          <w:rFonts w:eastAsiaTheme="majorEastAsia" w:cstheme="majorBidi"/>
          <w:b/>
          <w:bCs/>
          <w:i/>
          <w:iCs/>
          <w:color w:val="000000" w:themeColor="text1"/>
          <w:szCs w:val="32"/>
        </w:rPr>
      </w:pPr>
      <w:r w:rsidRPr="002D29BA">
        <w:rPr>
          <w:rFonts w:eastAsiaTheme="majorEastAsia" w:cstheme="majorBidi"/>
          <w:b/>
          <w:bCs/>
          <w:i/>
          <w:iCs/>
          <w:color w:val="000000" w:themeColor="text1"/>
          <w:szCs w:val="32"/>
        </w:rPr>
        <w:br w:type="page"/>
      </w:r>
    </w:p>
    <w:p w14:paraId="493FB555" w14:textId="193E0687" w:rsidR="0076762C" w:rsidRDefault="00E142FD" w:rsidP="00E142FD">
      <w:pPr>
        <w:pStyle w:val="Heading1"/>
      </w:pPr>
      <w:bookmarkStart w:id="6" w:name="_Toc235631224"/>
      <w:r w:rsidRPr="00E142FD">
        <w:lastRenderedPageBreak/>
        <w:t>Task 3: Critical Reflection on AI Usage</w:t>
      </w:r>
      <w:bookmarkEnd w:id="6"/>
    </w:p>
    <w:p w14:paraId="34D991D6" w14:textId="46803C67" w:rsidR="00571C61" w:rsidRDefault="00D170AF" w:rsidP="00571C61">
      <w:r>
        <w:t>T</w:t>
      </w:r>
      <w:r w:rsidR="00571C61">
        <w:t xml:space="preserve">he use of AI </w:t>
      </w:r>
      <w:r w:rsidR="005B7F42">
        <w:t>is to</w:t>
      </w:r>
      <w:r w:rsidR="00571C61">
        <w:t xml:space="preserve"> brainstorm ideas</w:t>
      </w:r>
      <w:r w:rsidR="00EF43A0">
        <w:t xml:space="preserve"> and</w:t>
      </w:r>
      <w:r w:rsidR="00571C61">
        <w:t xml:space="preserve"> enhance and organi</w:t>
      </w:r>
      <w:r w:rsidR="00EF43A0">
        <w:t>s</w:t>
      </w:r>
      <w:r w:rsidR="00571C61">
        <w:t>e the report. I used ChatGPT as an assistant for writing initial drafts, improving my writing, providing suitable headings based on the assessment criteria, and organi</w:t>
      </w:r>
      <w:r w:rsidR="00EF43A0">
        <w:t>s</w:t>
      </w:r>
      <w:r w:rsidR="00571C61">
        <w:t xml:space="preserve">ing paragraphs. The use of AI </w:t>
      </w:r>
      <w:r w:rsidR="00EF43A0">
        <w:t>helped clarify</w:t>
      </w:r>
      <w:r w:rsidR="00571C61">
        <w:t xml:space="preserve"> theoretical concepts, </w:t>
      </w:r>
      <w:r w:rsidR="003447F6">
        <w:t>such as</w:t>
      </w:r>
      <w:r w:rsidR="00571C61">
        <w:t xml:space="preserve"> the marketing environment and Ansoff Matrix, and also </w:t>
      </w:r>
      <w:r w:rsidR="00EF43A0">
        <w:t>helped systematically arrange my thoughts</w:t>
      </w:r>
      <w:r w:rsidR="00571C61">
        <w:t>. I have made some edit</w:t>
      </w:r>
      <w:r w:rsidR="00EF43A0">
        <w:t>s</w:t>
      </w:r>
      <w:r w:rsidR="00571C61">
        <w:t xml:space="preserve"> and revision</w:t>
      </w:r>
      <w:r w:rsidR="00EF43A0">
        <w:t>s</w:t>
      </w:r>
      <w:r w:rsidR="00571C61">
        <w:t xml:space="preserve"> to the final report in order to meet the assessment criteria and the understanding of the task, but not in any way that would mean changing the integrity of the work. </w:t>
      </w:r>
      <w:r w:rsidR="00184ABF" w:rsidRPr="00184ABF">
        <w:t>Academic integrity in research writing is very important since it assures the validity of scientific knowledge, maintains ethical responsibility, and preserves intellectual property rights</w:t>
      </w:r>
      <w:r w:rsidR="00A2555A">
        <w:t xml:space="preserve"> (</w:t>
      </w:r>
      <w:r w:rsidR="00A2555A">
        <w:rPr>
          <w:shd w:val="clear" w:color="auto" w:fill="FFFFFF"/>
        </w:rPr>
        <w:t>Wedderkopp and Rutz, 2024).</w:t>
      </w:r>
      <w:r w:rsidR="00A2555A">
        <w:t xml:space="preserve"> </w:t>
      </w:r>
    </w:p>
    <w:p w14:paraId="19BC9357" w14:textId="7E5A87F2" w:rsidR="00571C61" w:rsidRDefault="00571C61" w:rsidP="00571C61">
      <w:r>
        <w:t>Even though AI made the process of writing more efficient, the results provided by AI had to be checked to include them in the report. In this regard</w:t>
      </w:r>
      <w:r w:rsidR="00EF43A0">
        <w:t>,</w:t>
      </w:r>
      <w:r>
        <w:t xml:space="preserve"> I have applied the information obtained by AI using the support of reliable sources of the academic sphere, such as </w:t>
      </w:r>
      <w:r w:rsidR="003447F6">
        <w:t>‘</w:t>
      </w:r>
      <w:r>
        <w:t>Principles of Marketing by Kotler</w:t>
      </w:r>
      <w:r w:rsidR="003447F6">
        <w:t>’</w:t>
      </w:r>
      <w:r>
        <w:t xml:space="preserve">, sustainability reports of Tata Steel and some other articles pertinent to the study. While </w:t>
      </w:r>
      <w:r w:rsidR="003447F6">
        <w:t>analysing</w:t>
      </w:r>
      <w:r>
        <w:t xml:space="preserve"> the results, I found some instances when AI provided some general information without having any evidence for that, especially about competitive strategy and innovations</w:t>
      </w:r>
      <w:r w:rsidR="00AE51A8">
        <w:t xml:space="preserve">. </w:t>
      </w:r>
      <w:r>
        <w:t>Besides, descriptive content was revised into analytical content in some parts where it was generated by AI.</w:t>
      </w:r>
    </w:p>
    <w:p w14:paraId="726D26DA" w14:textId="10E47C27" w:rsidR="00571C61" w:rsidRDefault="00571C61" w:rsidP="00571C61">
      <w:r>
        <w:t>The presentation of arguments in the report has been done</w:t>
      </w:r>
      <w:r w:rsidR="007A7F8C">
        <w:t xml:space="preserve"> </w:t>
      </w:r>
      <w:r w:rsidR="000D39D9">
        <w:t xml:space="preserve">by myself, but </w:t>
      </w:r>
      <w:r>
        <w:t>for organi</w:t>
      </w:r>
      <w:r w:rsidR="00EF43A0">
        <w:t>s</w:t>
      </w:r>
      <w:r>
        <w:t>ing and structuring the report</w:t>
      </w:r>
      <w:r w:rsidR="00EF43A0">
        <w:t>,</w:t>
      </w:r>
      <w:r w:rsidR="007A7F8C">
        <w:t xml:space="preserve"> I have used</w:t>
      </w:r>
      <w:r w:rsidR="000D39D9">
        <w:t xml:space="preserve"> Artificial Intelligence</w:t>
      </w:r>
      <w:r>
        <w:t>. I have used AI to help with drafting paragraphs</w:t>
      </w:r>
      <w:r w:rsidR="00EF43A0">
        <w:t>,</w:t>
      </w:r>
      <w:r>
        <w:t xml:space="preserve"> which I am going to edit to add transitions and other changes as appropriate. It is</w:t>
      </w:r>
      <w:r w:rsidR="00EF43A0">
        <w:t>,</w:t>
      </w:r>
      <w:r>
        <w:t xml:space="preserve"> however</w:t>
      </w:r>
      <w:r w:rsidR="00EF43A0">
        <w:t>,</w:t>
      </w:r>
      <w:r>
        <w:t xml:space="preserve"> pertinent to say that my choice of Tata Steel, the use of marketing concepts, environmental aspects, Ansoff matrix strategy, and the comparison of the pioneer and the follower organi</w:t>
      </w:r>
      <w:r w:rsidR="00EF43A0">
        <w:t>s</w:t>
      </w:r>
      <w:r>
        <w:t>ation have been based on my knowledge of academic sources and the information about the organi</w:t>
      </w:r>
      <w:r w:rsidR="00EF43A0">
        <w:t>s</w:t>
      </w:r>
      <w:r>
        <w:t>ations.</w:t>
      </w:r>
      <w:r w:rsidR="005349C8">
        <w:t xml:space="preserve"> </w:t>
      </w:r>
    </w:p>
    <w:p w14:paraId="60786684" w14:textId="28390955" w:rsidR="00571C61" w:rsidRDefault="00571C61" w:rsidP="00571C61">
      <w:r>
        <w:t xml:space="preserve">The employment of AI in marketing analysis has </w:t>
      </w:r>
      <w:r w:rsidR="00EF43A0">
        <w:t>many</w:t>
      </w:r>
      <w:r>
        <w:t xml:space="preserve"> ethical and professional considerations. </w:t>
      </w:r>
      <w:r w:rsidR="00EB1BA2">
        <w:t>I</w:t>
      </w:r>
      <w:r>
        <w:t xml:space="preserve">t is believed that AI will enhance efficiency and generate new ideas, there are potential issues that come with using AI too much, such as </w:t>
      </w:r>
      <w:r w:rsidR="00EF43A0">
        <w:t xml:space="preserve">a </w:t>
      </w:r>
      <w:r>
        <w:t>lack of critical thinking and the risk of misinformation</w:t>
      </w:r>
      <w:r w:rsidR="001B5C5E">
        <w:t xml:space="preserve"> (</w:t>
      </w:r>
      <w:hyperlink r:id="rId17" w:history="1">
        <w:r w:rsidR="001B5C5E" w:rsidRPr="001B5C5E">
          <w:t>Finn</w:t>
        </w:r>
      </w:hyperlink>
      <w:r w:rsidR="001B5C5E" w:rsidRPr="001B5C5E">
        <w:t> and </w:t>
      </w:r>
      <w:hyperlink r:id="rId18" w:history="1">
        <w:r w:rsidR="001B5C5E" w:rsidRPr="001B5C5E">
          <w:t>Downie</w:t>
        </w:r>
      </w:hyperlink>
      <w:r w:rsidR="001B5C5E">
        <w:t>, 2025)</w:t>
      </w:r>
      <w:r w:rsidRPr="001B5C5E">
        <w:t xml:space="preserve">. </w:t>
      </w:r>
      <w:r>
        <w:t xml:space="preserve">The outputs from AI </w:t>
      </w:r>
      <w:r>
        <w:lastRenderedPageBreak/>
        <w:t>can either miss context or provide incorrect information if there is no proper assessment of the information provided by the AI. In this context, ethical concerns mean transparency regarding the use of AI, an external assessment of information, and acknowledging the role of AI</w:t>
      </w:r>
      <w:r w:rsidR="004F2076">
        <w:t xml:space="preserve"> (</w:t>
      </w:r>
      <w:r w:rsidR="004F2076">
        <w:rPr>
          <w:shd w:val="clear" w:color="auto" w:fill="FFFFFF"/>
        </w:rPr>
        <w:t>Ghosh, 2025)</w:t>
      </w:r>
      <w:r>
        <w:t>. In the case of professional marketing, AI should not replace human decision-making processes</w:t>
      </w:r>
      <w:r w:rsidR="00EF43A0">
        <w:t>,</w:t>
      </w:r>
      <w:r>
        <w:t xml:space="preserve"> which are driven by ethics and critical analysis of the information.</w:t>
      </w:r>
    </w:p>
    <w:p w14:paraId="2B45EE74" w14:textId="77777777" w:rsidR="00571C61" w:rsidRPr="00571C61" w:rsidRDefault="00571C61" w:rsidP="00571C61"/>
    <w:p w14:paraId="1783EA31" w14:textId="77777777" w:rsidR="005B745B" w:rsidRDefault="005B745B">
      <w:pPr>
        <w:jc w:val="center"/>
        <w:rPr>
          <w:rFonts w:eastAsiaTheme="majorEastAsia" w:cstheme="majorBidi"/>
          <w:b/>
          <w:i/>
          <w:color w:val="000000" w:themeColor="text1"/>
          <w:szCs w:val="32"/>
        </w:rPr>
      </w:pPr>
      <w:r>
        <w:br w:type="page"/>
      </w:r>
    </w:p>
    <w:p w14:paraId="5C6A3134" w14:textId="44B60FAB" w:rsidR="0062243F" w:rsidRDefault="0062243F" w:rsidP="003D6494">
      <w:pPr>
        <w:pStyle w:val="Heading1"/>
      </w:pPr>
      <w:bookmarkStart w:id="7" w:name="_Toc235631225"/>
      <w:r>
        <w:lastRenderedPageBreak/>
        <w:t>References</w:t>
      </w:r>
      <w:bookmarkEnd w:id="7"/>
    </w:p>
    <w:p w14:paraId="0ADA4911" w14:textId="77777777" w:rsidR="004F2076" w:rsidRPr="003736B0" w:rsidRDefault="004F2076" w:rsidP="004F2076">
      <w:pPr>
        <w:jc w:val="left"/>
      </w:pPr>
      <w:r>
        <w:t xml:space="preserve">ArcelorMittal Projects. (2026) XCarb: </w:t>
      </w:r>
      <w:r w:rsidRPr="001D1425">
        <w:t>ArcelorMittal's Path to Carbon-Neutral Steel</w:t>
      </w:r>
      <w:r>
        <w:t>. [Online]. Available at:</w:t>
      </w:r>
      <w:r w:rsidRPr="001D1425">
        <w:t xml:space="preserve"> </w:t>
      </w:r>
      <w:hyperlink r:id="rId19" w:history="1">
        <w:r w:rsidRPr="00F84500">
          <w:rPr>
            <w:rStyle w:val="Hyperlink"/>
          </w:rPr>
          <w:t>https://projects.arcelormittal.com/energy/sustainability/xcarb/</w:t>
        </w:r>
      </w:hyperlink>
      <w:r>
        <w:t xml:space="preserve">  [Accessed on: 22-07-2026].  </w:t>
      </w:r>
    </w:p>
    <w:p w14:paraId="7331D50F" w14:textId="77777777" w:rsidR="004F2076" w:rsidRDefault="004F2076" w:rsidP="004F2076">
      <w:r w:rsidRPr="004F2076">
        <w:rPr>
          <w:shd w:val="clear" w:color="auto" w:fill="FFFFFF"/>
        </w:rPr>
        <w:t>Babu, M.A., Rouf, M.A., Islam, M.R. and Islam, M. (2026) Examining the impact of green marketing practices on business performance: A synergistic application of resource-based view and triple bottom line theory. </w:t>
      </w:r>
      <w:proofErr w:type="spellStart"/>
      <w:r w:rsidRPr="004F2076">
        <w:rPr>
          <w:i/>
          <w:iCs/>
          <w:shd w:val="clear" w:color="auto" w:fill="FFFFFF"/>
        </w:rPr>
        <w:t>Plos</w:t>
      </w:r>
      <w:proofErr w:type="spellEnd"/>
      <w:r w:rsidRPr="004F2076">
        <w:rPr>
          <w:i/>
          <w:iCs/>
          <w:shd w:val="clear" w:color="auto" w:fill="FFFFFF"/>
        </w:rPr>
        <w:t xml:space="preserve"> one</w:t>
      </w:r>
      <w:r w:rsidRPr="004F2076">
        <w:rPr>
          <w:shd w:val="clear" w:color="auto" w:fill="FFFFFF"/>
        </w:rPr>
        <w:t>, </w:t>
      </w:r>
      <w:r w:rsidRPr="004F2076">
        <w:rPr>
          <w:i/>
          <w:iCs/>
          <w:shd w:val="clear" w:color="auto" w:fill="FFFFFF"/>
        </w:rPr>
        <w:t>21</w:t>
      </w:r>
      <w:r w:rsidRPr="004F2076">
        <w:rPr>
          <w:shd w:val="clear" w:color="auto" w:fill="FFFFFF"/>
        </w:rPr>
        <w:t xml:space="preserve">(1), p.e0333026. </w:t>
      </w:r>
    </w:p>
    <w:p w14:paraId="59C79004" w14:textId="77777777" w:rsidR="004F2076" w:rsidRPr="002B7278" w:rsidRDefault="004F2076" w:rsidP="004F2076">
      <w:r w:rsidRPr="004F2076">
        <w:rPr>
          <w:shd w:val="clear" w:color="auto" w:fill="FFFFFF"/>
        </w:rPr>
        <w:t xml:space="preserve">Borowiec, J., </w:t>
      </w:r>
      <w:proofErr w:type="spellStart"/>
      <w:r w:rsidRPr="004F2076">
        <w:rPr>
          <w:shd w:val="clear" w:color="auto" w:fill="FFFFFF"/>
        </w:rPr>
        <w:t>Papież</w:t>
      </w:r>
      <w:proofErr w:type="spellEnd"/>
      <w:r w:rsidRPr="004F2076">
        <w:rPr>
          <w:shd w:val="clear" w:color="auto" w:fill="FFFFFF"/>
        </w:rPr>
        <w:t xml:space="preserve">, M. and </w:t>
      </w:r>
      <w:proofErr w:type="spellStart"/>
      <w:r w:rsidRPr="004F2076">
        <w:rPr>
          <w:shd w:val="clear" w:color="auto" w:fill="FFFFFF"/>
        </w:rPr>
        <w:t>Śmiech</w:t>
      </w:r>
      <w:proofErr w:type="spellEnd"/>
      <w:r w:rsidRPr="004F2076">
        <w:rPr>
          <w:shd w:val="clear" w:color="auto" w:fill="FFFFFF"/>
        </w:rPr>
        <w:t>, S. (2024) The impact of environmental regulations on carbon emissions in countries with different levels of emissions. </w:t>
      </w:r>
      <w:r w:rsidRPr="004F2076">
        <w:rPr>
          <w:i/>
          <w:iCs/>
          <w:shd w:val="clear" w:color="auto" w:fill="FFFFFF"/>
        </w:rPr>
        <w:t>Environmental Science and Pollution Research</w:t>
      </w:r>
      <w:r w:rsidRPr="004F2076">
        <w:rPr>
          <w:shd w:val="clear" w:color="auto" w:fill="FFFFFF"/>
        </w:rPr>
        <w:t>, </w:t>
      </w:r>
      <w:r w:rsidRPr="004F2076">
        <w:rPr>
          <w:i/>
          <w:iCs/>
          <w:shd w:val="clear" w:color="auto" w:fill="FFFFFF"/>
        </w:rPr>
        <w:t>31</w:t>
      </w:r>
      <w:r w:rsidRPr="004F2076">
        <w:rPr>
          <w:shd w:val="clear" w:color="auto" w:fill="FFFFFF"/>
        </w:rPr>
        <w:t xml:space="preserve">(59), pp.66759-66779. </w:t>
      </w:r>
    </w:p>
    <w:p w14:paraId="57ECD520" w14:textId="77777777" w:rsidR="004F2076" w:rsidRPr="003736B0" w:rsidRDefault="004F2076" w:rsidP="004F2076">
      <w:r>
        <w:t>Business Research Insights. (2026) Sustainable Products Market Size, Share, Growth. [Online]. Available at:</w:t>
      </w:r>
      <w:r w:rsidRPr="00DB5DD3">
        <w:t xml:space="preserve"> </w:t>
      </w:r>
      <w:hyperlink r:id="rId20" w:history="1">
        <w:r w:rsidRPr="00F84500">
          <w:rPr>
            <w:rStyle w:val="Hyperlink"/>
          </w:rPr>
          <w:t>https://www.businessresearchinsights.com/market-reports/sustainable-products-market-117731</w:t>
        </w:r>
      </w:hyperlink>
      <w:r>
        <w:t xml:space="preserve">  [Accessed on: 22-07-2026].  </w:t>
      </w:r>
    </w:p>
    <w:p w14:paraId="33B90724" w14:textId="77777777" w:rsidR="004F2076" w:rsidRPr="004F2076" w:rsidRDefault="004F2076" w:rsidP="004F2076">
      <w:pPr>
        <w:rPr>
          <w:rFonts w:ascii="Times New Roman" w:hAnsi="Times New Roman"/>
        </w:rPr>
      </w:pPr>
      <w:r>
        <w:t>CFI. (2020) Product Diversification.</w:t>
      </w:r>
      <w:r w:rsidRPr="004F2076">
        <w:rPr>
          <w:rFonts w:ascii="Times New Roman" w:hAnsi="Times New Roman"/>
        </w:rPr>
        <w:t xml:space="preserve"> </w:t>
      </w:r>
      <w:r>
        <w:t>[Online]. Available at:</w:t>
      </w:r>
      <w:r w:rsidRPr="00F26637">
        <w:t xml:space="preserve"> </w:t>
      </w:r>
      <w:hyperlink r:id="rId21" w:history="1">
        <w:r w:rsidRPr="00F84500">
          <w:rPr>
            <w:rStyle w:val="Hyperlink"/>
          </w:rPr>
          <w:t>https://corporatefinanceinstitute.com/resources/management/product-diversification/</w:t>
        </w:r>
      </w:hyperlink>
      <w:r>
        <w:t xml:space="preserve">  [Accessed on: 22-07-2026].  </w:t>
      </w:r>
    </w:p>
    <w:p w14:paraId="5C53B3BD" w14:textId="77777777" w:rsidR="004F2076" w:rsidRPr="004F2076" w:rsidRDefault="004F2076" w:rsidP="004F2076">
      <w:pPr>
        <w:rPr>
          <w:shd w:val="clear" w:color="auto" w:fill="FFFFFF"/>
        </w:rPr>
      </w:pPr>
      <w:proofErr w:type="spellStart"/>
      <w:r w:rsidRPr="004F2076">
        <w:rPr>
          <w:shd w:val="clear" w:color="auto" w:fill="FFFFFF"/>
        </w:rPr>
        <w:t>Falahat</w:t>
      </w:r>
      <w:proofErr w:type="spellEnd"/>
      <w:r w:rsidRPr="004F2076">
        <w:rPr>
          <w:shd w:val="clear" w:color="auto" w:fill="FFFFFF"/>
        </w:rPr>
        <w:t>, M., Chong, S.C. and Liew, C. (2024) Navigating new product development: Uncovering factors and overcoming challenges for success. </w:t>
      </w:r>
      <w:proofErr w:type="spellStart"/>
      <w:r w:rsidRPr="004F2076">
        <w:rPr>
          <w:i/>
          <w:iCs/>
          <w:shd w:val="clear" w:color="auto" w:fill="FFFFFF"/>
        </w:rPr>
        <w:t>Heliyon</w:t>
      </w:r>
      <w:proofErr w:type="spellEnd"/>
      <w:r w:rsidRPr="004F2076">
        <w:rPr>
          <w:shd w:val="clear" w:color="auto" w:fill="FFFFFF"/>
        </w:rPr>
        <w:t>, </w:t>
      </w:r>
      <w:r w:rsidRPr="004F2076">
        <w:rPr>
          <w:i/>
          <w:iCs/>
          <w:shd w:val="clear" w:color="auto" w:fill="FFFFFF"/>
        </w:rPr>
        <w:t>10</w:t>
      </w:r>
      <w:r w:rsidRPr="004F2076">
        <w:rPr>
          <w:shd w:val="clear" w:color="auto" w:fill="FFFFFF"/>
        </w:rPr>
        <w:t xml:space="preserve">(1). </w:t>
      </w:r>
    </w:p>
    <w:p w14:paraId="12233454" w14:textId="77777777" w:rsidR="004F2076" w:rsidRDefault="004F2076" w:rsidP="004F2076">
      <w:r w:rsidRPr="004F2076">
        <w:rPr>
          <w:shd w:val="clear" w:color="auto" w:fill="FFFFFF"/>
        </w:rPr>
        <w:t>Farida, I. and Setiawan, D. (2022) Business strategies and competitive advantage: the role of performance and innovation. </w:t>
      </w:r>
      <w:r w:rsidRPr="004F2076">
        <w:rPr>
          <w:i/>
          <w:iCs/>
          <w:shd w:val="clear" w:color="auto" w:fill="FFFFFF"/>
        </w:rPr>
        <w:t>Journal of open innovation: Technology, market, and complexity</w:t>
      </w:r>
      <w:r w:rsidRPr="004F2076">
        <w:rPr>
          <w:shd w:val="clear" w:color="auto" w:fill="FFFFFF"/>
        </w:rPr>
        <w:t>, </w:t>
      </w:r>
      <w:r w:rsidRPr="004F2076">
        <w:rPr>
          <w:i/>
          <w:iCs/>
          <w:shd w:val="clear" w:color="auto" w:fill="FFFFFF"/>
        </w:rPr>
        <w:t>8</w:t>
      </w:r>
      <w:r w:rsidRPr="004F2076">
        <w:rPr>
          <w:shd w:val="clear" w:color="auto" w:fill="FFFFFF"/>
        </w:rPr>
        <w:t xml:space="preserve">(3), p.163. </w:t>
      </w:r>
    </w:p>
    <w:p w14:paraId="6B9B25BF" w14:textId="77777777" w:rsidR="004F2076" w:rsidRPr="004F2076" w:rsidRDefault="004F2076" w:rsidP="004F2076">
      <w:pPr>
        <w:rPr>
          <w:rFonts w:ascii="IBM Plex Sans" w:hAnsi="IBM Plex Sans"/>
          <w:color w:val="161616"/>
          <w:sz w:val="48"/>
        </w:rPr>
      </w:pPr>
      <w:hyperlink r:id="rId22" w:history="1">
        <w:r w:rsidRPr="001B5C5E">
          <w:t>Finn</w:t>
        </w:r>
      </w:hyperlink>
      <w:r>
        <w:t>, T.</w:t>
      </w:r>
      <w:r w:rsidRPr="001B5C5E">
        <w:t> and </w:t>
      </w:r>
      <w:hyperlink r:id="rId23" w:history="1">
        <w:r w:rsidRPr="001B5C5E">
          <w:t>Downie</w:t>
        </w:r>
      </w:hyperlink>
      <w:r>
        <w:t xml:space="preserve">, A. (2025) </w:t>
      </w:r>
      <w:r w:rsidRPr="003D0EEC">
        <w:t>How does AI improve efficienc</w:t>
      </w:r>
      <w:r>
        <w:t>y?</w:t>
      </w:r>
      <w:r w:rsidRPr="004F2076">
        <w:rPr>
          <w:rFonts w:ascii="IBM Plex Sans" w:hAnsi="IBM Plex Sans"/>
          <w:color w:val="161616"/>
          <w:sz w:val="48"/>
        </w:rPr>
        <w:t xml:space="preserve"> </w:t>
      </w:r>
      <w:r>
        <w:t>[Online]. Available at:</w:t>
      </w:r>
      <w:r w:rsidRPr="003D0EEC">
        <w:t xml:space="preserve"> </w:t>
      </w:r>
      <w:hyperlink r:id="rId24" w:history="1">
        <w:r w:rsidRPr="00F84500">
          <w:rPr>
            <w:rStyle w:val="Hyperlink"/>
          </w:rPr>
          <w:t>https://www.ibm.com/think/insights/how-does-ai-improve-efficiency</w:t>
        </w:r>
      </w:hyperlink>
      <w:r>
        <w:t xml:space="preserve">  [Accessed on: 22-07-2026].  </w:t>
      </w:r>
    </w:p>
    <w:p w14:paraId="3A04092C" w14:textId="77777777" w:rsidR="004F2076" w:rsidRDefault="004F2076" w:rsidP="004F2076">
      <w:r w:rsidRPr="004F2076">
        <w:rPr>
          <w:shd w:val="clear" w:color="auto" w:fill="FFFFFF"/>
        </w:rPr>
        <w:t>Ghosh, M. (2025) Artificial intelligence (AI) and ethical concerns: a review and research agenda. </w:t>
      </w:r>
      <w:r w:rsidRPr="004F2076">
        <w:rPr>
          <w:i/>
          <w:iCs/>
          <w:shd w:val="clear" w:color="auto" w:fill="FFFFFF"/>
        </w:rPr>
        <w:t>Cogent Business &amp; Management</w:t>
      </w:r>
      <w:r w:rsidRPr="004F2076">
        <w:rPr>
          <w:shd w:val="clear" w:color="auto" w:fill="FFFFFF"/>
        </w:rPr>
        <w:t>, </w:t>
      </w:r>
      <w:r w:rsidRPr="004F2076">
        <w:rPr>
          <w:i/>
          <w:iCs/>
          <w:shd w:val="clear" w:color="auto" w:fill="FFFFFF"/>
        </w:rPr>
        <w:t>12</w:t>
      </w:r>
      <w:r w:rsidRPr="004F2076">
        <w:rPr>
          <w:shd w:val="clear" w:color="auto" w:fill="FFFFFF"/>
        </w:rPr>
        <w:t xml:space="preserve">(1), p.2551809. </w:t>
      </w:r>
    </w:p>
    <w:p w14:paraId="47E0AF55" w14:textId="77777777" w:rsidR="004F2076" w:rsidRDefault="004F2076" w:rsidP="004F2076">
      <w:r>
        <w:lastRenderedPageBreak/>
        <w:t>IBM. (2026) How to build a successful product development strategy.</w:t>
      </w:r>
      <w:r w:rsidRPr="004F2076">
        <w:rPr>
          <w:sz w:val="48"/>
        </w:rPr>
        <w:t xml:space="preserve"> </w:t>
      </w:r>
      <w:r>
        <w:t>[Online]. Available at:</w:t>
      </w:r>
      <w:r w:rsidRPr="003C059A">
        <w:t xml:space="preserve"> </w:t>
      </w:r>
      <w:hyperlink r:id="rId25" w:history="1">
        <w:r w:rsidRPr="00F84500">
          <w:rPr>
            <w:rStyle w:val="Hyperlink"/>
          </w:rPr>
          <w:t>https://www.ibm.com/think/insights/product-development-strategy</w:t>
        </w:r>
      </w:hyperlink>
      <w:r>
        <w:t xml:space="preserve">  [Accessed on: 22-07-2026].  </w:t>
      </w:r>
    </w:p>
    <w:p w14:paraId="11B31B43" w14:textId="77777777" w:rsidR="004F2076" w:rsidRDefault="004F2076" w:rsidP="004F2076">
      <w:r>
        <w:t>IEA. (2025) Renewable Energy Progress Tracker. [Online]. Available at:</w:t>
      </w:r>
      <w:r w:rsidRPr="002861EE">
        <w:t xml:space="preserve"> </w:t>
      </w:r>
      <w:hyperlink r:id="rId26" w:history="1">
        <w:r w:rsidRPr="00F84500">
          <w:rPr>
            <w:rStyle w:val="Hyperlink"/>
          </w:rPr>
          <w:t>https://www.iea.org/data-and-statistics/data-tools/renewable-energy-progress-tracker</w:t>
        </w:r>
      </w:hyperlink>
      <w:r>
        <w:t xml:space="preserve">  [Accessed on: 22-07-2026].  </w:t>
      </w:r>
    </w:p>
    <w:p w14:paraId="1F29827A" w14:textId="77777777" w:rsidR="004F2076" w:rsidRDefault="004F2076" w:rsidP="004F2076">
      <w:proofErr w:type="spellStart"/>
      <w:r w:rsidRPr="004F2076">
        <w:rPr>
          <w:shd w:val="clear" w:color="auto" w:fill="FFFFFF"/>
        </w:rPr>
        <w:t>Jerab</w:t>
      </w:r>
      <w:proofErr w:type="spellEnd"/>
      <w:r w:rsidRPr="004F2076">
        <w:rPr>
          <w:shd w:val="clear" w:color="auto" w:fill="FFFFFF"/>
        </w:rPr>
        <w:t>, D. and Mabrouk, T. (2023) Strategic excellence: Achieving competitive advantage through differentiation strategies. </w:t>
      </w:r>
      <w:r w:rsidRPr="004F2076">
        <w:rPr>
          <w:i/>
          <w:iCs/>
          <w:shd w:val="clear" w:color="auto" w:fill="FFFFFF"/>
        </w:rPr>
        <w:t>Available at SSRN 4575042</w:t>
      </w:r>
      <w:r w:rsidRPr="004F2076">
        <w:rPr>
          <w:shd w:val="clear" w:color="auto" w:fill="FFFFFF"/>
        </w:rPr>
        <w:t xml:space="preserve">. </w:t>
      </w:r>
    </w:p>
    <w:p w14:paraId="167F5173" w14:textId="77777777" w:rsidR="004F2076" w:rsidRPr="004F2076" w:rsidRDefault="004F2076" w:rsidP="004F2076">
      <w:pPr>
        <w:rPr>
          <w:shd w:val="clear" w:color="auto" w:fill="FFFFFF"/>
        </w:rPr>
      </w:pPr>
      <w:r w:rsidRPr="004F2076">
        <w:rPr>
          <w:shd w:val="clear" w:color="auto" w:fill="FFFFFF"/>
        </w:rPr>
        <w:t>Kim, W. and Sohn, I. (2022) Critical challenges facing low carbon steelmaking technology using hydrogen direct reduced iron. </w:t>
      </w:r>
      <w:r w:rsidRPr="004F2076">
        <w:rPr>
          <w:i/>
          <w:iCs/>
          <w:shd w:val="clear" w:color="auto" w:fill="FFFFFF"/>
        </w:rPr>
        <w:t>Joule</w:t>
      </w:r>
      <w:r w:rsidRPr="004F2076">
        <w:rPr>
          <w:shd w:val="clear" w:color="auto" w:fill="FFFFFF"/>
        </w:rPr>
        <w:t>, </w:t>
      </w:r>
      <w:r w:rsidRPr="004F2076">
        <w:rPr>
          <w:i/>
          <w:iCs/>
          <w:shd w:val="clear" w:color="auto" w:fill="FFFFFF"/>
        </w:rPr>
        <w:t>6</w:t>
      </w:r>
      <w:r w:rsidRPr="004F2076">
        <w:rPr>
          <w:shd w:val="clear" w:color="auto" w:fill="FFFFFF"/>
        </w:rPr>
        <w:t xml:space="preserve">(10), pp.2228-2232. </w:t>
      </w:r>
    </w:p>
    <w:p w14:paraId="2D645510" w14:textId="77777777" w:rsidR="004F2076" w:rsidRDefault="004F2076" w:rsidP="004F2076">
      <w:proofErr w:type="spellStart"/>
      <w:r w:rsidRPr="004F2076">
        <w:rPr>
          <w:shd w:val="clear" w:color="auto" w:fill="FFFFFF"/>
        </w:rPr>
        <w:t>Kohitlhetse</w:t>
      </w:r>
      <w:proofErr w:type="spellEnd"/>
      <w:r w:rsidRPr="004F2076">
        <w:rPr>
          <w:shd w:val="clear" w:color="auto" w:fill="FFFFFF"/>
        </w:rPr>
        <w:t xml:space="preserve">, I. and </w:t>
      </w:r>
      <w:proofErr w:type="spellStart"/>
      <w:r w:rsidRPr="004F2076">
        <w:rPr>
          <w:shd w:val="clear" w:color="auto" w:fill="FFFFFF"/>
        </w:rPr>
        <w:t>Chiririwa</w:t>
      </w:r>
      <w:proofErr w:type="spellEnd"/>
      <w:r w:rsidRPr="004F2076">
        <w:rPr>
          <w:shd w:val="clear" w:color="auto" w:fill="FFFFFF"/>
        </w:rPr>
        <w:t>, H. (2026) Emerging Trends and Opportunities in Hydrogen-Based Direct Reduction for Sustainable Low-Carbon-Emission Steelmaking. </w:t>
      </w:r>
      <w:r w:rsidRPr="004F2076">
        <w:rPr>
          <w:i/>
          <w:iCs/>
          <w:shd w:val="clear" w:color="auto" w:fill="FFFFFF"/>
        </w:rPr>
        <w:t>Processes</w:t>
      </w:r>
      <w:r w:rsidRPr="004F2076">
        <w:rPr>
          <w:shd w:val="clear" w:color="auto" w:fill="FFFFFF"/>
        </w:rPr>
        <w:t>, </w:t>
      </w:r>
      <w:r w:rsidRPr="004F2076">
        <w:rPr>
          <w:i/>
          <w:iCs/>
          <w:shd w:val="clear" w:color="auto" w:fill="FFFFFF"/>
        </w:rPr>
        <w:t>14</w:t>
      </w:r>
      <w:r w:rsidRPr="004F2076">
        <w:rPr>
          <w:shd w:val="clear" w:color="auto" w:fill="FFFFFF"/>
        </w:rPr>
        <w:t xml:space="preserve">(10), p.1529. </w:t>
      </w:r>
    </w:p>
    <w:p w14:paraId="7D2007B2" w14:textId="77777777" w:rsidR="004F2076" w:rsidRDefault="004F2076" w:rsidP="004F2076">
      <w:r w:rsidRPr="00E430D4">
        <w:t>Kotler, P., Armstrong, G., Harris, L. C.</w:t>
      </w:r>
      <w:r>
        <w:t xml:space="preserve"> and</w:t>
      </w:r>
      <w:r w:rsidRPr="00E430D4">
        <w:t> He, H. (2019) Principles of</w:t>
      </w:r>
      <w:r>
        <w:t xml:space="preserve"> </w:t>
      </w:r>
      <w:r w:rsidRPr="00E430D4">
        <w:t>Marketing. United Kingdom: </w:t>
      </w:r>
      <w:r w:rsidRPr="004F2076">
        <w:rPr>
          <w:i/>
          <w:iCs/>
        </w:rPr>
        <w:t>Pearson Education</w:t>
      </w:r>
      <w:r w:rsidRPr="00E430D4">
        <w:t>.</w:t>
      </w:r>
    </w:p>
    <w:p w14:paraId="50D44368" w14:textId="77777777" w:rsidR="004F2076" w:rsidRPr="004F2076" w:rsidRDefault="004F2076" w:rsidP="004F2076">
      <w:pPr>
        <w:rPr>
          <w:sz w:val="48"/>
        </w:rPr>
      </w:pPr>
      <w:r w:rsidRPr="004F2076">
        <w:rPr>
          <w:shd w:val="clear" w:color="auto" w:fill="FFFFFF"/>
        </w:rPr>
        <w:t>Mallett, A. and Pal, P. (2022) Green transformation in the iron and steel industry in India: Rethinking patterns of innovation. </w:t>
      </w:r>
      <w:r w:rsidRPr="004F2076">
        <w:rPr>
          <w:i/>
          <w:iCs/>
          <w:shd w:val="clear" w:color="auto" w:fill="FFFFFF"/>
        </w:rPr>
        <w:t>Energy Strategy Reviews</w:t>
      </w:r>
      <w:r w:rsidRPr="004F2076">
        <w:rPr>
          <w:shd w:val="clear" w:color="auto" w:fill="FFFFFF"/>
        </w:rPr>
        <w:t>, </w:t>
      </w:r>
      <w:r w:rsidRPr="004F2076">
        <w:rPr>
          <w:i/>
          <w:iCs/>
          <w:shd w:val="clear" w:color="auto" w:fill="FFFFFF"/>
        </w:rPr>
        <w:t>44</w:t>
      </w:r>
      <w:r w:rsidRPr="004F2076">
        <w:rPr>
          <w:shd w:val="clear" w:color="auto" w:fill="FFFFFF"/>
        </w:rPr>
        <w:t xml:space="preserve">, p.100968. </w:t>
      </w:r>
    </w:p>
    <w:p w14:paraId="7A2ABD7A" w14:textId="77777777" w:rsidR="004F2076" w:rsidRDefault="004F2076" w:rsidP="004F2076">
      <w:r w:rsidRPr="004F2076">
        <w:rPr>
          <w:shd w:val="clear" w:color="auto" w:fill="FFFFFF"/>
        </w:rPr>
        <w:t xml:space="preserve">Olabi, A.G., Elsaid, K., Obaideen, K., Abdelkareem, M.A., Rezk, H., Wilberforce, T., </w:t>
      </w:r>
      <w:proofErr w:type="spellStart"/>
      <w:r w:rsidRPr="004F2076">
        <w:rPr>
          <w:shd w:val="clear" w:color="auto" w:fill="FFFFFF"/>
        </w:rPr>
        <w:t>Maghrabie</w:t>
      </w:r>
      <w:proofErr w:type="spellEnd"/>
      <w:r w:rsidRPr="004F2076">
        <w:rPr>
          <w:shd w:val="clear" w:color="auto" w:fill="FFFFFF"/>
        </w:rPr>
        <w:t>, H.M. and Sayed, E.T. (2023) Renewable energy systems: Comparisons, challenges and barriers, sustainability indicators, and the contribution to UN sustainable development goals. </w:t>
      </w:r>
      <w:r w:rsidRPr="004F2076">
        <w:rPr>
          <w:i/>
          <w:iCs/>
          <w:shd w:val="clear" w:color="auto" w:fill="FFFFFF"/>
        </w:rPr>
        <w:t xml:space="preserve">International Journal of </w:t>
      </w:r>
      <w:proofErr w:type="spellStart"/>
      <w:r w:rsidRPr="004F2076">
        <w:rPr>
          <w:i/>
          <w:iCs/>
          <w:shd w:val="clear" w:color="auto" w:fill="FFFFFF"/>
        </w:rPr>
        <w:t>Thermofluids</w:t>
      </w:r>
      <w:proofErr w:type="spellEnd"/>
      <w:r w:rsidRPr="004F2076">
        <w:rPr>
          <w:shd w:val="clear" w:color="auto" w:fill="FFFFFF"/>
        </w:rPr>
        <w:t>, </w:t>
      </w:r>
      <w:r w:rsidRPr="004F2076">
        <w:rPr>
          <w:i/>
          <w:iCs/>
          <w:shd w:val="clear" w:color="auto" w:fill="FFFFFF"/>
        </w:rPr>
        <w:t>20</w:t>
      </w:r>
      <w:r w:rsidRPr="004F2076">
        <w:rPr>
          <w:shd w:val="clear" w:color="auto" w:fill="FFFFFF"/>
        </w:rPr>
        <w:t xml:space="preserve">, p.100498. </w:t>
      </w:r>
    </w:p>
    <w:p w14:paraId="54B3E336" w14:textId="77777777" w:rsidR="004F2076" w:rsidRPr="003736B0" w:rsidRDefault="004F2076" w:rsidP="004F2076">
      <w:r>
        <w:t>Peterdy, K. (2022) Ansoff matrix. [Online]. Available at:</w:t>
      </w:r>
      <w:r w:rsidRPr="00EC4682">
        <w:t xml:space="preserve"> </w:t>
      </w:r>
      <w:hyperlink r:id="rId27" w:history="1">
        <w:r w:rsidRPr="00F84500">
          <w:rPr>
            <w:rStyle w:val="Hyperlink"/>
          </w:rPr>
          <w:t>https://corporatefinanceinstitute.com/resources/management/ansoff-matrix/</w:t>
        </w:r>
      </w:hyperlink>
      <w:r>
        <w:t xml:space="preserve">  [Accessed on: 22-07-2026].  </w:t>
      </w:r>
    </w:p>
    <w:p w14:paraId="14206C0E" w14:textId="77777777" w:rsidR="004F2076" w:rsidRDefault="004F2076" w:rsidP="004F2076">
      <w:r w:rsidRPr="004F2076">
        <w:rPr>
          <w:shd w:val="clear" w:color="auto" w:fill="FFFFFF"/>
        </w:rPr>
        <w:t xml:space="preserve">Shaik, A.S., </w:t>
      </w:r>
      <w:proofErr w:type="spellStart"/>
      <w:r w:rsidRPr="004F2076">
        <w:rPr>
          <w:shd w:val="clear" w:color="auto" w:fill="FFFFFF"/>
        </w:rPr>
        <w:t>Alsabban</w:t>
      </w:r>
      <w:proofErr w:type="spellEnd"/>
      <w:r w:rsidRPr="004F2076">
        <w:rPr>
          <w:shd w:val="clear" w:color="auto" w:fill="FFFFFF"/>
        </w:rPr>
        <w:t xml:space="preserve">, A., </w:t>
      </w:r>
      <w:proofErr w:type="spellStart"/>
      <w:r w:rsidRPr="004F2076">
        <w:rPr>
          <w:shd w:val="clear" w:color="auto" w:fill="FFFFFF"/>
        </w:rPr>
        <w:t>Kautish</w:t>
      </w:r>
      <w:proofErr w:type="spellEnd"/>
      <w:r w:rsidRPr="004F2076">
        <w:rPr>
          <w:shd w:val="clear" w:color="auto" w:fill="FFFFFF"/>
        </w:rPr>
        <w:t>, P. and Yaqub, M.Z. (2025) Moving markets towards climate change for sustainable development: comprehending strategic insights for efficient marketing communication. </w:t>
      </w:r>
      <w:r w:rsidRPr="004F2076">
        <w:rPr>
          <w:i/>
          <w:iCs/>
          <w:shd w:val="clear" w:color="auto" w:fill="FFFFFF"/>
        </w:rPr>
        <w:t>Sustainable Futures</w:t>
      </w:r>
      <w:r w:rsidRPr="004F2076">
        <w:rPr>
          <w:shd w:val="clear" w:color="auto" w:fill="FFFFFF"/>
        </w:rPr>
        <w:t>, </w:t>
      </w:r>
      <w:r w:rsidRPr="004F2076">
        <w:rPr>
          <w:i/>
          <w:iCs/>
          <w:shd w:val="clear" w:color="auto" w:fill="FFFFFF"/>
        </w:rPr>
        <w:t>9</w:t>
      </w:r>
      <w:r w:rsidRPr="004F2076">
        <w:rPr>
          <w:shd w:val="clear" w:color="auto" w:fill="FFFFFF"/>
        </w:rPr>
        <w:t xml:space="preserve">, p.100428. </w:t>
      </w:r>
    </w:p>
    <w:p w14:paraId="3ADE1BF8" w14:textId="77777777" w:rsidR="004F2076" w:rsidRPr="003736B0" w:rsidRDefault="004F2076" w:rsidP="004F2076">
      <w:r>
        <w:lastRenderedPageBreak/>
        <w:t>SSAB. (2026) Fossil-free steel- Leading the green transition. [Online]. Available at:</w:t>
      </w:r>
      <w:r w:rsidRPr="00FD25A1">
        <w:t xml:space="preserve"> </w:t>
      </w:r>
      <w:hyperlink r:id="rId28" w:history="1">
        <w:r w:rsidRPr="00F84500">
          <w:rPr>
            <w:rStyle w:val="Hyperlink"/>
          </w:rPr>
          <w:t>https://www.ssab.com/en/fossil-free-steel</w:t>
        </w:r>
      </w:hyperlink>
      <w:r>
        <w:t xml:space="preserve">  [Accessed on: 22-07-2026].  </w:t>
      </w:r>
    </w:p>
    <w:p w14:paraId="75E3CC7C" w14:textId="77777777" w:rsidR="004F2076" w:rsidRPr="003736B0" w:rsidRDefault="004F2076" w:rsidP="004F2076">
      <w:r>
        <w:t>SSAB. (2026) HYBRIT®. A new revolutionary steelmaking technology. [Online]. Available at:</w:t>
      </w:r>
      <w:r w:rsidRPr="006E58EE">
        <w:t xml:space="preserve"> </w:t>
      </w:r>
      <w:hyperlink r:id="rId29" w:history="1">
        <w:r w:rsidRPr="00F84500">
          <w:rPr>
            <w:rStyle w:val="Hyperlink"/>
          </w:rPr>
          <w:t>https://www.ssab.com/en/fossil-free-steel/insights/hybrit-a-new-revolutionary-steelmaking-technology</w:t>
        </w:r>
      </w:hyperlink>
      <w:r>
        <w:t xml:space="preserve"> </w:t>
      </w:r>
      <w:r w:rsidRPr="006E58EE">
        <w:t>https://www.ssab.com/en/fossil-free-steel/insights/hybrit-a-new-revolutionary-steelmaking-technology</w:t>
      </w:r>
      <w:r>
        <w:t xml:space="preserve"> [Accessed on: 22-07-2026].  </w:t>
      </w:r>
    </w:p>
    <w:p w14:paraId="3F28B79E" w14:textId="77777777" w:rsidR="004F2076" w:rsidRPr="003736B0" w:rsidRDefault="004F2076" w:rsidP="004F2076">
      <w:r w:rsidRPr="004F2076">
        <w:rPr>
          <w:rFonts w:eastAsiaTheme="majorEastAsia" w:cstheme="majorBidi"/>
          <w:color w:val="000000" w:themeColor="text1"/>
          <w:szCs w:val="32"/>
        </w:rPr>
        <w:t>Steel Ministry</w:t>
      </w:r>
      <w:r>
        <w:t>. (2025)</w:t>
      </w:r>
      <w:r w:rsidRPr="007E1983">
        <w:t xml:space="preserve"> </w:t>
      </w:r>
      <w:r>
        <w:t>Greening the Steel Sector in India Roadmap and Action Plan. [Online]. Available at:</w:t>
      </w:r>
      <w:r w:rsidRPr="007E1983">
        <w:t xml:space="preserve"> </w:t>
      </w:r>
      <w:hyperlink r:id="rId30" w:history="1">
        <w:r w:rsidRPr="00F84500">
          <w:rPr>
            <w:rStyle w:val="Hyperlink"/>
          </w:rPr>
          <w:t>https://steel.gov.in/sites/default/files/2025-03/GSI%20Report.pdf</w:t>
        </w:r>
      </w:hyperlink>
      <w:r>
        <w:t xml:space="preserve">  [Accessed on: 22-07-2026].  </w:t>
      </w:r>
    </w:p>
    <w:p w14:paraId="18190AEF" w14:textId="77777777" w:rsidR="004F2076" w:rsidRPr="003736B0" w:rsidRDefault="004F2076" w:rsidP="004F2076">
      <w:r>
        <w:t>Tata Steel. (2026) Circular Economy. [Online]. Available at:</w:t>
      </w:r>
      <w:r w:rsidRPr="00A473DE">
        <w:t xml:space="preserve"> </w:t>
      </w:r>
      <w:hyperlink r:id="rId31" w:history="1">
        <w:r w:rsidRPr="00F84500">
          <w:rPr>
            <w:rStyle w:val="Hyperlink"/>
          </w:rPr>
          <w:t>https://www.tatasteel.com/sustainability/environment/circular-economy/</w:t>
        </w:r>
      </w:hyperlink>
      <w:r>
        <w:t xml:space="preserve">  [Accessed on: 22-07-2026].  </w:t>
      </w:r>
    </w:p>
    <w:p w14:paraId="13C520D5" w14:textId="77777777" w:rsidR="004F2076" w:rsidRDefault="004F2076" w:rsidP="004F2076">
      <w:r>
        <w:t>Tata Steel. (2026) Climate Change Report. [Online]. Available at:</w:t>
      </w:r>
      <w:r w:rsidRPr="00D27D55">
        <w:t xml:space="preserve"> </w:t>
      </w:r>
      <w:hyperlink r:id="rId32" w:history="1">
        <w:r w:rsidRPr="00F84500">
          <w:rPr>
            <w:rStyle w:val="Hyperlink"/>
          </w:rPr>
          <w:t>https://www.tatasteel.com/investors/integrated-report-2023-24/climate-change-report.html</w:t>
        </w:r>
      </w:hyperlink>
      <w:r>
        <w:t xml:space="preserve">  [Accessed on: 22-07-2026].  </w:t>
      </w:r>
    </w:p>
    <w:p w14:paraId="0C895317" w14:textId="77777777" w:rsidR="004F2076" w:rsidRPr="003736B0" w:rsidRDefault="004F2076" w:rsidP="004F2076">
      <w:r>
        <w:t xml:space="preserve">Tata Steel. (2026) </w:t>
      </w:r>
      <w:r w:rsidRPr="005F5CB8">
        <w:t>Tata Steel Inaugurates its first Scrap-based Electric Arc Furnace in India</w:t>
      </w:r>
      <w:r>
        <w:t>. [Online]. Available at:</w:t>
      </w:r>
      <w:r w:rsidRPr="005F5CB8">
        <w:t xml:space="preserve"> </w:t>
      </w:r>
      <w:hyperlink r:id="rId33" w:history="1">
        <w:r w:rsidRPr="00F84500">
          <w:rPr>
            <w:rStyle w:val="Hyperlink"/>
          </w:rPr>
          <w:t>https://www.tatasteel.com/newsroom/press-releases/india/2026/tata-steel-inaugurates-its-first-scrap-based-electric-arc-furnace-in-india/</w:t>
        </w:r>
      </w:hyperlink>
      <w:r>
        <w:t xml:space="preserve">  [Accessed on: 22-07-2026].  </w:t>
      </w:r>
    </w:p>
    <w:p w14:paraId="0B454651" w14:textId="77777777" w:rsidR="004F2076" w:rsidRPr="003736B0" w:rsidRDefault="004F2076" w:rsidP="004F2076">
      <w:r>
        <w:t>The World Economic Forum. (2021)</w:t>
      </w:r>
      <w:r w:rsidRPr="002D45F0">
        <w:t xml:space="preserve"> </w:t>
      </w:r>
      <w:r>
        <w:t>Mission 2070: A Green New Deal for a Net Zero India. [Online]. Available at:</w:t>
      </w:r>
      <w:r w:rsidRPr="002D45F0">
        <w:t xml:space="preserve"> </w:t>
      </w:r>
      <w:hyperlink r:id="rId34" w:history="1">
        <w:r w:rsidRPr="00F84500">
          <w:rPr>
            <w:rStyle w:val="Hyperlink"/>
          </w:rPr>
          <w:t>https://www3.weforum.org/docs/WEF_Mission_2070_A_Green_New_Deal_for_a_Net_Zero_India_2021.pdf</w:t>
        </w:r>
      </w:hyperlink>
      <w:r>
        <w:t xml:space="preserve">  [Accessed on: 22-07-2026].  </w:t>
      </w:r>
    </w:p>
    <w:p w14:paraId="7BA7444C" w14:textId="77777777" w:rsidR="004F2076" w:rsidRPr="003736B0" w:rsidRDefault="004F2076" w:rsidP="004F2076">
      <w:r w:rsidRPr="004F2076">
        <w:rPr>
          <w:shd w:val="clear" w:color="auto" w:fill="FFFFFF"/>
        </w:rPr>
        <w:t>Wedderkopp, N. and Rutz, E. (2024) Scientific integrity and transparency in academic writing: the foundation of credible science. </w:t>
      </w:r>
      <w:r w:rsidRPr="004F2076">
        <w:rPr>
          <w:i/>
          <w:iCs/>
          <w:shd w:val="clear" w:color="auto" w:fill="FFFFFF"/>
        </w:rPr>
        <w:t>Children</w:t>
      </w:r>
      <w:r w:rsidRPr="004F2076">
        <w:rPr>
          <w:shd w:val="clear" w:color="auto" w:fill="FFFFFF"/>
        </w:rPr>
        <w:t>, </w:t>
      </w:r>
      <w:r w:rsidRPr="004F2076">
        <w:rPr>
          <w:i/>
          <w:iCs/>
          <w:shd w:val="clear" w:color="auto" w:fill="FFFFFF"/>
        </w:rPr>
        <w:t>11</w:t>
      </w:r>
      <w:r w:rsidRPr="004F2076">
        <w:rPr>
          <w:shd w:val="clear" w:color="auto" w:fill="FFFFFF"/>
        </w:rPr>
        <w:t xml:space="preserve">(10), p.1191. </w:t>
      </w:r>
    </w:p>
    <w:p w14:paraId="10DF59FB" w14:textId="1D8B72FB" w:rsidR="003D6494" w:rsidRPr="003736B0" w:rsidRDefault="004F2076" w:rsidP="00020354">
      <w:r>
        <w:t>World Steel Association. (2026)</w:t>
      </w:r>
      <w:r w:rsidRPr="009A0EEF">
        <w:t xml:space="preserve"> </w:t>
      </w:r>
      <w:r>
        <w:t>Climate change and the production of iron and steel-2025. [Online]. Available at:</w:t>
      </w:r>
      <w:r w:rsidRPr="00283AFA">
        <w:t xml:space="preserve"> </w:t>
      </w:r>
      <w:hyperlink r:id="rId35" w:history="1">
        <w:r w:rsidRPr="00F84500">
          <w:rPr>
            <w:rStyle w:val="Hyperlink"/>
          </w:rPr>
          <w:t>https://worldsteel.org/climate-action/climate-change-and-the-production-of-iron-and-steel/</w:t>
        </w:r>
      </w:hyperlink>
      <w:r>
        <w:t xml:space="preserve">  [Accessed on: 22-07-2026]. </w:t>
      </w:r>
    </w:p>
    <w:sectPr w:rsidR="003D6494" w:rsidRPr="003736B0" w:rsidSect="002A4B12">
      <w:headerReference w:type="even" r:id="rId36"/>
      <w:headerReference w:type="default" r:id="rId37"/>
      <w:footerReference w:type="even" r:id="rId38"/>
      <w:footerReference w:type="default" r:id="rId39"/>
      <w:headerReference w:type="first" r:id="rId40"/>
      <w:footerReference w:type="first" r:id="rId4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28BDDB" w14:textId="77777777" w:rsidR="00103D8B" w:rsidRDefault="00103D8B" w:rsidP="002A4B12">
      <w:pPr>
        <w:spacing w:before="0" w:after="0" w:line="240" w:lineRule="auto"/>
      </w:pPr>
      <w:r>
        <w:separator/>
      </w:r>
    </w:p>
  </w:endnote>
  <w:endnote w:type="continuationSeparator" w:id="0">
    <w:p w14:paraId="6CE78D58" w14:textId="77777777" w:rsidR="00103D8B" w:rsidRDefault="00103D8B" w:rsidP="002A4B1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IBM Plex Sans">
    <w:charset w:val="00"/>
    <w:family w:val="swiss"/>
    <w:pitch w:val="variable"/>
    <w:sig w:usb0="A00002EF" w:usb1="5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C331B" w14:textId="77777777" w:rsidR="002A4B12" w:rsidRDefault="002A4B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8897513"/>
      <w:docPartObj>
        <w:docPartGallery w:val="Page Numbers (Bottom of Page)"/>
        <w:docPartUnique/>
      </w:docPartObj>
    </w:sdtPr>
    <w:sdtEndPr>
      <w:rPr>
        <w:noProof/>
      </w:rPr>
    </w:sdtEndPr>
    <w:sdtContent>
      <w:p w14:paraId="23341533" w14:textId="3C812386" w:rsidR="002A4B12" w:rsidRDefault="002A4B1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16E4E0" w14:textId="77777777" w:rsidR="002A4B12" w:rsidRDefault="002A4B1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A8094" w14:textId="77777777" w:rsidR="002A4B12" w:rsidRDefault="002A4B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6C9CBA" w14:textId="77777777" w:rsidR="00103D8B" w:rsidRDefault="00103D8B" w:rsidP="002A4B12">
      <w:pPr>
        <w:spacing w:before="0" w:after="0" w:line="240" w:lineRule="auto"/>
      </w:pPr>
      <w:r>
        <w:separator/>
      </w:r>
    </w:p>
  </w:footnote>
  <w:footnote w:type="continuationSeparator" w:id="0">
    <w:p w14:paraId="66A7D51D" w14:textId="77777777" w:rsidR="00103D8B" w:rsidRDefault="00103D8B" w:rsidP="002A4B1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EE3D3" w14:textId="77777777" w:rsidR="002A4B12" w:rsidRDefault="002A4B1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DE2CE" w14:textId="77777777" w:rsidR="002A4B12" w:rsidRDefault="002A4B1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CCF4F" w14:textId="77777777" w:rsidR="002A4B12" w:rsidRDefault="002A4B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016E29"/>
    <w:multiLevelType w:val="hybridMultilevel"/>
    <w:tmpl w:val="B42A4B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740858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sjQ0N7A0MTWwMLSwMDRW0lEKTi0uzszPAykwqgUAOsJ3eCwAAAA="/>
  </w:docVars>
  <w:rsids>
    <w:rsidRoot w:val="002A4B12"/>
    <w:rsid w:val="00020354"/>
    <w:rsid w:val="00031F08"/>
    <w:rsid w:val="0003494A"/>
    <w:rsid w:val="00041669"/>
    <w:rsid w:val="00074FF6"/>
    <w:rsid w:val="00080E14"/>
    <w:rsid w:val="00097B74"/>
    <w:rsid w:val="000A1DFD"/>
    <w:rsid w:val="000D1406"/>
    <w:rsid w:val="000D39D9"/>
    <w:rsid w:val="000E23B8"/>
    <w:rsid w:val="000E5F94"/>
    <w:rsid w:val="000E6931"/>
    <w:rsid w:val="000F7E6A"/>
    <w:rsid w:val="00103D8B"/>
    <w:rsid w:val="00107155"/>
    <w:rsid w:val="001253AE"/>
    <w:rsid w:val="001266A8"/>
    <w:rsid w:val="0013356A"/>
    <w:rsid w:val="00163E05"/>
    <w:rsid w:val="00165DEC"/>
    <w:rsid w:val="001731F4"/>
    <w:rsid w:val="00173BF0"/>
    <w:rsid w:val="00181AE5"/>
    <w:rsid w:val="00184ABF"/>
    <w:rsid w:val="001A03DC"/>
    <w:rsid w:val="001A7A05"/>
    <w:rsid w:val="001B5C5E"/>
    <w:rsid w:val="001D1425"/>
    <w:rsid w:val="001D4D2E"/>
    <w:rsid w:val="001F7FF2"/>
    <w:rsid w:val="00210486"/>
    <w:rsid w:val="00211449"/>
    <w:rsid w:val="00217200"/>
    <w:rsid w:val="00220581"/>
    <w:rsid w:val="00252BB9"/>
    <w:rsid w:val="00256214"/>
    <w:rsid w:val="00265C6F"/>
    <w:rsid w:val="002660CF"/>
    <w:rsid w:val="0027701A"/>
    <w:rsid w:val="00283AFA"/>
    <w:rsid w:val="002861EE"/>
    <w:rsid w:val="002A4B12"/>
    <w:rsid w:val="002A74BC"/>
    <w:rsid w:val="002B7278"/>
    <w:rsid w:val="002D29BA"/>
    <w:rsid w:val="002D30B7"/>
    <w:rsid w:val="002D45F0"/>
    <w:rsid w:val="002F0529"/>
    <w:rsid w:val="002F57FF"/>
    <w:rsid w:val="0030416D"/>
    <w:rsid w:val="00312A8B"/>
    <w:rsid w:val="003174D2"/>
    <w:rsid w:val="0033375C"/>
    <w:rsid w:val="0033483E"/>
    <w:rsid w:val="003447F6"/>
    <w:rsid w:val="003513C6"/>
    <w:rsid w:val="00372717"/>
    <w:rsid w:val="003736B0"/>
    <w:rsid w:val="00374A54"/>
    <w:rsid w:val="00390FB2"/>
    <w:rsid w:val="00395E6F"/>
    <w:rsid w:val="003A6D8D"/>
    <w:rsid w:val="003C059A"/>
    <w:rsid w:val="003C06E8"/>
    <w:rsid w:val="003C2C4D"/>
    <w:rsid w:val="003C323B"/>
    <w:rsid w:val="003D0EEC"/>
    <w:rsid w:val="003D15BA"/>
    <w:rsid w:val="003D6494"/>
    <w:rsid w:val="003D6F5D"/>
    <w:rsid w:val="003E6ADA"/>
    <w:rsid w:val="003F4D85"/>
    <w:rsid w:val="0040596B"/>
    <w:rsid w:val="00416F07"/>
    <w:rsid w:val="004347F1"/>
    <w:rsid w:val="00440851"/>
    <w:rsid w:val="00444C14"/>
    <w:rsid w:val="00447173"/>
    <w:rsid w:val="0045186D"/>
    <w:rsid w:val="00452EEC"/>
    <w:rsid w:val="00455309"/>
    <w:rsid w:val="00464022"/>
    <w:rsid w:val="00466CCE"/>
    <w:rsid w:val="00472F4F"/>
    <w:rsid w:val="00473F84"/>
    <w:rsid w:val="00475394"/>
    <w:rsid w:val="00494577"/>
    <w:rsid w:val="004A47A6"/>
    <w:rsid w:val="004B1386"/>
    <w:rsid w:val="004D17E6"/>
    <w:rsid w:val="004E0941"/>
    <w:rsid w:val="004E6168"/>
    <w:rsid w:val="004E7867"/>
    <w:rsid w:val="004F046E"/>
    <w:rsid w:val="004F19A4"/>
    <w:rsid w:val="004F2076"/>
    <w:rsid w:val="005349C8"/>
    <w:rsid w:val="005370C3"/>
    <w:rsid w:val="00571C61"/>
    <w:rsid w:val="00587B8A"/>
    <w:rsid w:val="00593472"/>
    <w:rsid w:val="005A1F2E"/>
    <w:rsid w:val="005A2C31"/>
    <w:rsid w:val="005A467A"/>
    <w:rsid w:val="005B745B"/>
    <w:rsid w:val="005B747A"/>
    <w:rsid w:val="005B7F42"/>
    <w:rsid w:val="005D1ED7"/>
    <w:rsid w:val="005F2E12"/>
    <w:rsid w:val="005F5CB8"/>
    <w:rsid w:val="00604C84"/>
    <w:rsid w:val="006162BD"/>
    <w:rsid w:val="0062243F"/>
    <w:rsid w:val="00630574"/>
    <w:rsid w:val="00640D87"/>
    <w:rsid w:val="00642B7A"/>
    <w:rsid w:val="00644B96"/>
    <w:rsid w:val="00650C13"/>
    <w:rsid w:val="00650FA8"/>
    <w:rsid w:val="006530FC"/>
    <w:rsid w:val="00657885"/>
    <w:rsid w:val="00664944"/>
    <w:rsid w:val="006761DF"/>
    <w:rsid w:val="00677CD6"/>
    <w:rsid w:val="006844E6"/>
    <w:rsid w:val="00693DED"/>
    <w:rsid w:val="006B7E5E"/>
    <w:rsid w:val="006C29B5"/>
    <w:rsid w:val="006C3889"/>
    <w:rsid w:val="006C4F8A"/>
    <w:rsid w:val="006C5421"/>
    <w:rsid w:val="006D279E"/>
    <w:rsid w:val="006D7842"/>
    <w:rsid w:val="006E1817"/>
    <w:rsid w:val="006E58EE"/>
    <w:rsid w:val="006E5F83"/>
    <w:rsid w:val="006E7E89"/>
    <w:rsid w:val="006F0032"/>
    <w:rsid w:val="006F70EC"/>
    <w:rsid w:val="00733222"/>
    <w:rsid w:val="00742AE1"/>
    <w:rsid w:val="00753C44"/>
    <w:rsid w:val="00753FF2"/>
    <w:rsid w:val="00754F27"/>
    <w:rsid w:val="00760A46"/>
    <w:rsid w:val="0076604E"/>
    <w:rsid w:val="0076762C"/>
    <w:rsid w:val="0078522A"/>
    <w:rsid w:val="007907DA"/>
    <w:rsid w:val="007A7F8C"/>
    <w:rsid w:val="007C3204"/>
    <w:rsid w:val="007C3B5B"/>
    <w:rsid w:val="007C3D3D"/>
    <w:rsid w:val="007D5D49"/>
    <w:rsid w:val="007E1983"/>
    <w:rsid w:val="007F07FE"/>
    <w:rsid w:val="00831A53"/>
    <w:rsid w:val="0084307B"/>
    <w:rsid w:val="00844C2A"/>
    <w:rsid w:val="00844DBE"/>
    <w:rsid w:val="008516A0"/>
    <w:rsid w:val="008574D0"/>
    <w:rsid w:val="0086347A"/>
    <w:rsid w:val="00867C67"/>
    <w:rsid w:val="00873E98"/>
    <w:rsid w:val="00875CB8"/>
    <w:rsid w:val="0088225B"/>
    <w:rsid w:val="008B3FC3"/>
    <w:rsid w:val="008C2238"/>
    <w:rsid w:val="008E2DA6"/>
    <w:rsid w:val="008F3F57"/>
    <w:rsid w:val="00901CBE"/>
    <w:rsid w:val="00910893"/>
    <w:rsid w:val="0093210D"/>
    <w:rsid w:val="00934552"/>
    <w:rsid w:val="00984BA0"/>
    <w:rsid w:val="00990266"/>
    <w:rsid w:val="009979E8"/>
    <w:rsid w:val="009A0EEF"/>
    <w:rsid w:val="009B3437"/>
    <w:rsid w:val="00A008B8"/>
    <w:rsid w:val="00A00D56"/>
    <w:rsid w:val="00A05567"/>
    <w:rsid w:val="00A2555A"/>
    <w:rsid w:val="00A36559"/>
    <w:rsid w:val="00A45A4D"/>
    <w:rsid w:val="00A47156"/>
    <w:rsid w:val="00A473DE"/>
    <w:rsid w:val="00A47B35"/>
    <w:rsid w:val="00A52456"/>
    <w:rsid w:val="00A55F99"/>
    <w:rsid w:val="00A72C7E"/>
    <w:rsid w:val="00A76F2A"/>
    <w:rsid w:val="00A95735"/>
    <w:rsid w:val="00A9704F"/>
    <w:rsid w:val="00A97D48"/>
    <w:rsid w:val="00AA4286"/>
    <w:rsid w:val="00AB446B"/>
    <w:rsid w:val="00AE51A8"/>
    <w:rsid w:val="00AE76F3"/>
    <w:rsid w:val="00B0580C"/>
    <w:rsid w:val="00B12D76"/>
    <w:rsid w:val="00B140AA"/>
    <w:rsid w:val="00B169FD"/>
    <w:rsid w:val="00B200EA"/>
    <w:rsid w:val="00B26AE0"/>
    <w:rsid w:val="00B35A78"/>
    <w:rsid w:val="00B6430A"/>
    <w:rsid w:val="00B733E7"/>
    <w:rsid w:val="00B9599B"/>
    <w:rsid w:val="00BB5459"/>
    <w:rsid w:val="00BC43EE"/>
    <w:rsid w:val="00BE3A91"/>
    <w:rsid w:val="00BF6172"/>
    <w:rsid w:val="00C02FA4"/>
    <w:rsid w:val="00C15C16"/>
    <w:rsid w:val="00C2365F"/>
    <w:rsid w:val="00C40547"/>
    <w:rsid w:val="00C44BC4"/>
    <w:rsid w:val="00C4556A"/>
    <w:rsid w:val="00C85075"/>
    <w:rsid w:val="00C95745"/>
    <w:rsid w:val="00C957A6"/>
    <w:rsid w:val="00CA61E0"/>
    <w:rsid w:val="00CB67CC"/>
    <w:rsid w:val="00CE13BF"/>
    <w:rsid w:val="00CE2B89"/>
    <w:rsid w:val="00CE6467"/>
    <w:rsid w:val="00D0221A"/>
    <w:rsid w:val="00D1165F"/>
    <w:rsid w:val="00D123F2"/>
    <w:rsid w:val="00D13343"/>
    <w:rsid w:val="00D16C5D"/>
    <w:rsid w:val="00D170AF"/>
    <w:rsid w:val="00D21CCC"/>
    <w:rsid w:val="00D266C5"/>
    <w:rsid w:val="00D27D55"/>
    <w:rsid w:val="00D40B37"/>
    <w:rsid w:val="00D41365"/>
    <w:rsid w:val="00D50EB7"/>
    <w:rsid w:val="00D56D9A"/>
    <w:rsid w:val="00D579EB"/>
    <w:rsid w:val="00D57CD1"/>
    <w:rsid w:val="00D6409F"/>
    <w:rsid w:val="00D74116"/>
    <w:rsid w:val="00D7730F"/>
    <w:rsid w:val="00D82972"/>
    <w:rsid w:val="00D911CB"/>
    <w:rsid w:val="00D95186"/>
    <w:rsid w:val="00DA39B6"/>
    <w:rsid w:val="00DA6C4B"/>
    <w:rsid w:val="00DB2921"/>
    <w:rsid w:val="00DB5DD3"/>
    <w:rsid w:val="00DC6C5C"/>
    <w:rsid w:val="00DD2313"/>
    <w:rsid w:val="00DD31B6"/>
    <w:rsid w:val="00DD57AD"/>
    <w:rsid w:val="00DE350F"/>
    <w:rsid w:val="00DE39F9"/>
    <w:rsid w:val="00E11D19"/>
    <w:rsid w:val="00E142FD"/>
    <w:rsid w:val="00E233B8"/>
    <w:rsid w:val="00E430D4"/>
    <w:rsid w:val="00E728E7"/>
    <w:rsid w:val="00E91FEE"/>
    <w:rsid w:val="00EB1BA2"/>
    <w:rsid w:val="00EB2266"/>
    <w:rsid w:val="00EC4682"/>
    <w:rsid w:val="00ED2F23"/>
    <w:rsid w:val="00ED3EDA"/>
    <w:rsid w:val="00EE5866"/>
    <w:rsid w:val="00EF43A0"/>
    <w:rsid w:val="00F01977"/>
    <w:rsid w:val="00F0323D"/>
    <w:rsid w:val="00F208DA"/>
    <w:rsid w:val="00F26637"/>
    <w:rsid w:val="00F4506D"/>
    <w:rsid w:val="00F55758"/>
    <w:rsid w:val="00FA1731"/>
    <w:rsid w:val="00FC4208"/>
    <w:rsid w:val="00FC5304"/>
    <w:rsid w:val="00FD25A1"/>
    <w:rsid w:val="00FD592B"/>
    <w:rsid w:val="00FF377E"/>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E91B21"/>
  <w15:chartTrackingRefBased/>
  <w15:docId w15:val="{942333FD-7D50-453C-A382-56060FB4F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before="240" w:after="240" w:line="360" w:lineRule="auto"/>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7B8A"/>
    <w:pPr>
      <w:jc w:val="both"/>
    </w:pPr>
    <w:rPr>
      <w:rFonts w:ascii="Arial" w:hAnsi="Arial"/>
      <w:sz w:val="24"/>
    </w:rPr>
  </w:style>
  <w:style w:type="paragraph" w:styleId="Heading1">
    <w:name w:val="heading 1"/>
    <w:basedOn w:val="Normal"/>
    <w:next w:val="Normal"/>
    <w:link w:val="Heading1Char"/>
    <w:uiPriority w:val="9"/>
    <w:qFormat/>
    <w:rsid w:val="00FC4208"/>
    <w:pPr>
      <w:keepNext/>
      <w:keepLines/>
      <w:outlineLvl w:val="0"/>
    </w:pPr>
    <w:rPr>
      <w:rFonts w:eastAsiaTheme="majorEastAsia" w:cstheme="majorBidi"/>
      <w:b/>
      <w:i/>
      <w:color w:val="000000" w:themeColor="text1"/>
      <w:szCs w:val="32"/>
    </w:rPr>
  </w:style>
  <w:style w:type="paragraph" w:styleId="Heading2">
    <w:name w:val="heading 2"/>
    <w:basedOn w:val="Normal"/>
    <w:next w:val="Normal"/>
    <w:link w:val="Heading2Char"/>
    <w:uiPriority w:val="9"/>
    <w:unhideWhenUsed/>
    <w:qFormat/>
    <w:rsid w:val="00FC4208"/>
    <w:pPr>
      <w:keepNext/>
      <w:keepLines/>
      <w:spacing w:before="40"/>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unhideWhenUsed/>
    <w:qFormat/>
    <w:rsid w:val="00FC4208"/>
    <w:pPr>
      <w:keepNext/>
      <w:keepLines/>
      <w:spacing w:before="40"/>
      <w:outlineLvl w:val="2"/>
    </w:pPr>
    <w:rPr>
      <w:rFonts w:eastAsiaTheme="majorEastAsia" w:cstheme="majorBidi"/>
      <w:i/>
      <w:color w:val="000000" w:themeColor="text1"/>
      <w:szCs w:val="24"/>
    </w:rPr>
  </w:style>
  <w:style w:type="paragraph" w:styleId="Heading4">
    <w:name w:val="heading 4"/>
    <w:basedOn w:val="Normal"/>
    <w:next w:val="Normal"/>
    <w:link w:val="Heading4Char"/>
    <w:uiPriority w:val="9"/>
    <w:semiHidden/>
    <w:unhideWhenUsed/>
    <w:qFormat/>
    <w:rsid w:val="002A4B12"/>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A4B12"/>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2A4B12"/>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A4B12"/>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A4B12"/>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A4B12"/>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4208"/>
    <w:rPr>
      <w:rFonts w:ascii="Times New Roman" w:eastAsiaTheme="majorEastAsia" w:hAnsi="Times New Roman" w:cstheme="majorBidi"/>
      <w:b/>
      <w:i/>
      <w:color w:val="000000" w:themeColor="text1"/>
      <w:sz w:val="24"/>
      <w:szCs w:val="32"/>
    </w:rPr>
  </w:style>
  <w:style w:type="paragraph" w:styleId="TOCHeading">
    <w:name w:val="TOC Heading"/>
    <w:basedOn w:val="Heading1"/>
    <w:next w:val="Normal"/>
    <w:uiPriority w:val="39"/>
    <w:unhideWhenUsed/>
    <w:qFormat/>
    <w:rsid w:val="00FC4208"/>
    <w:pPr>
      <w:outlineLvl w:val="9"/>
    </w:pPr>
    <w:rPr>
      <w:lang w:val="en-US"/>
    </w:rPr>
  </w:style>
  <w:style w:type="character" w:customStyle="1" w:styleId="Heading2Char">
    <w:name w:val="Heading 2 Char"/>
    <w:basedOn w:val="DefaultParagraphFont"/>
    <w:link w:val="Heading2"/>
    <w:uiPriority w:val="9"/>
    <w:rsid w:val="00FC4208"/>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rsid w:val="00FC4208"/>
    <w:rPr>
      <w:rFonts w:ascii="Times New Roman" w:eastAsiaTheme="majorEastAsia" w:hAnsi="Times New Roman" w:cstheme="majorBidi"/>
      <w:i/>
      <w:color w:val="000000" w:themeColor="text1"/>
      <w:sz w:val="24"/>
      <w:szCs w:val="24"/>
    </w:rPr>
  </w:style>
  <w:style w:type="character" w:customStyle="1" w:styleId="Heading4Char">
    <w:name w:val="Heading 4 Char"/>
    <w:basedOn w:val="DefaultParagraphFont"/>
    <w:link w:val="Heading4"/>
    <w:uiPriority w:val="9"/>
    <w:semiHidden/>
    <w:rsid w:val="002A4B12"/>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2A4B12"/>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2A4B12"/>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2A4B12"/>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2A4B12"/>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2A4B12"/>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2A4B12"/>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4B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4B1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4B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4B1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A4B12"/>
    <w:rPr>
      <w:rFonts w:ascii="Times New Roman" w:hAnsi="Times New Roman"/>
      <w:i/>
      <w:iCs/>
      <w:color w:val="404040" w:themeColor="text1" w:themeTint="BF"/>
      <w:sz w:val="24"/>
    </w:rPr>
  </w:style>
  <w:style w:type="paragraph" w:styleId="ListParagraph">
    <w:name w:val="List Paragraph"/>
    <w:basedOn w:val="Normal"/>
    <w:uiPriority w:val="34"/>
    <w:qFormat/>
    <w:rsid w:val="002A4B12"/>
    <w:pPr>
      <w:ind w:left="720"/>
      <w:contextualSpacing/>
    </w:pPr>
  </w:style>
  <w:style w:type="character" w:styleId="IntenseEmphasis">
    <w:name w:val="Intense Emphasis"/>
    <w:basedOn w:val="DefaultParagraphFont"/>
    <w:uiPriority w:val="21"/>
    <w:qFormat/>
    <w:rsid w:val="002A4B12"/>
    <w:rPr>
      <w:i/>
      <w:iCs/>
      <w:color w:val="2F5496" w:themeColor="accent1" w:themeShade="BF"/>
    </w:rPr>
  </w:style>
  <w:style w:type="paragraph" w:styleId="IntenseQuote">
    <w:name w:val="Intense Quote"/>
    <w:basedOn w:val="Normal"/>
    <w:next w:val="Normal"/>
    <w:link w:val="IntenseQuoteChar"/>
    <w:uiPriority w:val="30"/>
    <w:qFormat/>
    <w:rsid w:val="002A4B1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A4B12"/>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2A4B12"/>
    <w:rPr>
      <w:b/>
      <w:bCs/>
      <w:smallCaps/>
      <w:color w:val="2F5496" w:themeColor="accent1" w:themeShade="BF"/>
      <w:spacing w:val="5"/>
    </w:rPr>
  </w:style>
  <w:style w:type="paragraph" w:styleId="Header">
    <w:name w:val="header"/>
    <w:basedOn w:val="Normal"/>
    <w:link w:val="HeaderChar"/>
    <w:uiPriority w:val="99"/>
    <w:unhideWhenUsed/>
    <w:rsid w:val="002A4B1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2A4B12"/>
    <w:rPr>
      <w:rFonts w:ascii="Times New Roman" w:hAnsi="Times New Roman"/>
      <w:sz w:val="24"/>
    </w:rPr>
  </w:style>
  <w:style w:type="paragraph" w:styleId="Footer">
    <w:name w:val="footer"/>
    <w:basedOn w:val="Normal"/>
    <w:link w:val="FooterChar"/>
    <w:uiPriority w:val="99"/>
    <w:unhideWhenUsed/>
    <w:rsid w:val="002A4B1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2A4B12"/>
    <w:rPr>
      <w:rFonts w:ascii="Times New Roman" w:hAnsi="Times New Roman"/>
      <w:sz w:val="24"/>
    </w:rPr>
  </w:style>
  <w:style w:type="character" w:styleId="Hyperlink">
    <w:name w:val="Hyperlink"/>
    <w:basedOn w:val="DefaultParagraphFont"/>
    <w:uiPriority w:val="99"/>
    <w:unhideWhenUsed/>
    <w:rsid w:val="004347F1"/>
    <w:rPr>
      <w:color w:val="0000FF"/>
      <w:u w:val="single"/>
    </w:rPr>
  </w:style>
  <w:style w:type="character" w:styleId="UnresolvedMention">
    <w:name w:val="Unresolved Mention"/>
    <w:basedOn w:val="DefaultParagraphFont"/>
    <w:uiPriority w:val="99"/>
    <w:semiHidden/>
    <w:unhideWhenUsed/>
    <w:rsid w:val="00283AFA"/>
    <w:rPr>
      <w:color w:val="605E5C"/>
      <w:shd w:val="clear" w:color="auto" w:fill="E1DFDD"/>
    </w:rPr>
  </w:style>
  <w:style w:type="paragraph" w:styleId="Caption">
    <w:name w:val="caption"/>
    <w:basedOn w:val="Normal"/>
    <w:next w:val="Normal"/>
    <w:uiPriority w:val="35"/>
    <w:unhideWhenUsed/>
    <w:qFormat/>
    <w:rsid w:val="00283AFA"/>
    <w:pPr>
      <w:spacing w:before="0" w:after="200" w:line="240" w:lineRule="auto"/>
    </w:pPr>
    <w:rPr>
      <w:i/>
      <w:iCs/>
      <w:color w:val="44546A" w:themeColor="text2"/>
      <w:sz w:val="18"/>
      <w:szCs w:val="18"/>
    </w:rPr>
  </w:style>
  <w:style w:type="table" w:styleId="TableGrid">
    <w:name w:val="Table Grid"/>
    <w:basedOn w:val="TableNormal"/>
    <w:uiPriority w:val="39"/>
    <w:rsid w:val="00604C84"/>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04C84"/>
    <w:rPr>
      <w:b/>
      <w:bCs/>
    </w:rPr>
  </w:style>
  <w:style w:type="paragraph" w:styleId="TOC1">
    <w:name w:val="toc 1"/>
    <w:basedOn w:val="Normal"/>
    <w:next w:val="Normal"/>
    <w:autoRedefine/>
    <w:uiPriority w:val="39"/>
    <w:unhideWhenUsed/>
    <w:rsid w:val="00D123F2"/>
    <w:pPr>
      <w:spacing w:after="100"/>
    </w:pPr>
  </w:style>
  <w:style w:type="paragraph" w:styleId="TOC2">
    <w:name w:val="toc 2"/>
    <w:basedOn w:val="Normal"/>
    <w:next w:val="Normal"/>
    <w:autoRedefine/>
    <w:uiPriority w:val="39"/>
    <w:unhideWhenUsed/>
    <w:rsid w:val="00D123F2"/>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ibm.com/think/author/amanda-downie.html" TargetMode="External"/><Relationship Id="rId26" Type="http://schemas.openxmlformats.org/officeDocument/2006/relationships/hyperlink" Target="https://www.iea.org/data-and-statistics/data-tools/renewable-energy-progress-tracker" TargetMode="External"/><Relationship Id="rId39" Type="http://schemas.openxmlformats.org/officeDocument/2006/relationships/footer" Target="footer2.xml"/><Relationship Id="rId21" Type="http://schemas.openxmlformats.org/officeDocument/2006/relationships/hyperlink" Target="https://corporatefinanceinstitute.com/resources/management/product-diversification/" TargetMode="External"/><Relationship Id="rId34" Type="http://schemas.openxmlformats.org/officeDocument/2006/relationships/hyperlink" Target="https://www3.weforum.org/docs/WEF_Mission_2070_A_Green_New_Deal_for_a_Net_Zero_India_2021.pdf"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www.businessresearchinsights.com/market-reports/sustainable-products-market-117731" TargetMode="External"/><Relationship Id="rId29" Type="http://schemas.openxmlformats.org/officeDocument/2006/relationships/hyperlink" Target="https://www.ssab.com/en/fossil-free-steel/insights/hybrit-a-new-revolutionary-steelmaking-technology"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ibm.com/think/insights/how-does-ai-improve-efficiency" TargetMode="External"/><Relationship Id="rId32" Type="http://schemas.openxmlformats.org/officeDocument/2006/relationships/hyperlink" Target="https://www.tatasteel.com/investors/integrated-report-2023-24/climate-change-report.html" TargetMode="External"/><Relationship Id="rId37" Type="http://schemas.openxmlformats.org/officeDocument/2006/relationships/header" Target="header2.xml"/><Relationship Id="rId40"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ibm.com/think/author/amanda-downie.html" TargetMode="External"/><Relationship Id="rId28" Type="http://schemas.openxmlformats.org/officeDocument/2006/relationships/hyperlink" Target="https://www.ssab.com/en/fossil-free-steel" TargetMode="External"/><Relationship Id="rId36"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yperlink" Target="https://projects.arcelormittal.com/energy/sustainability/xcarb/" TargetMode="External"/><Relationship Id="rId31" Type="http://schemas.openxmlformats.org/officeDocument/2006/relationships/hyperlink" Target="https://www.tatasteel.com/sustainability/environment/circular-economy/" TargetMode="External"/><Relationship Id="rId4" Type="http://schemas.openxmlformats.org/officeDocument/2006/relationships/settings" Target="settings.xml"/><Relationship Id="rId9" Type="http://schemas.openxmlformats.org/officeDocument/2006/relationships/hyperlink" Target="https://worldsteel.org/climate-action/climate-change-and-the-production-of-iron-and-steel/" TargetMode="External"/><Relationship Id="rId14" Type="http://schemas.openxmlformats.org/officeDocument/2006/relationships/image" Target="media/image6.png"/><Relationship Id="rId22" Type="http://schemas.openxmlformats.org/officeDocument/2006/relationships/hyperlink" Target="https://www.ibm.com/think/author/teaganne-finn.html" TargetMode="External"/><Relationship Id="rId27" Type="http://schemas.openxmlformats.org/officeDocument/2006/relationships/hyperlink" Target="https://corporatefinanceinstitute.com/resources/management/ansoff-matrix/" TargetMode="External"/><Relationship Id="rId30" Type="http://schemas.openxmlformats.org/officeDocument/2006/relationships/hyperlink" Target="https://steel.gov.in/sites/default/files/2025-03/GSI%20Report.pdf" TargetMode="External"/><Relationship Id="rId35" Type="http://schemas.openxmlformats.org/officeDocument/2006/relationships/hyperlink" Target="https://worldsteel.org/climate-action/climate-change-and-the-production-of-iron-and-steel/" TargetMode="External"/><Relationship Id="rId43" Type="http://schemas.openxmlformats.org/officeDocument/2006/relationships/theme" Target="theme/theme1.xml"/><Relationship Id="rId8" Type="http://schemas.openxmlformats.org/officeDocument/2006/relationships/image" Target="media/image1.gif"/><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www.ibm.com/think/author/teaganne-finn.html" TargetMode="External"/><Relationship Id="rId25" Type="http://schemas.openxmlformats.org/officeDocument/2006/relationships/hyperlink" Target="https://www.ibm.com/think/insights/product-development-strategy" TargetMode="External"/><Relationship Id="rId33" Type="http://schemas.openxmlformats.org/officeDocument/2006/relationships/hyperlink" Target="https://www.tatasteel.com/newsroom/press-releases/india/2026/tata-steel-inaugurates-its-first-scrap-based-electric-arc-furnace-in-india/" TargetMode="External"/><Relationship Id="rId3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1C0A89-CB27-4BC4-B9CC-FDF277451A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371</TotalTime>
  <Pages>19</Pages>
  <Words>3979</Words>
  <Characters>22683</Characters>
  <Application>Microsoft Office Word</Application>
  <DocSecurity>0</DocSecurity>
  <Lines>189</Lines>
  <Paragraphs>53</Paragraphs>
  <ScaleCrop>false</ScaleCrop>
  <Company/>
  <LinksUpToDate>false</LinksUpToDate>
  <CharactersWithSpaces>26609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parthkhimani354@gmail.com</cp:lastModifiedBy>
  <cp:revision>213</cp:revision>
  <dcterms:created xsi:type="dcterms:W3CDTF">2026-07-22T05:15:00Z</dcterms:created>
  <dcterms:modified xsi:type="dcterms:W3CDTF">2026-07-22T22:07:00Z</dcterms:modified>
</cp:coreProperties>
</file>