
<file path=[Content_Types].xml><?xml version="1.0" encoding="utf-8"?>
<Types xmlns="http://schemas.openxmlformats.org/package/2006/content-types">
  <Default ContentType="application/vnd.openxmlformats-officedocument.spreadsheetml.sheet" Extension="xlsx"/>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pPr>
      <w:r w:rsidDel="00000000" w:rsidR="00000000" w:rsidRPr="00000000">
        <w:rPr>
          <w:b w:val="1"/>
          <w:color w:val="000000"/>
        </w:rPr>
        <w:drawing>
          <wp:inline distB="0" distT="0" distL="0" distR="0">
            <wp:extent cx="4755515" cy="1783319"/>
            <wp:effectExtent b="0" l="0" r="0" t="0"/>
            <wp:docPr descr="C:\Users\hp\Desktop\Capture.PNG" id="2" name="image1.png"/>
            <a:graphic>
              <a:graphicData uri="http://schemas.openxmlformats.org/drawingml/2006/picture">
                <pic:pic>
                  <pic:nvPicPr>
                    <pic:cNvPr descr="C:\Users\hp\Desktop\Capture.PNG" id="0" name="image1.png"/>
                    <pic:cNvPicPr preferRelativeResize="0"/>
                  </pic:nvPicPr>
                  <pic:blipFill>
                    <a:blip r:embed="rId6"/>
                    <a:srcRect b="0" l="0" r="0" t="0"/>
                    <a:stretch>
                      <a:fillRect/>
                    </a:stretch>
                  </pic:blipFill>
                  <pic:spPr>
                    <a:xfrm>
                      <a:off x="0" y="0"/>
                      <a:ext cx="4755515" cy="178331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both"/>
        <w:rPr/>
      </w:pPr>
      <w:r w:rsidDel="00000000" w:rsidR="00000000" w:rsidRPr="00000000">
        <w:rPr>
          <w:rtl w:val="0"/>
        </w:rPr>
      </w:r>
    </w:p>
    <w:p w:rsidR="00000000" w:rsidDel="00000000" w:rsidP="00000000" w:rsidRDefault="00000000" w:rsidRPr="00000000" w14:paraId="00000003">
      <w:pPr>
        <w:spacing w:line="360" w:lineRule="auto"/>
        <w:jc w:val="both"/>
        <w:rPr/>
      </w:pPr>
      <w:r w:rsidDel="00000000" w:rsidR="00000000" w:rsidRPr="00000000">
        <w:rPr>
          <w:rtl w:val="0"/>
        </w:rPr>
      </w:r>
    </w:p>
    <w:p w:rsidR="00000000" w:rsidDel="00000000" w:rsidP="00000000" w:rsidRDefault="00000000" w:rsidRPr="00000000" w14:paraId="00000004">
      <w:pPr>
        <w:spacing w:line="360" w:lineRule="auto"/>
        <w:jc w:val="both"/>
        <w:rPr/>
      </w:pPr>
      <w:r w:rsidDel="00000000" w:rsidR="00000000" w:rsidRPr="00000000">
        <w:rPr>
          <w:rtl w:val="0"/>
        </w:rPr>
      </w:r>
    </w:p>
    <w:tbl>
      <w:tblPr>
        <w:tblStyle w:val="Table1"/>
        <w:tblpPr w:leftFromText="187" w:rightFromText="187" w:topFromText="0" w:bottomFromText="0" w:vertAnchor="page" w:horzAnchor="margin" w:tblpXSpec="center" w:tblpY="7786"/>
        <w:tblW w:w="7405.0" w:type="dxa"/>
        <w:jc w:val="left"/>
        <w:tblInd w:w="-115.0" w:type="dxa"/>
        <w:tblLayout w:type="fixed"/>
        <w:tblLook w:val="0400"/>
      </w:tblPr>
      <w:tblGrid>
        <w:gridCol w:w="7405"/>
        <w:tblGridChange w:id="0">
          <w:tblGrid>
            <w:gridCol w:w="7405"/>
          </w:tblGrid>
        </w:tblGridChange>
      </w:tblGrid>
      <w:tr>
        <w:trPr>
          <w:cantSplit w:val="0"/>
          <w:tblHeader w:val="0"/>
        </w:trPr>
        <w:tc>
          <w:tcPr>
            <w:tcMar>
              <w:top w:w="216.0" w:type="dxa"/>
              <w:left w:w="115.0" w:type="dxa"/>
              <w:bottom w:w="216.0" w:type="dxa"/>
              <w:right w:w="115.0" w:type="dxa"/>
            </w:tcMar>
          </w:tcPr>
          <w:p w:rsidR="00000000" w:rsidDel="00000000" w:rsidP="00000000" w:rsidRDefault="00000000" w:rsidRPr="00000000" w14:paraId="00000005">
            <w:pPr>
              <w:spacing w:line="360" w:lineRule="auto"/>
              <w:jc w:val="both"/>
              <w:rPr>
                <w:sz w:val="28"/>
                <w:szCs w:val="28"/>
              </w:rPr>
            </w:pPr>
            <w:r w:rsidDel="00000000" w:rsidR="00000000" w:rsidRPr="00000000">
              <w:rPr>
                <w:sz w:val="28"/>
                <w:szCs w:val="28"/>
                <w:rtl w:val="0"/>
              </w:rPr>
              <w:t xml:space="preserve">Name: - Meet Mukeshbhai Patel</w:t>
            </w:r>
          </w:p>
          <w:p w:rsidR="00000000" w:rsidDel="00000000" w:rsidP="00000000" w:rsidRDefault="00000000" w:rsidRPr="00000000" w14:paraId="00000006">
            <w:pPr>
              <w:spacing w:line="360" w:lineRule="auto"/>
              <w:jc w:val="both"/>
              <w:rPr>
                <w:sz w:val="28"/>
                <w:szCs w:val="28"/>
              </w:rPr>
            </w:pPr>
            <w:r w:rsidDel="00000000" w:rsidR="00000000" w:rsidRPr="00000000">
              <w:rPr>
                <w:sz w:val="28"/>
                <w:szCs w:val="28"/>
                <w:rtl w:val="0"/>
              </w:rPr>
              <w:t xml:space="preserve">Student-id: - 2241321</w:t>
            </w:r>
          </w:p>
          <w:p w:rsidR="00000000" w:rsidDel="00000000" w:rsidP="00000000" w:rsidRDefault="00000000" w:rsidRPr="00000000" w14:paraId="00000007">
            <w:pPr>
              <w:spacing w:line="360" w:lineRule="auto"/>
              <w:jc w:val="both"/>
              <w:rPr>
                <w:sz w:val="28"/>
                <w:szCs w:val="28"/>
              </w:rPr>
            </w:pPr>
            <w:r w:rsidDel="00000000" w:rsidR="00000000" w:rsidRPr="00000000">
              <w:rPr>
                <w:sz w:val="28"/>
                <w:szCs w:val="28"/>
                <w:rtl w:val="0"/>
              </w:rPr>
              <w:t xml:space="preserve">Module code:- LCMB7000</w:t>
            </w:r>
          </w:p>
          <w:p w:rsidR="00000000" w:rsidDel="00000000" w:rsidP="00000000" w:rsidRDefault="00000000" w:rsidRPr="00000000" w14:paraId="00000008">
            <w:pPr>
              <w:spacing w:line="360" w:lineRule="auto"/>
              <w:jc w:val="both"/>
              <w:rPr>
                <w:sz w:val="28"/>
                <w:szCs w:val="28"/>
              </w:rPr>
            </w:pPr>
            <w:r w:rsidDel="00000000" w:rsidR="00000000" w:rsidRPr="00000000">
              <w:rPr>
                <w:sz w:val="28"/>
                <w:szCs w:val="28"/>
                <w:rtl w:val="0"/>
              </w:rPr>
              <w:t xml:space="preserve">Module Name:- Human Resource managment</w:t>
            </w:r>
          </w:p>
          <w:p w:rsidR="00000000" w:rsidDel="00000000" w:rsidP="00000000" w:rsidRDefault="00000000" w:rsidRPr="00000000" w14:paraId="00000009">
            <w:pPr>
              <w:spacing w:line="360" w:lineRule="auto"/>
              <w:jc w:val="both"/>
              <w:rPr>
                <w:sz w:val="28"/>
                <w:szCs w:val="28"/>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libri" w:cs="Calibri" w:eastAsia="Calibri" w:hAnsi="Calibri"/>
                <w:b w:val="0"/>
                <w:i w:val="0"/>
                <w:smallCaps w:val="0"/>
                <w:strike w:val="0"/>
                <w:color w:val="4f81bd"/>
                <w:sz w:val="22"/>
                <w:szCs w:val="22"/>
                <w:u w:val="none"/>
                <w:shd w:fill="auto" w:val="clear"/>
                <w:vertAlign w:val="baseline"/>
              </w:rPr>
            </w:pPr>
            <w:r w:rsidDel="00000000" w:rsidR="00000000" w:rsidRPr="00000000">
              <w:rPr>
                <w:rtl w:val="0"/>
              </w:rPr>
            </w:r>
          </w:p>
        </w:tc>
      </w:tr>
      <w:tr>
        <w:trPr>
          <w:cantSplit w:val="0"/>
          <w:tblHeader w:val="0"/>
        </w:trPr>
        <w:tc>
          <w:tcPr>
            <w:tcMar>
              <w:top w:w="216.0" w:type="dxa"/>
              <w:left w:w="115.0" w:type="dxa"/>
              <w:bottom w:w="216.0" w:type="dxa"/>
              <w:right w:w="115.0" w:type="dxa"/>
            </w:tcMar>
          </w:tcPr>
          <w:p w:rsidR="00000000" w:rsidDel="00000000" w:rsidP="00000000" w:rsidRDefault="00000000" w:rsidRPr="00000000" w14:paraId="0000000B">
            <w:pPr>
              <w:spacing w:line="360" w:lineRule="auto"/>
              <w:jc w:val="both"/>
              <w:rPr/>
            </w:pPr>
            <w:r w:rsidDel="00000000" w:rsidR="00000000" w:rsidRPr="00000000">
              <w:rPr>
                <w:rtl w:val="0"/>
              </w:rPr>
            </w:r>
          </w:p>
        </w:tc>
      </w:tr>
    </w:tbl>
    <w:p w:rsidR="00000000" w:rsidDel="00000000" w:rsidP="00000000" w:rsidRDefault="00000000" w:rsidRPr="00000000" w14:paraId="0000000C">
      <w:pPr>
        <w:spacing w:line="360" w:lineRule="auto"/>
        <w:jc w:val="both"/>
        <w:rPr>
          <w:b w:val="1"/>
          <w:color w:val="000000"/>
        </w:rPr>
      </w:pPr>
      <w:r w:rsidDel="00000000" w:rsidR="00000000" w:rsidRPr="00000000">
        <w:rPr>
          <w:color w:val="000000"/>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Calibri" w:cs="Calibri" w:eastAsia="Calibri" w:hAnsi="Calibri"/>
          <w:b w:val="1"/>
          <w:i w:val="0"/>
          <w:smallCaps w:val="0"/>
          <w:strike w:val="0"/>
          <w:color w:val="366091"/>
          <w:sz w:val="22"/>
          <w:szCs w:val="22"/>
          <w:u w:val="none"/>
          <w:shd w:fill="auto" w:val="clear"/>
          <w:vertAlign w:val="baseline"/>
        </w:rPr>
      </w:pPr>
      <w:r w:rsidDel="00000000" w:rsidR="00000000" w:rsidRPr="00000000">
        <w:rPr>
          <w:rFonts w:ascii="Calibri" w:cs="Calibri" w:eastAsia="Calibri" w:hAnsi="Calibri"/>
          <w:b w:val="1"/>
          <w:i w:val="0"/>
          <w:smallCaps w:val="0"/>
          <w:strike w:val="0"/>
          <w:color w:val="366091"/>
          <w:sz w:val="22"/>
          <w:szCs w:val="22"/>
          <w:u w:val="none"/>
          <w:shd w:fill="auto" w:val="clear"/>
          <w:vertAlign w:val="baseline"/>
          <w:rtl w:val="0"/>
        </w:rPr>
        <w:t xml:space="preserve">Contents</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current state of the labor market in the UK</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emerging changes in Human Resourcing Strategies in the post Covid, post Brexit external environment.</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4">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pStyle w:val="Heading1"/>
        <w:tabs>
          <w:tab w:val="left" w:leader="none" w:pos="5445"/>
        </w:tabs>
        <w:spacing w:line="360" w:lineRule="auto"/>
        <w:jc w:val="both"/>
        <w:rPr>
          <w:rFonts w:ascii="Calibri" w:cs="Calibri" w:eastAsia="Calibri" w:hAnsi="Calibri"/>
          <w:sz w:val="22"/>
          <w:szCs w:val="22"/>
          <w:u w:val="single"/>
        </w:rPr>
      </w:pPr>
      <w:r w:rsidDel="00000000" w:rsidR="00000000" w:rsidRPr="00000000">
        <w:rPr>
          <w:rtl w:val="0"/>
        </w:rPr>
      </w:r>
    </w:p>
    <w:p w:rsidR="00000000" w:rsidDel="00000000" w:rsidP="00000000" w:rsidRDefault="00000000" w:rsidRPr="00000000" w14:paraId="00000016">
      <w:pPr>
        <w:spacing w:line="360" w:lineRule="auto"/>
        <w:jc w:val="both"/>
        <w:rPr/>
      </w:pPr>
      <w:r w:rsidDel="00000000" w:rsidR="00000000" w:rsidRPr="00000000">
        <w:rPr>
          <w:rtl w:val="0"/>
        </w:rPr>
      </w:r>
    </w:p>
    <w:p w:rsidR="00000000" w:rsidDel="00000000" w:rsidP="00000000" w:rsidRDefault="00000000" w:rsidRPr="00000000" w14:paraId="00000017">
      <w:pPr>
        <w:spacing w:line="360" w:lineRule="auto"/>
        <w:jc w:val="both"/>
        <w:rPr/>
      </w:pPr>
      <w:r w:rsidDel="00000000" w:rsidR="00000000" w:rsidRPr="00000000">
        <w:rPr>
          <w:rtl w:val="0"/>
        </w:rPr>
      </w:r>
    </w:p>
    <w:p w:rsidR="00000000" w:rsidDel="00000000" w:rsidP="00000000" w:rsidRDefault="00000000" w:rsidRPr="00000000" w14:paraId="00000018">
      <w:pPr>
        <w:spacing w:line="360" w:lineRule="auto"/>
        <w:jc w:val="both"/>
        <w:rPr/>
      </w:pPr>
      <w:r w:rsidDel="00000000" w:rsidR="00000000" w:rsidRPr="00000000">
        <w:rPr>
          <w:rtl w:val="0"/>
        </w:rPr>
      </w:r>
    </w:p>
    <w:p w:rsidR="00000000" w:rsidDel="00000000" w:rsidP="00000000" w:rsidRDefault="00000000" w:rsidRPr="00000000" w14:paraId="00000019">
      <w:pPr>
        <w:spacing w:line="360" w:lineRule="auto"/>
        <w:jc w:val="both"/>
        <w:rPr/>
      </w:pPr>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rtl w:val="0"/>
        </w:rPr>
      </w:r>
    </w:p>
    <w:p w:rsidR="00000000" w:rsidDel="00000000" w:rsidP="00000000" w:rsidRDefault="00000000" w:rsidRPr="00000000" w14:paraId="0000001B">
      <w:pPr>
        <w:spacing w:line="360" w:lineRule="auto"/>
        <w:jc w:val="both"/>
        <w:rPr/>
      </w:pP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rtl w:val="0"/>
        </w:rPr>
      </w:r>
    </w:p>
    <w:p w:rsidR="00000000" w:rsidDel="00000000" w:rsidP="00000000" w:rsidRDefault="00000000" w:rsidRPr="00000000" w14:paraId="0000001D">
      <w:pPr>
        <w:spacing w:line="360" w:lineRule="auto"/>
        <w:jc w:val="both"/>
        <w:rPr/>
      </w:pPr>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r>
    </w:p>
    <w:p w:rsidR="00000000" w:rsidDel="00000000" w:rsidP="00000000" w:rsidRDefault="00000000" w:rsidRPr="00000000" w14:paraId="0000001F">
      <w:pPr>
        <w:spacing w:line="360" w:lineRule="auto"/>
        <w:jc w:val="both"/>
        <w:rPr/>
      </w:pPr>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r>
    </w:p>
    <w:p w:rsidR="00000000" w:rsidDel="00000000" w:rsidP="00000000" w:rsidRDefault="00000000" w:rsidRPr="00000000" w14:paraId="00000021">
      <w:pPr>
        <w:spacing w:line="360" w:lineRule="auto"/>
        <w:jc w:val="both"/>
        <w:rPr/>
      </w:pPr>
      <w:r w:rsidDel="00000000" w:rsidR="00000000" w:rsidRPr="00000000">
        <w:rPr>
          <w:rtl w:val="0"/>
        </w:rPr>
      </w:r>
    </w:p>
    <w:p w:rsidR="00000000" w:rsidDel="00000000" w:rsidP="00000000" w:rsidRDefault="00000000" w:rsidRPr="00000000" w14:paraId="00000022">
      <w:pPr>
        <w:spacing w:line="360" w:lineRule="auto"/>
        <w:jc w:val="both"/>
        <w:rPr/>
      </w:pPr>
      <w:r w:rsidDel="00000000" w:rsidR="00000000" w:rsidRPr="00000000">
        <w:rPr>
          <w:rtl w:val="0"/>
        </w:rPr>
      </w:r>
    </w:p>
    <w:p w:rsidR="00000000" w:rsidDel="00000000" w:rsidP="00000000" w:rsidRDefault="00000000" w:rsidRPr="00000000" w14:paraId="00000023">
      <w:pPr>
        <w:spacing w:line="360" w:lineRule="auto"/>
        <w:jc w:val="both"/>
        <w:rPr/>
      </w:pPr>
      <w:r w:rsidDel="00000000" w:rsidR="00000000" w:rsidRPr="00000000">
        <w:rPr>
          <w:rtl w:val="0"/>
        </w:rPr>
      </w:r>
    </w:p>
    <w:p w:rsidR="00000000" w:rsidDel="00000000" w:rsidP="00000000" w:rsidRDefault="00000000" w:rsidRPr="00000000" w14:paraId="00000024">
      <w:pPr>
        <w:spacing w:line="360" w:lineRule="auto"/>
        <w:jc w:val="both"/>
        <w:rPr/>
      </w:pPr>
      <w:r w:rsidDel="00000000" w:rsidR="00000000" w:rsidRPr="00000000">
        <w:rPr>
          <w:rtl w:val="0"/>
        </w:rPr>
      </w:r>
    </w:p>
    <w:p w:rsidR="00000000" w:rsidDel="00000000" w:rsidP="00000000" w:rsidRDefault="00000000" w:rsidRPr="00000000" w14:paraId="00000025">
      <w:pPr>
        <w:spacing w:line="360" w:lineRule="auto"/>
        <w:jc w:val="both"/>
        <w:rPr/>
      </w:pPr>
      <w:r w:rsidDel="00000000" w:rsidR="00000000" w:rsidRPr="00000000">
        <w:rPr>
          <w:rtl w:val="0"/>
        </w:rPr>
      </w:r>
    </w:p>
    <w:p w:rsidR="00000000" w:rsidDel="00000000" w:rsidP="00000000" w:rsidRDefault="00000000" w:rsidRPr="00000000" w14:paraId="00000026">
      <w:pPr>
        <w:spacing w:line="360" w:lineRule="auto"/>
        <w:jc w:val="both"/>
        <w:rPr/>
      </w:pPr>
      <w:r w:rsidDel="00000000" w:rsidR="00000000" w:rsidRPr="00000000">
        <w:rPr>
          <w:rtl w:val="0"/>
        </w:rPr>
      </w:r>
    </w:p>
    <w:p w:rsidR="00000000" w:rsidDel="00000000" w:rsidP="00000000" w:rsidRDefault="00000000" w:rsidRPr="00000000" w14:paraId="00000027">
      <w:pPr>
        <w:pStyle w:val="Heading2"/>
        <w:spacing w:line="360" w:lineRule="auto"/>
        <w:jc w:val="both"/>
        <w:rPr>
          <w:rFonts w:ascii="Calibri" w:cs="Calibri" w:eastAsia="Calibri" w:hAnsi="Calibri"/>
          <w:color w:val="000000"/>
          <w:sz w:val="22"/>
          <w:szCs w:val="22"/>
        </w:rPr>
      </w:pPr>
      <w:bookmarkStart w:colFirst="0" w:colLast="0" w:name="_gjdgxs" w:id="0"/>
      <w:bookmarkEnd w:id="0"/>
      <w:r w:rsidDel="00000000" w:rsidR="00000000" w:rsidRPr="00000000">
        <w:rPr>
          <w:rFonts w:ascii="Calibri" w:cs="Calibri" w:eastAsia="Calibri" w:hAnsi="Calibri"/>
          <w:color w:val="000000"/>
          <w:sz w:val="22"/>
          <w:szCs w:val="22"/>
          <w:rtl w:val="0"/>
        </w:rPr>
        <w:t xml:space="preserve">Introduction</w:t>
      </w:r>
    </w:p>
    <w:p w:rsidR="00000000" w:rsidDel="00000000" w:rsidP="00000000" w:rsidRDefault="00000000" w:rsidRPr="00000000" w14:paraId="00000028">
      <w:pPr>
        <w:spacing w:line="360" w:lineRule="auto"/>
        <w:jc w:val="both"/>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Calibri" w:cs="Calibri" w:eastAsia="Calibri" w:hAnsi="Calibri"/>
          <w:b w:val="0"/>
          <w:i w:val="0"/>
          <w:smallCaps w:val="0"/>
          <w:strike w:val="0"/>
          <w:color w:val="1c1917"/>
          <w:sz w:val="22"/>
          <w:szCs w:val="22"/>
          <w:u w:val="none"/>
          <w:shd w:fill="auto" w:val="clear"/>
          <w:vertAlign w:val="baseline"/>
        </w:rPr>
      </w:pP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The UK labour market is undergoing a period of rapid evolution driven by seismic disruptions like the COVID19 pandemic and Brexit. These twin shocks have created talent scarcity, skills deficits and more precarious employment across multiple sectors. As organizations aim to rebuild and grow in a complex VUCA context, access to human capital and capabilities is more crucial than ever. However, entrenched structural issues pose significant resourcing challenges. This report analyses pressing talent management issues for UK firms. It examines on-going labour market trends including high economic inactivity, swelling job vacancies in several industries and worrying skills mismatches in key areas like digital and green technology.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Calibri" w:cs="Calibri" w:eastAsia="Calibri" w:hAnsi="Calibri"/>
          <w:b w:val="0"/>
          <w:i w:val="0"/>
          <w:smallCaps w:val="0"/>
          <w:strike w:val="0"/>
          <w:color w:val="1c1917"/>
          <w:sz w:val="22"/>
          <w:szCs w:val="22"/>
          <w:u w:val="none"/>
          <w:shd w:fill="auto" w:val="clear"/>
          <w:vertAlign w:val="baseline"/>
        </w:rPr>
      </w:pP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The impact of Brexit on EU talent flows and migration is also explored, alongside growing skills and labour supply shortfalls. Most critically, the report investigates how HR strategies and priorities are adapting to attract, retain and develop talent amidst these challenges. Key focus areas emerging for leading employers include enhancing workforce agility and flexibility to build resilient capability; focusing intensely on engagement and retention initiatives to reduce costly turnover; striving to create more diverse, equitable and inclusive cultures to widen talent pools; investing in up skilling and reskilling to close skills gaps; and implementing smart HR technologies to work more efficiently. Firms able to leverage people analytics and human centric designs to inform data driven yet empathetic policies tailored to modern employment needs stand the best chance of building motivated, high performing workforces prepared for the future.</w:t>
      </w:r>
    </w:p>
    <w:p w:rsidR="00000000" w:rsidDel="00000000" w:rsidP="00000000" w:rsidRDefault="00000000" w:rsidRPr="00000000" w14:paraId="0000002B">
      <w:pPr>
        <w:pStyle w:val="Heading1"/>
        <w:spacing w:line="360" w:lineRule="auto"/>
        <w:jc w:val="both"/>
        <w:rPr>
          <w:rFonts w:ascii="Calibri" w:cs="Calibri" w:eastAsia="Calibri" w:hAnsi="Calibri"/>
          <w:sz w:val="22"/>
          <w:szCs w:val="22"/>
          <w:u w:val="single"/>
        </w:rPr>
      </w:pPr>
      <w:bookmarkStart w:colFirst="0" w:colLast="0" w:name="_30j0zll" w:id="1"/>
      <w:bookmarkEnd w:id="1"/>
      <w:r w:rsidDel="00000000" w:rsidR="00000000" w:rsidRPr="00000000">
        <w:rPr>
          <w:rFonts w:ascii="Calibri" w:cs="Calibri" w:eastAsia="Calibri" w:hAnsi="Calibri"/>
          <w:sz w:val="22"/>
          <w:szCs w:val="22"/>
          <w:u w:val="single"/>
          <w:rtl w:val="0"/>
        </w:rPr>
        <w:t xml:space="preserve">The current state of the labor market in the UK</w:t>
      </w:r>
    </w:p>
    <w:p w:rsidR="00000000" w:rsidDel="00000000" w:rsidP="00000000" w:rsidRDefault="00000000" w:rsidRPr="00000000" w14:paraId="0000002C">
      <w:pPr>
        <w:spacing w:line="360" w:lineRule="auto"/>
        <w:jc w:val="both"/>
        <w:rPr/>
      </w:pPr>
      <w:r w:rsidDel="00000000" w:rsidR="00000000" w:rsidRPr="00000000">
        <w:rPr>
          <w:rtl w:val="0"/>
        </w:rPr>
        <w:t xml:space="preserve">The consequences of the Great Resignation, high levels of economic inactivity, and low labour participation are all affecting the UK labour market. Many businesses are suffering from a lack of labour, although self-employment is increasing. The actual salaries are being destroyed by inflation, and the gender employment gap is still a problem. To deal with these challenges, the government of UK need to take strong steps. Policies also must emphasise hiring talent from throughout the world, developing skills, and finding a balance between flexibility and employment rights. For the purpose of maintaining gender equality in the workforce and sustained economic growth, these problems must be resolved. The different issues are explained below:- </w:t>
      </w:r>
    </w:p>
    <w:p w:rsidR="00000000" w:rsidDel="00000000" w:rsidP="00000000" w:rsidRDefault="00000000" w:rsidRPr="00000000" w14:paraId="0000002D">
      <w:pPr>
        <w:spacing w:line="360" w:lineRule="auto"/>
        <w:jc w:val="both"/>
        <w:rPr>
          <w:b w:val="1"/>
          <w:u w:val="single"/>
        </w:rPr>
      </w:pPr>
      <w:r w:rsidDel="00000000" w:rsidR="00000000" w:rsidRPr="00000000">
        <w:rPr>
          <w:b w:val="1"/>
          <w:u w:val="single"/>
          <w:rtl w:val="0"/>
        </w:rPr>
        <w:t xml:space="preserve">Participation Rate and Economic Inactivity </w:t>
      </w:r>
    </w:p>
    <w:p w:rsidR="00000000" w:rsidDel="00000000" w:rsidP="00000000" w:rsidRDefault="00000000" w:rsidRPr="00000000" w14:paraId="0000002E">
      <w:pPr>
        <w:spacing w:line="360" w:lineRule="auto"/>
        <w:jc w:val="both"/>
        <w:rPr/>
      </w:pPr>
      <w:r w:rsidDel="00000000" w:rsidR="00000000" w:rsidRPr="00000000">
        <w:rPr>
          <w:rtl w:val="0"/>
        </w:rPr>
        <w:t xml:space="preserve">The UK's labor participation rate remains below pre-pandemic levels at 78.7% for 16-64 year olds (March-May 2022), while economic inactivity stands at 21.3% (around 9 million adults). Early retirement, sickness, and studying explain much of this inactivity. Bringing inactive people back to work is vital to address labor shortages (Freeman, 2023). Groups with higher inactivity include women with children, older adults, the disabled, those with health conditions, and ethnic minorities (Freeman, 2023). Removing barriers around childcare, flexible working, transport, and discrimination could boost participation.</w:t>
      </w:r>
    </w:p>
    <w:p w:rsidR="00000000" w:rsidDel="00000000" w:rsidP="00000000" w:rsidRDefault="00000000" w:rsidRPr="00000000" w14:paraId="0000002F">
      <w:pPr>
        <w:spacing w:line="360" w:lineRule="auto"/>
        <w:jc w:val="center"/>
        <w:rPr/>
      </w:pPr>
      <w:r w:rsidDel="00000000" w:rsidR="00000000" w:rsidRPr="00000000">
        <w:rPr/>
        <w:drawing>
          <wp:inline distB="0" distT="0" distL="0" distR="0">
            <wp:extent cx="5019675" cy="2914650"/>
            <wp:effectExtent b="0" l="0" r="9525" t="0"/>
            <wp:docPr id="1" name=""/>
            <a:graphic>
              <a:graphicData uri="http://schemas.openxmlformats.org/drawingml/2006/chart">
                <c:chart r:id="rId7"/>
              </a:graphicData>
            </a:graphic>
          </wp:inline>
        </w:drawing>
      </w:r>
      <w:r w:rsidDel="00000000" w:rsidR="00000000" w:rsidRPr="00000000">
        <w:rPr>
          <w:rtl w:val="0"/>
        </w:rPr>
      </w:r>
    </w:p>
    <w:p w:rsidR="00000000" w:rsidDel="00000000" w:rsidP="00000000" w:rsidRDefault="00000000" w:rsidRPr="00000000" w14:paraId="00000030">
      <w:pPr>
        <w:spacing w:line="360" w:lineRule="auto"/>
        <w:jc w:val="both"/>
        <w:rPr>
          <w:b w:val="1"/>
        </w:rPr>
      </w:pPr>
      <w:r w:rsidDel="00000000" w:rsidR="00000000" w:rsidRPr="00000000">
        <w:rPr>
          <w:rtl w:val="0"/>
        </w:rPr>
        <w:t xml:space="preserve">                                     (</w:t>
      </w:r>
      <w:r w:rsidDel="00000000" w:rsidR="00000000" w:rsidRPr="00000000">
        <w:rPr>
          <w:b w:val="1"/>
          <w:rtl w:val="0"/>
        </w:rPr>
        <w:t xml:space="preserve">Figure: Labour Participation rate of UK)</w:t>
      </w:r>
    </w:p>
    <w:p w:rsidR="00000000" w:rsidDel="00000000" w:rsidP="00000000" w:rsidRDefault="00000000" w:rsidRPr="00000000" w14:paraId="00000031">
      <w:pPr>
        <w:spacing w:line="360" w:lineRule="auto"/>
        <w:jc w:val="both"/>
        <w:rPr>
          <w:b w:val="1"/>
          <w:u w:val="single"/>
        </w:rPr>
      </w:pPr>
      <w:r w:rsidDel="00000000" w:rsidR="00000000" w:rsidRPr="00000000">
        <w:rPr>
          <w:b w:val="1"/>
          <w:u w:val="single"/>
          <w:rtl w:val="0"/>
        </w:rPr>
        <w:t xml:space="preserve">The Great Resignation</w:t>
      </w:r>
    </w:p>
    <w:p w:rsidR="00000000" w:rsidDel="00000000" w:rsidP="00000000" w:rsidRDefault="00000000" w:rsidRPr="00000000" w14:paraId="00000032">
      <w:pPr>
        <w:spacing w:line="360" w:lineRule="auto"/>
        <w:jc w:val="both"/>
        <w:rPr/>
      </w:pPr>
      <w:r w:rsidDel="00000000" w:rsidR="00000000" w:rsidRPr="00000000">
        <w:rPr>
          <w:rtl w:val="0"/>
        </w:rPr>
        <w:t xml:space="preserve">The pandemic prompted many workers to re-evaluate their jobs and priorities. This translated into high quit rates as part of the "Great Resignation" in the UK. In April-June 2022, the number of vacancies in the UK outpaced unemployed people by around 1 million, the widest gap on record. Job-to-job moves also reached a record high of 935,000 as workers switched roles (Freeman, 2023). </w:t>
      </w:r>
    </w:p>
    <w:p w:rsidR="00000000" w:rsidDel="00000000" w:rsidP="00000000" w:rsidRDefault="00000000" w:rsidRPr="00000000" w14:paraId="00000033">
      <w:pPr>
        <w:spacing w:line="360" w:lineRule="auto"/>
        <w:jc w:val="both"/>
        <w:rPr/>
      </w:pPr>
      <w:r w:rsidDel="00000000" w:rsidR="00000000" w:rsidRPr="00000000">
        <w:rPr>
          <w:rtl w:val="0"/>
        </w:rPr>
        <w:t xml:space="preserve">Retention and recruitment difficulties are impacting many industries from hospitality to manufacturing. Employers are being forced to raise wages, offer bonuses and improve benefits to attract and retain staff. However, such incentives are often unevenly distributed, benefiting experienced or skilled workers most. Pricing out low-pay employers may simply displace labor shortages elsewhere. Sustainably expanding the workforce through training, migration and other channels may be a more effective solution.</w:t>
      </w:r>
    </w:p>
    <w:p w:rsidR="00000000" w:rsidDel="00000000" w:rsidP="00000000" w:rsidRDefault="00000000" w:rsidRPr="00000000" w14:paraId="00000034">
      <w:pPr>
        <w:spacing w:line="360" w:lineRule="auto"/>
        <w:jc w:val="both"/>
        <w:rPr>
          <w:b w:val="1"/>
          <w:u w:val="single"/>
        </w:rPr>
      </w:pPr>
      <w:bookmarkStart w:colFirst="0" w:colLast="0" w:name="_tyjcwt" w:id="2"/>
      <w:bookmarkEnd w:id="2"/>
      <w:r w:rsidDel="00000000" w:rsidR="00000000" w:rsidRPr="00000000">
        <w:rPr>
          <w:b w:val="1"/>
          <w:u w:val="single"/>
          <w:rtl w:val="0"/>
        </w:rPr>
        <w:t xml:space="preserve">Unemployment and Inactivity</w:t>
      </w:r>
    </w:p>
    <w:p w:rsidR="00000000" w:rsidDel="00000000" w:rsidP="00000000" w:rsidRDefault="00000000" w:rsidRPr="00000000" w14:paraId="00000035">
      <w:pPr>
        <w:shd w:fill="ffffff" w:val="clear"/>
        <w:spacing w:after="0" w:line="360" w:lineRule="auto"/>
        <w:jc w:val="both"/>
        <w:rPr>
          <w:color w:val="1c1917"/>
        </w:rPr>
      </w:pPr>
      <w:r w:rsidDel="00000000" w:rsidR="00000000" w:rsidRPr="00000000">
        <w:rPr>
          <w:color w:val="1c1917"/>
          <w:rtl w:val="0"/>
        </w:rPr>
        <w:t xml:space="preserve">While joblessness has fallen post pandemic, economic inactivity remains historically high at 21.6%, over 2 million more adults than period 2020. This involuntary exclusion from the workforce lowers growth potential considerably (</w:t>
      </w:r>
      <w:r w:rsidDel="00000000" w:rsidR="00000000" w:rsidRPr="00000000">
        <w:rPr>
          <w:rtl w:val="0"/>
        </w:rPr>
        <w:t xml:space="preserve">Economics, 2022)</w:t>
      </w:r>
      <w:r w:rsidDel="00000000" w:rsidR="00000000" w:rsidRPr="00000000">
        <w:rPr>
          <w:color w:val="1c1917"/>
          <w:rtl w:val="0"/>
        </w:rPr>
        <w:t xml:space="preserve">. Policymakers must address barriers dissuading participation whether related to health issues, caring responsibilities or discouragement from inability to find opportunities matching individuals' aspirations and skillsets.</w:t>
      </w:r>
    </w:p>
    <w:p w:rsidR="00000000" w:rsidDel="00000000" w:rsidP="00000000" w:rsidRDefault="00000000" w:rsidRPr="00000000" w14:paraId="00000036">
      <w:pPr>
        <w:shd w:fill="ffffff" w:val="clear"/>
        <w:spacing w:after="0" w:line="360" w:lineRule="auto"/>
        <w:jc w:val="both"/>
        <w:rPr>
          <w:color w:val="1c1917"/>
        </w:rPr>
      </w:pPr>
      <w:r w:rsidDel="00000000" w:rsidR="00000000" w:rsidRPr="00000000">
        <w:rPr>
          <w:color w:val="1c1917"/>
          <w:rtl w:val="0"/>
        </w:rPr>
        <w:t xml:space="preserve">The rise of precarious “gig economy” roles and involuntary part-time work has also exacerbated fears over income stability and longer-term security. Surveys show 33% of the near 1.7 million part-time staff want more hours but are unable to get them. This greater underemployment further limits spending power of households, a huge concern when inflation remains over 10%. Unless matching between talent supply and quality job creation is urgently improved, weaker consumption dragging on GDP growth could result (</w:t>
      </w:r>
      <w:r w:rsidDel="00000000" w:rsidR="00000000" w:rsidRPr="00000000">
        <w:rPr>
          <w:rtl w:val="0"/>
        </w:rPr>
        <w:t xml:space="preserve">Economics, 2022)</w:t>
      </w:r>
      <w:r w:rsidDel="00000000" w:rsidR="00000000" w:rsidRPr="00000000">
        <w:rPr>
          <w:color w:val="1c1917"/>
          <w:rtl w:val="0"/>
        </w:rPr>
        <w:t xml:space="preserve">. A focus on supporting fulfilling, secure employment pathways for groups struggling to enter labor markets fulltime is vital.</w:t>
      </w:r>
    </w:p>
    <w:p w:rsidR="00000000" w:rsidDel="00000000" w:rsidP="00000000" w:rsidRDefault="00000000" w:rsidRPr="00000000" w14:paraId="00000037">
      <w:pPr>
        <w:spacing w:line="360" w:lineRule="auto"/>
        <w:jc w:val="both"/>
        <w:rPr>
          <w:b w:val="1"/>
          <w:u w:val="single"/>
        </w:rPr>
      </w:pPr>
      <w:bookmarkStart w:colFirst="0" w:colLast="0" w:name="_3dy6vkm" w:id="3"/>
      <w:bookmarkEnd w:id="3"/>
      <w:r w:rsidDel="00000000" w:rsidR="00000000" w:rsidRPr="00000000">
        <w:rPr>
          <w:b w:val="1"/>
          <w:u w:val="single"/>
          <w:rtl w:val="0"/>
        </w:rPr>
        <w:t xml:space="preserve">Labor Shortages</w:t>
      </w:r>
    </w:p>
    <w:p w:rsidR="00000000" w:rsidDel="00000000" w:rsidP="00000000" w:rsidRDefault="00000000" w:rsidRPr="00000000" w14:paraId="00000038">
      <w:pPr>
        <w:shd w:fill="ffffff" w:val="clear"/>
        <w:spacing w:after="0" w:line="360" w:lineRule="auto"/>
        <w:jc w:val="both"/>
        <w:rPr>
          <w:color w:val="1c1917"/>
        </w:rPr>
      </w:pPr>
      <w:r w:rsidDel="00000000" w:rsidR="00000000" w:rsidRPr="00000000">
        <w:rPr>
          <w:color w:val="1c1917"/>
          <w:rtl w:val="0"/>
        </w:rPr>
        <w:t xml:space="preserve">Despite high vacancy numbers across retail, construction, health and hospitality sectors, hiring challenges continue (</w:t>
      </w:r>
      <w:r w:rsidDel="00000000" w:rsidR="00000000" w:rsidRPr="00000000">
        <w:rPr>
          <w:rtl w:val="0"/>
        </w:rPr>
        <w:t xml:space="preserve">Ziady, 2023)</w:t>
      </w:r>
      <w:r w:rsidDel="00000000" w:rsidR="00000000" w:rsidRPr="00000000">
        <w:rPr>
          <w:color w:val="1c1917"/>
          <w:rtl w:val="0"/>
        </w:rPr>
        <w:t xml:space="preserve">. There are several reasons for the labor shortage such as:- </w:t>
      </w:r>
    </w:p>
    <w:p w:rsidR="00000000" w:rsidDel="00000000" w:rsidP="00000000" w:rsidRDefault="00000000" w:rsidRPr="00000000" w14:paraId="00000039">
      <w:pPr>
        <w:numPr>
          <w:ilvl w:val="0"/>
          <w:numId w:val="3"/>
        </w:numPr>
        <w:shd w:fill="ffffff" w:val="clear"/>
        <w:spacing w:after="0" w:before="280" w:line="360" w:lineRule="auto"/>
        <w:ind w:left="720" w:hanging="360"/>
        <w:jc w:val="both"/>
        <w:rPr>
          <w:color w:val="1c1917"/>
        </w:rPr>
      </w:pPr>
      <w:r w:rsidDel="00000000" w:rsidR="00000000" w:rsidRPr="00000000">
        <w:rPr>
          <w:color w:val="1c1917"/>
          <w:rtl w:val="0"/>
        </w:rPr>
        <w:t xml:space="preserve">Reduced EU worker migration post-Brexit</w:t>
      </w:r>
    </w:p>
    <w:p w:rsidR="00000000" w:rsidDel="00000000" w:rsidP="00000000" w:rsidRDefault="00000000" w:rsidRPr="00000000" w14:paraId="0000003A">
      <w:pPr>
        <w:numPr>
          <w:ilvl w:val="0"/>
          <w:numId w:val="3"/>
        </w:numPr>
        <w:shd w:fill="ffffff" w:val="clear"/>
        <w:spacing w:after="0" w:before="0" w:line="360" w:lineRule="auto"/>
        <w:ind w:left="720" w:hanging="360"/>
        <w:jc w:val="both"/>
        <w:rPr>
          <w:color w:val="1c1917"/>
        </w:rPr>
      </w:pPr>
      <w:r w:rsidDel="00000000" w:rsidR="00000000" w:rsidRPr="00000000">
        <w:rPr>
          <w:color w:val="1c1917"/>
          <w:rtl w:val="0"/>
        </w:rPr>
        <w:t xml:space="preserve">Accelerated retirements and career changes after the pandemic</w:t>
      </w:r>
    </w:p>
    <w:p w:rsidR="00000000" w:rsidDel="00000000" w:rsidP="00000000" w:rsidRDefault="00000000" w:rsidRPr="00000000" w14:paraId="0000003B">
      <w:pPr>
        <w:numPr>
          <w:ilvl w:val="0"/>
          <w:numId w:val="3"/>
        </w:numPr>
        <w:shd w:fill="ffffff" w:val="clear"/>
        <w:spacing w:after="0" w:before="0" w:line="360" w:lineRule="auto"/>
        <w:ind w:left="720" w:hanging="360"/>
        <w:jc w:val="both"/>
        <w:rPr>
          <w:color w:val="1c1917"/>
        </w:rPr>
      </w:pPr>
      <w:r w:rsidDel="00000000" w:rsidR="00000000" w:rsidRPr="00000000">
        <w:rPr>
          <w:color w:val="1c1917"/>
          <w:rtl w:val="0"/>
        </w:rPr>
        <w:t xml:space="preserve">Covid related sickness and long-term health impacts</w:t>
      </w:r>
    </w:p>
    <w:p w:rsidR="00000000" w:rsidDel="00000000" w:rsidP="00000000" w:rsidRDefault="00000000" w:rsidRPr="00000000" w14:paraId="0000003C">
      <w:pPr>
        <w:numPr>
          <w:ilvl w:val="0"/>
          <w:numId w:val="3"/>
        </w:numPr>
        <w:shd w:fill="ffffff" w:val="clear"/>
        <w:spacing w:after="0" w:before="0" w:line="360" w:lineRule="auto"/>
        <w:ind w:left="720" w:hanging="360"/>
        <w:jc w:val="both"/>
        <w:rPr>
          <w:color w:val="1c1917"/>
        </w:rPr>
      </w:pPr>
      <w:r w:rsidDel="00000000" w:rsidR="00000000" w:rsidRPr="00000000">
        <w:rPr>
          <w:color w:val="1c1917"/>
          <w:rtl w:val="0"/>
        </w:rPr>
        <w:t xml:space="preserve">Skills/occupational mismatches</w:t>
      </w:r>
    </w:p>
    <w:p w:rsidR="00000000" w:rsidDel="00000000" w:rsidP="00000000" w:rsidRDefault="00000000" w:rsidRPr="00000000" w14:paraId="0000003D">
      <w:pPr>
        <w:numPr>
          <w:ilvl w:val="0"/>
          <w:numId w:val="3"/>
        </w:numPr>
        <w:shd w:fill="ffffff" w:val="clear"/>
        <w:spacing w:after="280" w:before="0" w:line="360" w:lineRule="auto"/>
        <w:ind w:left="720" w:hanging="360"/>
        <w:jc w:val="both"/>
        <w:rPr>
          <w:color w:val="1c1917"/>
        </w:rPr>
      </w:pPr>
      <w:r w:rsidDel="00000000" w:rsidR="00000000" w:rsidRPr="00000000">
        <w:rPr>
          <w:color w:val="1c1917"/>
          <w:rtl w:val="0"/>
        </w:rPr>
        <w:t xml:space="preserve">Geographic imbalances in labor supply and demand</w:t>
      </w:r>
    </w:p>
    <w:p w:rsidR="00000000" w:rsidDel="00000000" w:rsidP="00000000" w:rsidRDefault="00000000" w:rsidRPr="00000000" w14:paraId="0000003E">
      <w:pPr>
        <w:shd w:fill="ffffff" w:val="clear"/>
        <w:spacing w:after="0" w:line="360" w:lineRule="auto"/>
        <w:jc w:val="both"/>
        <w:rPr>
          <w:color w:val="1c1917"/>
        </w:rPr>
      </w:pPr>
      <w:r w:rsidDel="00000000" w:rsidR="00000000" w:rsidRPr="00000000">
        <w:rPr>
          <w:color w:val="1c1917"/>
          <w:rtl w:val="0"/>
        </w:rPr>
        <w:t xml:space="preserve">Restoring EU migration or attracting global talent could help in specific occupations like nursing (</w:t>
      </w:r>
      <w:r w:rsidDel="00000000" w:rsidR="00000000" w:rsidRPr="00000000">
        <w:rPr>
          <w:rtl w:val="0"/>
        </w:rPr>
        <w:t xml:space="preserve">Ziady, 2023)</w:t>
      </w:r>
      <w:r w:rsidDel="00000000" w:rsidR="00000000" w:rsidRPr="00000000">
        <w:rPr>
          <w:color w:val="1c1917"/>
          <w:rtl w:val="0"/>
        </w:rPr>
        <w:t xml:space="preserve">. But plugging all gaps via international routes is unrealistic. Problems appear structural with no quick fixes available.</w:t>
      </w:r>
    </w:p>
    <w:p w:rsidR="00000000" w:rsidDel="00000000" w:rsidP="00000000" w:rsidRDefault="00000000" w:rsidRPr="00000000" w14:paraId="0000003F">
      <w:pPr>
        <w:shd w:fill="ffffff" w:val="clear"/>
        <w:spacing w:after="0" w:line="360" w:lineRule="auto"/>
        <w:jc w:val="both"/>
        <w:rPr>
          <w:color w:val="1c1917"/>
        </w:rPr>
      </w:pPr>
      <w:r w:rsidDel="00000000" w:rsidR="00000000" w:rsidRPr="00000000">
        <w:rPr>
          <w:rtl w:val="0"/>
        </w:rPr>
      </w:r>
    </w:p>
    <w:p w:rsidR="00000000" w:rsidDel="00000000" w:rsidP="00000000" w:rsidRDefault="00000000" w:rsidRPr="00000000" w14:paraId="00000040">
      <w:pPr>
        <w:spacing w:line="360" w:lineRule="auto"/>
        <w:jc w:val="both"/>
        <w:rPr>
          <w:b w:val="1"/>
          <w:u w:val="single"/>
        </w:rPr>
      </w:pPr>
      <w:r w:rsidDel="00000000" w:rsidR="00000000" w:rsidRPr="00000000">
        <w:rPr>
          <w:b w:val="1"/>
          <w:u w:val="single"/>
          <w:rtl w:val="0"/>
        </w:rPr>
        <w:t xml:space="preserve">Rising Share of Self-Employment</w:t>
      </w:r>
    </w:p>
    <w:p w:rsidR="00000000" w:rsidDel="00000000" w:rsidP="00000000" w:rsidRDefault="00000000" w:rsidRPr="00000000" w14:paraId="00000041">
      <w:pPr>
        <w:spacing w:line="360" w:lineRule="auto"/>
        <w:jc w:val="both"/>
        <w:rPr/>
      </w:pPr>
      <w:r w:rsidDel="00000000" w:rsidR="00000000" w:rsidRPr="00000000">
        <w:rPr>
          <w:rtl w:val="0"/>
        </w:rPr>
        <w:t xml:space="preserve">Self-employment accounts for around 15% of total UK employment, rising from 13% in 2008. The gig economy, enabled by digital platforms like Uber and Deliveroo, has facilitated independent and flexible working (Statista, 2022). However, there are concerns around job security, holiday pay and workers' rights within the gig economy. Most self-employed workers remain sole traders with limited scope to grow. </w:t>
      </w:r>
    </w:p>
    <w:p w:rsidR="00000000" w:rsidDel="00000000" w:rsidP="00000000" w:rsidRDefault="00000000" w:rsidRPr="00000000" w14:paraId="00000042">
      <w:pPr>
        <w:spacing w:line="360" w:lineRule="auto"/>
        <w:jc w:val="both"/>
        <w:rPr/>
      </w:pPr>
      <w:r w:rsidDel="00000000" w:rsidR="00000000" w:rsidRPr="00000000">
        <w:rPr>
          <w:rtl w:val="0"/>
        </w:rPr>
        <w:t xml:space="preserve">The government is introducing more protections for self-employed and gig workers, while also making it easier for businesses to utilize flexible staffing. Navigating this changing landscape poses challenges for policymakers in balancing flexibility and autonomy with employment rights and social security (Statista, 2022). Clarifying employment status tests and expanding protections may benefit gig workers without reducing innovation.</w:t>
      </w:r>
    </w:p>
    <w:p w:rsidR="00000000" w:rsidDel="00000000" w:rsidP="00000000" w:rsidRDefault="00000000" w:rsidRPr="00000000" w14:paraId="00000043">
      <w:pPr>
        <w:spacing w:line="360" w:lineRule="auto"/>
        <w:jc w:val="both"/>
        <w:rPr>
          <w:b w:val="1"/>
          <w:u w:val="single"/>
        </w:rPr>
      </w:pPr>
      <w:r w:rsidDel="00000000" w:rsidR="00000000" w:rsidRPr="00000000">
        <w:rPr>
          <w:b w:val="1"/>
          <w:u w:val="single"/>
          <w:rtl w:val="0"/>
        </w:rPr>
        <w:t xml:space="preserve">Pay, Inflation and Industrial Action</w:t>
      </w:r>
    </w:p>
    <w:p w:rsidR="00000000" w:rsidDel="00000000" w:rsidP="00000000" w:rsidRDefault="00000000" w:rsidRPr="00000000" w14:paraId="00000044">
      <w:pPr>
        <w:spacing w:line="360" w:lineRule="auto"/>
        <w:jc w:val="both"/>
        <w:rPr/>
      </w:pPr>
      <w:r w:rsidDel="00000000" w:rsidR="00000000" w:rsidRPr="00000000">
        <w:rPr>
          <w:rtl w:val="0"/>
        </w:rPr>
        <w:t xml:space="preserve">To attract and retain staff in the tight labor market, pay rates have been rising rapidly - average total pay including bonuses grew by 6.2% for April-June 2022. However, with UK inflation now at 9.4%, real wages are falling sharply. Household budgets are being increasingly squeezed by rising living costs (Market, 2023). </w:t>
      </w:r>
    </w:p>
    <w:p w:rsidR="00000000" w:rsidDel="00000000" w:rsidP="00000000" w:rsidRDefault="00000000" w:rsidRPr="00000000" w14:paraId="00000045">
      <w:pPr>
        <w:spacing w:line="360" w:lineRule="auto"/>
        <w:jc w:val="both"/>
        <w:rPr/>
      </w:pPr>
      <w:r w:rsidDel="00000000" w:rsidR="00000000" w:rsidRPr="00000000">
        <w:rPr>
          <w:rtl w:val="0"/>
        </w:rPr>
        <w:t xml:space="preserve">Unions are demanding significant pay raises to combat the cost of living crisis. Threats of strike action are growing across transport, healthcare, education and other public sectors. This industrial unrest may continue without resolution between unions and employers on pay. However, overly generous pay deals risk further fuelling inflation (Market, 2023). Careful wage-setting policies are required to maintain economic stability. The government also faces pressure to increase benefits and provide greater cost of living support.</w:t>
      </w:r>
    </w:p>
    <w:p w:rsidR="00000000" w:rsidDel="00000000" w:rsidP="00000000" w:rsidRDefault="00000000" w:rsidRPr="00000000" w14:paraId="00000046">
      <w:pPr>
        <w:spacing w:line="360" w:lineRule="auto"/>
        <w:jc w:val="both"/>
        <w:rPr>
          <w:b w:val="1"/>
          <w:u w:val="single"/>
        </w:rPr>
      </w:pPr>
      <w:bookmarkStart w:colFirst="0" w:colLast="0" w:name="_1t3h5sf" w:id="4"/>
      <w:bookmarkEnd w:id="4"/>
      <w:r w:rsidDel="00000000" w:rsidR="00000000" w:rsidRPr="00000000">
        <w:rPr>
          <w:b w:val="1"/>
          <w:u w:val="single"/>
          <w:rtl w:val="0"/>
        </w:rPr>
        <w:t xml:space="preserve">The Gender Employment Gap</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Calibri" w:cs="Calibri" w:eastAsia="Calibri" w:hAnsi="Calibri"/>
          <w:b w:val="0"/>
          <w:i w:val="0"/>
          <w:smallCaps w:val="0"/>
          <w:strike w:val="0"/>
          <w:color w:val="1c1917"/>
          <w:sz w:val="22"/>
          <w:szCs w:val="22"/>
          <w:u w:val="none"/>
          <w:shd w:fill="auto" w:val="clear"/>
          <w:vertAlign w:val="baseline"/>
        </w:rPr>
      </w:pP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While female employment climbed steadily for over two decades, the rate remains below pre-pandemic levels at 72.4% versus 79% for men. Mothers and older women above 50 saw markedly weaker workplace re-entry momentum post-Covid. These risks reversing positive trends unless addressed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(Duncan, García and Jolly, 2023)</w:t>
      </w: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Calibri" w:cs="Calibri" w:eastAsia="Calibri" w:hAnsi="Calibri"/>
          <w:b w:val="0"/>
          <w:i w:val="0"/>
          <w:smallCaps w:val="0"/>
          <w:strike w:val="0"/>
          <w:color w:val="1c191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Calibri" w:cs="Calibri" w:eastAsia="Calibri" w:hAnsi="Calibri"/>
          <w:b w:val="0"/>
          <w:i w:val="0"/>
          <w:smallCaps w:val="0"/>
          <w:strike w:val="0"/>
          <w:color w:val="1c1917"/>
          <w:sz w:val="22"/>
          <w:szCs w:val="22"/>
          <w:u w:val="none"/>
          <w:shd w:fill="auto" w:val="clear"/>
          <w:vertAlign w:val="baseline"/>
        </w:rPr>
      </w:pP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Affordable, accessible childcare remains imperative to boosting women's participation, alongside enhanced wage replacement and options for part-time hours that support work life balance for parents. Similarly, quality formal eldercare services and informal caregiving support mechanisms enabling flexible hours are pivotal to prevent women leaving jobs to assume unpaid caring duties. Tackling lingering hiring bias plus enhancing advancement prospects for midcareer women can also help retention and career growth. Government and employers must collaborate on policies strengthening women's position across the labour market lifecycle, as persisting gender employment and pay gaps risk hampering UK competitiveness and growth given women constitute nearly half the workforce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(Duncan, García and Jolly, 2023)</w:t>
      </w: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 Only concerted, multipronged efforts can prevent reversal of hard-won participation gains.</w:t>
      </w:r>
    </w:p>
    <w:p w:rsidR="00000000" w:rsidDel="00000000" w:rsidP="00000000" w:rsidRDefault="00000000" w:rsidRPr="00000000" w14:paraId="0000004A">
      <w:pPr>
        <w:pStyle w:val="Heading1"/>
        <w:spacing w:line="360" w:lineRule="auto"/>
        <w:jc w:val="both"/>
        <w:rPr>
          <w:rFonts w:ascii="Calibri" w:cs="Calibri" w:eastAsia="Calibri" w:hAnsi="Calibri"/>
          <w:sz w:val="22"/>
          <w:szCs w:val="22"/>
          <w:u w:val="single"/>
        </w:rPr>
      </w:pPr>
      <w:bookmarkStart w:colFirst="0" w:colLast="0" w:name="_1fob9te" w:id="5"/>
      <w:bookmarkEnd w:id="5"/>
      <w:r w:rsidDel="00000000" w:rsidR="00000000" w:rsidRPr="00000000">
        <w:rPr>
          <w:rFonts w:ascii="Calibri" w:cs="Calibri" w:eastAsia="Calibri" w:hAnsi="Calibri"/>
          <w:sz w:val="22"/>
          <w:szCs w:val="22"/>
          <w:u w:val="single"/>
          <w:rtl w:val="0"/>
        </w:rPr>
        <w:t xml:space="preserve">The emerging changes in Human Resourcing Strategies in the post Covid, post Brexit external environment.</w:t>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rtl w:val="0"/>
        </w:rPr>
        <w:t xml:space="preserve">The COVID-19 pandemic and Brexit have catalysed profound changes in the external landscape that Human Resources (HR) functions must navigate. Organizations face new uncertainties including evolving public health measures, talent shortages and retention challenges, hybrid work trends, and Brexit-related immigration policy shifts. In this climate, HR strategies must adapt to support organizational resilience, agility, and competitiveness. Key focus areas include employee health, safety and wellbeing, virtual on boarding and engagement, data-driven hiring and skills development, and immigration compliance. As the post-COVID, post-Brexit environment continues to unfold, innovative and responsive HR strategies will be vital to access and retain diverse talent, foster inclusive cultures, and drive business continuity.</w:t>
      </w:r>
    </w:p>
    <w:p w:rsidR="00000000" w:rsidDel="00000000" w:rsidP="00000000" w:rsidRDefault="00000000" w:rsidRPr="00000000" w14:paraId="0000004D">
      <w:pPr>
        <w:spacing w:line="360" w:lineRule="auto"/>
        <w:jc w:val="both"/>
        <w:rPr>
          <w:b w:val="1"/>
          <w:u w:val="single"/>
        </w:rPr>
      </w:pPr>
      <w:r w:rsidDel="00000000" w:rsidR="00000000" w:rsidRPr="00000000">
        <w:rPr>
          <w:b w:val="1"/>
          <w:u w:val="single"/>
          <w:rtl w:val="0"/>
        </w:rPr>
        <w:t xml:space="preserve">Remote and Hybrid Working Models</w:t>
      </w:r>
    </w:p>
    <w:p w:rsidR="00000000" w:rsidDel="00000000" w:rsidP="00000000" w:rsidRDefault="00000000" w:rsidRPr="00000000" w14:paraId="0000004E">
      <w:pPr>
        <w:spacing w:line="360" w:lineRule="auto"/>
        <w:jc w:val="both"/>
        <w:rPr/>
      </w:pPr>
      <w:r w:rsidDel="00000000" w:rsidR="00000000" w:rsidRPr="00000000">
        <w:rPr>
          <w:rtl w:val="0"/>
        </w:rPr>
        <w:t xml:space="preserve">The widespread shift to remote work during the pandemic is likely to endure in some form beyond the crisis. While many jobs require on-site presence, surveys indicate over half of UK employee’s desire greater location flexibility (Deloitte, 2022). Many organizations are adopting hybrid working models, enabling employees to split time between remote work and the office.</w:t>
      </w:r>
    </w:p>
    <w:p w:rsidR="00000000" w:rsidDel="00000000" w:rsidP="00000000" w:rsidRDefault="00000000" w:rsidRPr="00000000" w14:paraId="0000004F">
      <w:pPr>
        <w:spacing w:line="360" w:lineRule="auto"/>
        <w:jc w:val="both"/>
        <w:rPr/>
      </w:pPr>
      <w:r w:rsidDel="00000000" w:rsidR="00000000" w:rsidRPr="00000000">
        <w:rPr>
          <w:rtl w:val="0"/>
        </w:rPr>
        <w:t xml:space="preserve">Flexible remote work can expand talent reach, improve work-life balance, reduce costs and enable targeted overseas hiring (Stull, 2023). Managers enjoy benefits like better focus and productivity. However, managing dispersed teams also poses challenges around collaboration, company culture, performance evaluation, security and technology.</w:t>
      </w:r>
    </w:p>
    <w:p w:rsidR="00000000" w:rsidDel="00000000" w:rsidP="00000000" w:rsidRDefault="00000000" w:rsidRPr="00000000" w14:paraId="00000050">
      <w:pPr>
        <w:spacing w:line="360" w:lineRule="auto"/>
        <w:jc w:val="both"/>
        <w:rPr/>
      </w:pPr>
      <w:r w:rsidDel="00000000" w:rsidR="00000000" w:rsidRPr="00000000">
        <w:rPr>
          <w:rtl w:val="0"/>
        </w:rPr>
        <w:t xml:space="preserve">HR plays a key role in developing clear remote and hybrid working policies on expectations, best practices and technology tools. Training managers to lead virtual teams, set goals and coach remotely are critical success factors. Maintaining connection, cohesion and engagement in hybrid teams remains vital but achievable through face-to-face touchpoints, virtual social events and strong communication (Deloitte, 2022). Policies must remain agile amidst on-going uncertainty.</w:t>
      </w:r>
    </w:p>
    <w:p w:rsidR="00000000" w:rsidDel="00000000" w:rsidP="00000000" w:rsidRDefault="00000000" w:rsidRPr="00000000" w14:paraId="00000051">
      <w:pPr>
        <w:spacing w:line="360" w:lineRule="auto"/>
        <w:jc w:val="both"/>
        <w:rPr>
          <w:b w:val="1"/>
          <w:u w:val="single"/>
        </w:rPr>
      </w:pPr>
      <w:bookmarkStart w:colFirst="0" w:colLast="0" w:name="_4d34og8" w:id="6"/>
      <w:bookmarkEnd w:id="6"/>
      <w:r w:rsidDel="00000000" w:rsidR="00000000" w:rsidRPr="00000000">
        <w:rPr>
          <w:b w:val="1"/>
          <w:u w:val="single"/>
          <w:rtl w:val="0"/>
        </w:rPr>
        <w:t xml:space="preserve">Strategic Workforce Planning</w:t>
      </w:r>
    </w:p>
    <w:p w:rsidR="00000000" w:rsidDel="00000000" w:rsidP="00000000" w:rsidRDefault="00000000" w:rsidRPr="00000000" w14:paraId="00000052">
      <w:pPr>
        <w:shd w:fill="ffffff" w:val="clear"/>
        <w:spacing w:after="0" w:line="360" w:lineRule="auto"/>
        <w:jc w:val="both"/>
        <w:rPr>
          <w:color w:val="1c1917"/>
        </w:rPr>
      </w:pPr>
      <w:r w:rsidDel="00000000" w:rsidR="00000000" w:rsidRPr="00000000">
        <w:rPr>
          <w:color w:val="1c1917"/>
          <w:rtl w:val="0"/>
        </w:rPr>
        <w:t xml:space="preserve">The pandemic and Brexit fueled substantial workforce change. HR now takes a more adaptable, detailed approach to planning, forecasting and modeling, assessing:</w:t>
      </w:r>
    </w:p>
    <w:p w:rsidR="00000000" w:rsidDel="00000000" w:rsidP="00000000" w:rsidRDefault="00000000" w:rsidRPr="00000000" w14:paraId="00000053">
      <w:pPr>
        <w:numPr>
          <w:ilvl w:val="0"/>
          <w:numId w:val="4"/>
        </w:numPr>
        <w:shd w:fill="ffffff" w:val="clear"/>
        <w:spacing w:after="0" w:before="280" w:line="360" w:lineRule="auto"/>
        <w:ind w:left="720" w:hanging="360"/>
        <w:jc w:val="both"/>
        <w:rPr>
          <w:color w:val="1c1917"/>
        </w:rPr>
      </w:pPr>
      <w:r w:rsidDel="00000000" w:rsidR="00000000" w:rsidRPr="00000000">
        <w:rPr>
          <w:color w:val="1c1917"/>
          <w:rtl w:val="0"/>
        </w:rPr>
        <w:t xml:space="preserve">Changing work patterns and preferences post COVID such as demand for hybrid roles</w:t>
      </w:r>
    </w:p>
    <w:p w:rsidR="00000000" w:rsidDel="00000000" w:rsidP="00000000" w:rsidRDefault="00000000" w:rsidRPr="00000000" w14:paraId="00000054">
      <w:pPr>
        <w:numPr>
          <w:ilvl w:val="0"/>
          <w:numId w:val="4"/>
        </w:numPr>
        <w:shd w:fill="ffffff" w:val="clear"/>
        <w:spacing w:after="0" w:before="0" w:line="360" w:lineRule="auto"/>
        <w:ind w:left="720" w:hanging="360"/>
        <w:jc w:val="both"/>
        <w:rPr>
          <w:color w:val="1c1917"/>
        </w:rPr>
      </w:pPr>
      <w:r w:rsidDel="00000000" w:rsidR="00000000" w:rsidRPr="00000000">
        <w:rPr>
          <w:color w:val="1c1917"/>
          <w:rtl w:val="0"/>
        </w:rPr>
        <w:t xml:space="preserve">Business priorities and critical talent needs using workforce analytics</w:t>
      </w:r>
    </w:p>
    <w:p w:rsidR="00000000" w:rsidDel="00000000" w:rsidP="00000000" w:rsidRDefault="00000000" w:rsidRPr="00000000" w14:paraId="00000055">
      <w:pPr>
        <w:numPr>
          <w:ilvl w:val="0"/>
          <w:numId w:val="4"/>
        </w:numPr>
        <w:shd w:fill="ffffff" w:val="clear"/>
        <w:spacing w:after="0" w:before="0" w:line="360" w:lineRule="auto"/>
        <w:ind w:left="720" w:hanging="360"/>
        <w:jc w:val="both"/>
        <w:rPr>
          <w:color w:val="1c1917"/>
        </w:rPr>
      </w:pPr>
      <w:r w:rsidDel="00000000" w:rsidR="00000000" w:rsidRPr="00000000">
        <w:rPr>
          <w:color w:val="1c1917"/>
          <w:rtl w:val="0"/>
        </w:rPr>
        <w:t xml:space="preserve">Latest employee surveys, exit interviews and engagement tracker findings</w:t>
      </w:r>
    </w:p>
    <w:p w:rsidR="00000000" w:rsidDel="00000000" w:rsidP="00000000" w:rsidRDefault="00000000" w:rsidRPr="00000000" w14:paraId="00000056">
      <w:pPr>
        <w:numPr>
          <w:ilvl w:val="0"/>
          <w:numId w:val="4"/>
        </w:numPr>
        <w:shd w:fill="ffffff" w:val="clear"/>
        <w:spacing w:after="280" w:before="0" w:line="360" w:lineRule="auto"/>
        <w:ind w:left="720" w:hanging="360"/>
        <w:jc w:val="both"/>
        <w:rPr>
          <w:color w:val="1c1917"/>
        </w:rPr>
      </w:pPr>
      <w:r w:rsidDel="00000000" w:rsidR="00000000" w:rsidRPr="00000000">
        <w:rPr>
          <w:color w:val="1c1917"/>
          <w:rtl w:val="0"/>
        </w:rPr>
        <w:t xml:space="preserve">External hiring landscape, competitor moves and skills trends</w:t>
      </w:r>
    </w:p>
    <w:p w:rsidR="00000000" w:rsidDel="00000000" w:rsidP="00000000" w:rsidRDefault="00000000" w:rsidRPr="00000000" w14:paraId="00000057">
      <w:pPr>
        <w:spacing w:line="360" w:lineRule="auto"/>
        <w:jc w:val="both"/>
        <w:rPr>
          <w:b w:val="1"/>
          <w:u w:val="single"/>
        </w:rPr>
      </w:pPr>
      <w:r w:rsidDel="00000000" w:rsidR="00000000" w:rsidRPr="00000000">
        <w:rPr>
          <w:b w:val="1"/>
          <w:u w:val="single"/>
          <w:rtl w:val="0"/>
        </w:rPr>
        <w:t xml:space="preserve">Recruitment and Retention Challenges</w:t>
      </w:r>
    </w:p>
    <w:p w:rsidR="00000000" w:rsidDel="00000000" w:rsidP="00000000" w:rsidRDefault="00000000" w:rsidRPr="00000000" w14:paraId="00000058">
      <w:pPr>
        <w:spacing w:line="360" w:lineRule="auto"/>
        <w:jc w:val="both"/>
        <w:rPr/>
      </w:pPr>
      <w:r w:rsidDel="00000000" w:rsidR="00000000" w:rsidRPr="00000000">
        <w:rPr>
          <w:rtl w:val="0"/>
        </w:rPr>
        <w:t xml:space="preserve">The UK is experiencing talent shortages across many sectors from technology to healthcare, logistics and hospitality. Brexit has reduced migrant worker inflows, while the Great Resignation during Covid accelerated churn. Hiring has become more competitive with protracted vacancies. Retention is also critical as employees change roles more frequently. Organizations are focused on improving their employer brand, candidate experience, pay structures, benefits, training and career progression opportunities (Deloitte, 2022). Referral bonuses, alumni networks, succession planning and talent mobility programs aid retention. </w:t>
      </w:r>
    </w:p>
    <w:p w:rsidR="00000000" w:rsidDel="00000000" w:rsidP="00000000" w:rsidRDefault="00000000" w:rsidRPr="00000000" w14:paraId="00000059">
      <w:pPr>
        <w:spacing w:line="360" w:lineRule="auto"/>
        <w:jc w:val="both"/>
        <w:rPr/>
      </w:pPr>
      <w:r w:rsidDel="00000000" w:rsidR="00000000" w:rsidRPr="00000000">
        <w:rPr>
          <w:rtl w:val="0"/>
        </w:rPr>
        <w:t xml:space="preserve">Internships, apprenticeships and upskilling help build talent pipelines. But shortages of niche skills remain a concern.HR plays a key role through workforce planning, compensation benchmarking, channel strategy and coordinating cross-functional collaboration between recruitment and business teams (Deloitte, 2022). However, talent acquisition costs are rising, making it imperative to balance external hiring with internal development.</w:t>
      </w:r>
    </w:p>
    <w:p w:rsidR="00000000" w:rsidDel="00000000" w:rsidP="00000000" w:rsidRDefault="00000000" w:rsidRPr="00000000" w14:paraId="0000005A">
      <w:pPr>
        <w:spacing w:line="360" w:lineRule="auto"/>
        <w:jc w:val="both"/>
        <w:rPr>
          <w:b w:val="1"/>
          <w:u w:val="single"/>
        </w:rPr>
      </w:pPr>
      <w:bookmarkStart w:colFirst="0" w:colLast="0" w:name="_2s8eyo1" w:id="7"/>
      <w:bookmarkEnd w:id="7"/>
      <w:r w:rsidDel="00000000" w:rsidR="00000000" w:rsidRPr="00000000">
        <w:rPr>
          <w:b w:val="1"/>
          <w:u w:val="single"/>
          <w:rtl w:val="0"/>
        </w:rPr>
        <w:t xml:space="preserve">Changes in HR Polices using technology innovations</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Calibri" w:cs="Calibri" w:eastAsia="Calibri" w:hAnsi="Calibri"/>
          <w:b w:val="0"/>
          <w:i w:val="0"/>
          <w:smallCaps w:val="0"/>
          <w:strike w:val="0"/>
          <w:color w:val="1c1917"/>
          <w:sz w:val="22"/>
          <w:szCs w:val="22"/>
          <w:u w:val="none"/>
          <w:shd w:fill="auto" w:val="clear"/>
          <w:vertAlign w:val="baseline"/>
        </w:rPr>
      </w:pP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Advanced HR systems now underpin many processes, freeing up professionals to focus less on administration and more on strategic priorities. AI-powered chatbots efficiently manage high-volume queries using NLP, while predictive analytics informs data backed decision-making on issues like retention and skills forecasting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Wilson, 2023)</w:t>
      </w: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 Cloud based talent marketplaces with smart matching algorithms can directly source specialised contractors to fill project capability gaps. End-to-end recruitment platforms integrate assessments and track funnel health via candidate relationship management. </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Calibri" w:cs="Calibri" w:eastAsia="Calibri" w:hAnsi="Calibri"/>
          <w:b w:val="0"/>
          <w:i w:val="0"/>
          <w:smallCaps w:val="0"/>
          <w:strike w:val="0"/>
          <w:color w:val="1c191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Calibri" w:cs="Calibri" w:eastAsia="Calibri" w:hAnsi="Calibri"/>
          <w:b w:val="0"/>
          <w:i w:val="0"/>
          <w:smallCaps w:val="0"/>
          <w:strike w:val="0"/>
          <w:color w:val="1c1917"/>
          <w:sz w:val="22"/>
          <w:szCs w:val="22"/>
          <w:u w:val="none"/>
          <w:shd w:fill="auto" w:val="clear"/>
          <w:vertAlign w:val="baseline"/>
        </w:rPr>
      </w:pPr>
      <w:bookmarkStart w:colFirst="0" w:colLast="0" w:name="_17dp8vu" w:id="8"/>
      <w:bookmarkEnd w:id="8"/>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Consumer grade self service employee apps boost UX allowing workers to access personal data anywhere, digitize paperwork and manage queries themselves thus optimizing HR bandwidth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Wilson, 2023)</w:t>
      </w: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 By harnessing such technologies while retaining focus on the human experience via training and change management, HR leadership can ensure digitization augments rather than replaces human interactions. As virtual working necessitates more seamless digital support across the employee lifecycle, teams blending cutting-edge tools with emotional intelligence and meaning creation stand the best chance of enabling fulfilling work cultures where talent and technology synergize for superior innovation and resilience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Wilson, 2023)</w:t>
      </w:r>
      <w:r w:rsidDel="00000000" w:rsidR="00000000" w:rsidRPr="00000000">
        <w:rPr>
          <w:rFonts w:ascii="Calibri" w:cs="Calibri" w:eastAsia="Calibri" w:hAnsi="Calibri"/>
          <w:b w:val="0"/>
          <w:i w:val="0"/>
          <w:smallCaps w:val="0"/>
          <w:strike w:val="0"/>
          <w:color w:val="1c1917"/>
          <w:sz w:val="22"/>
          <w:szCs w:val="22"/>
          <w:u w:val="none"/>
          <w:shd w:fill="auto" w:val="clear"/>
          <w:vertAlign w:val="baseline"/>
          <w:rtl w:val="0"/>
        </w:rPr>
        <w:t xml:space="preserve">.</w:t>
      </w:r>
    </w:p>
    <w:p w:rsidR="00000000" w:rsidDel="00000000" w:rsidP="00000000" w:rsidRDefault="00000000" w:rsidRPr="00000000" w14:paraId="0000005E">
      <w:pPr>
        <w:spacing w:line="360" w:lineRule="auto"/>
        <w:jc w:val="both"/>
        <w:rPr/>
      </w:pPr>
      <w:r w:rsidDel="00000000" w:rsidR="00000000" w:rsidRPr="00000000">
        <w:rPr>
          <w:rtl w:val="0"/>
        </w:rPr>
      </w:r>
    </w:p>
    <w:p w:rsidR="00000000" w:rsidDel="00000000" w:rsidP="00000000" w:rsidRDefault="00000000" w:rsidRPr="00000000" w14:paraId="0000005F">
      <w:pPr>
        <w:spacing w:line="360" w:lineRule="auto"/>
        <w:jc w:val="both"/>
        <w:rPr/>
      </w:pPr>
      <w:r w:rsidDel="00000000" w:rsidR="00000000" w:rsidRPr="00000000">
        <w:rPr>
          <w:b w:val="1"/>
          <w:rtl w:val="0"/>
        </w:rPr>
        <w:t xml:space="preserve">Table 1:</w:t>
      </w:r>
      <w:r w:rsidDel="00000000" w:rsidR="00000000" w:rsidRPr="00000000">
        <w:rPr>
          <w:rtl w:val="0"/>
        </w:rPr>
        <w:t xml:space="preserve"> Key emerging changes in human resourcing strategies in the post-COVID, post-Brexit environment:</w:t>
      </w:r>
    </w:p>
    <w:p w:rsidR="00000000" w:rsidDel="00000000" w:rsidP="00000000" w:rsidRDefault="00000000" w:rsidRPr="00000000" w14:paraId="00000060">
      <w:pPr>
        <w:spacing w:line="360" w:lineRule="auto"/>
        <w:jc w:val="center"/>
        <w:rPr/>
      </w:pPr>
      <w:r w:rsidDel="00000000" w:rsidR="00000000" w:rsidRPr="00000000">
        <w:rPr/>
        <w:drawing>
          <wp:inline distB="0" distT="0" distL="0" distR="0">
            <wp:extent cx="5017888" cy="4295468"/>
            <wp:effectExtent b="0" l="0" r="0" t="0"/>
            <wp:docPr id="3" name="image2.png"/>
            <a:graphic>
              <a:graphicData uri="http://schemas.openxmlformats.org/drawingml/2006/picture">
                <pic:pic>
                  <pic:nvPicPr>
                    <pic:cNvPr id="0" name="image2.png"/>
                    <pic:cNvPicPr preferRelativeResize="0"/>
                  </pic:nvPicPr>
                  <pic:blipFill>
                    <a:blip r:embed="rId8"/>
                    <a:srcRect b="12216" l="30080" r="27209" t="22758"/>
                    <a:stretch>
                      <a:fillRect/>
                    </a:stretch>
                  </pic:blipFill>
                  <pic:spPr>
                    <a:xfrm>
                      <a:off x="0" y="0"/>
                      <a:ext cx="5017888" cy="4295468"/>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line="360" w:lineRule="auto"/>
        <w:jc w:val="both"/>
        <w:rPr>
          <w:b w:val="1"/>
          <w:u w:val="single"/>
        </w:rPr>
      </w:pPr>
      <w:bookmarkStart w:colFirst="0" w:colLast="0" w:name="_3rdcrjn" w:id="9"/>
      <w:bookmarkEnd w:id="9"/>
      <w:r w:rsidDel="00000000" w:rsidR="00000000" w:rsidRPr="00000000">
        <w:rPr>
          <w:b w:val="1"/>
          <w:u w:val="single"/>
          <w:rtl w:val="0"/>
        </w:rPr>
        <w:t xml:space="preserve">HR department be transparent with employees</w:t>
      </w:r>
    </w:p>
    <w:p w:rsidR="00000000" w:rsidDel="00000000" w:rsidP="00000000" w:rsidRDefault="00000000" w:rsidRPr="00000000" w14:paraId="00000062">
      <w:pPr>
        <w:spacing w:line="360" w:lineRule="auto"/>
        <w:jc w:val="both"/>
        <w:rPr>
          <w:b w:val="0"/>
          <w:color w:val="252525"/>
        </w:rPr>
      </w:pPr>
      <w:r w:rsidDel="00000000" w:rsidR="00000000" w:rsidRPr="00000000">
        <w:rPr>
          <w:b w:val="0"/>
          <w:color w:val="252525"/>
          <w:rtl w:val="0"/>
        </w:rPr>
        <w:t xml:space="preserve">During the pandemic, different people are affected mentally, and new regulations are set up for businesses in the UK market. The human resources departments of different companies in the UK clearly discuss the impact of Brexit and COVID-19 on employees and how to manage these impacts properly (</w:t>
      </w:r>
      <w:r w:rsidDel="00000000" w:rsidR="00000000" w:rsidRPr="00000000">
        <w:rPr>
          <w:rtl w:val="0"/>
        </w:rPr>
        <w:t xml:space="preserve">Lattice, 2021)</w:t>
      </w:r>
      <w:r w:rsidDel="00000000" w:rsidR="00000000" w:rsidRPr="00000000">
        <w:rPr>
          <w:b w:val="0"/>
          <w:color w:val="252525"/>
          <w:rtl w:val="0"/>
        </w:rPr>
        <w:t xml:space="preserve">. Clear and transparent information is provided to employees so that they can focus on how to work for businesses with full effort. </w:t>
      </w:r>
    </w:p>
    <w:p w:rsidR="00000000" w:rsidDel="00000000" w:rsidP="00000000" w:rsidRDefault="00000000" w:rsidRPr="00000000" w14:paraId="00000063">
      <w:pPr>
        <w:spacing w:line="360" w:lineRule="auto"/>
        <w:jc w:val="both"/>
        <w:rPr>
          <w:b w:val="1"/>
          <w:u w:val="single"/>
        </w:rPr>
      </w:pPr>
      <w:r w:rsidDel="00000000" w:rsidR="00000000" w:rsidRPr="00000000">
        <w:rPr>
          <w:b w:val="1"/>
          <w:u w:val="single"/>
          <w:rtl w:val="0"/>
        </w:rPr>
        <w:t xml:space="preserve">Focus on Retention and loyalty</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Calibri" w:cs="Calibri" w:eastAsia="Calibri" w:hAnsi="Calibri"/>
          <w:b w:val="0"/>
          <w:i w:val="0"/>
          <w:smallCaps w:val="0"/>
          <w:strike w:val="0"/>
          <w:color w:val="252525"/>
          <w:sz w:val="22"/>
          <w:szCs w:val="22"/>
          <w:u w:val="none"/>
          <w:shd w:fill="auto" w:val="clear"/>
          <w:vertAlign w:val="baseline"/>
        </w:rPr>
      </w:pPr>
      <w:r w:rsidDel="00000000" w:rsidR="00000000" w:rsidRPr="00000000">
        <w:rPr>
          <w:rFonts w:ascii="Calibri" w:cs="Calibri" w:eastAsia="Calibri" w:hAnsi="Calibri"/>
          <w:b w:val="0"/>
          <w:i w:val="0"/>
          <w:smallCaps w:val="0"/>
          <w:strike w:val="0"/>
          <w:color w:val="252525"/>
          <w:sz w:val="22"/>
          <w:szCs w:val="22"/>
          <w:u w:val="none"/>
          <w:shd w:fill="auto" w:val="clear"/>
          <w:vertAlign w:val="baseline"/>
          <w:rtl w:val="0"/>
        </w:rPr>
        <w:t xml:space="preserve">Retention is becoming a top concern due to an increase in voluntary resignations—over 4 million people left their jobs in 2021. Improving pathways to up-skilling, leadership exposure, empowerment, and advancement visibility all contribute to increased satisfaction and loyalty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Lattice, 2021) </w:t>
      </w:r>
      <w:r w:rsidDel="00000000" w:rsidR="00000000" w:rsidRPr="00000000">
        <w:rPr>
          <w:rFonts w:ascii="Calibri" w:cs="Calibri" w:eastAsia="Calibri" w:hAnsi="Calibri"/>
          <w:b w:val="0"/>
          <w:i w:val="0"/>
          <w:smallCaps w:val="0"/>
          <w:strike w:val="0"/>
          <w:color w:val="252525"/>
          <w:sz w:val="22"/>
          <w:szCs w:val="22"/>
          <w:u w:val="none"/>
          <w:shd w:fill="auto" w:val="clear"/>
          <w:vertAlign w:val="baseline"/>
          <w:rtl w:val="0"/>
        </w:rPr>
        <w:t xml:space="preserve">. Top companies support flexible work arrangements that meet the needs of their workers at various phases of their careers and lives. Adaptation and performance are increased by comprehensive health support that takes into account social, emotional, and financial aspects.  The company needs to focus on a positive working environment in the company and make sure that employees are satisfied with their jobs properly, which will help the long-term stay of employees in the company.</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Calibri" w:cs="Calibri" w:eastAsia="Calibri" w:hAnsi="Calibri"/>
          <w:b w:val="0"/>
          <w:i w:val="0"/>
          <w:smallCaps w:val="0"/>
          <w:strike w:val="0"/>
          <w:color w:val="252525"/>
          <w:sz w:val="22"/>
          <w:szCs w:val="22"/>
          <w:u w:val="none"/>
          <w:shd w:fill="auto" w:val="clear"/>
          <w:vertAlign w:val="baseline"/>
        </w:rPr>
      </w:pPr>
      <w:r w:rsidDel="00000000" w:rsidR="00000000" w:rsidRPr="00000000">
        <w:rPr>
          <w:rFonts w:ascii="Calibri" w:cs="Calibri" w:eastAsia="Calibri" w:hAnsi="Calibri"/>
          <w:b w:val="0"/>
          <w:i w:val="0"/>
          <w:smallCaps w:val="0"/>
          <w:strike w:val="0"/>
          <w:color w:val="252525"/>
          <w:sz w:val="22"/>
          <w:szCs w:val="22"/>
          <w:u w:val="none"/>
          <w:shd w:fill="auto" w:val="clear"/>
          <w:vertAlign w:val="baseline"/>
          <w:rtl w:val="0"/>
        </w:rPr>
        <w:t xml:space="preserve"> </w:t>
      </w:r>
      <w:r w:rsidDel="00000000" w:rsidR="00000000" w:rsidRPr="00000000">
        <w:rPr>
          <w:rFonts w:ascii="Calibri" w:cs="Calibri" w:eastAsia="Calibri" w:hAnsi="Calibri"/>
          <w:b w:val="1"/>
          <w:i w:val="0"/>
          <w:smallCaps w:val="0"/>
          <w:strike w:val="0"/>
          <w:color w:val="000000"/>
          <w:sz w:val="22"/>
          <w:szCs w:val="22"/>
          <w:u w:val="single"/>
          <w:shd w:fill="auto" w:val="clear"/>
          <w:vertAlign w:val="baseline"/>
          <w:rtl w:val="0"/>
        </w:rPr>
        <w:t xml:space="preserve">Reskilling Capabilities</w:t>
      </w:r>
      <w:r w:rsidDel="00000000" w:rsidR="00000000" w:rsidRPr="00000000">
        <w:rPr>
          <w:rtl w:val="0"/>
        </w:rPr>
      </w:r>
    </w:p>
    <w:p w:rsidR="00000000" w:rsidDel="00000000" w:rsidP="00000000" w:rsidRDefault="00000000" w:rsidRPr="00000000" w14:paraId="00000066">
      <w:pPr>
        <w:shd w:fill="ffffff" w:val="clear"/>
        <w:spacing w:after="280" w:before="280" w:line="360" w:lineRule="auto"/>
        <w:jc w:val="both"/>
        <w:rPr>
          <w:color w:val="1c1917"/>
        </w:rPr>
      </w:pPr>
      <w:r w:rsidDel="00000000" w:rsidR="00000000" w:rsidRPr="00000000">
        <w:rPr>
          <w:rtl w:val="0"/>
        </w:rPr>
        <w:t xml:space="preserve">The companies in the UK demand skilled employees, and for that reason, training the employees with an alignment of the vision of the business is better for both individuals and employees (Nishat, 2019). The following ways of training employees must be implemented in the market, such as</w:t>
      </w:r>
      <w:r w:rsidDel="00000000" w:rsidR="00000000" w:rsidRPr="00000000">
        <w:rPr>
          <w:rtl w:val="0"/>
        </w:rPr>
      </w:r>
    </w:p>
    <w:p w:rsidR="00000000" w:rsidDel="00000000" w:rsidP="00000000" w:rsidRDefault="00000000" w:rsidRPr="00000000" w14:paraId="00000067">
      <w:pPr>
        <w:numPr>
          <w:ilvl w:val="0"/>
          <w:numId w:val="1"/>
        </w:numPr>
        <w:shd w:fill="ffffff" w:val="clear"/>
        <w:spacing w:after="0" w:before="280" w:line="360" w:lineRule="auto"/>
        <w:ind w:left="720" w:hanging="360"/>
        <w:jc w:val="both"/>
        <w:rPr>
          <w:color w:val="1c1917"/>
        </w:rPr>
      </w:pPr>
      <w:r w:rsidDel="00000000" w:rsidR="00000000" w:rsidRPr="00000000">
        <w:rPr>
          <w:color w:val="1c1917"/>
          <w:rtl w:val="0"/>
        </w:rPr>
        <w:t xml:space="preserve">Micro learning through curated video content</w:t>
      </w:r>
    </w:p>
    <w:p w:rsidR="00000000" w:rsidDel="00000000" w:rsidP="00000000" w:rsidRDefault="00000000" w:rsidRPr="00000000" w14:paraId="00000068">
      <w:pPr>
        <w:numPr>
          <w:ilvl w:val="0"/>
          <w:numId w:val="1"/>
        </w:numPr>
        <w:shd w:fill="ffffff" w:val="clear"/>
        <w:spacing w:after="0" w:before="0" w:line="360" w:lineRule="auto"/>
        <w:ind w:left="720" w:hanging="360"/>
        <w:jc w:val="both"/>
        <w:rPr>
          <w:color w:val="1c1917"/>
        </w:rPr>
      </w:pPr>
      <w:r w:rsidDel="00000000" w:rsidR="00000000" w:rsidRPr="00000000">
        <w:rPr>
          <w:color w:val="1c1917"/>
          <w:rtl w:val="0"/>
        </w:rPr>
        <w:t xml:space="preserve">Accessible eLearning across mobile platforms</w:t>
      </w:r>
    </w:p>
    <w:p w:rsidR="00000000" w:rsidDel="00000000" w:rsidP="00000000" w:rsidRDefault="00000000" w:rsidRPr="00000000" w14:paraId="00000069">
      <w:pPr>
        <w:numPr>
          <w:ilvl w:val="0"/>
          <w:numId w:val="1"/>
        </w:numPr>
        <w:shd w:fill="ffffff" w:val="clear"/>
        <w:spacing w:after="0" w:before="0" w:line="360" w:lineRule="auto"/>
        <w:ind w:left="720" w:hanging="360"/>
        <w:jc w:val="both"/>
        <w:rPr>
          <w:color w:val="1c1917"/>
        </w:rPr>
      </w:pPr>
      <w:r w:rsidDel="00000000" w:rsidR="00000000" w:rsidRPr="00000000">
        <w:rPr>
          <w:color w:val="1c1917"/>
          <w:rtl w:val="0"/>
        </w:rPr>
        <w:t xml:space="preserve">Hands-on lab simulations reflecting real-world practice</w:t>
      </w:r>
    </w:p>
    <w:p w:rsidR="00000000" w:rsidDel="00000000" w:rsidP="00000000" w:rsidRDefault="00000000" w:rsidRPr="00000000" w14:paraId="0000006A">
      <w:pPr>
        <w:numPr>
          <w:ilvl w:val="0"/>
          <w:numId w:val="1"/>
        </w:numPr>
        <w:shd w:fill="ffffff" w:val="clear"/>
        <w:spacing w:after="0" w:before="0" w:line="360" w:lineRule="auto"/>
        <w:ind w:left="720" w:hanging="360"/>
        <w:jc w:val="both"/>
        <w:rPr>
          <w:color w:val="1c1917"/>
        </w:rPr>
      </w:pPr>
      <w:r w:rsidDel="00000000" w:rsidR="00000000" w:rsidRPr="00000000">
        <w:rPr>
          <w:color w:val="1c1917"/>
          <w:rtl w:val="0"/>
        </w:rPr>
        <w:t xml:space="preserve">Peer to peer coaching and collaborative projects</w:t>
      </w:r>
    </w:p>
    <w:p w:rsidR="00000000" w:rsidDel="00000000" w:rsidP="00000000" w:rsidRDefault="00000000" w:rsidRPr="00000000" w14:paraId="0000006B">
      <w:pPr>
        <w:numPr>
          <w:ilvl w:val="0"/>
          <w:numId w:val="1"/>
        </w:numPr>
        <w:shd w:fill="ffffff" w:val="clear"/>
        <w:spacing w:after="280" w:before="0" w:line="360" w:lineRule="auto"/>
        <w:ind w:left="720" w:hanging="360"/>
        <w:jc w:val="both"/>
        <w:rPr>
          <w:color w:val="1c1917"/>
        </w:rPr>
      </w:pPr>
      <w:r w:rsidDel="00000000" w:rsidR="00000000" w:rsidRPr="00000000">
        <w:rPr>
          <w:color w:val="1c1917"/>
          <w:rtl w:val="0"/>
        </w:rPr>
        <w:t xml:space="preserve">Rotational assignments to gain exposure</w:t>
      </w:r>
    </w:p>
    <w:p w:rsidR="00000000" w:rsidDel="00000000" w:rsidP="00000000" w:rsidRDefault="00000000" w:rsidRPr="00000000" w14:paraId="0000006C">
      <w:pPr>
        <w:shd w:fill="ffffff" w:val="clear"/>
        <w:spacing w:after="0" w:line="360" w:lineRule="auto"/>
        <w:jc w:val="both"/>
        <w:rPr/>
      </w:pPr>
      <w:r w:rsidDel="00000000" w:rsidR="00000000" w:rsidRPr="00000000">
        <w:rPr>
          <w:rtl w:val="0"/>
        </w:rPr>
        <w:t xml:space="preserve">Partnerships with online academies such as Coursera, and Udemy, enable access to over 4,000 courses help in up skilling talent (Stull, 2023).</w:t>
      </w:r>
    </w:p>
    <w:p w:rsidR="00000000" w:rsidDel="00000000" w:rsidP="00000000" w:rsidRDefault="00000000" w:rsidRPr="00000000" w14:paraId="0000006D">
      <w:pPr>
        <w:pStyle w:val="Heading1"/>
        <w:spacing w:line="360" w:lineRule="auto"/>
        <w:jc w:val="both"/>
        <w:rPr>
          <w:rFonts w:ascii="Calibri" w:cs="Calibri" w:eastAsia="Calibri" w:hAnsi="Calibri"/>
          <w:sz w:val="22"/>
          <w:szCs w:val="22"/>
        </w:rPr>
      </w:pPr>
      <w:bookmarkStart w:colFirst="0" w:colLast="0" w:name="_3znysh7" w:id="10"/>
      <w:bookmarkEnd w:id="10"/>
      <w:r w:rsidDel="00000000" w:rsidR="00000000" w:rsidRPr="00000000">
        <w:rPr>
          <w:rFonts w:ascii="Calibri" w:cs="Calibri" w:eastAsia="Calibri" w:hAnsi="Calibri"/>
          <w:sz w:val="22"/>
          <w:szCs w:val="22"/>
          <w:rtl w:val="0"/>
        </w:rPr>
        <w:t xml:space="preserve">Conclusion</w:t>
      </w:r>
    </w:p>
    <w:p w:rsidR="00000000" w:rsidDel="00000000" w:rsidP="00000000" w:rsidRDefault="00000000" w:rsidRPr="00000000" w14:paraId="0000006E">
      <w:pPr>
        <w:spacing w:line="360" w:lineRule="auto"/>
        <w:jc w:val="both"/>
        <w:rPr/>
      </w:pPr>
      <w:r w:rsidDel="00000000" w:rsidR="00000000" w:rsidRPr="00000000">
        <w:rPr>
          <w:rtl w:val="0"/>
        </w:rPr>
      </w:r>
    </w:p>
    <w:p w:rsidR="00000000" w:rsidDel="00000000" w:rsidP="00000000" w:rsidRDefault="00000000" w:rsidRPr="00000000" w14:paraId="0000006F">
      <w:pPr>
        <w:spacing w:line="360" w:lineRule="auto"/>
        <w:jc w:val="both"/>
        <w:rPr/>
      </w:pPr>
      <w:r w:rsidDel="00000000" w:rsidR="00000000" w:rsidRPr="00000000">
        <w:rPr>
          <w:rtl w:val="0"/>
        </w:rPr>
        <w:t xml:space="preserve">The UK labor market faces on-going challenges as it recovers from the economic impacts of the COVID-19 pandemic. While employment rates have risen, labor force participation remains below pre-pandemic levels at 78.7% as of early 2022, with economic inactivity affecting over 9 million working-age adults. Bringing inactive people back into work is an important policy priority to address talent shortages. At the same time, the pandemic and Brexit have catalysed major changes in the external landscape that human resources functions must navigate. The main focus areas include supporting employee health, safety and wellbeing, adapting to hybrid work trends, data-driven hiring and skills development, and Brexit-related immigration compliance. </w:t>
      </w:r>
    </w:p>
    <w:p w:rsidR="00000000" w:rsidDel="00000000" w:rsidP="00000000" w:rsidRDefault="00000000" w:rsidRPr="00000000" w14:paraId="00000070">
      <w:pPr>
        <w:spacing w:line="360" w:lineRule="auto"/>
        <w:jc w:val="both"/>
        <w:rPr/>
      </w:pPr>
      <w:r w:rsidDel="00000000" w:rsidR="00000000" w:rsidRPr="00000000">
        <w:rPr>
          <w:rtl w:val="0"/>
        </w:rPr>
        <w:t xml:space="preserve">As the post-COVID, post-Brexit environment evolves, innovative HR strategies will be vital to access and retain diverse talent, foster inclusive cultures, and drive business continuity. On the labor supply side, tailored active market policies aimed at vulnerable groups may prove more effective than punitive measures in sustaining labor market recovery. Overall, supportive and agile policies on both the demand and supply sides are essential to stabilize the UK job market and workforce in the new operating environment.</w:t>
      </w:r>
    </w:p>
    <w:p w:rsidR="00000000" w:rsidDel="00000000" w:rsidP="00000000" w:rsidRDefault="00000000" w:rsidRPr="00000000" w14:paraId="00000071">
      <w:pPr>
        <w:pStyle w:val="Heading1"/>
        <w:spacing w:line="360" w:lineRule="auto"/>
        <w:jc w:val="both"/>
        <w:rPr>
          <w:rFonts w:ascii="Calibri" w:cs="Calibri" w:eastAsia="Calibri" w:hAnsi="Calibri"/>
          <w:color w:val="000000"/>
          <w:sz w:val="22"/>
          <w:szCs w:val="22"/>
        </w:rPr>
      </w:pPr>
      <w:bookmarkStart w:colFirst="0" w:colLast="0" w:name="_2et92p0" w:id="11"/>
      <w:bookmarkEnd w:id="11"/>
      <w:r w:rsidDel="00000000" w:rsidR="00000000" w:rsidRPr="00000000">
        <w:rPr>
          <w:rFonts w:ascii="Calibri" w:cs="Calibri" w:eastAsia="Calibri" w:hAnsi="Calibri"/>
          <w:color w:val="000000"/>
          <w:sz w:val="22"/>
          <w:szCs w:val="22"/>
          <w:rtl w:val="0"/>
        </w:rPr>
        <w:t xml:space="preserve">Refrences</w:t>
      </w:r>
    </w:p>
    <w:p w:rsidR="00000000" w:rsidDel="00000000" w:rsidP="00000000" w:rsidRDefault="00000000" w:rsidRPr="00000000" w14:paraId="0000007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Freeman, D. (2023).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Labour market overview, UK - Office for National Statistics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www.ons.gov.uk. Available at: </w:t>
      </w:r>
      <w:hyperlink r:id="rId9">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https://www.ons.gov.uk/employmentandlabourmarket/peopleinwork/employmentandemployeetypes/bulletins/uklabourmarket/november2023</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7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Economics, L. (2022).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What’s happening in the UK labour market?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Economics Observatory. Available at: https://www.economicsobservatory.com/whats-happening-in-the-uk-labour-market.</w:t>
      </w:r>
    </w:p>
    <w:p w:rsidR="00000000" w:rsidDel="00000000" w:rsidP="00000000" w:rsidRDefault="00000000" w:rsidRPr="00000000" w14:paraId="0000007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Market, L. (2023).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Labour Market Outlook Q2 2023 • Resolution Foundation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Available at: https://www.resolutionfoundation.org/publications/labour-market-outlook-q2-2023/.</w:t>
      </w:r>
    </w:p>
    <w:p w:rsidR="00000000" w:rsidDel="00000000" w:rsidP="00000000" w:rsidRDefault="00000000" w:rsidRPr="00000000" w14:paraId="0000007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Duncan, P., García, C.A. and Jolly, J. (2023). Women still paid less than men at four out of five employers in UK.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The Guardian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5 Apr. Available at: https://www.theguardian.com/world/2023/apr/05/women-paid-less-than-men-four-out-of-five-employers-uk-gender-pay-gap.</w:t>
      </w:r>
    </w:p>
    <w:p w:rsidR="00000000" w:rsidDel="00000000" w:rsidP="00000000" w:rsidRDefault="00000000" w:rsidRPr="00000000" w14:paraId="0000007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Statista (2022).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Self Employment in the UK 2021</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Statista. Available at: https://www.statista.com/statistics/318234/united-kingdom-self-employed/.</w:t>
      </w:r>
    </w:p>
    <w:p w:rsidR="00000000" w:rsidDel="00000000" w:rsidP="00000000" w:rsidRDefault="00000000" w:rsidRPr="00000000" w14:paraId="0000007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Ziady, H. (2023).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UK employment hits record high but the economy is still short 1 million workers | CNN Business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CNN. Available at: </w:t>
      </w:r>
      <w:hyperlink r:id="rId10">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https://www.cnn.com/2023/06/13/economy/uk-labor-shortage-interest-rates-ons/index.html</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7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Lattice, T. (2021).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4 Ways HR Can Navigate Brexit’s Impact on UK Business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lattice.com. Available at: </w:t>
      </w:r>
      <w:hyperlink r:id="rId11">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https://lattice.com/library/4-ways-hr-can-navigate-brexits-impact-on-uk-business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7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Nishat, C.(2019).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How will Brexit change the game for Human Resources?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Open Access Government. Available at: </w:t>
      </w:r>
      <w:hyperlink r:id="rId12">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https://www.openaccessgovernment.org/brexit-change-the-game/58873/</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7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Deloitte (2022).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State of the worker: A year of remote working</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Deloitte United Kingdom. Available at: https://www2.deloitte.com/uk/en/pages/consulting/articles/state-of-the-worker-remote-working.html.</w:t>
      </w:r>
    </w:p>
    <w:p w:rsidR="00000000" w:rsidDel="00000000" w:rsidP="00000000" w:rsidRDefault="00000000" w:rsidRPr="00000000" w14:paraId="0000007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Wilson, M. (2023).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Human Resources Innovation: Trends and Best Practices for the Future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Bucketlist. Available at: https://bucketlistrewards.com/blog/human-resources-innovation/ [Accessed 5 Dec. 2023].</w:t>
      </w:r>
    </w:p>
    <w:p w:rsidR="00000000" w:rsidDel="00000000" w:rsidP="00000000" w:rsidRDefault="00000000" w:rsidRPr="00000000" w14:paraId="0000007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Stull, M. (2023).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Reskilling: the talent solution of the future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[online] CBI. Available at: </w:t>
      </w:r>
      <w:hyperlink r:id="rId13">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https://www.cbi.org.uk/articles/reskilling-the-talent-solution-of-the-future/</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1">
      <w:pPr>
        <w:spacing w:line="360" w:lineRule="auto"/>
        <w:jc w:val="both"/>
        <w:rPr/>
      </w:pPr>
      <w:r w:rsidDel="00000000" w:rsidR="00000000" w:rsidRPr="00000000">
        <w:rPr>
          <w:rtl w:val="0"/>
        </w:rPr>
      </w:r>
    </w:p>
    <w:p w:rsidR="00000000" w:rsidDel="00000000" w:rsidP="00000000" w:rsidRDefault="00000000" w:rsidRPr="00000000" w14:paraId="00000082">
      <w:pPr>
        <w:widowControl w:val="0"/>
        <w:spacing w:after="240" w:line="360" w:lineRule="auto"/>
        <w:ind w:left="-57" w:firstLine="0"/>
        <w:jc w:val="both"/>
        <w:rPr/>
      </w:pPr>
      <w:r w:rsidDel="00000000" w:rsidR="00000000" w:rsidRPr="00000000">
        <w:rPr>
          <w:rtl w:val="0"/>
        </w:rPr>
      </w:r>
    </w:p>
    <w:p w:rsidR="00000000" w:rsidDel="00000000" w:rsidP="00000000" w:rsidRDefault="00000000" w:rsidRPr="00000000" w14:paraId="00000083">
      <w:pPr>
        <w:widowControl w:val="0"/>
        <w:spacing w:after="240" w:line="360" w:lineRule="auto"/>
        <w:ind w:left="-57" w:firstLine="0"/>
        <w:jc w:val="both"/>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after="0" w:before="200" w:lineRule="auto"/>
    </w:pPr>
    <w:rPr>
      <w:rFonts w:ascii="Cambria" w:cs="Cambria" w:eastAsia="Cambria" w:hAnsi="Cambria"/>
      <w:b w:val="1"/>
      <w:color w:val="4f81bd"/>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lattice.com/library/4-ways-hr-can-navigate-brexits-impact-on-uk-business" TargetMode="External"/><Relationship Id="rId10" Type="http://schemas.openxmlformats.org/officeDocument/2006/relationships/hyperlink" Target="https://www.cnn.com/2023/06/13/economy/uk-labor-shortage-interest-rates-ons/index.html" TargetMode="External"/><Relationship Id="rId13" Type="http://schemas.openxmlformats.org/officeDocument/2006/relationships/hyperlink" Target="https://www.cbi.org.uk/articles/reskilling-the-talent-solution-of-the-future/" TargetMode="External"/><Relationship Id="rId12" Type="http://schemas.openxmlformats.org/officeDocument/2006/relationships/hyperlink" Target="https://www.openaccessgovernment.org/brexit-change-the-game/5887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ns.gov.uk/employmentandlabourmarket/peopleinwork/employmentandemployeetypes/bulletins/uklabourmarket/november2023"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chart" Target="charts/chart1.xml"/><Relationship Id="rId8"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CA"/>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0" i="0" u="none" strike="noStrike" baseline="0">
                <a:effectLst/>
              </a:rPr>
              <a:t>Labor force participation rate and economic inactivity in the UK over the past 5 years</a:t>
            </a:r>
            <a:endParaRPr lang="en-IN"/>
          </a:p>
        </c:rich>
      </c:tx>
      <c:overlay val="0"/>
      <c:spPr>
        <a:noFill/>
        <a:ln>
          <a:noFill/>
        </a:ln>
        <a:effectLst/>
      </c:spPr>
    </c:title>
    <c:autoTitleDeleted val="0"/>
    <c:plotArea>
      <c:layout/>
      <c:barChart>
        <c:barDir val="col"/>
        <c:grouping val="clustered"/>
        <c:varyColors val="0"/>
        <c:ser>
          <c:idx val="0"/>
          <c:order val="0"/>
          <c:tx>
            <c:strRef>
              <c:f>Sheet1!$B$1</c:f>
              <c:strCache>
                <c:ptCount val="1"/>
                <c:pt idx="0">
                  <c:v>Labor Force Participation Rate</c:v>
                </c:pt>
              </c:strCache>
            </c:strRef>
          </c:tx>
          <c:spPr>
            <a:solidFill>
              <a:schemeClr val="accent1"/>
            </a:solidFill>
            <a:ln>
              <a:noFill/>
            </a:ln>
            <a:effectLst/>
          </c:spPr>
          <c:invertIfNegative val="0"/>
          <c:cat>
            <c:numRef>
              <c:f>Sheet1!$A$2:$A$6</c:f>
              <c:numCache>
                <c:formatCode>General</c:formatCode>
                <c:ptCount val="5"/>
                <c:pt idx="0">
                  <c:v>2022</c:v>
                </c:pt>
                <c:pt idx="1">
                  <c:v>2021</c:v>
                </c:pt>
                <c:pt idx="2">
                  <c:v>2020</c:v>
                </c:pt>
                <c:pt idx="3">
                  <c:v>2019</c:v>
                </c:pt>
                <c:pt idx="4">
                  <c:v>2018</c:v>
                </c:pt>
              </c:numCache>
            </c:numRef>
          </c:cat>
          <c:val>
            <c:numRef>
              <c:f>Sheet1!$B$2:$B$6</c:f>
              <c:numCache>
                <c:formatCode>0.00%</c:formatCode>
                <c:ptCount val="5"/>
                <c:pt idx="0">
                  <c:v>0.78700000000000003</c:v>
                </c:pt>
                <c:pt idx="1">
                  <c:v>0.78500000000000003</c:v>
                </c:pt>
                <c:pt idx="2">
                  <c:v>0.76700000000000002</c:v>
                </c:pt>
                <c:pt idx="3">
                  <c:v>0.79500000000000004</c:v>
                </c:pt>
                <c:pt idx="4">
                  <c:v>0.79200000000000004</c:v>
                </c:pt>
              </c:numCache>
            </c:numRef>
          </c:val>
          <c:extLst xmlns:c16r2="http://schemas.microsoft.com/office/drawing/2015/06/chart">
            <c:ext xmlns:c16="http://schemas.microsoft.com/office/drawing/2014/chart" uri="{C3380CC4-5D6E-409C-BE32-E72D297353CC}">
              <c16:uniqueId val="{00000000-5746-4976-82DE-EBFFD60FBCE0}"/>
            </c:ext>
          </c:extLst>
        </c:ser>
        <c:ser>
          <c:idx val="1"/>
          <c:order val="1"/>
          <c:tx>
            <c:strRef>
              <c:f>Sheet1!$C$1</c:f>
              <c:strCache>
                <c:ptCount val="1"/>
                <c:pt idx="0">
                  <c:v>Economic Inactivity Rate</c:v>
                </c:pt>
              </c:strCache>
            </c:strRef>
          </c:tx>
          <c:spPr>
            <a:solidFill>
              <a:schemeClr val="accent2"/>
            </a:solidFill>
            <a:ln>
              <a:noFill/>
            </a:ln>
            <a:effectLst/>
          </c:spPr>
          <c:invertIfNegative val="0"/>
          <c:cat>
            <c:numRef>
              <c:f>Sheet1!$A$2:$A$6</c:f>
              <c:numCache>
                <c:formatCode>General</c:formatCode>
                <c:ptCount val="5"/>
                <c:pt idx="0">
                  <c:v>2022</c:v>
                </c:pt>
                <c:pt idx="1">
                  <c:v>2021</c:v>
                </c:pt>
                <c:pt idx="2">
                  <c:v>2020</c:v>
                </c:pt>
                <c:pt idx="3">
                  <c:v>2019</c:v>
                </c:pt>
                <c:pt idx="4">
                  <c:v>2018</c:v>
                </c:pt>
              </c:numCache>
            </c:numRef>
          </c:cat>
          <c:val>
            <c:numRef>
              <c:f>Sheet1!$C$2:$C$6</c:f>
              <c:numCache>
                <c:formatCode>0.00%</c:formatCode>
                <c:ptCount val="5"/>
                <c:pt idx="0">
                  <c:v>0.21299999999999999</c:v>
                </c:pt>
                <c:pt idx="1">
                  <c:v>0.215</c:v>
                </c:pt>
                <c:pt idx="2">
                  <c:v>0.23300000000000001</c:v>
                </c:pt>
                <c:pt idx="3">
                  <c:v>0.20499999999999999</c:v>
                </c:pt>
                <c:pt idx="4">
                  <c:v>0.20799999999999999</c:v>
                </c:pt>
              </c:numCache>
            </c:numRef>
          </c:val>
          <c:extLst xmlns:c16r2="http://schemas.microsoft.com/office/drawing/2015/06/chart">
            <c:ext xmlns:c16="http://schemas.microsoft.com/office/drawing/2014/chart" uri="{C3380CC4-5D6E-409C-BE32-E72D297353CC}">
              <c16:uniqueId val="{00000001-5746-4976-82DE-EBFFD60FBCE0}"/>
            </c:ext>
          </c:extLst>
        </c:ser>
        <c:ser>
          <c:idx val="2"/>
          <c:order val="2"/>
          <c:tx>
            <c:strRef>
              <c:f>Sheet1!$D$1</c:f>
              <c:strCache>
                <c:ptCount val="1"/>
                <c:pt idx="0">
                  <c:v>Column1</c:v>
                </c:pt>
              </c:strCache>
            </c:strRef>
          </c:tx>
          <c:spPr>
            <a:solidFill>
              <a:schemeClr val="accent3"/>
            </a:solidFill>
            <a:ln>
              <a:noFill/>
            </a:ln>
            <a:effectLst/>
          </c:spPr>
          <c:invertIfNegative val="0"/>
          <c:cat>
            <c:numRef>
              <c:f>Sheet1!$A$2:$A$6</c:f>
              <c:numCache>
                <c:formatCode>General</c:formatCode>
                <c:ptCount val="5"/>
                <c:pt idx="0">
                  <c:v>2022</c:v>
                </c:pt>
                <c:pt idx="1">
                  <c:v>2021</c:v>
                </c:pt>
                <c:pt idx="2">
                  <c:v>2020</c:v>
                </c:pt>
                <c:pt idx="3">
                  <c:v>2019</c:v>
                </c:pt>
                <c:pt idx="4">
                  <c:v>2018</c:v>
                </c:pt>
              </c:numCache>
            </c:numRef>
          </c:cat>
          <c:val>
            <c:numRef>
              <c:f>Sheet1!$D$2:$D$6</c:f>
              <c:numCache>
                <c:formatCode>General</c:formatCode>
                <c:ptCount val="5"/>
              </c:numCache>
            </c:numRef>
          </c:val>
          <c:extLst xmlns:c16r2="http://schemas.microsoft.com/office/drawing/2015/06/chart">
            <c:ext xmlns:c16="http://schemas.microsoft.com/office/drawing/2014/chart" uri="{C3380CC4-5D6E-409C-BE32-E72D297353CC}">
              <c16:uniqueId val="{00000002-5746-4976-82DE-EBFFD60FBCE0}"/>
            </c:ext>
          </c:extLst>
        </c:ser>
        <c:dLbls>
          <c:showLegendKey val="0"/>
          <c:showVal val="0"/>
          <c:showCatName val="0"/>
          <c:showSerName val="0"/>
          <c:showPercent val="0"/>
          <c:showBubbleSize val="0"/>
        </c:dLbls>
        <c:gapWidth val="219"/>
        <c:overlap val="-27"/>
        <c:axId val="46957312"/>
        <c:axId val="46958848"/>
      </c:barChart>
      <c:catAx>
        <c:axId val="46957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58848"/>
        <c:crosses val="autoZero"/>
        <c:auto val="1"/>
        <c:lblAlgn val="ctr"/>
        <c:lblOffset val="100"/>
        <c:noMultiLvlLbl val="0"/>
      </c:catAx>
      <c:valAx>
        <c:axId val="469588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57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