
<file path=[Content_Types].xml><?xml version="1.0" encoding="utf-8"?>
<Types xmlns="http://schemas.openxmlformats.org/package/2006/content-types">
  <Default ContentType="application/xml" Extension="xml"/>
  <Default ContentType="image/png" Extension="png"/>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package.core-properties+xml" PartName="/docProps/core.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jc w:val="center"/>
        <w:rPr>
          <w:rFonts w:ascii="Times New Roman" w:cs="Times New Roman" w:eastAsia="Times New Roman" w:hAnsi="Times New Roman"/>
          <w:b w:val="1"/>
          <w:sz w:val="48"/>
          <w:szCs w:val="48"/>
        </w:rPr>
      </w:pPr>
      <w:r w:rsidDel="00000000" w:rsidR="00000000" w:rsidRPr="00000000">
        <w:rPr>
          <w:rFonts w:ascii="Times New Roman" w:cs="Times New Roman" w:eastAsia="Times New Roman" w:hAnsi="Times New Roman"/>
          <w:b w:val="1"/>
          <w:sz w:val="48"/>
          <w:szCs w:val="48"/>
          <w:rtl w:val="0"/>
        </w:rPr>
        <w:t xml:space="preserve">Marketing Fundamentals</w:t>
      </w:r>
      <w:r w:rsidDel="00000000" w:rsidR="00000000" w:rsidRPr="00000000">
        <w:br w:type="page"/>
      </w:r>
      <w:r w:rsidDel="00000000" w:rsidR="00000000" w:rsidRPr="00000000">
        <w:rPr>
          <w:rtl w:val="0"/>
        </w:rPr>
      </w:r>
    </w:p>
    <w:p w:rsidR="00000000" w:rsidDel="00000000" w:rsidP="00000000" w:rsidRDefault="00000000" w:rsidRPr="00000000" w14:paraId="00000002">
      <w:pPr>
        <w:rPr>
          <w:rFonts w:ascii="Times New Roman" w:cs="Times New Roman" w:eastAsia="Times New Roman" w:hAnsi="Times New Roman"/>
          <w:b w:val="1"/>
          <w:sz w:val="32"/>
          <w:szCs w:val="32"/>
        </w:rPr>
      </w:pPr>
      <w:r w:rsidDel="00000000" w:rsidR="00000000" w:rsidRPr="00000000">
        <w:rPr>
          <w:rFonts w:ascii="Times New Roman" w:cs="Times New Roman" w:eastAsia="Times New Roman" w:hAnsi="Times New Roman"/>
          <w:b w:val="1"/>
          <w:sz w:val="32"/>
          <w:szCs w:val="32"/>
          <w:rtl w:val="0"/>
        </w:rPr>
        <w:t xml:space="preserve">Contents</w:t>
      </w:r>
    </w:p>
    <w:sdt>
      <w:sdtPr>
        <w:docPartObj>
          <w:docPartGallery w:val="Table of Contents"/>
          <w:docPartUnique w:val="1"/>
        </w:docPartObj>
      </w:sdtPr>
      <w:sdtContent>
        <w:p w:rsidR="00000000" w:rsidDel="00000000" w:rsidP="00000000" w:rsidRDefault="00000000" w:rsidRPr="00000000" w14:paraId="00000003">
          <w:pPr>
            <w:tabs>
              <w:tab w:val="right" w:pos="9025.511811023624"/>
            </w:tabs>
            <w:spacing w:before="80" w:line="240" w:lineRule="auto"/>
            <w:ind w:left="0" w:firstLine="0"/>
            <w:rPr/>
          </w:pPr>
          <w:r w:rsidDel="00000000" w:rsidR="00000000" w:rsidRPr="00000000">
            <w:fldChar w:fldCharType="begin"/>
            <w:instrText xml:space="preserve"> TOC \h \u \z </w:instrText>
            <w:fldChar w:fldCharType="separate"/>
          </w:r>
          <w:hyperlink w:anchor="_heading=h.7jne293qyvcj">
            <w:r w:rsidDel="00000000" w:rsidR="00000000" w:rsidRPr="00000000">
              <w:rPr>
                <w:b w:val="1"/>
                <w:rtl w:val="0"/>
              </w:rPr>
              <w:t xml:space="preserve">Introduction</w:t>
            </w:r>
          </w:hyperlink>
          <w:r w:rsidDel="00000000" w:rsidR="00000000" w:rsidRPr="00000000">
            <w:rPr>
              <w:b w:val="1"/>
              <w:rtl w:val="0"/>
            </w:rPr>
            <w:tab/>
          </w:r>
          <w:r w:rsidDel="00000000" w:rsidR="00000000" w:rsidRPr="00000000">
            <w:fldChar w:fldCharType="begin"/>
            <w:instrText xml:space="preserve"> PAGEREF _heading=h.7jne293qyvcj \h </w:instrText>
            <w:fldChar w:fldCharType="separate"/>
          </w:r>
          <w:r w:rsidDel="00000000" w:rsidR="00000000" w:rsidRPr="00000000">
            <w:rPr>
              <w:b w:val="1"/>
              <w:rtl w:val="0"/>
            </w:rPr>
            <w:t xml:space="preserve">2</w:t>
          </w:r>
          <w:r w:rsidDel="00000000" w:rsidR="00000000" w:rsidRPr="00000000">
            <w:fldChar w:fldCharType="end"/>
          </w:r>
          <w:r w:rsidDel="00000000" w:rsidR="00000000" w:rsidRPr="00000000">
            <w:rPr>
              <w:rtl w:val="0"/>
            </w:rPr>
          </w:r>
        </w:p>
        <w:p w:rsidR="00000000" w:rsidDel="00000000" w:rsidP="00000000" w:rsidRDefault="00000000" w:rsidRPr="00000000" w14:paraId="00000004">
          <w:pPr>
            <w:tabs>
              <w:tab w:val="right" w:pos="9025.511811023624"/>
            </w:tabs>
            <w:spacing w:before="200" w:line="240" w:lineRule="auto"/>
            <w:ind w:left="0" w:firstLine="0"/>
            <w:rPr/>
          </w:pPr>
          <w:hyperlink w:anchor="_heading=h.b6a7eyn1il8m">
            <w:r w:rsidDel="00000000" w:rsidR="00000000" w:rsidRPr="00000000">
              <w:rPr>
                <w:b w:val="1"/>
                <w:rtl w:val="0"/>
              </w:rPr>
              <w:t xml:space="preserve">Organisational Overview: Marks &amp; Spencer</w:t>
            </w:r>
          </w:hyperlink>
          <w:r w:rsidDel="00000000" w:rsidR="00000000" w:rsidRPr="00000000">
            <w:rPr>
              <w:b w:val="1"/>
              <w:rtl w:val="0"/>
            </w:rPr>
            <w:tab/>
          </w:r>
          <w:r w:rsidDel="00000000" w:rsidR="00000000" w:rsidRPr="00000000">
            <w:fldChar w:fldCharType="begin"/>
            <w:instrText xml:space="preserve"> PAGEREF _heading=h.b6a7eyn1il8m \h </w:instrText>
            <w:fldChar w:fldCharType="separate"/>
          </w:r>
          <w:r w:rsidDel="00000000" w:rsidR="00000000" w:rsidRPr="00000000">
            <w:rPr>
              <w:b w:val="1"/>
              <w:rtl w:val="0"/>
            </w:rPr>
            <w:t xml:space="preserve">3</w:t>
          </w:r>
          <w:r w:rsidDel="00000000" w:rsidR="00000000" w:rsidRPr="00000000">
            <w:fldChar w:fldCharType="end"/>
          </w:r>
          <w:r w:rsidDel="00000000" w:rsidR="00000000" w:rsidRPr="00000000">
            <w:rPr>
              <w:rtl w:val="0"/>
            </w:rPr>
          </w:r>
        </w:p>
        <w:p w:rsidR="00000000" w:rsidDel="00000000" w:rsidP="00000000" w:rsidRDefault="00000000" w:rsidRPr="00000000" w14:paraId="00000005">
          <w:pPr>
            <w:tabs>
              <w:tab w:val="right" w:pos="9025.511811023624"/>
            </w:tabs>
            <w:spacing w:before="200" w:line="240" w:lineRule="auto"/>
            <w:ind w:left="0" w:firstLine="0"/>
            <w:rPr/>
          </w:pPr>
          <w:hyperlink w:anchor="_heading=h.jbucsem7964o">
            <w:r w:rsidDel="00000000" w:rsidR="00000000" w:rsidRPr="00000000">
              <w:rPr>
                <w:b w:val="1"/>
                <w:rtl w:val="0"/>
              </w:rPr>
              <w:t xml:space="preserve">Situational Context: The COVID-19 Pandemic</w:t>
            </w:r>
          </w:hyperlink>
          <w:r w:rsidDel="00000000" w:rsidR="00000000" w:rsidRPr="00000000">
            <w:rPr>
              <w:b w:val="1"/>
              <w:rtl w:val="0"/>
            </w:rPr>
            <w:tab/>
          </w:r>
          <w:r w:rsidDel="00000000" w:rsidR="00000000" w:rsidRPr="00000000">
            <w:fldChar w:fldCharType="begin"/>
            <w:instrText xml:space="preserve"> PAGEREF _heading=h.jbucsem7964o \h </w:instrText>
            <w:fldChar w:fldCharType="separate"/>
          </w:r>
          <w:r w:rsidDel="00000000" w:rsidR="00000000" w:rsidRPr="00000000">
            <w:rPr>
              <w:b w:val="1"/>
              <w:rtl w:val="0"/>
            </w:rPr>
            <w:t xml:space="preserve">4</w:t>
          </w:r>
          <w:r w:rsidDel="00000000" w:rsidR="00000000" w:rsidRPr="00000000">
            <w:fldChar w:fldCharType="end"/>
          </w:r>
          <w:r w:rsidDel="00000000" w:rsidR="00000000" w:rsidRPr="00000000">
            <w:rPr>
              <w:rtl w:val="0"/>
            </w:rPr>
          </w:r>
        </w:p>
        <w:p w:rsidR="00000000" w:rsidDel="00000000" w:rsidP="00000000" w:rsidRDefault="00000000" w:rsidRPr="00000000" w14:paraId="00000006">
          <w:pPr>
            <w:tabs>
              <w:tab w:val="right" w:pos="9025.511811023624"/>
            </w:tabs>
            <w:spacing w:before="200" w:line="240" w:lineRule="auto"/>
            <w:ind w:left="0" w:firstLine="0"/>
            <w:rPr/>
          </w:pPr>
          <w:hyperlink w:anchor="_heading=h.pgm04y4e749f">
            <w:r w:rsidDel="00000000" w:rsidR="00000000" w:rsidRPr="00000000">
              <w:rPr>
                <w:b w:val="1"/>
                <w:rtl w:val="0"/>
              </w:rPr>
              <w:t xml:space="preserve">The Business World: In the Wake of the Pandemic</w:t>
            </w:r>
          </w:hyperlink>
          <w:r w:rsidDel="00000000" w:rsidR="00000000" w:rsidRPr="00000000">
            <w:rPr>
              <w:b w:val="1"/>
              <w:rtl w:val="0"/>
            </w:rPr>
            <w:tab/>
          </w:r>
          <w:r w:rsidDel="00000000" w:rsidR="00000000" w:rsidRPr="00000000">
            <w:fldChar w:fldCharType="begin"/>
            <w:instrText xml:space="preserve"> PAGEREF _heading=h.pgm04y4e749f \h </w:instrText>
            <w:fldChar w:fldCharType="separate"/>
          </w:r>
          <w:r w:rsidDel="00000000" w:rsidR="00000000" w:rsidRPr="00000000">
            <w:rPr>
              <w:b w:val="1"/>
              <w:rtl w:val="0"/>
            </w:rPr>
            <w:t xml:space="preserve">5</w:t>
          </w:r>
          <w:r w:rsidDel="00000000" w:rsidR="00000000" w:rsidRPr="00000000">
            <w:fldChar w:fldCharType="end"/>
          </w:r>
          <w:r w:rsidDel="00000000" w:rsidR="00000000" w:rsidRPr="00000000">
            <w:rPr>
              <w:rtl w:val="0"/>
            </w:rPr>
          </w:r>
        </w:p>
        <w:p w:rsidR="00000000" w:rsidDel="00000000" w:rsidP="00000000" w:rsidRDefault="00000000" w:rsidRPr="00000000" w14:paraId="00000007">
          <w:pPr>
            <w:tabs>
              <w:tab w:val="right" w:pos="9025.511811023624"/>
            </w:tabs>
            <w:spacing w:before="200" w:line="240" w:lineRule="auto"/>
            <w:ind w:left="0" w:firstLine="0"/>
            <w:rPr/>
          </w:pPr>
          <w:hyperlink w:anchor="_heading=h.wi5kpk87u3xm">
            <w:r w:rsidDel="00000000" w:rsidR="00000000" w:rsidRPr="00000000">
              <w:rPr>
                <w:b w:val="1"/>
                <w:rtl w:val="0"/>
              </w:rPr>
              <w:t xml:space="preserve">The Response of the Business Companies</w:t>
            </w:r>
          </w:hyperlink>
          <w:r w:rsidDel="00000000" w:rsidR="00000000" w:rsidRPr="00000000">
            <w:rPr>
              <w:b w:val="1"/>
              <w:rtl w:val="0"/>
            </w:rPr>
            <w:tab/>
          </w:r>
          <w:r w:rsidDel="00000000" w:rsidR="00000000" w:rsidRPr="00000000">
            <w:fldChar w:fldCharType="begin"/>
            <w:instrText xml:space="preserve"> PAGEREF _heading=h.wi5kpk87u3xm \h </w:instrText>
            <w:fldChar w:fldCharType="separate"/>
          </w:r>
          <w:r w:rsidDel="00000000" w:rsidR="00000000" w:rsidRPr="00000000">
            <w:rPr>
              <w:b w:val="1"/>
              <w:rtl w:val="0"/>
            </w:rPr>
            <w:t xml:space="preserve">7</w:t>
          </w:r>
          <w:r w:rsidDel="00000000" w:rsidR="00000000" w:rsidRPr="00000000">
            <w:fldChar w:fldCharType="end"/>
          </w:r>
          <w:r w:rsidDel="00000000" w:rsidR="00000000" w:rsidRPr="00000000">
            <w:rPr>
              <w:rtl w:val="0"/>
            </w:rPr>
          </w:r>
        </w:p>
        <w:p w:rsidR="00000000" w:rsidDel="00000000" w:rsidP="00000000" w:rsidRDefault="00000000" w:rsidRPr="00000000" w14:paraId="00000008">
          <w:pPr>
            <w:tabs>
              <w:tab w:val="right" w:pos="9025.511811023624"/>
            </w:tabs>
            <w:spacing w:before="200" w:line="240" w:lineRule="auto"/>
            <w:ind w:left="0" w:firstLine="0"/>
            <w:rPr/>
          </w:pPr>
          <w:hyperlink w:anchor="_heading=h.ans4zy8a2kc6">
            <w:r w:rsidDel="00000000" w:rsidR="00000000" w:rsidRPr="00000000">
              <w:rPr>
                <w:b w:val="1"/>
                <w:rtl w:val="0"/>
              </w:rPr>
              <w:t xml:space="preserve">An Internal and external Analysis of Marks &amp; Spencer in the Wake of COVID-19</w:t>
            </w:r>
          </w:hyperlink>
          <w:r w:rsidDel="00000000" w:rsidR="00000000" w:rsidRPr="00000000">
            <w:rPr>
              <w:b w:val="1"/>
              <w:rtl w:val="0"/>
            </w:rPr>
            <w:tab/>
          </w:r>
          <w:r w:rsidDel="00000000" w:rsidR="00000000" w:rsidRPr="00000000">
            <w:fldChar w:fldCharType="begin"/>
            <w:instrText xml:space="preserve"> PAGEREF _heading=h.ans4zy8a2kc6 \h </w:instrText>
            <w:fldChar w:fldCharType="separate"/>
          </w:r>
          <w:r w:rsidDel="00000000" w:rsidR="00000000" w:rsidRPr="00000000">
            <w:rPr>
              <w:b w:val="1"/>
              <w:rtl w:val="0"/>
            </w:rPr>
            <w:t xml:space="preserve">8</w:t>
          </w:r>
          <w:r w:rsidDel="00000000" w:rsidR="00000000" w:rsidRPr="00000000">
            <w:fldChar w:fldCharType="end"/>
          </w:r>
          <w:r w:rsidDel="00000000" w:rsidR="00000000" w:rsidRPr="00000000">
            <w:rPr>
              <w:rtl w:val="0"/>
            </w:rPr>
          </w:r>
        </w:p>
        <w:p w:rsidR="00000000" w:rsidDel="00000000" w:rsidP="00000000" w:rsidRDefault="00000000" w:rsidRPr="00000000" w14:paraId="00000009">
          <w:pPr>
            <w:tabs>
              <w:tab w:val="right" w:pos="9025.511811023624"/>
            </w:tabs>
            <w:spacing w:before="60" w:line="240" w:lineRule="auto"/>
            <w:ind w:left="360" w:firstLine="0"/>
            <w:rPr/>
          </w:pPr>
          <w:hyperlink w:anchor="_heading=h.xz81rfqw492j">
            <w:r w:rsidDel="00000000" w:rsidR="00000000" w:rsidRPr="00000000">
              <w:rPr>
                <w:rtl w:val="0"/>
              </w:rPr>
              <w:t xml:space="preserve">PEST Analysis of Marks &amp; Spencer</w:t>
            </w:r>
          </w:hyperlink>
          <w:r w:rsidDel="00000000" w:rsidR="00000000" w:rsidRPr="00000000">
            <w:rPr>
              <w:rtl w:val="0"/>
            </w:rPr>
            <w:tab/>
          </w:r>
          <w:r w:rsidDel="00000000" w:rsidR="00000000" w:rsidRPr="00000000">
            <w:fldChar w:fldCharType="begin"/>
            <w:instrText xml:space="preserve"> PAGEREF _heading=h.xz81rfqw492j \h </w:instrText>
            <w:fldChar w:fldCharType="separate"/>
          </w:r>
          <w:r w:rsidDel="00000000" w:rsidR="00000000" w:rsidRPr="00000000">
            <w:rPr>
              <w:rtl w:val="0"/>
            </w:rPr>
            <w:t xml:space="preserve">9</w:t>
          </w:r>
          <w:r w:rsidDel="00000000" w:rsidR="00000000" w:rsidRPr="00000000">
            <w:fldChar w:fldCharType="end"/>
          </w:r>
          <w:r w:rsidDel="00000000" w:rsidR="00000000" w:rsidRPr="00000000">
            <w:rPr>
              <w:rtl w:val="0"/>
            </w:rPr>
          </w:r>
        </w:p>
        <w:p w:rsidR="00000000" w:rsidDel="00000000" w:rsidP="00000000" w:rsidRDefault="00000000" w:rsidRPr="00000000" w14:paraId="0000000A">
          <w:pPr>
            <w:tabs>
              <w:tab w:val="right" w:pos="9025.511811023624"/>
            </w:tabs>
            <w:spacing w:before="60" w:line="240" w:lineRule="auto"/>
            <w:ind w:left="360" w:firstLine="0"/>
            <w:rPr/>
          </w:pPr>
          <w:hyperlink w:anchor="_heading=h.3zco22qn52vk">
            <w:r w:rsidDel="00000000" w:rsidR="00000000" w:rsidRPr="00000000">
              <w:rPr>
                <w:rtl w:val="0"/>
              </w:rPr>
              <w:t xml:space="preserve">SWOT Analysis</w:t>
            </w:r>
          </w:hyperlink>
          <w:r w:rsidDel="00000000" w:rsidR="00000000" w:rsidRPr="00000000">
            <w:rPr>
              <w:rtl w:val="0"/>
            </w:rPr>
            <w:tab/>
          </w:r>
          <w:r w:rsidDel="00000000" w:rsidR="00000000" w:rsidRPr="00000000">
            <w:fldChar w:fldCharType="begin"/>
            <w:instrText xml:space="preserve"> PAGEREF _heading=h.3zco22qn52vk \h </w:instrText>
            <w:fldChar w:fldCharType="separate"/>
          </w:r>
          <w:r w:rsidDel="00000000" w:rsidR="00000000" w:rsidRPr="00000000">
            <w:rPr>
              <w:rtl w:val="0"/>
            </w:rPr>
            <w:t xml:space="preserve">11</w:t>
          </w:r>
          <w:r w:rsidDel="00000000" w:rsidR="00000000" w:rsidRPr="00000000">
            <w:fldChar w:fldCharType="end"/>
          </w:r>
          <w:r w:rsidDel="00000000" w:rsidR="00000000" w:rsidRPr="00000000">
            <w:rPr>
              <w:rtl w:val="0"/>
            </w:rPr>
          </w:r>
        </w:p>
        <w:p w:rsidR="00000000" w:rsidDel="00000000" w:rsidP="00000000" w:rsidRDefault="00000000" w:rsidRPr="00000000" w14:paraId="0000000B">
          <w:pPr>
            <w:tabs>
              <w:tab w:val="right" w:pos="9025.511811023624"/>
            </w:tabs>
            <w:spacing w:before="200" w:line="240" w:lineRule="auto"/>
            <w:ind w:left="0" w:firstLine="0"/>
            <w:rPr/>
          </w:pPr>
          <w:hyperlink w:anchor="_heading=h.u2z1me9zlwv">
            <w:r w:rsidDel="00000000" w:rsidR="00000000" w:rsidRPr="00000000">
              <w:rPr>
                <w:b w:val="1"/>
                <w:rtl w:val="0"/>
              </w:rPr>
              <w:t xml:space="preserve">Conclusion</w:t>
            </w:r>
          </w:hyperlink>
          <w:r w:rsidDel="00000000" w:rsidR="00000000" w:rsidRPr="00000000">
            <w:rPr>
              <w:b w:val="1"/>
              <w:rtl w:val="0"/>
            </w:rPr>
            <w:tab/>
          </w:r>
          <w:r w:rsidDel="00000000" w:rsidR="00000000" w:rsidRPr="00000000">
            <w:fldChar w:fldCharType="begin"/>
            <w:instrText xml:space="preserve"> PAGEREF _heading=h.u2z1me9zlwv \h </w:instrText>
            <w:fldChar w:fldCharType="separate"/>
          </w:r>
          <w:r w:rsidDel="00000000" w:rsidR="00000000" w:rsidRPr="00000000">
            <w:rPr>
              <w:b w:val="1"/>
              <w:rtl w:val="0"/>
            </w:rPr>
            <w:t xml:space="preserve">13</w:t>
          </w:r>
          <w:r w:rsidDel="00000000" w:rsidR="00000000" w:rsidRPr="00000000">
            <w:fldChar w:fldCharType="end"/>
          </w:r>
          <w:r w:rsidDel="00000000" w:rsidR="00000000" w:rsidRPr="00000000">
            <w:rPr>
              <w:rtl w:val="0"/>
            </w:rPr>
          </w:r>
        </w:p>
        <w:p w:rsidR="00000000" w:rsidDel="00000000" w:rsidP="00000000" w:rsidRDefault="00000000" w:rsidRPr="00000000" w14:paraId="0000000C">
          <w:pPr>
            <w:tabs>
              <w:tab w:val="right" w:pos="9025.511811023624"/>
            </w:tabs>
            <w:spacing w:after="80" w:before="200" w:line="240" w:lineRule="auto"/>
            <w:ind w:left="0" w:firstLine="0"/>
            <w:rPr/>
          </w:pPr>
          <w:hyperlink w:anchor="_heading=h.gw0h1kbnkyk4">
            <w:r w:rsidDel="00000000" w:rsidR="00000000" w:rsidRPr="00000000">
              <w:rPr>
                <w:b w:val="1"/>
                <w:rtl w:val="0"/>
              </w:rPr>
              <w:t xml:space="preserve">References</w:t>
            </w:r>
          </w:hyperlink>
          <w:r w:rsidDel="00000000" w:rsidR="00000000" w:rsidRPr="00000000">
            <w:rPr>
              <w:b w:val="1"/>
              <w:rtl w:val="0"/>
            </w:rPr>
            <w:tab/>
          </w:r>
          <w:r w:rsidDel="00000000" w:rsidR="00000000" w:rsidRPr="00000000">
            <w:fldChar w:fldCharType="begin"/>
            <w:instrText xml:space="preserve"> PAGEREF _heading=h.gw0h1kbnkyk4 \h </w:instrText>
            <w:fldChar w:fldCharType="separate"/>
          </w:r>
          <w:r w:rsidDel="00000000" w:rsidR="00000000" w:rsidRPr="00000000">
            <w:rPr>
              <w:b w:val="1"/>
              <w:rtl w:val="0"/>
            </w:rPr>
            <w:t xml:space="preserve">14</w:t>
          </w:r>
          <w:r w:rsidDel="00000000" w:rsidR="00000000" w:rsidRPr="00000000">
            <w:fldChar w:fldCharType="end"/>
          </w: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0D">
      <w:pPr>
        <w:rPr>
          <w:rFonts w:ascii="Times New Roman" w:cs="Times New Roman" w:eastAsia="Times New Roman" w:hAnsi="Times New Roman"/>
          <w:b w:val="1"/>
          <w:sz w:val="32"/>
          <w:szCs w:val="32"/>
        </w:rPr>
      </w:pPr>
      <w:r w:rsidDel="00000000" w:rsidR="00000000" w:rsidRPr="00000000">
        <w:rPr>
          <w:rtl w:val="0"/>
        </w:rPr>
      </w:r>
    </w:p>
    <w:p w:rsidR="00000000" w:rsidDel="00000000" w:rsidP="00000000" w:rsidRDefault="00000000" w:rsidRPr="00000000" w14:paraId="0000000E">
      <w:pPr>
        <w:rPr>
          <w:rFonts w:ascii="Times New Roman" w:cs="Times New Roman" w:eastAsia="Times New Roman" w:hAnsi="Times New Roman"/>
          <w:b w:val="1"/>
          <w:sz w:val="48"/>
          <w:szCs w:val="48"/>
        </w:rPr>
      </w:pPr>
      <w:r w:rsidDel="00000000" w:rsidR="00000000" w:rsidRPr="00000000">
        <w:br w:type="page"/>
      </w:r>
      <w:r w:rsidDel="00000000" w:rsidR="00000000" w:rsidRPr="00000000">
        <w:rPr>
          <w:rtl w:val="0"/>
        </w:rPr>
      </w:r>
    </w:p>
    <w:p w:rsidR="00000000" w:rsidDel="00000000" w:rsidP="00000000" w:rsidRDefault="00000000" w:rsidRPr="00000000" w14:paraId="0000000F">
      <w:pPr>
        <w:pStyle w:val="Heading1"/>
        <w:rPr>
          <w:rFonts w:ascii="Times New Roman" w:cs="Times New Roman" w:eastAsia="Times New Roman" w:hAnsi="Times New Roman"/>
        </w:rPr>
      </w:pPr>
      <w:bookmarkStart w:colFirst="0" w:colLast="0" w:name="_heading=h.7jne293qyvcj" w:id="0"/>
      <w:bookmarkEnd w:id="0"/>
      <w:r w:rsidDel="00000000" w:rsidR="00000000" w:rsidRPr="00000000">
        <w:rPr>
          <w:rFonts w:ascii="Times New Roman" w:cs="Times New Roman" w:eastAsia="Times New Roman" w:hAnsi="Times New Roman"/>
          <w:rtl w:val="0"/>
        </w:rPr>
        <w:t xml:space="preserve">Introduction</w:t>
      </w:r>
    </w:p>
    <w:p w:rsidR="00000000" w:rsidDel="00000000" w:rsidP="00000000" w:rsidRDefault="00000000" w:rsidRPr="00000000" w14:paraId="00000010">
      <w:pPr>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Marketing is an essential element of the business and business process. As such, both marketing and business are related to each other from a global perspective. The changes in the global scenario affect the changes in marketing. An example of this change in the global scenario is the COVID-19 pandemic which surely has affected the business and marketing scenario also. After two years of the pandemic, the effect of the pandemic surely can be seen in every business organisation around the globe. The impact of the pandemic on business and marketing is also huge as can be seen anywhere, and the effect still grows now. Different business organisations have dealt with the pandemic with different strategies and actions. Some have managed to survive and adapt to the change and some have failed (Austin-Campbell, 2021). This macro-environmental factor has forced many organisations like Marks &amp; Spencer to make changes in their marketing strategies and plans. Marks &amp; Spencer also got hit by the pandemic as any other companies around the globe. But most notably, M&amp;S has made some notable changes in its marketing strategy that ultimately resulted in fruitful company growth and profit (Graham and Loke, 2022). As such, this report aims to provide a detailed illustration of how M&amp;S was affected by the pandemic in its marketing with the external and internal evaluation of the company during the pandemic time.  </w:t>
      </w:r>
      <w:r w:rsidDel="00000000" w:rsidR="00000000" w:rsidRPr="00000000">
        <w:br w:type="page"/>
      </w:r>
      <w:r w:rsidDel="00000000" w:rsidR="00000000" w:rsidRPr="00000000">
        <w:rPr>
          <w:rtl w:val="0"/>
        </w:rPr>
      </w:r>
    </w:p>
    <w:p w:rsidR="00000000" w:rsidDel="00000000" w:rsidP="00000000" w:rsidRDefault="00000000" w:rsidRPr="00000000" w14:paraId="00000011">
      <w:pPr>
        <w:pStyle w:val="Heading1"/>
        <w:rPr>
          <w:rFonts w:ascii="Times New Roman" w:cs="Times New Roman" w:eastAsia="Times New Roman" w:hAnsi="Times New Roman"/>
        </w:rPr>
      </w:pPr>
      <w:bookmarkStart w:colFirst="0" w:colLast="0" w:name="_heading=h.b6a7eyn1il8m" w:id="1"/>
      <w:bookmarkEnd w:id="1"/>
      <w:r w:rsidDel="00000000" w:rsidR="00000000" w:rsidRPr="00000000">
        <w:rPr>
          <w:rFonts w:ascii="Times New Roman" w:cs="Times New Roman" w:eastAsia="Times New Roman" w:hAnsi="Times New Roman"/>
          <w:rtl w:val="0"/>
        </w:rPr>
        <w:t xml:space="preserve">Organisational Overview: Marks &amp; Spencer</w:t>
      </w:r>
    </w:p>
    <w:p w:rsidR="00000000" w:rsidDel="00000000" w:rsidP="00000000" w:rsidRDefault="00000000" w:rsidRPr="00000000" w14:paraId="00000012">
      <w:pPr>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Marks &amp; Spencer, popularly called M&amp;S, is a multinational retail company based in Paddington, London, England. The company is famous for its home, clothing, food and beauty products all over the globe. Marks &amp; Spencer operates with more than 1500 locations worldwide. The company offers clothes for men, women and children of all ages with additional school dresses also. The company is also known for its huge collection of food items and beverages such as luxury wine, and other breweries. The company got started in 1884 when Michael Marks and Thomas Spencer decided to open a shop in Leeds. The company has more than 1000 shops across the UK with over 600 of them being only for food products (About Us, 2022). The company became the first within the whole UK in achieving the milestone of making 1 billion pounds of pre-tax profit. With a huge number of over 80,000 global employees, the company achieved an operating income of 522.9 million pounds and a net income of 309.0 million pounds with a revenue of 10.885 billion pounds in 2022. </w:t>
      </w:r>
    </w:p>
    <w:p w:rsidR="00000000" w:rsidDel="00000000" w:rsidP="00000000" w:rsidRDefault="00000000" w:rsidRPr="00000000" w14:paraId="00000013">
      <w:pPr>
        <w:jc w:val="center"/>
        <w:rPr>
          <w:rFonts w:ascii="Times New Roman" w:cs="Times New Roman" w:eastAsia="Times New Roman" w:hAnsi="Times New Roman"/>
        </w:rPr>
      </w:pPr>
      <w:r w:rsidDel="00000000" w:rsidR="00000000" w:rsidRPr="00000000">
        <w:rPr>
          <w:rFonts w:ascii="Times New Roman" w:cs="Times New Roman" w:eastAsia="Times New Roman" w:hAnsi="Times New Roman"/>
        </w:rPr>
        <w:drawing>
          <wp:inline distB="114300" distT="114300" distL="114300" distR="114300">
            <wp:extent cx="5731200" cy="3822700"/>
            <wp:effectExtent b="0" l="0" r="0" t="0"/>
            <wp:docPr id="1" name="image2.png"/>
            <a:graphic>
              <a:graphicData uri="http://schemas.openxmlformats.org/drawingml/2006/picture">
                <pic:pic>
                  <pic:nvPicPr>
                    <pic:cNvPr id="0" name="image2.png"/>
                    <pic:cNvPicPr preferRelativeResize="0"/>
                  </pic:nvPicPr>
                  <pic:blipFill>
                    <a:blip r:embed="rId7"/>
                    <a:srcRect b="0" l="0" r="0" t="0"/>
                    <a:stretch>
                      <a:fillRect/>
                    </a:stretch>
                  </pic:blipFill>
                  <pic:spPr>
                    <a:xfrm>
                      <a:off x="0" y="0"/>
                      <a:ext cx="5731200" cy="3822700"/>
                    </a:xfrm>
                    <a:prstGeom prst="rect"/>
                    <a:ln/>
                  </pic:spPr>
                </pic:pic>
              </a:graphicData>
            </a:graphic>
          </wp:inline>
        </w:drawing>
      </w:r>
      <w:r w:rsidDel="00000000" w:rsidR="00000000" w:rsidRPr="00000000">
        <w:rPr>
          <w:rtl w:val="0"/>
        </w:rPr>
      </w:r>
    </w:p>
    <w:p w:rsidR="00000000" w:rsidDel="00000000" w:rsidP="00000000" w:rsidRDefault="00000000" w:rsidRPr="00000000" w14:paraId="00000014">
      <w:pPr>
        <w:jc w:val="center"/>
        <w:rPr>
          <w:rFonts w:ascii="Times New Roman" w:cs="Times New Roman" w:eastAsia="Times New Roman" w:hAnsi="Times New Roman"/>
          <w:b w:val="1"/>
        </w:rPr>
      </w:pPr>
      <w:r w:rsidDel="00000000" w:rsidR="00000000" w:rsidRPr="00000000">
        <w:rPr>
          <w:rFonts w:ascii="Times New Roman" w:cs="Times New Roman" w:eastAsia="Times New Roman" w:hAnsi="Times New Roman"/>
          <w:b w:val="1"/>
          <w:rtl w:val="0"/>
        </w:rPr>
        <w:t xml:space="preserve">Figure 1: Marks &amp; Spencer (About Us, 2022).</w:t>
      </w:r>
      <w:r w:rsidDel="00000000" w:rsidR="00000000" w:rsidRPr="00000000">
        <w:br w:type="page"/>
      </w:r>
      <w:r w:rsidDel="00000000" w:rsidR="00000000" w:rsidRPr="00000000">
        <w:rPr>
          <w:rtl w:val="0"/>
        </w:rPr>
      </w:r>
    </w:p>
    <w:p w:rsidR="00000000" w:rsidDel="00000000" w:rsidP="00000000" w:rsidRDefault="00000000" w:rsidRPr="00000000" w14:paraId="00000015">
      <w:pPr>
        <w:pStyle w:val="Heading1"/>
        <w:rPr>
          <w:rFonts w:ascii="Times New Roman" w:cs="Times New Roman" w:eastAsia="Times New Roman" w:hAnsi="Times New Roman"/>
        </w:rPr>
      </w:pPr>
      <w:bookmarkStart w:colFirst="0" w:colLast="0" w:name="_heading=h.jbucsem7964o" w:id="2"/>
      <w:bookmarkEnd w:id="2"/>
      <w:r w:rsidDel="00000000" w:rsidR="00000000" w:rsidRPr="00000000">
        <w:rPr>
          <w:rFonts w:ascii="Times New Roman" w:cs="Times New Roman" w:eastAsia="Times New Roman" w:hAnsi="Times New Roman"/>
          <w:rtl w:val="0"/>
        </w:rPr>
        <w:t xml:space="preserve">Situational Context: The COVID-19 Pandemic</w:t>
      </w:r>
    </w:p>
    <w:p w:rsidR="00000000" w:rsidDel="00000000" w:rsidP="00000000" w:rsidRDefault="00000000" w:rsidRPr="00000000" w14:paraId="00000016">
      <w:pPr>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The COVID-19 pandemic has been going on since the outbreak in march, 2020 as the World Health Organisation stated the outbreak as the form of a viral epidemic. The pandemic spread across the globe at a fast pace as in only three months, the whole world was affected by the pandemic (Hitt, Holmes and Arregle, 2021). Some countries like the UK, Spain, the USA, France, Germany etc have faced grave danger as the death toll rose so fast that the countdown was tough to fathom. Many administrative actions were taken by the authorities to stop the outbreak such as lockdown procedures, social distancing etc (Bhattacharjee and Jahanshahi, 2021). As such, the business world came to a big halt as transport came to a halt and the shops were closed. Masks were provided to the workers to stop being exposed to the threat of COVID-19. The time of the pandemic also became hazardous for the mental health of mass people as everything was shut down and everyone had to stay indoors with social distancing rules. The world economy was affected hugely. </w:t>
      </w:r>
    </w:p>
    <w:p w:rsidR="00000000" w:rsidDel="00000000" w:rsidP="00000000" w:rsidRDefault="00000000" w:rsidRPr="00000000" w14:paraId="00000017">
      <w:pPr>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18">
      <w:pPr>
        <w:rPr>
          <w:rFonts w:ascii="Times New Roman" w:cs="Times New Roman" w:eastAsia="Times New Roman" w:hAnsi="Times New Roman"/>
        </w:rPr>
      </w:pPr>
      <w:r w:rsidDel="00000000" w:rsidR="00000000" w:rsidRPr="00000000">
        <w:br w:type="page"/>
      </w:r>
      <w:r w:rsidDel="00000000" w:rsidR="00000000" w:rsidRPr="00000000">
        <w:rPr>
          <w:rtl w:val="0"/>
        </w:rPr>
      </w:r>
    </w:p>
    <w:p w:rsidR="00000000" w:rsidDel="00000000" w:rsidP="00000000" w:rsidRDefault="00000000" w:rsidRPr="00000000" w14:paraId="00000019">
      <w:pPr>
        <w:pStyle w:val="Heading1"/>
        <w:rPr>
          <w:rFonts w:ascii="Times New Roman" w:cs="Times New Roman" w:eastAsia="Times New Roman" w:hAnsi="Times New Roman"/>
        </w:rPr>
      </w:pPr>
      <w:bookmarkStart w:colFirst="0" w:colLast="0" w:name="_heading=h.pgm04y4e749f" w:id="3"/>
      <w:bookmarkEnd w:id="3"/>
      <w:r w:rsidDel="00000000" w:rsidR="00000000" w:rsidRPr="00000000">
        <w:rPr>
          <w:rFonts w:ascii="Times New Roman" w:cs="Times New Roman" w:eastAsia="Times New Roman" w:hAnsi="Times New Roman"/>
          <w:rtl w:val="0"/>
        </w:rPr>
        <w:t xml:space="preserve">The Business World: In the Wake of the Pandemic</w:t>
      </w:r>
    </w:p>
    <w:p w:rsidR="00000000" w:rsidDel="00000000" w:rsidP="00000000" w:rsidRDefault="00000000" w:rsidRPr="00000000" w14:paraId="0000001A">
      <w:pPr>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The business world got severely hit by COVID-19 as there was no way around it at first. The companies had to shut down many of their business operations and this affected the economy and marketing situation across the globe (Hitt, Holmes and Arregle, 2021). The World Bank conducted surveys to find the impact of COVID-19 on the business world. As per these surveys by The World Bank, within the time period of 2020 and 2021, the sales decreased at a rate of 50% for one-fourth of the companies across the globe and 27% dropped on average. But also, the companies had to go on with their business as corporations held their workers as 65% of businesses have managed to adjust the payroll of the employees and workers by decreasing hours, granting leave and wages (The World Bank, 2022). As a result, 11% of the business companies have managed to lay off employees and workers. As a result of the pandemic, the rise of online business and online marketing has become a popular aspect of business as many business companies moved their business into the online market. The use of technology and social media has also been boosted among business companies since the pandemic (The World Bank, 2022). But not all companies managed to do this, especially in poorer countries and small companies. Only 34% of the companies have managed to increase the use of social media, digital platforms and technology while only 17% of the companies invested in new software, equipment and digital solutions. Policy support became an important support for business companies across the world where the government authorities have supported the businesses with new policies in the wake of the pandemic. But in the case of poor countries and small companies, the policy support was weak and not adequate as to the damage the pandemic had caused (Tredinnick and Laybats, 2020). The World Bank concluded that 1 in every 10 companies in lower-income countries has received any policy support or public support. As for the obstacle in accessing this policy or public support, over 70% of the companies from lower-income countries have reported the lack of proper awareness and knowledge as the main cause. The World Bank also stated that if the fiscal resources were targeted with much more efficiency, then the companies would have enough support to turn around the damaged scenario brought by the pandemic. </w:t>
      </w:r>
    </w:p>
    <w:p w:rsidR="00000000" w:rsidDel="00000000" w:rsidP="00000000" w:rsidRDefault="00000000" w:rsidRPr="00000000" w14:paraId="0000001B">
      <w:pPr>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But the scenario slowly changed as the business companies around the globe slowly but observantly turned the marketing and financial scenario. According to the International Monetary Fund (IMF), in 2020, the expected market growth was 4.9 per cent and according to the World Economic Outlook (WEO), this was even 1.9 lower than their estimation (Paul, Chowdhury, Moktadir and Lau, 2021). The unpredictable scenario of the endemic left the business world almost stranded. but technology and the online sphere of reality changed the way of business quickly and many companies found more efficient and better means to do business (Jones, Zhang and Zhang, 2022). The rise of technology and social media ensured that the business need not necessarily be limited to physical shops and businesses but also within online channels. The use of social media enabled the companies to boost their marketing campaigns with much more efficiency and the ‘home delivery’ option of doing business with the customers changed the way as the customers also felt relaxed and efficient to do business online (Bhattacharjee and Jahanshahi, 2021). The remote working option also has relaxed the employees and managers as the use of virtual meetings and consultations has also made business operations more efficient and useful. Also, this is a fact that many companies had to cut off a number of employees as for the initial loss during the pandemic. Many were jobless overnight as the businesses faced a grave economic crisis during the pandemic. </w:t>
      </w:r>
      <w:r w:rsidDel="00000000" w:rsidR="00000000" w:rsidRPr="00000000">
        <w:br w:type="page"/>
      </w:r>
      <w:r w:rsidDel="00000000" w:rsidR="00000000" w:rsidRPr="00000000">
        <w:rPr>
          <w:rtl w:val="0"/>
        </w:rPr>
      </w:r>
    </w:p>
    <w:p w:rsidR="00000000" w:rsidDel="00000000" w:rsidP="00000000" w:rsidRDefault="00000000" w:rsidRPr="00000000" w14:paraId="0000001C">
      <w:pPr>
        <w:pStyle w:val="Heading1"/>
        <w:rPr>
          <w:rFonts w:ascii="Times New Roman" w:cs="Times New Roman" w:eastAsia="Times New Roman" w:hAnsi="Times New Roman"/>
        </w:rPr>
      </w:pPr>
      <w:bookmarkStart w:colFirst="0" w:colLast="0" w:name="_heading=h.wi5kpk87u3xm" w:id="4"/>
      <w:bookmarkEnd w:id="4"/>
      <w:r w:rsidDel="00000000" w:rsidR="00000000" w:rsidRPr="00000000">
        <w:rPr>
          <w:rFonts w:ascii="Times New Roman" w:cs="Times New Roman" w:eastAsia="Times New Roman" w:hAnsi="Times New Roman"/>
          <w:rtl w:val="0"/>
        </w:rPr>
        <w:t xml:space="preserve">The Response of the Business Companies</w:t>
      </w:r>
    </w:p>
    <w:p w:rsidR="00000000" w:rsidDel="00000000" w:rsidP="00000000" w:rsidRDefault="00000000" w:rsidRPr="00000000" w14:paraId="0000001D">
      <w:pPr>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As the business world came to a halt because of the first hit of the COVID-19 pandemic, business leaders across the world tried to come up with some sort of adapting plans and strategies to keep businesses running across the globe. The concept of a ‘new normal’ way of business was formulated during this time as the business companies had to come up with some adapting changes to the business environment to keep the business running (Paul, Chowdhury, Moktadir and Lau, 2021). Business organisations prioritised the safety of both the employees and customers to ensure the smooth flow of business. The world governments also supported the business companies through policy support and formed funds to turn the damaged scene of business around. To avoid the outbreak, the World Health Organisation circulated a poster for the safety of the employees at work. </w:t>
      </w:r>
    </w:p>
    <w:p w:rsidR="00000000" w:rsidDel="00000000" w:rsidP="00000000" w:rsidRDefault="00000000" w:rsidRPr="00000000" w14:paraId="0000001E">
      <w:pPr>
        <w:jc w:val="center"/>
        <w:rPr>
          <w:rFonts w:ascii="Times New Roman" w:cs="Times New Roman" w:eastAsia="Times New Roman" w:hAnsi="Times New Roman"/>
        </w:rPr>
      </w:pPr>
      <w:r w:rsidDel="00000000" w:rsidR="00000000" w:rsidRPr="00000000">
        <w:rPr>
          <w:rFonts w:ascii="Times New Roman" w:cs="Times New Roman" w:eastAsia="Times New Roman" w:hAnsi="Times New Roman"/>
        </w:rPr>
        <w:drawing>
          <wp:inline distB="114300" distT="114300" distL="114300" distR="114300">
            <wp:extent cx="4233863" cy="4226830"/>
            <wp:effectExtent b="0" l="0" r="0" t="0"/>
            <wp:docPr id="2" name="image1.png"/>
            <a:graphic>
              <a:graphicData uri="http://schemas.openxmlformats.org/drawingml/2006/picture">
                <pic:pic>
                  <pic:nvPicPr>
                    <pic:cNvPr id="0" name="image1.png"/>
                    <pic:cNvPicPr preferRelativeResize="0"/>
                  </pic:nvPicPr>
                  <pic:blipFill>
                    <a:blip r:embed="rId8"/>
                    <a:srcRect b="0" l="0" r="0" t="0"/>
                    <a:stretch>
                      <a:fillRect/>
                    </a:stretch>
                  </pic:blipFill>
                  <pic:spPr>
                    <a:xfrm>
                      <a:off x="0" y="0"/>
                      <a:ext cx="4233863" cy="4226830"/>
                    </a:xfrm>
                    <a:prstGeom prst="rect"/>
                    <a:ln/>
                  </pic:spPr>
                </pic:pic>
              </a:graphicData>
            </a:graphic>
          </wp:inline>
        </w:drawing>
      </w:r>
      <w:r w:rsidDel="00000000" w:rsidR="00000000" w:rsidRPr="00000000">
        <w:rPr>
          <w:rtl w:val="0"/>
        </w:rPr>
      </w:r>
    </w:p>
    <w:p w:rsidR="00000000" w:rsidDel="00000000" w:rsidP="00000000" w:rsidRDefault="00000000" w:rsidRPr="00000000" w14:paraId="0000001F">
      <w:pPr>
        <w:jc w:val="center"/>
        <w:rPr>
          <w:rFonts w:ascii="Times New Roman" w:cs="Times New Roman" w:eastAsia="Times New Roman" w:hAnsi="Times New Roman"/>
          <w:b w:val="1"/>
        </w:rPr>
      </w:pPr>
      <w:r w:rsidDel="00000000" w:rsidR="00000000" w:rsidRPr="00000000">
        <w:rPr>
          <w:rFonts w:ascii="Times New Roman" w:cs="Times New Roman" w:eastAsia="Times New Roman" w:hAnsi="Times New Roman"/>
          <w:b w:val="1"/>
          <w:rtl w:val="0"/>
        </w:rPr>
        <w:t xml:space="preserve">Figure 2: Work safety Poster by WHO (Jones, Zhang and Zhang, 2022).</w:t>
      </w:r>
      <w:r w:rsidDel="00000000" w:rsidR="00000000" w:rsidRPr="00000000">
        <w:br w:type="page"/>
      </w:r>
      <w:r w:rsidDel="00000000" w:rsidR="00000000" w:rsidRPr="00000000">
        <w:rPr>
          <w:rtl w:val="0"/>
        </w:rPr>
      </w:r>
    </w:p>
    <w:p w:rsidR="00000000" w:rsidDel="00000000" w:rsidP="00000000" w:rsidRDefault="00000000" w:rsidRPr="00000000" w14:paraId="00000020">
      <w:pPr>
        <w:pStyle w:val="Heading1"/>
        <w:rPr>
          <w:rFonts w:ascii="Times New Roman" w:cs="Times New Roman" w:eastAsia="Times New Roman" w:hAnsi="Times New Roman"/>
        </w:rPr>
      </w:pPr>
      <w:bookmarkStart w:colFirst="0" w:colLast="0" w:name="_heading=h.ans4zy8a2kc6" w:id="5"/>
      <w:bookmarkEnd w:id="5"/>
      <w:r w:rsidDel="00000000" w:rsidR="00000000" w:rsidRPr="00000000">
        <w:rPr>
          <w:rFonts w:ascii="Times New Roman" w:cs="Times New Roman" w:eastAsia="Times New Roman" w:hAnsi="Times New Roman"/>
          <w:rtl w:val="0"/>
        </w:rPr>
        <w:t xml:space="preserve">An Internal and external Analysis of Marks &amp; Spencer in the Wake of COVID-19</w:t>
      </w:r>
    </w:p>
    <w:p w:rsidR="00000000" w:rsidDel="00000000" w:rsidP="00000000" w:rsidRDefault="00000000" w:rsidRPr="00000000" w14:paraId="00000021">
      <w:pPr>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The business world and world economy faced a disastrous threat during the time of the COVID-19 pandemic. The business companies had to close many of their major business operations and came to an economic halt for some time. This resulted in a serious crisis for the economic growth of the business companies and Marks &amp; Spencer is no different here. The company also faced an economic and operational crisis during the pandemic (Marks &amp; Spencer, 2022). Marks &amp; Spencer was forced to cut 7000 jobs as a result of the financial loss during the pandemic. The company which is one of the oldest retailers across the UK with over 130 years of business experience faced an economic crisis as the pre-tax profit was down to 43 million pounds in the 2020-21 session from the 2019-20 session’s 403 million pounds. This was a serious downfall for the major British retail company and as this is the case, the company lost the first half of the 2020-21 session which is the first since 1926. The company crashed with a 34% rate in terms of clothing and homewares in the UK as a result of lockdown procedures and the shutdown of its non-food retail shops (The World Bank, 2022). As for the company’s food sales, a slight rise of 1.2% was comprehended. Not only Marks &amp; Spencer but also other UK retailers such as Primark reported that its sale dropped down to 90% and Next, which has a massive online presence, although has shown much resilience still its profit fell down to 53 per cent. This is only the scenario of the retail industry in the UK. Internally, Marks &amp; Spencer faced a financial crisis as the company had to cut off 7000 jobs but the company increased its use of technology and social media platforms to increase sales and business growth in the wake of the pandemic (Reuters, 2022). The company plans to operate with more flexibility and productiveness as its huge employee base can be of use in multi-tasking jobs and switching jobs in the clothing, food and homeware sectors. But all in all, the company also had to cut off 950 jobs regarding store management and this impacted the overall operations of the company, its headquarters, other stores across the country, and regional management in the following months (Marks &amp; Spencer, 2022). Not only Marks &amp; Spencer but also other companies such as John Lewis, Boots, WH Smith, and Dixons Carphone also reported cutting off jobs which added to thousands of jobs lost across the country during the pandemic time. This added more frustrations among the employees as they felt that they were used by the companies and when they needed jobs in the direst time of the pandemic, the jobs were cut. But many companies also tried to add jobs in new sectors that will mend the pandemic situational loss. The internal and external analysis of Marks &amp; Spencer will show more to this discussion of marketing with precision. </w:t>
      </w:r>
    </w:p>
    <w:p w:rsidR="00000000" w:rsidDel="00000000" w:rsidP="00000000" w:rsidRDefault="00000000" w:rsidRPr="00000000" w14:paraId="00000022">
      <w:pPr>
        <w:pStyle w:val="Heading2"/>
        <w:rPr>
          <w:rFonts w:ascii="Times New Roman" w:cs="Times New Roman" w:eastAsia="Times New Roman" w:hAnsi="Times New Roman"/>
        </w:rPr>
      </w:pPr>
      <w:bookmarkStart w:colFirst="0" w:colLast="0" w:name="_heading=h.xz81rfqw492j" w:id="6"/>
      <w:bookmarkEnd w:id="6"/>
      <w:r w:rsidDel="00000000" w:rsidR="00000000" w:rsidRPr="00000000">
        <w:rPr>
          <w:rFonts w:ascii="Times New Roman" w:cs="Times New Roman" w:eastAsia="Times New Roman" w:hAnsi="Times New Roman"/>
          <w:rtl w:val="0"/>
        </w:rPr>
        <w:t xml:space="preserve">PEST Analysis of Marks &amp; Spencer</w:t>
      </w:r>
    </w:p>
    <w:p w:rsidR="00000000" w:rsidDel="00000000" w:rsidP="00000000" w:rsidRDefault="00000000" w:rsidRPr="00000000" w14:paraId="00000023">
      <w:pPr>
        <w:rPr>
          <w:rFonts w:ascii="Times New Roman" w:cs="Times New Roman" w:eastAsia="Times New Roman" w:hAnsi="Times New Roman"/>
          <w:b w:val="1"/>
        </w:rPr>
      </w:pPr>
      <w:r w:rsidDel="00000000" w:rsidR="00000000" w:rsidRPr="00000000">
        <w:rPr>
          <w:rFonts w:ascii="Times New Roman" w:cs="Times New Roman" w:eastAsia="Times New Roman" w:hAnsi="Times New Roman"/>
          <w:b w:val="1"/>
          <w:rtl w:val="0"/>
        </w:rPr>
        <w:t xml:space="preserve">Political Factors</w:t>
      </w:r>
    </w:p>
    <w:p w:rsidR="00000000" w:rsidDel="00000000" w:rsidP="00000000" w:rsidRDefault="00000000" w:rsidRPr="00000000" w14:paraId="00000024">
      <w:pPr>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In the wake of the pandemic, most of the world’s governments are on hold as most countries are recovering from the damage of the pandemic. As a result, international politics is somewhat peaceful, although there is a possible all-out war hanging between Ukraine and Russia. This war, if held longer, will certainly impact international trade as everything is connected in this global village (Tredinnick and Laybats, 2020). But more importantly, Marks &amp; Spencer has greater concern now which is the Brexit situation. The situation could get much harder for Marks &amp; Spencer if the free trade agreement of the UK with European countries gets complex. The pandemic already damaged the company as there were several lockdown procedures and restrictions to stop the viral outbreak and international trade was halted several times (Marks &amp; Spencer, 2022). As a result, Marks &amp; Spencer faced supply shortages for transport restrictions during the pandemic. This resulted in the failure of meeting customer demands during the pandemic and Marks &amp; Spencer faced sales drop at a damaging rate. But as Marks &amp; Spencer provides food products, the company managed to overcome the situation more than other companies (Marks &amp; Spencer, 2022). The only sales growth was shown in its food stores as the food business can never be completely shut down. But the post-pandemic Ukraine-Russia war can cause much more damage than the pandemic if the international trade between countries is damaged as a result of this war. Adding to this, the sales growth in Asia for Marks &amp; Spencer is still on hold as many Asian countries are still recovering from the pandemic and a few lockdown process is still on hold. </w:t>
      </w:r>
    </w:p>
    <w:p w:rsidR="00000000" w:rsidDel="00000000" w:rsidP="00000000" w:rsidRDefault="00000000" w:rsidRPr="00000000" w14:paraId="00000025">
      <w:pPr>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26">
      <w:pPr>
        <w:rPr>
          <w:rFonts w:ascii="Times New Roman" w:cs="Times New Roman" w:eastAsia="Times New Roman" w:hAnsi="Times New Roman"/>
          <w:b w:val="1"/>
        </w:rPr>
      </w:pPr>
      <w:r w:rsidDel="00000000" w:rsidR="00000000" w:rsidRPr="00000000">
        <w:rPr>
          <w:rFonts w:ascii="Times New Roman" w:cs="Times New Roman" w:eastAsia="Times New Roman" w:hAnsi="Times New Roman"/>
          <w:b w:val="1"/>
          <w:rtl w:val="0"/>
        </w:rPr>
        <w:t xml:space="preserve">Economic Factors</w:t>
      </w:r>
    </w:p>
    <w:p w:rsidR="00000000" w:rsidDel="00000000" w:rsidP="00000000" w:rsidRDefault="00000000" w:rsidRPr="00000000" w14:paraId="00000027">
      <w:pPr>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The retail industry faced a severe blow as a result of this pandemic as companies have gone through a serious economic crisis. The global economy even came to face a crisis as the price of oil increased in many countries which are related to all the sectors of business. This added to the fact that during the first and second waves of the pandemic, companies like Marks &amp; Spencer had to shut down their shops and most of their business operations (Jones, Zhang and Zhang, 2022). This added more threats to the economic growth of the company. Marks &amp; Spencer was forced to cut 7000 jobs as a result of the financial loss during the pandemic. The company which is one of the oldest retailers across the UK with over 130 years of business experience faced an economic crisis as the pre-tax profit was down to 43 million pounds in the 2020-21 session from the 2019-20 session’s 403 million pounds. This was a serious downfall for the major British retail company and as this is the case, the company lost the first half of the 2020-21 session which is the first since 1926 (Marks &amp; Spencer, 2022). The company crashed with a 34% rate in terms of clothing and homewares in the UK as a result of lockdown procedures and the shutdown of its non-food retail shops. As for the company’s food sales, a slight rise of 1.2% was comprehended. Not only Marks &amp; Spencer but also other UK retailers such as Primark reported that its sale dropped down to 90% and Next, which has a massive online presence, although has shown much resilience still its profit fell down to 53 per cent (The World Bank, 2022). Mars &amp; Spener also faced loss as its group loss before tax during 2021 was 201.2 million pounds. This economic disaster of the company was reflected in cutting down jobs. </w:t>
      </w:r>
    </w:p>
    <w:p w:rsidR="00000000" w:rsidDel="00000000" w:rsidP="00000000" w:rsidRDefault="00000000" w:rsidRPr="00000000" w14:paraId="00000028">
      <w:pPr>
        <w:rPr>
          <w:rFonts w:ascii="Times New Roman" w:cs="Times New Roman" w:eastAsia="Times New Roman" w:hAnsi="Times New Roman"/>
          <w:b w:val="1"/>
        </w:rPr>
      </w:pPr>
      <w:r w:rsidDel="00000000" w:rsidR="00000000" w:rsidRPr="00000000">
        <w:rPr>
          <w:rFonts w:ascii="Times New Roman" w:cs="Times New Roman" w:eastAsia="Times New Roman" w:hAnsi="Times New Roman"/>
          <w:b w:val="1"/>
          <w:rtl w:val="0"/>
        </w:rPr>
        <w:t xml:space="preserve">Social Factors</w:t>
      </w:r>
    </w:p>
    <w:p w:rsidR="00000000" w:rsidDel="00000000" w:rsidP="00000000" w:rsidRDefault="00000000" w:rsidRPr="00000000" w14:paraId="00000029">
      <w:pPr>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As a result of the pandemic, the living standards of the mass people have increased with a bit more consciousness of wellbeing and health. This increase in people’s living standards has become a prior opportunity for Marks &amp; Spencer as the company sells basic living products such as food, clothes and homeware. As such, Marks &amp; Spencer focused on its skincare and healthcare products as people are more conscious about their health than ever. Emerging from the pandemic, Marks &amp; Spencer offered more relevant beauty and care products to its customers due to the present social factor. The trends that were popular during the lockdown, M&amp;S focused on these trends and managed to meet the needs of the customers. As people had time during the pandemic to reflect on their health and beauty, Marks &amp; Spencer deployed special offers regarding health and beauty products such as MenoGlow (Marks &amp; Spencer, 2022). As for the ‘new normal’ period in the wake of the pandemic, many are started to break down social taboos regarding menopause. This has been captured by M&amp;S as the company focused on bringing its customers the best care products. </w:t>
      </w:r>
    </w:p>
    <w:p w:rsidR="00000000" w:rsidDel="00000000" w:rsidP="00000000" w:rsidRDefault="00000000" w:rsidRPr="00000000" w14:paraId="0000002A">
      <w:pPr>
        <w:rPr>
          <w:rFonts w:ascii="Times New Roman" w:cs="Times New Roman" w:eastAsia="Times New Roman" w:hAnsi="Times New Roman"/>
          <w:b w:val="1"/>
        </w:rPr>
      </w:pPr>
      <w:r w:rsidDel="00000000" w:rsidR="00000000" w:rsidRPr="00000000">
        <w:rPr>
          <w:rFonts w:ascii="Times New Roman" w:cs="Times New Roman" w:eastAsia="Times New Roman" w:hAnsi="Times New Roman"/>
          <w:b w:val="1"/>
          <w:rtl w:val="0"/>
        </w:rPr>
        <w:t xml:space="preserve">Technological Factors</w:t>
      </w:r>
    </w:p>
    <w:p w:rsidR="00000000" w:rsidDel="00000000" w:rsidP="00000000" w:rsidRDefault="00000000" w:rsidRPr="00000000" w14:paraId="0000002B">
      <w:pPr>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During the pandemic, as physical business had to be stopped, the online market grew and became a crucial means of business. Social media platforms and web pages became the main tool for business with customers. In this case, Marks &amp; Spencer used the online market to reach its customers and carry on the business (Marks &amp; Spencer, 2022). Also, the use of AI technology has increased in the operations of M&amp;S as the company uses smart technology to reduce food wastages and thus invest in respective communities. Marks &amp; Spencer is a company with over 130 years of business experience and the company rose out of the misery of the pandemic with smart and advanced technology. </w:t>
      </w:r>
    </w:p>
    <w:p w:rsidR="00000000" w:rsidDel="00000000" w:rsidP="00000000" w:rsidRDefault="00000000" w:rsidRPr="00000000" w14:paraId="0000002C">
      <w:pPr>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2D">
      <w:pPr>
        <w:pStyle w:val="Heading2"/>
        <w:rPr>
          <w:rFonts w:ascii="Times New Roman" w:cs="Times New Roman" w:eastAsia="Times New Roman" w:hAnsi="Times New Roman"/>
        </w:rPr>
      </w:pPr>
      <w:bookmarkStart w:colFirst="0" w:colLast="0" w:name="_heading=h.3zco22qn52vk" w:id="7"/>
      <w:bookmarkEnd w:id="7"/>
      <w:r w:rsidDel="00000000" w:rsidR="00000000" w:rsidRPr="00000000">
        <w:rPr>
          <w:rFonts w:ascii="Times New Roman" w:cs="Times New Roman" w:eastAsia="Times New Roman" w:hAnsi="Times New Roman"/>
          <w:rtl w:val="0"/>
        </w:rPr>
        <w:t xml:space="preserve">SWOT Analysis</w:t>
      </w:r>
    </w:p>
    <w:p w:rsidR="00000000" w:rsidDel="00000000" w:rsidP="00000000" w:rsidRDefault="00000000" w:rsidRPr="00000000" w14:paraId="0000002E">
      <w:pPr>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The SWOT analysis of Marks &amp; Spencer will show the company’s strengths, weaknesses, opportunities and threats.</w:t>
      </w:r>
    </w:p>
    <w:tbl>
      <w:tblPr>
        <w:tblStyle w:val="Table1"/>
        <w:tblW w:w="9360.0" w:type="dxa"/>
        <w:jc w:val="left"/>
        <w:tblInd w:w="0.0" w:type="dxa"/>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4680"/>
        <w:gridCol w:w="4680"/>
        <w:tblGridChange w:id="0">
          <w:tblGrid>
            <w:gridCol w:w="4680"/>
            <w:gridCol w:w="4680"/>
          </w:tblGrid>
        </w:tblGridChange>
      </w:tblGrid>
      <w:tr>
        <w:trPr>
          <w:cantSplit w:val="0"/>
          <w:tblHeader w:val="0"/>
        </w:trPr>
        <w:tc>
          <w:tcPr>
            <w:shd w:fill="auto" w:val="clear"/>
            <w:tcMar>
              <w:top w:w="100.0" w:type="dxa"/>
              <w:left w:w="100.0" w:type="dxa"/>
              <w:bottom w:w="100.0" w:type="dxa"/>
              <w:right w:w="100.0" w:type="dxa"/>
            </w:tcMar>
          </w:tcPr>
          <w:p w:rsidR="00000000" w:rsidDel="00000000" w:rsidP="00000000" w:rsidRDefault="00000000" w:rsidRPr="00000000" w14:paraId="0000002F">
            <w:pPr>
              <w:widowControl w:val="0"/>
              <w:spacing w:after="0" w:line="240" w:lineRule="auto"/>
              <w:jc w:val="left"/>
              <w:rPr>
                <w:rFonts w:ascii="Times New Roman" w:cs="Times New Roman" w:eastAsia="Times New Roman" w:hAnsi="Times New Roman"/>
              </w:rPr>
            </w:pPr>
            <w:r w:rsidDel="00000000" w:rsidR="00000000" w:rsidRPr="00000000">
              <w:rPr>
                <w:rFonts w:ascii="Times New Roman" w:cs="Times New Roman" w:eastAsia="Times New Roman" w:hAnsi="Times New Roman"/>
                <w:b w:val="1"/>
                <w:rtl w:val="0"/>
              </w:rPr>
              <w:t xml:space="preserve">Strengths</w:t>
            </w:r>
            <w:r w:rsidDel="00000000" w:rsidR="00000000" w:rsidRPr="00000000">
              <w:rPr>
                <w:rtl w:val="0"/>
              </w:rPr>
            </w:r>
          </w:p>
          <w:p w:rsidR="00000000" w:rsidDel="00000000" w:rsidP="00000000" w:rsidRDefault="00000000" w:rsidRPr="00000000" w14:paraId="00000030">
            <w:pPr>
              <w:widowControl w:val="0"/>
              <w:numPr>
                <w:ilvl w:val="0"/>
                <w:numId w:val="1"/>
              </w:numPr>
              <w:spacing w:after="0" w:line="240" w:lineRule="auto"/>
              <w:ind w:left="720" w:hanging="360"/>
              <w:jc w:val="left"/>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Well experienced in business</w:t>
            </w:r>
          </w:p>
          <w:p w:rsidR="00000000" w:rsidDel="00000000" w:rsidP="00000000" w:rsidRDefault="00000000" w:rsidRPr="00000000" w14:paraId="00000031">
            <w:pPr>
              <w:widowControl w:val="0"/>
              <w:numPr>
                <w:ilvl w:val="0"/>
                <w:numId w:val="1"/>
              </w:numPr>
              <w:spacing w:after="0" w:line="240" w:lineRule="auto"/>
              <w:ind w:left="720" w:hanging="360"/>
              <w:jc w:val="left"/>
              <w:rPr>
                <w:rFonts w:ascii="Times New Roman" w:cs="Times New Roman" w:eastAsia="Times New Roman" w:hAnsi="Times New Roman"/>
                <w:u w:val="none"/>
              </w:rPr>
            </w:pPr>
            <w:r w:rsidDel="00000000" w:rsidR="00000000" w:rsidRPr="00000000">
              <w:rPr>
                <w:rFonts w:ascii="Times New Roman" w:cs="Times New Roman" w:eastAsia="Times New Roman" w:hAnsi="Times New Roman"/>
                <w:rtl w:val="0"/>
              </w:rPr>
              <w:t xml:space="preserve">Recognised and popular brand across the globe</w:t>
            </w:r>
          </w:p>
          <w:p w:rsidR="00000000" w:rsidDel="00000000" w:rsidP="00000000" w:rsidRDefault="00000000" w:rsidRPr="00000000" w14:paraId="00000032">
            <w:pPr>
              <w:widowControl w:val="0"/>
              <w:numPr>
                <w:ilvl w:val="0"/>
                <w:numId w:val="1"/>
              </w:numPr>
              <w:spacing w:after="0" w:line="240" w:lineRule="auto"/>
              <w:ind w:left="720" w:hanging="360"/>
              <w:jc w:val="left"/>
              <w:rPr>
                <w:rFonts w:ascii="Times New Roman" w:cs="Times New Roman" w:eastAsia="Times New Roman" w:hAnsi="Times New Roman"/>
                <w:u w:val="none"/>
              </w:rPr>
            </w:pPr>
            <w:r w:rsidDel="00000000" w:rsidR="00000000" w:rsidRPr="00000000">
              <w:rPr>
                <w:rFonts w:ascii="Times New Roman" w:cs="Times New Roman" w:eastAsia="Times New Roman" w:hAnsi="Times New Roman"/>
                <w:rtl w:val="0"/>
              </w:rPr>
              <w:t xml:space="preserve">Famous designs in brands</w:t>
            </w:r>
          </w:p>
          <w:p w:rsidR="00000000" w:rsidDel="00000000" w:rsidP="00000000" w:rsidRDefault="00000000" w:rsidRPr="00000000" w14:paraId="00000033">
            <w:pPr>
              <w:widowControl w:val="0"/>
              <w:numPr>
                <w:ilvl w:val="0"/>
                <w:numId w:val="1"/>
              </w:numPr>
              <w:spacing w:after="0" w:line="240" w:lineRule="auto"/>
              <w:ind w:left="720" w:hanging="360"/>
              <w:jc w:val="left"/>
              <w:rPr>
                <w:rFonts w:ascii="Times New Roman" w:cs="Times New Roman" w:eastAsia="Times New Roman" w:hAnsi="Times New Roman"/>
                <w:u w:val="none"/>
              </w:rPr>
            </w:pPr>
            <w:r w:rsidDel="00000000" w:rsidR="00000000" w:rsidRPr="00000000">
              <w:rPr>
                <w:rFonts w:ascii="Times New Roman" w:cs="Times New Roman" w:eastAsia="Times New Roman" w:hAnsi="Times New Roman"/>
                <w:rtl w:val="0"/>
              </w:rPr>
              <w:t xml:space="preserve">Product variety</w:t>
            </w:r>
          </w:p>
          <w:p w:rsidR="00000000" w:rsidDel="00000000" w:rsidP="00000000" w:rsidRDefault="00000000" w:rsidRPr="00000000" w14:paraId="00000034">
            <w:pPr>
              <w:widowControl w:val="0"/>
              <w:numPr>
                <w:ilvl w:val="0"/>
                <w:numId w:val="1"/>
              </w:numPr>
              <w:spacing w:after="0" w:line="240" w:lineRule="auto"/>
              <w:ind w:left="720" w:hanging="360"/>
              <w:jc w:val="left"/>
              <w:rPr>
                <w:rFonts w:ascii="Times New Roman" w:cs="Times New Roman" w:eastAsia="Times New Roman" w:hAnsi="Times New Roman"/>
                <w:u w:val="none"/>
              </w:rPr>
            </w:pPr>
            <w:r w:rsidDel="00000000" w:rsidR="00000000" w:rsidRPr="00000000">
              <w:rPr>
                <w:rFonts w:ascii="Times New Roman" w:cs="Times New Roman" w:eastAsia="Times New Roman" w:hAnsi="Times New Roman"/>
                <w:rtl w:val="0"/>
              </w:rPr>
              <w:t xml:space="preserve">Experienced leaders</w:t>
            </w:r>
          </w:p>
          <w:p w:rsidR="00000000" w:rsidDel="00000000" w:rsidP="00000000" w:rsidRDefault="00000000" w:rsidRPr="00000000" w14:paraId="00000035">
            <w:pPr>
              <w:widowControl w:val="0"/>
              <w:numPr>
                <w:ilvl w:val="0"/>
                <w:numId w:val="1"/>
              </w:numPr>
              <w:spacing w:after="0" w:line="240" w:lineRule="auto"/>
              <w:ind w:left="720" w:hanging="360"/>
              <w:jc w:val="left"/>
              <w:rPr>
                <w:rFonts w:ascii="Times New Roman" w:cs="Times New Roman" w:eastAsia="Times New Roman" w:hAnsi="Times New Roman"/>
                <w:u w:val="none"/>
              </w:rPr>
            </w:pPr>
            <w:r w:rsidDel="00000000" w:rsidR="00000000" w:rsidRPr="00000000">
              <w:rPr>
                <w:rFonts w:ascii="Times New Roman" w:cs="Times New Roman" w:eastAsia="Times New Roman" w:hAnsi="Times New Roman"/>
                <w:rtl w:val="0"/>
              </w:rPr>
              <w:t xml:space="preserve">Portfolio</w:t>
            </w:r>
          </w:p>
        </w:tc>
        <w:tc>
          <w:tcPr>
            <w:shd w:fill="auto" w:val="clear"/>
            <w:tcMar>
              <w:top w:w="100.0" w:type="dxa"/>
              <w:left w:w="100.0" w:type="dxa"/>
              <w:bottom w:w="100.0" w:type="dxa"/>
              <w:right w:w="100.0" w:type="dxa"/>
            </w:tcMar>
          </w:tcPr>
          <w:p w:rsidR="00000000" w:rsidDel="00000000" w:rsidP="00000000" w:rsidRDefault="00000000" w:rsidRPr="00000000" w14:paraId="00000036">
            <w:pPr>
              <w:widowControl w:val="0"/>
              <w:spacing w:after="0" w:line="240" w:lineRule="auto"/>
              <w:jc w:val="left"/>
              <w:rPr>
                <w:rFonts w:ascii="Times New Roman" w:cs="Times New Roman" w:eastAsia="Times New Roman" w:hAnsi="Times New Roman"/>
              </w:rPr>
            </w:pPr>
            <w:r w:rsidDel="00000000" w:rsidR="00000000" w:rsidRPr="00000000">
              <w:rPr>
                <w:rFonts w:ascii="Times New Roman" w:cs="Times New Roman" w:eastAsia="Times New Roman" w:hAnsi="Times New Roman"/>
                <w:b w:val="1"/>
                <w:rtl w:val="0"/>
              </w:rPr>
              <w:t xml:space="preserve">Weaknesses</w:t>
            </w:r>
            <w:r w:rsidDel="00000000" w:rsidR="00000000" w:rsidRPr="00000000">
              <w:rPr>
                <w:rtl w:val="0"/>
              </w:rPr>
            </w:r>
          </w:p>
          <w:p w:rsidR="00000000" w:rsidDel="00000000" w:rsidP="00000000" w:rsidRDefault="00000000" w:rsidRPr="00000000" w14:paraId="00000037">
            <w:pPr>
              <w:widowControl w:val="0"/>
              <w:numPr>
                <w:ilvl w:val="0"/>
                <w:numId w:val="2"/>
              </w:numPr>
              <w:spacing w:after="0" w:line="240" w:lineRule="auto"/>
              <w:ind w:left="720" w:hanging="360"/>
              <w:jc w:val="left"/>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Declining sales</w:t>
            </w:r>
          </w:p>
          <w:p w:rsidR="00000000" w:rsidDel="00000000" w:rsidP="00000000" w:rsidRDefault="00000000" w:rsidRPr="00000000" w14:paraId="00000038">
            <w:pPr>
              <w:widowControl w:val="0"/>
              <w:numPr>
                <w:ilvl w:val="0"/>
                <w:numId w:val="2"/>
              </w:numPr>
              <w:spacing w:after="0" w:line="240" w:lineRule="auto"/>
              <w:ind w:left="720" w:hanging="360"/>
              <w:jc w:val="left"/>
              <w:rPr>
                <w:rFonts w:ascii="Times New Roman" w:cs="Times New Roman" w:eastAsia="Times New Roman" w:hAnsi="Times New Roman"/>
                <w:u w:val="none"/>
              </w:rPr>
            </w:pPr>
            <w:r w:rsidDel="00000000" w:rsidR="00000000" w:rsidRPr="00000000">
              <w:rPr>
                <w:rFonts w:ascii="Times New Roman" w:cs="Times New Roman" w:eastAsia="Times New Roman" w:hAnsi="Times New Roman"/>
                <w:rtl w:val="0"/>
              </w:rPr>
              <w:t xml:space="preserve">Higher cost due to manual process</w:t>
            </w:r>
          </w:p>
          <w:p w:rsidR="00000000" w:rsidDel="00000000" w:rsidP="00000000" w:rsidRDefault="00000000" w:rsidRPr="00000000" w14:paraId="00000039">
            <w:pPr>
              <w:widowControl w:val="0"/>
              <w:numPr>
                <w:ilvl w:val="0"/>
                <w:numId w:val="2"/>
              </w:numPr>
              <w:spacing w:after="0" w:line="240" w:lineRule="auto"/>
              <w:ind w:left="720" w:hanging="360"/>
              <w:jc w:val="left"/>
              <w:rPr>
                <w:rFonts w:ascii="Times New Roman" w:cs="Times New Roman" w:eastAsia="Times New Roman" w:hAnsi="Times New Roman"/>
                <w:u w:val="none"/>
              </w:rPr>
            </w:pPr>
            <w:r w:rsidDel="00000000" w:rsidR="00000000" w:rsidRPr="00000000">
              <w:rPr>
                <w:rFonts w:ascii="Times New Roman" w:cs="Times New Roman" w:eastAsia="Times New Roman" w:hAnsi="Times New Roman"/>
                <w:rtl w:val="0"/>
              </w:rPr>
              <w:t xml:space="preserve">Public perception</w:t>
            </w:r>
          </w:p>
          <w:p w:rsidR="00000000" w:rsidDel="00000000" w:rsidP="00000000" w:rsidRDefault="00000000" w:rsidRPr="00000000" w14:paraId="0000003A">
            <w:pPr>
              <w:widowControl w:val="0"/>
              <w:spacing w:after="0" w:line="240" w:lineRule="auto"/>
              <w:ind w:left="0" w:firstLine="0"/>
              <w:jc w:val="left"/>
              <w:rPr>
                <w:rFonts w:ascii="Times New Roman" w:cs="Times New Roman" w:eastAsia="Times New Roman" w:hAnsi="Times New Roman"/>
              </w:rPr>
            </w:pPr>
            <w:r w:rsidDel="00000000" w:rsidR="00000000" w:rsidRPr="00000000">
              <w:rPr>
                <w:rtl w:val="0"/>
              </w:rPr>
            </w:r>
          </w:p>
        </w:tc>
      </w:tr>
      <w:tr>
        <w:trPr>
          <w:cantSplit w:val="0"/>
          <w:tblHeader w:val="0"/>
        </w:trPr>
        <w:tc>
          <w:tcPr>
            <w:shd w:fill="auto" w:val="clear"/>
            <w:tcMar>
              <w:top w:w="100.0" w:type="dxa"/>
              <w:left w:w="100.0" w:type="dxa"/>
              <w:bottom w:w="100.0" w:type="dxa"/>
              <w:right w:w="100.0" w:type="dxa"/>
            </w:tcMar>
          </w:tcPr>
          <w:p w:rsidR="00000000" w:rsidDel="00000000" w:rsidP="00000000" w:rsidRDefault="00000000" w:rsidRPr="00000000" w14:paraId="0000003B">
            <w:pPr>
              <w:widowControl w:val="0"/>
              <w:spacing w:after="0" w:line="240" w:lineRule="auto"/>
              <w:jc w:val="left"/>
              <w:rPr>
                <w:rFonts w:ascii="Times New Roman" w:cs="Times New Roman" w:eastAsia="Times New Roman" w:hAnsi="Times New Roman"/>
                <w:b w:val="1"/>
              </w:rPr>
            </w:pPr>
            <w:r w:rsidDel="00000000" w:rsidR="00000000" w:rsidRPr="00000000">
              <w:rPr>
                <w:rFonts w:ascii="Times New Roman" w:cs="Times New Roman" w:eastAsia="Times New Roman" w:hAnsi="Times New Roman"/>
                <w:b w:val="1"/>
                <w:rtl w:val="0"/>
              </w:rPr>
              <w:t xml:space="preserve">Opportunities</w:t>
            </w:r>
          </w:p>
          <w:p w:rsidR="00000000" w:rsidDel="00000000" w:rsidP="00000000" w:rsidRDefault="00000000" w:rsidRPr="00000000" w14:paraId="0000003C">
            <w:pPr>
              <w:widowControl w:val="0"/>
              <w:numPr>
                <w:ilvl w:val="0"/>
                <w:numId w:val="3"/>
              </w:numPr>
              <w:spacing w:after="0" w:line="240" w:lineRule="auto"/>
              <w:ind w:left="720" w:hanging="360"/>
              <w:jc w:val="left"/>
              <w:rPr>
                <w:rFonts w:ascii="Times New Roman" w:cs="Times New Roman" w:eastAsia="Times New Roman" w:hAnsi="Times New Roman"/>
                <w:u w:val="none"/>
              </w:rPr>
            </w:pPr>
            <w:r w:rsidDel="00000000" w:rsidR="00000000" w:rsidRPr="00000000">
              <w:rPr>
                <w:rFonts w:ascii="Times New Roman" w:cs="Times New Roman" w:eastAsia="Times New Roman" w:hAnsi="Times New Roman"/>
                <w:rtl w:val="0"/>
              </w:rPr>
              <w:t xml:space="preserve">Online marketplace and stores</w:t>
            </w:r>
          </w:p>
          <w:p w:rsidR="00000000" w:rsidDel="00000000" w:rsidP="00000000" w:rsidRDefault="00000000" w:rsidRPr="00000000" w14:paraId="0000003D">
            <w:pPr>
              <w:widowControl w:val="0"/>
              <w:numPr>
                <w:ilvl w:val="0"/>
                <w:numId w:val="3"/>
              </w:numPr>
              <w:spacing w:after="0" w:line="240" w:lineRule="auto"/>
              <w:ind w:left="720" w:hanging="360"/>
              <w:jc w:val="left"/>
              <w:rPr>
                <w:rFonts w:ascii="Times New Roman" w:cs="Times New Roman" w:eastAsia="Times New Roman" w:hAnsi="Times New Roman"/>
                <w:u w:val="none"/>
              </w:rPr>
            </w:pPr>
            <w:r w:rsidDel="00000000" w:rsidR="00000000" w:rsidRPr="00000000">
              <w:rPr>
                <w:rFonts w:ascii="Times New Roman" w:cs="Times New Roman" w:eastAsia="Times New Roman" w:hAnsi="Times New Roman"/>
                <w:rtl w:val="0"/>
              </w:rPr>
              <w:t xml:space="preserve">Global expansion</w:t>
            </w:r>
          </w:p>
          <w:p w:rsidR="00000000" w:rsidDel="00000000" w:rsidP="00000000" w:rsidRDefault="00000000" w:rsidRPr="00000000" w14:paraId="0000003E">
            <w:pPr>
              <w:widowControl w:val="0"/>
              <w:numPr>
                <w:ilvl w:val="0"/>
                <w:numId w:val="3"/>
              </w:numPr>
              <w:spacing w:after="0" w:line="240" w:lineRule="auto"/>
              <w:ind w:left="720" w:hanging="360"/>
              <w:jc w:val="left"/>
              <w:rPr>
                <w:rFonts w:ascii="Times New Roman" w:cs="Times New Roman" w:eastAsia="Times New Roman" w:hAnsi="Times New Roman"/>
                <w:u w:val="none"/>
              </w:rPr>
            </w:pPr>
            <w:r w:rsidDel="00000000" w:rsidR="00000000" w:rsidRPr="00000000">
              <w:rPr>
                <w:rFonts w:ascii="Times New Roman" w:cs="Times New Roman" w:eastAsia="Times New Roman" w:hAnsi="Times New Roman"/>
                <w:rtl w:val="0"/>
              </w:rPr>
              <w:t xml:space="preserve">Market segments</w:t>
            </w:r>
          </w:p>
        </w:tc>
        <w:tc>
          <w:tcPr>
            <w:shd w:fill="auto" w:val="clear"/>
            <w:tcMar>
              <w:top w:w="100.0" w:type="dxa"/>
              <w:left w:w="100.0" w:type="dxa"/>
              <w:bottom w:w="100.0" w:type="dxa"/>
              <w:right w:w="100.0" w:type="dxa"/>
            </w:tcMar>
          </w:tcPr>
          <w:p w:rsidR="00000000" w:rsidDel="00000000" w:rsidP="00000000" w:rsidRDefault="00000000" w:rsidRPr="00000000" w14:paraId="0000003F">
            <w:pPr>
              <w:widowControl w:val="0"/>
              <w:spacing w:after="0" w:line="240" w:lineRule="auto"/>
              <w:jc w:val="left"/>
              <w:rPr>
                <w:rFonts w:ascii="Times New Roman" w:cs="Times New Roman" w:eastAsia="Times New Roman" w:hAnsi="Times New Roman"/>
              </w:rPr>
            </w:pPr>
            <w:r w:rsidDel="00000000" w:rsidR="00000000" w:rsidRPr="00000000">
              <w:rPr>
                <w:rFonts w:ascii="Times New Roman" w:cs="Times New Roman" w:eastAsia="Times New Roman" w:hAnsi="Times New Roman"/>
                <w:b w:val="1"/>
                <w:rtl w:val="0"/>
              </w:rPr>
              <w:t xml:space="preserve">Threats</w:t>
            </w:r>
            <w:r w:rsidDel="00000000" w:rsidR="00000000" w:rsidRPr="00000000">
              <w:rPr>
                <w:rtl w:val="0"/>
              </w:rPr>
            </w:r>
          </w:p>
          <w:p w:rsidR="00000000" w:rsidDel="00000000" w:rsidP="00000000" w:rsidRDefault="00000000" w:rsidRPr="00000000" w14:paraId="00000040">
            <w:pPr>
              <w:widowControl w:val="0"/>
              <w:numPr>
                <w:ilvl w:val="0"/>
                <w:numId w:val="4"/>
              </w:numPr>
              <w:spacing w:after="0" w:line="240" w:lineRule="auto"/>
              <w:ind w:left="720" w:hanging="360"/>
              <w:jc w:val="left"/>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High competition in the industry</w:t>
            </w:r>
          </w:p>
          <w:p w:rsidR="00000000" w:rsidDel="00000000" w:rsidP="00000000" w:rsidRDefault="00000000" w:rsidRPr="00000000" w14:paraId="00000041">
            <w:pPr>
              <w:widowControl w:val="0"/>
              <w:numPr>
                <w:ilvl w:val="0"/>
                <w:numId w:val="4"/>
              </w:numPr>
              <w:spacing w:after="0" w:line="240" w:lineRule="auto"/>
              <w:ind w:left="720" w:hanging="360"/>
              <w:jc w:val="left"/>
              <w:rPr>
                <w:rFonts w:ascii="Times New Roman" w:cs="Times New Roman" w:eastAsia="Times New Roman" w:hAnsi="Times New Roman"/>
                <w:u w:val="none"/>
              </w:rPr>
            </w:pPr>
            <w:r w:rsidDel="00000000" w:rsidR="00000000" w:rsidRPr="00000000">
              <w:rPr>
                <w:rFonts w:ascii="Times New Roman" w:cs="Times New Roman" w:eastAsia="Times New Roman" w:hAnsi="Times New Roman"/>
                <w:rtl w:val="0"/>
              </w:rPr>
              <w:t xml:space="preserve">Controversies</w:t>
            </w:r>
          </w:p>
        </w:tc>
      </w:tr>
    </w:tbl>
    <w:p w:rsidR="00000000" w:rsidDel="00000000" w:rsidP="00000000" w:rsidRDefault="00000000" w:rsidRPr="00000000" w14:paraId="00000042">
      <w:pPr>
        <w:spacing w:after="0" w:lineRule="auto"/>
        <w:jc w:val="center"/>
        <w:rPr>
          <w:rFonts w:ascii="Times New Roman" w:cs="Times New Roman" w:eastAsia="Times New Roman" w:hAnsi="Times New Roman"/>
          <w:b w:val="1"/>
        </w:rPr>
      </w:pPr>
      <w:r w:rsidDel="00000000" w:rsidR="00000000" w:rsidRPr="00000000">
        <w:rPr>
          <w:rFonts w:ascii="Times New Roman" w:cs="Times New Roman" w:eastAsia="Times New Roman" w:hAnsi="Times New Roman"/>
          <w:b w:val="1"/>
          <w:rtl w:val="0"/>
        </w:rPr>
        <w:t xml:space="preserve">Table 1: SWOT analysis of M&amp;S.</w:t>
      </w:r>
    </w:p>
    <w:p w:rsidR="00000000" w:rsidDel="00000000" w:rsidP="00000000" w:rsidRDefault="00000000" w:rsidRPr="00000000" w14:paraId="00000043">
      <w:pPr>
        <w:spacing w:after="0" w:lineRule="auto"/>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The prime strength of Marks &amp; Spencer is that the company is a globally recognised brand with operations in over 1500 locations worldwide. They have shops almost all over the world. The company solely have over 1000 stores across the UK. And so, the brand is as famous in the local market as in the international market (Marks &amp; Spencer, 2022). As such, the damage done by the pandemic can be lowered if the company use this brand image and recognition to work properly. The market value of the company, according to Forbes, amounted to 2.3 billion dollars in 2020 during the pandemic. This is an advantage to their brand strength. The company also have strength in its variety of products ranging from food and beverages to clothing, beauty, skincare, health and homeware products. Also, the company has over 130 years of business experience which is its biggest strength (Marks &amp; Spencer, 2022). Also, the designers of the company are best with designers such as Indigo Collection, Portfolio, Big &amp; Tall, Collezione, Limited Collection, North Coast, Blue Harbour, Autograph etc. </w:t>
      </w:r>
    </w:p>
    <w:p w:rsidR="00000000" w:rsidDel="00000000" w:rsidP="00000000" w:rsidRDefault="00000000" w:rsidRPr="00000000" w14:paraId="00000044">
      <w:pPr>
        <w:spacing w:after="0" w:lineRule="auto"/>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Marks &amp; Spencer faced a grave economic crisis during the pandemic which added to its declining sales and became a strong weakness of the company. The company’s earnings were reduced during the pandemic time even more than before. The company faced a downfall as the pre-tax profit was down to 43 million pounds in the 2020-21 session from the 2019-20 session’s 403 million pounds. Adding to the company’s weakness is the public perception of the young generation that the company only sells to elderly customers as to the company’s limited clothing range for teenagers and young people (Paul, Chowdhury, Moktadir and Lau, 2021). This is not good for the company. And also, the manual process of the century-old company added to its weakness as this manual process adds to the high cost of production. </w:t>
      </w:r>
    </w:p>
    <w:p w:rsidR="00000000" w:rsidDel="00000000" w:rsidP="00000000" w:rsidRDefault="00000000" w:rsidRPr="00000000" w14:paraId="00000045">
      <w:pPr>
        <w:spacing w:after="0" w:lineRule="auto"/>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The prime opportunity for M&amp;S is that the company can revolve around many market segments as it provides products in a diverse range. Adding to this, the online market and e-commerce can be of great opportunity for Marks &amp; Spencer. during the pandemic, the e-commerce sector has been growing exponentially and this is a place where business operations can function more efficiently both in terms of cost and time. Customers also enjoy online marketing as it is time efficient for them (Tredinnick and Laybats, 2020). So this is a big opportunity for Marks &amp; Spencer. Also, there are expansion opportunities for Marks &amp; Spencer as the company opened stores in countries like Brazil, Indonesia, India, Poland and Russia. These are the countries with huge markets and the company should exploit these opportunities. The company also plans to open over 100 stores within 2022. </w:t>
      </w:r>
    </w:p>
    <w:p w:rsidR="00000000" w:rsidDel="00000000" w:rsidP="00000000" w:rsidRDefault="00000000" w:rsidRPr="00000000" w14:paraId="00000046">
      <w:pPr>
        <w:spacing w:after="0" w:lineRule="auto"/>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As for threats, M&amp;S operates in the most competitive industry across the globe where companies like TESCO, Unilever, NEXT, Amazon, Walmart, ASDA, Debenhams, Sainsbury, Morrisons, and John Lewis are the competitors. So, this can be a threat to the company as can be seen in the up and downs of M&amp;S in this retail competition (Austin-Campbell, 2021). Also, market controversies can damage M&amp;S as trends such as hijabs, and anti-Israel protests can send a wrong and damaging message to the customers. </w:t>
      </w:r>
      <w:r w:rsidDel="00000000" w:rsidR="00000000" w:rsidRPr="00000000">
        <w:br w:type="page"/>
      </w:r>
      <w:r w:rsidDel="00000000" w:rsidR="00000000" w:rsidRPr="00000000">
        <w:rPr>
          <w:rtl w:val="0"/>
        </w:rPr>
      </w:r>
    </w:p>
    <w:p w:rsidR="00000000" w:rsidDel="00000000" w:rsidP="00000000" w:rsidRDefault="00000000" w:rsidRPr="00000000" w14:paraId="00000047">
      <w:pPr>
        <w:pStyle w:val="Heading1"/>
        <w:spacing w:after="0" w:lineRule="auto"/>
        <w:rPr>
          <w:rFonts w:ascii="Times New Roman" w:cs="Times New Roman" w:eastAsia="Times New Roman" w:hAnsi="Times New Roman"/>
        </w:rPr>
      </w:pPr>
      <w:bookmarkStart w:colFirst="0" w:colLast="0" w:name="_heading=h.u2z1me9zlwv" w:id="8"/>
      <w:bookmarkEnd w:id="8"/>
      <w:r w:rsidDel="00000000" w:rsidR="00000000" w:rsidRPr="00000000">
        <w:rPr>
          <w:rFonts w:ascii="Times New Roman" w:cs="Times New Roman" w:eastAsia="Times New Roman" w:hAnsi="Times New Roman"/>
          <w:rtl w:val="0"/>
        </w:rPr>
        <w:t xml:space="preserve">Conclusion</w:t>
      </w:r>
    </w:p>
    <w:p w:rsidR="00000000" w:rsidDel="00000000" w:rsidP="00000000" w:rsidRDefault="00000000" w:rsidRPr="00000000" w14:paraId="00000048">
      <w:pPr>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The COVID-19 pandemic was a real bummer for the whole business world as the economy of many places collapsed. The two-year struggle between the lockdown procedures has changed people’s lives and also changed the buying behaviour of the customers. Companies like Marks &amp; Spencer thus need to adapt to these changes in business function and style to survive in the market and also should make better use of technology and the online market. The online marketplace is the future of the business world as it is growing more and more. </w:t>
      </w:r>
      <w:r w:rsidDel="00000000" w:rsidR="00000000" w:rsidRPr="00000000">
        <w:br w:type="page"/>
      </w:r>
      <w:r w:rsidDel="00000000" w:rsidR="00000000" w:rsidRPr="00000000">
        <w:rPr>
          <w:rtl w:val="0"/>
        </w:rPr>
      </w:r>
    </w:p>
    <w:p w:rsidR="00000000" w:rsidDel="00000000" w:rsidP="00000000" w:rsidRDefault="00000000" w:rsidRPr="00000000" w14:paraId="00000049">
      <w:pPr>
        <w:pStyle w:val="Heading1"/>
        <w:rPr>
          <w:sz w:val="34"/>
          <w:szCs w:val="34"/>
        </w:rPr>
      </w:pPr>
      <w:bookmarkStart w:colFirst="0" w:colLast="0" w:name="_heading=h.gw0h1kbnkyk4" w:id="9"/>
      <w:bookmarkEnd w:id="9"/>
      <w:r w:rsidDel="00000000" w:rsidR="00000000" w:rsidRPr="00000000">
        <w:rPr>
          <w:rFonts w:ascii="Times New Roman" w:cs="Times New Roman" w:eastAsia="Times New Roman" w:hAnsi="Times New Roman"/>
          <w:rtl w:val="0"/>
        </w:rPr>
        <w:t xml:space="preserve">References</w:t>
      </w:r>
      <w:r w:rsidDel="00000000" w:rsidR="00000000" w:rsidRPr="00000000">
        <w:rPr>
          <w:rtl w:val="0"/>
        </w:rPr>
      </w:r>
    </w:p>
    <w:p w:rsidR="00000000" w:rsidDel="00000000" w:rsidP="00000000" w:rsidRDefault="00000000" w:rsidRPr="00000000" w14:paraId="0000004A">
      <w:pPr>
        <w:spacing w:after="240" w:before="240" w:lineRule="auto"/>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About Us, 2022. </w:t>
      </w:r>
      <w:r w:rsidDel="00000000" w:rsidR="00000000" w:rsidRPr="00000000">
        <w:rPr>
          <w:rFonts w:ascii="Times New Roman" w:cs="Times New Roman" w:eastAsia="Times New Roman" w:hAnsi="Times New Roman"/>
          <w:i w:val="1"/>
          <w:rtl w:val="0"/>
        </w:rPr>
        <w:t xml:space="preserve">About Us</w:t>
      </w:r>
      <w:r w:rsidDel="00000000" w:rsidR="00000000" w:rsidRPr="00000000">
        <w:rPr>
          <w:rFonts w:ascii="Times New Roman" w:cs="Times New Roman" w:eastAsia="Times New Roman" w:hAnsi="Times New Roman"/>
          <w:rtl w:val="0"/>
        </w:rPr>
        <w:t xml:space="preserve">. [online] About Us. Available at: &lt;https://corporate.marksandspencer.com/aboutus&gt; [Accessed 31 August 2022].</w:t>
      </w:r>
    </w:p>
    <w:p w:rsidR="00000000" w:rsidDel="00000000" w:rsidP="00000000" w:rsidRDefault="00000000" w:rsidRPr="00000000" w14:paraId="0000004B">
      <w:pPr>
        <w:spacing w:after="240" w:before="240" w:lineRule="auto"/>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Austin-Campbell, S., 2021. Retail Marketing Industry Comeback Post Pandemic. </w:t>
      </w:r>
      <w:r w:rsidDel="00000000" w:rsidR="00000000" w:rsidRPr="00000000">
        <w:rPr>
          <w:rFonts w:ascii="Times New Roman" w:cs="Times New Roman" w:eastAsia="Times New Roman" w:hAnsi="Times New Roman"/>
          <w:i w:val="1"/>
          <w:rtl w:val="0"/>
        </w:rPr>
        <w:t xml:space="preserve">SSRN Electronic Journal</w:t>
      </w:r>
      <w:r w:rsidDel="00000000" w:rsidR="00000000" w:rsidRPr="00000000">
        <w:rPr>
          <w:rFonts w:ascii="Times New Roman" w:cs="Times New Roman" w:eastAsia="Times New Roman" w:hAnsi="Times New Roman"/>
          <w:rtl w:val="0"/>
        </w:rPr>
        <w:t xml:space="preserve">,.</w:t>
      </w:r>
    </w:p>
    <w:p w:rsidR="00000000" w:rsidDel="00000000" w:rsidP="00000000" w:rsidRDefault="00000000" w:rsidRPr="00000000" w14:paraId="0000004C">
      <w:pPr>
        <w:spacing w:after="240" w:before="240" w:lineRule="auto"/>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Bhattacharjee, A. and Jahanshahi, A., 2021. ARTIFICIAL LANDSCAPE STRATEGY: A BUSINESS GROWTH RECOVERY PLAN IN THE POST PANDEMIC WORLD. </w:t>
      </w:r>
      <w:r w:rsidDel="00000000" w:rsidR="00000000" w:rsidRPr="00000000">
        <w:rPr>
          <w:rFonts w:ascii="Times New Roman" w:cs="Times New Roman" w:eastAsia="Times New Roman" w:hAnsi="Times New Roman"/>
          <w:i w:val="1"/>
          <w:rtl w:val="0"/>
        </w:rPr>
        <w:t xml:space="preserve">Academia Letters</w:t>
      </w:r>
      <w:r w:rsidDel="00000000" w:rsidR="00000000" w:rsidRPr="00000000">
        <w:rPr>
          <w:rFonts w:ascii="Times New Roman" w:cs="Times New Roman" w:eastAsia="Times New Roman" w:hAnsi="Times New Roman"/>
          <w:rtl w:val="0"/>
        </w:rPr>
        <w:t xml:space="preserve">,.</w:t>
      </w:r>
    </w:p>
    <w:p w:rsidR="00000000" w:rsidDel="00000000" w:rsidP="00000000" w:rsidRDefault="00000000" w:rsidRPr="00000000" w14:paraId="0000004D">
      <w:pPr>
        <w:spacing w:after="240" w:before="240" w:lineRule="auto"/>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Graham, J. and Loke, H., 2022. Theory rewritten: Business Continuity and Crisis Management in the wake of the Covid‐19 pandemic. </w:t>
      </w:r>
      <w:r w:rsidDel="00000000" w:rsidR="00000000" w:rsidRPr="00000000">
        <w:rPr>
          <w:rFonts w:ascii="Times New Roman" w:cs="Times New Roman" w:eastAsia="Times New Roman" w:hAnsi="Times New Roman"/>
          <w:i w:val="1"/>
          <w:rtl w:val="0"/>
        </w:rPr>
        <w:t xml:space="preserve">Journal of Contingencies and Crisis Management</w:t>
      </w:r>
      <w:r w:rsidDel="00000000" w:rsidR="00000000" w:rsidRPr="00000000">
        <w:rPr>
          <w:rFonts w:ascii="Times New Roman" w:cs="Times New Roman" w:eastAsia="Times New Roman" w:hAnsi="Times New Roman"/>
          <w:rtl w:val="0"/>
        </w:rPr>
        <w:t xml:space="preserve">, 30(3), pp.231-233.</w:t>
      </w:r>
    </w:p>
    <w:p w:rsidR="00000000" w:rsidDel="00000000" w:rsidP="00000000" w:rsidRDefault="00000000" w:rsidRPr="00000000" w14:paraId="0000004E">
      <w:pPr>
        <w:spacing w:after="240" w:before="240" w:lineRule="auto"/>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Hitt, M., Holmes, R. and Arregle, J., 2021. The (COVID-19) pandemic and the new world (dis)order. </w:t>
      </w:r>
      <w:r w:rsidDel="00000000" w:rsidR="00000000" w:rsidRPr="00000000">
        <w:rPr>
          <w:rFonts w:ascii="Times New Roman" w:cs="Times New Roman" w:eastAsia="Times New Roman" w:hAnsi="Times New Roman"/>
          <w:i w:val="1"/>
          <w:rtl w:val="0"/>
        </w:rPr>
        <w:t xml:space="preserve">Journal of World Business</w:t>
      </w:r>
      <w:r w:rsidDel="00000000" w:rsidR="00000000" w:rsidRPr="00000000">
        <w:rPr>
          <w:rFonts w:ascii="Times New Roman" w:cs="Times New Roman" w:eastAsia="Times New Roman" w:hAnsi="Times New Roman"/>
          <w:rtl w:val="0"/>
        </w:rPr>
        <w:t xml:space="preserve">, 56(4), p.101210.</w:t>
      </w:r>
    </w:p>
    <w:p w:rsidR="00000000" w:rsidDel="00000000" w:rsidP="00000000" w:rsidRDefault="00000000" w:rsidRPr="00000000" w14:paraId="0000004F">
      <w:pPr>
        <w:spacing w:after="240" w:before="240" w:lineRule="auto"/>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Jones, C., Zhang, X. and Zhang, X., 2022. Retail Investors in the Pandemic. </w:t>
      </w:r>
      <w:r w:rsidDel="00000000" w:rsidR="00000000" w:rsidRPr="00000000">
        <w:rPr>
          <w:rFonts w:ascii="Times New Roman" w:cs="Times New Roman" w:eastAsia="Times New Roman" w:hAnsi="Times New Roman"/>
          <w:i w:val="1"/>
          <w:rtl w:val="0"/>
        </w:rPr>
        <w:t xml:space="preserve">SSRN Electronic Journal</w:t>
      </w:r>
      <w:r w:rsidDel="00000000" w:rsidR="00000000" w:rsidRPr="00000000">
        <w:rPr>
          <w:rFonts w:ascii="Times New Roman" w:cs="Times New Roman" w:eastAsia="Times New Roman" w:hAnsi="Times New Roman"/>
          <w:rtl w:val="0"/>
        </w:rPr>
        <w:t xml:space="preserve">,.</w:t>
      </w:r>
    </w:p>
    <w:p w:rsidR="00000000" w:rsidDel="00000000" w:rsidP="00000000" w:rsidRDefault="00000000" w:rsidRPr="00000000" w14:paraId="00000050">
      <w:pPr>
        <w:spacing w:after="240" w:before="240" w:lineRule="auto"/>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Marks &amp; Spencer, 2022. </w:t>
      </w:r>
      <w:r w:rsidDel="00000000" w:rsidR="00000000" w:rsidRPr="00000000">
        <w:rPr>
          <w:rFonts w:ascii="Times New Roman" w:cs="Times New Roman" w:eastAsia="Times New Roman" w:hAnsi="Times New Roman"/>
          <w:i w:val="1"/>
          <w:rtl w:val="0"/>
        </w:rPr>
        <w:t xml:space="preserve">How M&amp;S is adapting its beauty offer to post pandemic trends</w:t>
      </w:r>
      <w:r w:rsidDel="00000000" w:rsidR="00000000" w:rsidRPr="00000000">
        <w:rPr>
          <w:rFonts w:ascii="Times New Roman" w:cs="Times New Roman" w:eastAsia="Times New Roman" w:hAnsi="Times New Roman"/>
          <w:rtl w:val="0"/>
        </w:rPr>
        <w:t xml:space="preserve">. [online] How M&amp;S is adapting its beauty offer to post pandemic trends. Available at: &lt;https://corporate.marksandspencer.com/stories/blog/how-m-and-s-is-adapting-its-beauty-offer-to-post-pandemic-trends&gt; [Accessed 31 August 2022].</w:t>
      </w:r>
    </w:p>
    <w:p w:rsidR="00000000" w:rsidDel="00000000" w:rsidP="00000000" w:rsidRDefault="00000000" w:rsidRPr="00000000" w14:paraId="00000051">
      <w:pPr>
        <w:spacing w:after="240" w:before="240" w:lineRule="auto"/>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Marks &amp; Spencer, 2022. </w:t>
      </w:r>
      <w:r w:rsidDel="00000000" w:rsidR="00000000" w:rsidRPr="00000000">
        <w:rPr>
          <w:rFonts w:ascii="Times New Roman" w:cs="Times New Roman" w:eastAsia="Times New Roman" w:hAnsi="Times New Roman"/>
          <w:i w:val="1"/>
          <w:rtl w:val="0"/>
        </w:rPr>
        <w:t xml:space="preserve">M&amp;S Response to Covid-19: Workers in Supply Chains</w:t>
      </w:r>
      <w:r w:rsidDel="00000000" w:rsidR="00000000" w:rsidRPr="00000000">
        <w:rPr>
          <w:rFonts w:ascii="Times New Roman" w:cs="Times New Roman" w:eastAsia="Times New Roman" w:hAnsi="Times New Roman"/>
          <w:rtl w:val="0"/>
        </w:rPr>
        <w:t xml:space="preserve">. [online] Corporate.marksandspencer.com. Available at: &lt;https://corporate.marksandspencer.com/documents/plan-a/m-and-s-response-to-covid19-workers-in-supply-chains&gt; [Accessed 31 August 2022].</w:t>
      </w:r>
    </w:p>
    <w:p w:rsidR="00000000" w:rsidDel="00000000" w:rsidP="00000000" w:rsidRDefault="00000000" w:rsidRPr="00000000" w14:paraId="00000052">
      <w:pPr>
        <w:spacing w:after="240" w:before="240" w:lineRule="auto"/>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Marks &amp; Spencer, 2022. </w:t>
      </w:r>
      <w:r w:rsidDel="00000000" w:rsidR="00000000" w:rsidRPr="00000000">
        <w:rPr>
          <w:rFonts w:ascii="Times New Roman" w:cs="Times New Roman" w:eastAsia="Times New Roman" w:hAnsi="Times New Roman"/>
          <w:i w:val="1"/>
          <w:rtl w:val="0"/>
        </w:rPr>
        <w:t xml:space="preserve">Never the Same Again: Forging a reshaped M&amp;S</w:t>
      </w:r>
      <w:r w:rsidDel="00000000" w:rsidR="00000000" w:rsidRPr="00000000">
        <w:rPr>
          <w:rFonts w:ascii="Times New Roman" w:cs="Times New Roman" w:eastAsia="Times New Roman" w:hAnsi="Times New Roman"/>
          <w:rtl w:val="0"/>
        </w:rPr>
        <w:t xml:space="preserve">. [online] Corporate.marksandspencer.com. Available at: &lt;https://corporate.marksandspencer.com/msar2021/m-and-s_ar21_strategic_210602.pdf&gt; [Accessed 31 August 2022].</w:t>
      </w:r>
    </w:p>
    <w:p w:rsidR="00000000" w:rsidDel="00000000" w:rsidP="00000000" w:rsidRDefault="00000000" w:rsidRPr="00000000" w14:paraId="00000053">
      <w:pPr>
        <w:spacing w:after="240" w:before="240" w:lineRule="auto"/>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Marks &amp; Spencer, 2022. </w:t>
      </w:r>
      <w:r w:rsidDel="00000000" w:rsidR="00000000" w:rsidRPr="00000000">
        <w:rPr>
          <w:rFonts w:ascii="Times New Roman" w:cs="Times New Roman" w:eastAsia="Times New Roman" w:hAnsi="Times New Roman"/>
          <w:i w:val="1"/>
          <w:rtl w:val="0"/>
        </w:rPr>
        <w:t xml:space="preserve">Smart technology helps M&amp;S reduce waste and invest in communities</w:t>
      </w:r>
      <w:r w:rsidDel="00000000" w:rsidR="00000000" w:rsidRPr="00000000">
        <w:rPr>
          <w:rFonts w:ascii="Times New Roman" w:cs="Times New Roman" w:eastAsia="Times New Roman" w:hAnsi="Times New Roman"/>
          <w:rtl w:val="0"/>
        </w:rPr>
        <w:t xml:space="preserve">. [online] Smart technology helps M&amp;S reduce waste and invest in communities. Available at: &lt;https://corporate.marksandspencer.com/stories/blog/smart-technology-helps-m-and-s-reduce-waste-and-invest-in-communities&gt; [Accessed 31 August 2022].</w:t>
      </w:r>
    </w:p>
    <w:p w:rsidR="00000000" w:rsidDel="00000000" w:rsidP="00000000" w:rsidRDefault="00000000" w:rsidRPr="00000000" w14:paraId="00000054">
      <w:pPr>
        <w:spacing w:after="240" w:before="240" w:lineRule="auto"/>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Paul, S., Chowdhury, P., Moktadir, M. and Lau, K., 2021. Supply chain recovery challenges in the wake of COVID-19 pandemic. </w:t>
      </w:r>
      <w:r w:rsidDel="00000000" w:rsidR="00000000" w:rsidRPr="00000000">
        <w:rPr>
          <w:rFonts w:ascii="Times New Roman" w:cs="Times New Roman" w:eastAsia="Times New Roman" w:hAnsi="Times New Roman"/>
          <w:i w:val="1"/>
          <w:rtl w:val="0"/>
        </w:rPr>
        <w:t xml:space="preserve">Journal of Business Research</w:t>
      </w:r>
      <w:r w:rsidDel="00000000" w:rsidR="00000000" w:rsidRPr="00000000">
        <w:rPr>
          <w:rFonts w:ascii="Times New Roman" w:cs="Times New Roman" w:eastAsia="Times New Roman" w:hAnsi="Times New Roman"/>
          <w:rtl w:val="0"/>
        </w:rPr>
        <w:t xml:space="preserve">, 136, pp.316-329.</w:t>
      </w:r>
    </w:p>
    <w:p w:rsidR="00000000" w:rsidDel="00000000" w:rsidP="00000000" w:rsidRDefault="00000000" w:rsidRPr="00000000" w14:paraId="00000055">
      <w:pPr>
        <w:spacing w:after="240" w:before="240" w:lineRule="auto"/>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Reuters, 2022. </w:t>
      </w:r>
      <w:r w:rsidDel="00000000" w:rsidR="00000000" w:rsidRPr="00000000">
        <w:rPr>
          <w:rFonts w:ascii="Times New Roman" w:cs="Times New Roman" w:eastAsia="Times New Roman" w:hAnsi="Times New Roman"/>
          <w:i w:val="1"/>
          <w:rtl w:val="0"/>
        </w:rPr>
        <w:t xml:space="preserve">M&amp;S profit seen crashing 90% in "lost year" of pandemic</w:t>
      </w:r>
      <w:r w:rsidDel="00000000" w:rsidR="00000000" w:rsidRPr="00000000">
        <w:rPr>
          <w:rFonts w:ascii="Times New Roman" w:cs="Times New Roman" w:eastAsia="Times New Roman" w:hAnsi="Times New Roman"/>
          <w:rtl w:val="0"/>
        </w:rPr>
        <w:t xml:space="preserve">. [online] Reuters. Available at: &lt;https://www.reuters.com/business/retail-consumer/ms-profit-seen-crashing-90-lost-year-pandemic-2021-05-21/&gt; [Accessed 31 August 2022].</w:t>
      </w:r>
    </w:p>
    <w:p w:rsidR="00000000" w:rsidDel="00000000" w:rsidP="00000000" w:rsidRDefault="00000000" w:rsidRPr="00000000" w14:paraId="00000056">
      <w:pPr>
        <w:spacing w:after="240" w:before="240" w:lineRule="auto"/>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The World Bank, 2022. </w:t>
      </w:r>
      <w:r w:rsidDel="00000000" w:rsidR="00000000" w:rsidRPr="00000000">
        <w:rPr>
          <w:rFonts w:ascii="Times New Roman" w:cs="Times New Roman" w:eastAsia="Times New Roman" w:hAnsi="Times New Roman"/>
          <w:i w:val="1"/>
          <w:rtl w:val="0"/>
        </w:rPr>
        <w:t xml:space="preserve">How COVID-19 is Affecting Companies Around the World</w:t>
      </w:r>
      <w:r w:rsidDel="00000000" w:rsidR="00000000" w:rsidRPr="00000000">
        <w:rPr>
          <w:rFonts w:ascii="Times New Roman" w:cs="Times New Roman" w:eastAsia="Times New Roman" w:hAnsi="Times New Roman"/>
          <w:rtl w:val="0"/>
        </w:rPr>
        <w:t xml:space="preserve">. [online] The World Bank. Available at: &lt;https://www.worldbank.org/en/news/infographic/2021/02/17/how-covid-19is-affecting-companies-around-the-world&gt; [Accessed 31 August 2022].</w:t>
      </w:r>
    </w:p>
    <w:p w:rsidR="00000000" w:rsidDel="00000000" w:rsidP="00000000" w:rsidRDefault="00000000" w:rsidRPr="00000000" w14:paraId="00000057">
      <w:pPr>
        <w:spacing w:after="240" w:before="240" w:lineRule="auto"/>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Tredinnick, L. and Laybats, C., 2020. Working in the world of the pandemic. </w:t>
      </w:r>
      <w:r w:rsidDel="00000000" w:rsidR="00000000" w:rsidRPr="00000000">
        <w:rPr>
          <w:rFonts w:ascii="Times New Roman" w:cs="Times New Roman" w:eastAsia="Times New Roman" w:hAnsi="Times New Roman"/>
          <w:i w:val="1"/>
          <w:rtl w:val="0"/>
        </w:rPr>
        <w:t xml:space="preserve">Business Information Review</w:t>
      </w:r>
      <w:r w:rsidDel="00000000" w:rsidR="00000000" w:rsidRPr="00000000">
        <w:rPr>
          <w:rFonts w:ascii="Times New Roman" w:cs="Times New Roman" w:eastAsia="Times New Roman" w:hAnsi="Times New Roman"/>
          <w:rtl w:val="0"/>
        </w:rPr>
        <w:t xml:space="preserve">, 37(3), pp.97-102.</w:t>
      </w:r>
    </w:p>
    <w:p w:rsidR="00000000" w:rsidDel="00000000" w:rsidP="00000000" w:rsidRDefault="00000000" w:rsidRPr="00000000" w14:paraId="00000058">
      <w:pPr>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59">
      <w:pPr>
        <w:rPr/>
      </w:pPr>
      <w:r w:rsidDel="00000000" w:rsidR="00000000" w:rsidRPr="00000000">
        <w:rPr>
          <w:rtl w:val="0"/>
        </w:rPr>
        <w:t xml:space="preserve"> </w:t>
      </w:r>
      <w:r w:rsidDel="00000000" w:rsidR="00000000" w:rsidRPr="00000000">
        <w:rPr>
          <w:rtl w:val="0"/>
        </w:rPr>
        <w:t xml:space="preserve"> </w:t>
      </w:r>
    </w:p>
    <w:p w:rsidR="00000000" w:rsidDel="00000000" w:rsidP="00000000" w:rsidRDefault="00000000" w:rsidRPr="00000000" w14:paraId="0000005A">
      <w:pPr>
        <w:rPr>
          <w:rFonts w:ascii="Times New Roman" w:cs="Times New Roman" w:eastAsia="Times New Roman" w:hAnsi="Times New Roman"/>
          <w:b w:val="1"/>
        </w:rPr>
      </w:pPr>
      <w:r w:rsidDel="00000000" w:rsidR="00000000" w:rsidRPr="00000000">
        <w:rPr>
          <w:rtl w:val="0"/>
        </w:rPr>
      </w:r>
    </w:p>
    <w:sectPr>
      <w:footerReference r:id="rId9" w:type="default"/>
      <w:pgSz w:h="16838" w:w="11906" w:orient="portrait"/>
      <w:pgMar w:bottom="1440" w:top="1440" w:left="1440" w:right="1440" w:header="708" w:footer="708"/>
      <w:pgNumType w:start="0"/>
      <w:titlePg w:val="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 w:name="Georgia"/>
  <w:font w:name="Times New Roman"/>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5B">
    <w:pPr>
      <w:pBdr>
        <w:top w:space="0" w:sz="0" w:val="nil"/>
        <w:left w:space="0" w:sz="0" w:val="nil"/>
        <w:bottom w:space="0" w:sz="0" w:val="nil"/>
        <w:right w:space="0" w:sz="0" w:val="nil"/>
        <w:between w:space="0" w:sz="0" w:val="nil"/>
      </w:pBdr>
      <w:tabs>
        <w:tab w:val="center" w:pos="4513"/>
        <w:tab w:val="right" w:pos="9026"/>
      </w:tabs>
      <w:spacing w:after="0" w:line="240" w:lineRule="auto"/>
      <w:jc w:val="right"/>
      <w:rPr>
        <w:color w:val="000000"/>
      </w:rPr>
    </w:pPr>
    <w:r w:rsidDel="00000000" w:rsidR="00000000" w:rsidRPr="00000000">
      <w:rPr>
        <w:color w:val="000000"/>
      </w:rPr>
      <w:fldChar w:fldCharType="begin"/>
      <w:instrText xml:space="preserve">PAGE</w:instrText>
      <w:fldChar w:fldCharType="separate"/>
      <w:fldChar w:fldCharType="end"/>
    </w:r>
    <w:r w:rsidDel="00000000" w:rsidR="00000000" w:rsidRPr="00000000">
      <w:rPr>
        <w:rtl w:val="0"/>
      </w:rPr>
    </w:r>
  </w:p>
  <w:p w:rsidR="00000000" w:rsidDel="00000000" w:rsidP="00000000" w:rsidRDefault="00000000" w:rsidRPr="00000000" w14:paraId="0000005C">
    <w:pPr>
      <w:pBdr>
        <w:top w:space="0" w:sz="0" w:val="nil"/>
        <w:left w:space="0" w:sz="0" w:val="nil"/>
        <w:bottom w:space="0" w:sz="0" w:val="nil"/>
        <w:right w:space="0" w:sz="0" w:val="nil"/>
        <w:between w:space="0" w:sz="0" w:val="nil"/>
      </w:pBdr>
      <w:tabs>
        <w:tab w:val="center" w:pos="4513"/>
        <w:tab w:val="right" w:pos="9026"/>
      </w:tabs>
      <w:spacing w:after="0" w:line="240" w:lineRule="auto"/>
      <w:rPr>
        <w:color w:val="000000"/>
      </w:rPr>
    </w:pPr>
    <w:r w:rsidDel="00000000" w:rsidR="00000000" w:rsidRPr="00000000">
      <w:rPr>
        <w:rtl w:val="0"/>
      </w:rPr>
    </w:r>
  </w:p>
</w:ft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 w:numId="2">
    <w:abstractNumId w:val="2"/>
  </w:num>
  <w:num w:numId="3">
    <w:abstractNumId w:val="3"/>
  </w:num>
  <w:num w:numId="4">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4"/>
        <w:szCs w:val="24"/>
        <w:lang w:val="en-GB"/>
      </w:rPr>
    </w:rPrDefault>
    <w:pPrDefault>
      <w:pPr>
        <w:spacing w:after="160" w:line="360" w:lineRule="auto"/>
        <w:jc w:val="both"/>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0" w:before="240" w:lineRule="auto"/>
    </w:pPr>
    <w:rPr>
      <w:b w:val="1"/>
      <w:color w:val="2f5496"/>
      <w:sz w:val="32"/>
      <w:szCs w:val="32"/>
    </w:rPr>
  </w:style>
  <w:style w:type="paragraph" w:styleId="Heading2">
    <w:name w:val="heading 2"/>
    <w:basedOn w:val="Normal"/>
    <w:next w:val="Normal"/>
    <w:pPr>
      <w:keepNext w:val="1"/>
      <w:keepLines w:val="1"/>
      <w:spacing w:after="0" w:before="40" w:lineRule="auto"/>
    </w:pPr>
    <w:rPr>
      <w:b w:val="1"/>
      <w:sz w:val="28"/>
      <w:szCs w:val="28"/>
    </w:rPr>
  </w:style>
  <w:style w:type="paragraph" w:styleId="Heading3">
    <w:name w:val="heading 3"/>
    <w:basedOn w:val="Normal"/>
    <w:next w:val="Normal"/>
    <w:pPr>
      <w:keepNext w:val="1"/>
      <w:keepLines w:val="1"/>
      <w:spacing w:after="80" w:before="280" w:lineRule="auto"/>
    </w:pPr>
    <w:rPr>
      <w:b w:val="1"/>
    </w:rPr>
  </w:style>
  <w:style w:type="paragraph" w:styleId="Heading4">
    <w:name w:val="heading 4"/>
    <w:basedOn w:val="Normal"/>
    <w:next w:val="Normal"/>
    <w:pPr>
      <w:keepNext w:val="1"/>
      <w:keepLines w:val="1"/>
      <w:spacing w:after="40" w:before="240" w:lineRule="auto"/>
    </w:pPr>
    <w:rPr>
      <w:b w:val="1"/>
    </w:rPr>
  </w:style>
  <w:style w:type="paragraph" w:styleId="Heading5">
    <w:name w:val="heading 5"/>
    <w:basedOn w:val="Normal"/>
    <w:next w:val="Normal"/>
    <w:pPr>
      <w:keepNext w:val="1"/>
      <w:keepLines w:val="1"/>
      <w:spacing w:after="40" w:before="220" w:lineRule="auto"/>
    </w:pPr>
    <w:rPr>
      <w:b w:val="1"/>
      <w:sz w:val="22"/>
      <w:szCs w:val="22"/>
    </w:rPr>
  </w:style>
  <w:style w:type="paragraph" w:styleId="Heading6">
    <w:name w:val="heading 6"/>
    <w:basedOn w:val="Normal"/>
    <w:next w:val="Normal"/>
    <w:pPr>
      <w:keepNext w:val="1"/>
      <w:keepLines w:val="1"/>
      <w:spacing w:after="40" w:before="200" w:lineRule="auto"/>
    </w:pPr>
    <w:rPr>
      <w:b w:val="1"/>
      <w:sz w:val="20"/>
      <w:szCs w:val="20"/>
    </w:rPr>
  </w:style>
  <w:style w:type="paragraph" w:styleId="Title">
    <w:name w:val="Title"/>
    <w:basedOn w:val="Normal"/>
    <w:next w:val="Normal"/>
    <w:pPr>
      <w:keepNext w:val="1"/>
      <w:keepLines w:val="1"/>
      <w:spacing w:after="120" w:before="480" w:lineRule="auto"/>
    </w:pPr>
    <w:rPr>
      <w:b w:val="1"/>
      <w:sz w:val="72"/>
      <w:szCs w:val="72"/>
    </w:rPr>
  </w:style>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0" w:before="240" w:lineRule="auto"/>
    </w:pPr>
    <w:rPr>
      <w:b w:val="1"/>
      <w:color w:val="2f5496"/>
      <w:sz w:val="32"/>
      <w:szCs w:val="32"/>
    </w:rPr>
  </w:style>
  <w:style w:type="paragraph" w:styleId="Heading2">
    <w:name w:val="heading 2"/>
    <w:basedOn w:val="Normal"/>
    <w:next w:val="Normal"/>
    <w:pPr>
      <w:keepNext w:val="1"/>
      <w:keepLines w:val="1"/>
      <w:spacing w:after="0" w:before="40" w:lineRule="auto"/>
    </w:pPr>
    <w:rPr>
      <w:b w:val="1"/>
      <w:sz w:val="28"/>
      <w:szCs w:val="28"/>
    </w:rPr>
  </w:style>
  <w:style w:type="paragraph" w:styleId="Heading3">
    <w:name w:val="heading 3"/>
    <w:basedOn w:val="Normal"/>
    <w:next w:val="Normal"/>
    <w:pPr>
      <w:keepNext w:val="1"/>
      <w:keepLines w:val="1"/>
      <w:spacing w:after="80" w:before="280" w:lineRule="auto"/>
    </w:pPr>
    <w:rPr>
      <w:b w:val="1"/>
    </w:rPr>
  </w:style>
  <w:style w:type="paragraph" w:styleId="Heading4">
    <w:name w:val="heading 4"/>
    <w:basedOn w:val="Normal"/>
    <w:next w:val="Normal"/>
    <w:pPr>
      <w:keepNext w:val="1"/>
      <w:keepLines w:val="1"/>
      <w:spacing w:after="40" w:before="240" w:lineRule="auto"/>
    </w:pPr>
    <w:rPr>
      <w:b w:val="1"/>
    </w:rPr>
  </w:style>
  <w:style w:type="paragraph" w:styleId="Heading5">
    <w:name w:val="heading 5"/>
    <w:basedOn w:val="Normal"/>
    <w:next w:val="Normal"/>
    <w:pPr>
      <w:keepNext w:val="1"/>
      <w:keepLines w:val="1"/>
      <w:spacing w:after="40" w:before="220" w:lineRule="auto"/>
    </w:pPr>
    <w:rPr>
      <w:b w:val="1"/>
      <w:sz w:val="22"/>
      <w:szCs w:val="22"/>
    </w:rPr>
  </w:style>
  <w:style w:type="paragraph" w:styleId="Heading6">
    <w:name w:val="heading 6"/>
    <w:basedOn w:val="Normal"/>
    <w:next w:val="Normal"/>
    <w:pPr>
      <w:keepNext w:val="1"/>
      <w:keepLines w:val="1"/>
      <w:spacing w:after="40" w:before="200" w:lineRule="auto"/>
    </w:pPr>
    <w:rPr>
      <w:b w:val="1"/>
      <w:sz w:val="20"/>
      <w:szCs w:val="20"/>
    </w:rPr>
  </w:style>
  <w:style w:type="paragraph" w:styleId="Title">
    <w:name w:val="Title"/>
    <w:basedOn w:val="Normal"/>
    <w:next w:val="Normal"/>
    <w:pPr>
      <w:keepNext w:val="1"/>
      <w:keepLines w:val="1"/>
      <w:spacing w:after="120" w:before="480" w:lineRule="auto"/>
    </w:pPr>
    <w:rPr>
      <w:b w:val="1"/>
      <w:sz w:val="72"/>
      <w:szCs w:val="72"/>
    </w:rPr>
  </w:style>
  <w:style w:type="paragraph" w:styleId="Normal" w:default="1">
    <w:name w:val="Normal"/>
    <w:qFormat w:val="1"/>
    <w:rsid w:val="00AA3664"/>
  </w:style>
  <w:style w:type="paragraph" w:styleId="Heading1">
    <w:name w:val="heading 1"/>
    <w:basedOn w:val="Normal"/>
    <w:next w:val="Normal"/>
    <w:link w:val="Heading1Char"/>
    <w:uiPriority w:val="9"/>
    <w:qFormat w:val="1"/>
    <w:rsid w:val="00DB1CC0"/>
    <w:pPr>
      <w:keepNext w:val="1"/>
      <w:keepLines w:val="1"/>
      <w:spacing w:after="0" w:before="240"/>
      <w:outlineLvl w:val="0"/>
    </w:pPr>
    <w:rPr>
      <w:rFonts w:cstheme="majorBidi" w:eastAsiaTheme="majorEastAsia"/>
      <w:b w:val="1"/>
      <w:color w:val="2f5496" w:themeColor="accent1" w:themeShade="0000BF"/>
      <w:sz w:val="32"/>
      <w:szCs w:val="32"/>
    </w:rPr>
  </w:style>
  <w:style w:type="paragraph" w:styleId="Heading2">
    <w:name w:val="heading 2"/>
    <w:basedOn w:val="Normal"/>
    <w:next w:val="Normal"/>
    <w:link w:val="Heading2Char"/>
    <w:uiPriority w:val="9"/>
    <w:unhideWhenUsed w:val="1"/>
    <w:qFormat w:val="1"/>
    <w:rsid w:val="00AA3664"/>
    <w:pPr>
      <w:keepNext w:val="1"/>
      <w:keepLines w:val="1"/>
      <w:spacing w:after="0" w:before="40"/>
      <w:outlineLvl w:val="1"/>
    </w:pPr>
    <w:rPr>
      <w:rFonts w:cstheme="majorBidi" w:eastAsiaTheme="majorEastAsia"/>
      <w:b w:val="1"/>
      <w:sz w:val="28"/>
      <w:szCs w:val="26"/>
    </w:rPr>
  </w:style>
  <w:style w:type="paragraph" w:styleId="Heading3">
    <w:name w:val="heading 3"/>
    <w:basedOn w:val="Normal"/>
    <w:next w:val="Normal"/>
    <w:uiPriority w:val="9"/>
    <w:unhideWhenUsed w:val="1"/>
    <w:qFormat w:val="1"/>
    <w:rsid w:val="00AA3664"/>
    <w:pPr>
      <w:keepNext w:val="1"/>
      <w:keepLines w:val="1"/>
      <w:spacing w:after="80" w:before="280"/>
      <w:outlineLvl w:val="2"/>
    </w:pPr>
    <w:rPr>
      <w:b w:val="1"/>
      <w:szCs w:val="28"/>
    </w:rPr>
  </w:style>
  <w:style w:type="paragraph" w:styleId="Heading4">
    <w:name w:val="heading 4"/>
    <w:basedOn w:val="Normal"/>
    <w:next w:val="Normal"/>
    <w:uiPriority w:val="9"/>
    <w:semiHidden w:val="1"/>
    <w:unhideWhenUsed w:val="1"/>
    <w:qFormat w:val="1"/>
    <w:pPr>
      <w:keepNext w:val="1"/>
      <w:keepLines w:val="1"/>
      <w:spacing w:after="40" w:before="240"/>
      <w:outlineLvl w:val="3"/>
    </w:pPr>
    <w:rPr>
      <w:b w:val="1"/>
    </w:rPr>
  </w:style>
  <w:style w:type="paragraph" w:styleId="Heading5">
    <w:name w:val="heading 5"/>
    <w:basedOn w:val="Normal"/>
    <w:next w:val="Normal"/>
    <w:uiPriority w:val="9"/>
    <w:semiHidden w:val="1"/>
    <w:unhideWhenUsed w:val="1"/>
    <w:qFormat w:val="1"/>
    <w:pPr>
      <w:keepNext w:val="1"/>
      <w:keepLines w:val="1"/>
      <w:spacing w:after="40" w:before="220"/>
      <w:outlineLvl w:val="4"/>
    </w:pPr>
    <w:rPr>
      <w:b w:val="1"/>
      <w:sz w:val="22"/>
      <w:szCs w:val="22"/>
    </w:rPr>
  </w:style>
  <w:style w:type="paragraph" w:styleId="Heading6">
    <w:name w:val="heading 6"/>
    <w:basedOn w:val="Normal"/>
    <w:next w:val="Normal"/>
    <w:uiPriority w:val="9"/>
    <w:semiHidden w:val="1"/>
    <w:unhideWhenUsed w:val="1"/>
    <w:qFormat w:val="1"/>
    <w:pPr>
      <w:keepNext w:val="1"/>
      <w:keepLines w:val="1"/>
      <w:spacing w:after="40" w:before="200"/>
      <w:outlineLvl w:val="5"/>
    </w:pPr>
    <w:rPr>
      <w:b w:val="1"/>
      <w:sz w:val="20"/>
      <w:szCs w:val="20"/>
    </w:rPr>
  </w:style>
  <w:style w:type="character" w:styleId="DefaultParagraphFont" w:default="1">
    <w:name w:val="Default Paragraph Font"/>
    <w:uiPriority w:val="1"/>
    <w:semiHidden w:val="1"/>
    <w:unhideWhenUsed w:val="1"/>
  </w:style>
  <w:style w:type="table" w:styleId="TableNormal" w:default="1">
    <w:name w:val="Normal Table"/>
    <w:uiPriority w:val="99"/>
    <w:semiHidden w:val="1"/>
    <w:unhideWhenUsed w:val="1"/>
    <w:tblPr>
      <w:tblInd w:w="0.0" w:type="dxa"/>
      <w:tblCellMar>
        <w:top w:w="0.0" w:type="dxa"/>
        <w:left w:w="108.0" w:type="dxa"/>
        <w:bottom w:w="0.0" w:type="dxa"/>
        <w:right w:w="108.0" w:type="dxa"/>
      </w:tblCellMar>
    </w:tblPr>
  </w:style>
  <w:style w:type="numbering" w:styleId="NoList" w:default="1">
    <w:name w:val="No List"/>
    <w:uiPriority w:val="99"/>
    <w:semiHidden w:val="1"/>
    <w:unhideWhenUsed w:val="1"/>
  </w:style>
  <w:style w:type="paragraph" w:styleId="Title">
    <w:name w:val="Title"/>
    <w:basedOn w:val="Normal"/>
    <w:next w:val="Normal"/>
    <w:uiPriority w:val="10"/>
    <w:qFormat w:val="1"/>
    <w:pPr>
      <w:keepNext w:val="1"/>
      <w:keepLines w:val="1"/>
      <w:spacing w:after="120" w:before="480"/>
    </w:pPr>
    <w:rPr>
      <w:b w:val="1"/>
      <w:sz w:val="72"/>
      <w:szCs w:val="72"/>
    </w:rPr>
  </w:style>
  <w:style w:type="character" w:styleId="Heading1Char" w:customStyle="1">
    <w:name w:val="Heading 1 Char"/>
    <w:basedOn w:val="DefaultParagraphFont"/>
    <w:link w:val="Heading1"/>
    <w:uiPriority w:val="9"/>
    <w:rsid w:val="00DB1CC0"/>
    <w:rPr>
      <w:rFonts w:ascii="Times New Roman" w:hAnsi="Times New Roman" w:cstheme="majorBidi" w:eastAsiaTheme="majorEastAsia"/>
      <w:b w:val="1"/>
      <w:color w:val="2f5496" w:themeColor="accent1" w:themeShade="0000BF"/>
      <w:sz w:val="32"/>
      <w:szCs w:val="32"/>
    </w:rPr>
  </w:style>
  <w:style w:type="character" w:styleId="Heading2Char" w:customStyle="1">
    <w:name w:val="Heading 2 Char"/>
    <w:basedOn w:val="DefaultParagraphFont"/>
    <w:link w:val="Heading2"/>
    <w:uiPriority w:val="9"/>
    <w:rsid w:val="00AA3664"/>
    <w:rPr>
      <w:rFonts w:ascii="Arial" w:hAnsi="Arial" w:cstheme="majorBidi" w:eastAsiaTheme="majorEastAsia"/>
      <w:b w:val="1"/>
      <w:sz w:val="28"/>
      <w:szCs w:val="26"/>
    </w:rPr>
  </w:style>
  <w:style w:type="paragraph" w:styleId="NoSpacing">
    <w:name w:val="No Spacing"/>
    <w:link w:val="NoSpacingChar"/>
    <w:uiPriority w:val="1"/>
    <w:qFormat w:val="1"/>
    <w:rsid w:val="001C52E8"/>
    <w:pPr>
      <w:spacing w:after="0" w:line="240" w:lineRule="auto"/>
    </w:pPr>
    <w:rPr>
      <w:rFonts w:eastAsiaTheme="minorEastAsia"/>
      <w:lang w:val="en-US"/>
    </w:rPr>
  </w:style>
  <w:style w:type="character" w:styleId="NoSpacingChar" w:customStyle="1">
    <w:name w:val="No Spacing Char"/>
    <w:basedOn w:val="DefaultParagraphFont"/>
    <w:link w:val="NoSpacing"/>
    <w:uiPriority w:val="1"/>
    <w:rsid w:val="001C52E8"/>
    <w:rPr>
      <w:rFonts w:eastAsiaTheme="minorEastAsia"/>
      <w:lang w:val="en-US"/>
    </w:rPr>
  </w:style>
  <w:style w:type="paragraph" w:styleId="Header">
    <w:name w:val="header"/>
    <w:basedOn w:val="Normal"/>
    <w:link w:val="HeaderChar"/>
    <w:uiPriority w:val="99"/>
    <w:unhideWhenUsed w:val="1"/>
    <w:rsid w:val="001C52E8"/>
    <w:pPr>
      <w:tabs>
        <w:tab w:val="center" w:pos="4513"/>
        <w:tab w:val="right" w:pos="9026"/>
      </w:tabs>
      <w:spacing w:after="0" w:line="240" w:lineRule="auto"/>
    </w:pPr>
  </w:style>
  <w:style w:type="character" w:styleId="HeaderChar" w:customStyle="1">
    <w:name w:val="Header Char"/>
    <w:basedOn w:val="DefaultParagraphFont"/>
    <w:link w:val="Header"/>
    <w:uiPriority w:val="99"/>
    <w:rsid w:val="001C52E8"/>
    <w:rPr>
      <w:rFonts w:ascii="Times New Roman" w:hAnsi="Times New Roman"/>
      <w:sz w:val="24"/>
    </w:rPr>
  </w:style>
  <w:style w:type="paragraph" w:styleId="Footer">
    <w:name w:val="footer"/>
    <w:basedOn w:val="Normal"/>
    <w:link w:val="FooterChar"/>
    <w:uiPriority w:val="99"/>
    <w:unhideWhenUsed w:val="1"/>
    <w:rsid w:val="001C52E8"/>
    <w:pPr>
      <w:tabs>
        <w:tab w:val="center" w:pos="4513"/>
        <w:tab w:val="right" w:pos="9026"/>
      </w:tabs>
      <w:spacing w:after="0" w:line="240" w:lineRule="auto"/>
    </w:pPr>
  </w:style>
  <w:style w:type="character" w:styleId="FooterChar" w:customStyle="1">
    <w:name w:val="Footer Char"/>
    <w:basedOn w:val="DefaultParagraphFont"/>
    <w:link w:val="Footer"/>
    <w:uiPriority w:val="99"/>
    <w:rsid w:val="001C52E8"/>
    <w:rPr>
      <w:rFonts w:ascii="Times New Roman" w:hAnsi="Times New Roman"/>
      <w:sz w:val="24"/>
    </w:rPr>
  </w:style>
  <w:style w:type="paragraph" w:styleId="TOCHeading">
    <w:name w:val="TOC Heading"/>
    <w:basedOn w:val="Heading1"/>
    <w:next w:val="Normal"/>
    <w:uiPriority w:val="39"/>
    <w:unhideWhenUsed w:val="1"/>
    <w:qFormat w:val="1"/>
    <w:rsid w:val="005F3D27"/>
    <w:pPr>
      <w:spacing w:line="259" w:lineRule="auto"/>
      <w:jc w:val="left"/>
      <w:outlineLvl w:val="9"/>
    </w:pPr>
    <w:rPr>
      <w:rFonts w:asciiTheme="majorHAnsi" w:hAnsiTheme="majorHAnsi"/>
      <w:b w:val="0"/>
      <w:lang w:val="en-US"/>
    </w:rPr>
  </w:style>
  <w:style w:type="paragraph" w:styleId="TOC1">
    <w:name w:val="toc 1"/>
    <w:basedOn w:val="Normal"/>
    <w:next w:val="Normal"/>
    <w:autoRedefine w:val="1"/>
    <w:uiPriority w:val="39"/>
    <w:unhideWhenUsed w:val="1"/>
    <w:rsid w:val="005F3D27"/>
    <w:pPr>
      <w:spacing w:after="100"/>
    </w:pPr>
  </w:style>
  <w:style w:type="paragraph" w:styleId="TOC2">
    <w:name w:val="toc 2"/>
    <w:basedOn w:val="Normal"/>
    <w:next w:val="Normal"/>
    <w:autoRedefine w:val="1"/>
    <w:uiPriority w:val="39"/>
    <w:unhideWhenUsed w:val="1"/>
    <w:rsid w:val="005F3D27"/>
    <w:pPr>
      <w:spacing w:after="100"/>
      <w:ind w:left="240"/>
    </w:pPr>
  </w:style>
  <w:style w:type="character" w:styleId="Hyperlink">
    <w:name w:val="Hyperlink"/>
    <w:basedOn w:val="DefaultParagraphFont"/>
    <w:uiPriority w:val="99"/>
    <w:unhideWhenUsed w:val="1"/>
    <w:rsid w:val="005F3D27"/>
    <w:rPr>
      <w:color w:val="0563c1" w:themeColor="hyperlink"/>
      <w:u w:val="single"/>
    </w:rPr>
  </w:style>
  <w:style w:type="paragraph" w:styleId="Subtitle">
    <w:name w:val="Subtitle"/>
    <w:basedOn w:val="Normal"/>
    <w:next w:val="Normal"/>
    <w:uiPriority w:val="11"/>
    <w:qFormat w:val="1"/>
    <w:pPr>
      <w:keepNext w:val="1"/>
      <w:keepLines w:val="1"/>
      <w:spacing w:after="80" w:before="360"/>
    </w:pPr>
    <w:rPr>
      <w:rFonts w:ascii="Georgia" w:cs="Georgia" w:eastAsia="Georgia" w:hAnsi="Georgia"/>
      <w:i w:val="1"/>
      <w:color w:val="666666"/>
      <w:sz w:val="48"/>
      <w:szCs w:val="48"/>
    </w:rPr>
  </w:style>
  <w:style w:type="table" w:styleId="a" w:customStyle="1">
    <w:basedOn w:val="TableNormal"/>
    <w:tblPr>
      <w:tblStyleRowBandSize w:val="1"/>
      <w:tblStyleColBandSize w:val="1"/>
    </w:tblPr>
  </w:style>
  <w:style w:type="table" w:styleId="a0" w:customStyle="1">
    <w:basedOn w:val="TableNormal"/>
    <w:tblPr>
      <w:tblStyleRowBandSize w:val="1"/>
      <w:tblStyleColBandSize w:val="1"/>
    </w:tblPr>
  </w:style>
  <w:style w:type="table" w:styleId="a1" w:customStyle="1">
    <w:basedOn w:val="TableNormal"/>
    <w:tblPr>
      <w:tblStyleRowBandSize w:val="1"/>
      <w:tblStyleColBandSize w:val="1"/>
      <w:tblCellMar>
        <w:top w:w="100.0" w:type="dxa"/>
        <w:left w:w="100.0" w:type="dxa"/>
        <w:bottom w:w="100.0" w:type="dxa"/>
        <w:right w:w="100.0" w:type="dxa"/>
      </w:tblCellMar>
    </w:tblPr>
  </w:style>
  <w:style w:type="table" w:styleId="a2" w:customStyle="1">
    <w:basedOn w:val="TableNormal"/>
    <w:tblPr>
      <w:tblStyleRowBandSize w:val="1"/>
      <w:tblStyleColBandSize w:val="1"/>
      <w:tblCellMar>
        <w:top w:w="100.0" w:type="dxa"/>
        <w:left w:w="100.0" w:type="dxa"/>
        <w:bottom w:w="100.0" w:type="dxa"/>
        <w:right w:w="100.0" w:type="dxa"/>
      </w:tblCellMar>
    </w:tblPr>
  </w:style>
  <w:style w:type="table" w:styleId="a3" w:customStyle="1">
    <w:basedOn w:val="TableNormal"/>
    <w:tblPr>
      <w:tblStyleRowBandSize w:val="1"/>
      <w:tblStyleColBandSize w:val="1"/>
      <w:tblCellMar>
        <w:top w:w="100.0" w:type="dxa"/>
        <w:left w:w="100.0" w:type="dxa"/>
        <w:bottom w:w="100.0" w:type="dxa"/>
        <w:right w:w="100.0" w:type="dxa"/>
      </w:tblCellMar>
    </w:tblPr>
  </w:style>
  <w:style w:type="table" w:styleId="a4" w:customStyle="1">
    <w:basedOn w:val="TableNormal"/>
    <w:tblPr>
      <w:tblStyleRowBandSize w:val="1"/>
      <w:tblStyleColBandSize w:val="1"/>
      <w:tblCellMar>
        <w:top w:w="100.0" w:type="dxa"/>
        <w:left w:w="100.0" w:type="dxa"/>
        <w:bottom w:w="100.0" w:type="dxa"/>
        <w:right w:w="100.0" w:type="dxa"/>
      </w:tblCellMar>
    </w:tblPr>
  </w:style>
  <w:style w:type="table" w:styleId="a5" w:customStyle="1">
    <w:basedOn w:val="TableNormal"/>
    <w:tblPr>
      <w:tblStyleRowBandSize w:val="1"/>
      <w:tblStyleColBandSize w:val="1"/>
      <w:tblCellMar>
        <w:top w:w="100.0" w:type="dxa"/>
        <w:left w:w="100.0" w:type="dxa"/>
        <w:bottom w:w="100.0" w:type="dxa"/>
        <w:right w:w="100.0" w:type="dxa"/>
      </w:tblCellMar>
    </w:tblPr>
  </w:style>
  <w:style w:type="paragraph" w:styleId="ListParagraph">
    <w:name w:val="List Paragraph"/>
    <w:basedOn w:val="Normal"/>
    <w:uiPriority w:val="34"/>
    <w:qFormat w:val="1"/>
    <w:rsid w:val="00E734D1"/>
    <w:pPr>
      <w:ind w:left="720"/>
      <w:contextualSpacing w:val="1"/>
    </w:pPr>
  </w:style>
  <w:style w:type="paragraph" w:styleId="TOC3">
    <w:name w:val="toc 3"/>
    <w:basedOn w:val="Normal"/>
    <w:next w:val="Normal"/>
    <w:autoRedefine w:val="1"/>
    <w:uiPriority w:val="39"/>
    <w:unhideWhenUsed w:val="1"/>
    <w:rsid w:val="000201F1"/>
    <w:pPr>
      <w:spacing w:after="100"/>
      <w:ind w:left="480"/>
    </w:pPr>
  </w:style>
  <w:style w:type="table" w:styleId="a6" w:customStyle="1">
    <w:basedOn w:val="TableNormal"/>
    <w:tblPr>
      <w:tblStyleRowBandSize w:val="1"/>
      <w:tblStyleColBandSize w:val="1"/>
      <w:tblCellMar>
        <w:top w:w="100.0" w:type="dxa"/>
        <w:left w:w="100.0" w:type="dxa"/>
        <w:bottom w:w="100.0" w:type="dxa"/>
        <w:right w:w="100.0" w:type="dxa"/>
      </w:tblCellMar>
    </w:tblPr>
  </w:style>
  <w:style w:type="table" w:styleId="a7" w:customStyle="1">
    <w:basedOn w:val="TableNormal"/>
    <w:tblPr>
      <w:tblStyleRowBandSize w:val="1"/>
      <w:tblStyleColBandSize w:val="1"/>
      <w:tblCellMar>
        <w:top w:w="100.0" w:type="dxa"/>
        <w:left w:w="100.0" w:type="dxa"/>
        <w:bottom w:w="100.0" w:type="dxa"/>
        <w:right w:w="100.0" w:type="dxa"/>
      </w:tblCellMar>
    </w:tblPr>
  </w:style>
  <w:style w:type="table" w:styleId="a8" w:customStyle="1">
    <w:basedOn w:val="TableNormal"/>
    <w:tblPr>
      <w:tblStyleRowBandSize w:val="1"/>
      <w:tblStyleColBandSize w:val="1"/>
      <w:tblCellMar>
        <w:top w:w="100.0" w:type="dxa"/>
        <w:left w:w="100.0" w:type="dxa"/>
        <w:bottom w:w="100.0" w:type="dxa"/>
        <w:right w:w="100.0" w:type="dxa"/>
      </w:tblCellMar>
    </w:tblPr>
  </w:style>
  <w:style w:type="table" w:styleId="a9" w:customStyle="1">
    <w:basedOn w:val="TableNormal"/>
    <w:tblPr>
      <w:tblStyleRowBandSize w:val="1"/>
      <w:tblStyleColBandSize w:val="1"/>
      <w:tblCellMar>
        <w:top w:w="100.0" w:type="dxa"/>
        <w:left w:w="100.0" w:type="dxa"/>
        <w:bottom w:w="100.0" w:type="dxa"/>
        <w:right w:w="100.0" w:type="dxa"/>
      </w:tblCellMar>
    </w:tblPr>
  </w:style>
  <w:style w:type="table" w:styleId="aa" w:customStyle="1">
    <w:basedOn w:val="TableNormal"/>
    <w:tblPr>
      <w:tblStyleRowBandSize w:val="1"/>
      <w:tblStyleColBandSize w:val="1"/>
      <w:tblCellMar>
        <w:top w:w="100.0" w:type="dxa"/>
        <w:left w:w="100.0" w:type="dxa"/>
        <w:bottom w:w="100.0" w:type="dxa"/>
        <w:right w:w="100.0" w:type="dxa"/>
      </w:tblCellMar>
    </w:tblPr>
  </w:style>
  <w:style w:type="table" w:styleId="ab" w:customStyle="1">
    <w:basedOn w:val="TableNormal"/>
    <w:tblPr>
      <w:tblStyleRowBandSize w:val="1"/>
      <w:tblStyleColBandSize w:val="1"/>
      <w:tblCellMar>
        <w:top w:w="100.0" w:type="dxa"/>
        <w:left w:w="100.0" w:type="dxa"/>
        <w:bottom w:w="100.0" w:type="dxa"/>
        <w:right w:w="100.0" w:type="dxa"/>
      </w:tblCellMar>
    </w:tblPr>
  </w:style>
  <w:style w:type="table" w:styleId="ac" w:customStyle="1">
    <w:basedOn w:val="TableNormal"/>
    <w:tblPr>
      <w:tblStyleRowBandSize w:val="1"/>
      <w:tblStyleColBandSize w:val="1"/>
      <w:tblCellMar>
        <w:top w:w="100.0" w:type="dxa"/>
        <w:left w:w="100.0" w:type="dxa"/>
        <w:bottom w:w="100.0" w:type="dxa"/>
        <w:right w:w="100.0" w:type="dxa"/>
      </w:tblCellMar>
    </w:tblPr>
  </w:style>
  <w:style w:type="table" w:styleId="ad" w:customStyle="1">
    <w:basedOn w:val="TableNormal"/>
    <w:tblPr>
      <w:tblStyleRowBandSize w:val="1"/>
      <w:tblStyleColBandSize w:val="1"/>
      <w:tblCellMar>
        <w:top w:w="100.0" w:type="dxa"/>
        <w:left w:w="100.0" w:type="dxa"/>
        <w:bottom w:w="100.0" w:type="dxa"/>
        <w:right w:w="100.0" w:type="dxa"/>
      </w:tblCellMar>
    </w:tblPr>
  </w:style>
  <w:style w:type="table" w:styleId="ae" w:customStyle="1">
    <w:basedOn w:val="TableNormal"/>
    <w:tblPr>
      <w:tblStyleRowBandSize w:val="1"/>
      <w:tblStyleColBandSize w:val="1"/>
      <w:tblCellMar>
        <w:top w:w="100.0" w:type="dxa"/>
        <w:left w:w="100.0" w:type="dxa"/>
        <w:bottom w:w="100.0" w:type="dxa"/>
        <w:right w:w="100.0" w:type="dxa"/>
      </w:tblCellMar>
    </w:tblPr>
  </w:style>
  <w:style w:type="table" w:styleId="af" w:customStyle="1">
    <w:basedOn w:val="TableNormal"/>
    <w:tblPr>
      <w:tblStyleRowBandSize w:val="1"/>
      <w:tblStyleColBandSize w:val="1"/>
      <w:tblCellMar>
        <w:top w:w="100.0" w:type="dxa"/>
        <w:left w:w="100.0" w:type="dxa"/>
        <w:bottom w:w="100.0" w:type="dxa"/>
        <w:right w:w="100.0" w:type="dxa"/>
      </w:tblCellMar>
    </w:tblPr>
  </w:style>
  <w:style w:type="table" w:styleId="af0" w:customStyle="1">
    <w:basedOn w:val="TableNormal"/>
    <w:tblPr>
      <w:tblStyleRowBandSize w:val="1"/>
      <w:tblStyleColBandSize w:val="1"/>
      <w:tblCellMar>
        <w:top w:w="100.0" w:type="dxa"/>
        <w:left w:w="100.0" w:type="dxa"/>
        <w:bottom w:w="100.0" w:type="dxa"/>
        <w:right w:w="100.0" w:type="dxa"/>
      </w:tblCellMar>
    </w:tblPr>
  </w:style>
  <w:style w:type="table" w:styleId="af1" w:customStyle="1">
    <w:basedOn w:val="TableNormal"/>
    <w:tblPr>
      <w:tblStyleRowBandSize w:val="1"/>
      <w:tblStyleColBandSize w:val="1"/>
      <w:tblCellMar>
        <w:top w:w="100.0" w:type="dxa"/>
        <w:left w:w="100.0" w:type="dxa"/>
        <w:bottom w:w="100.0" w:type="dxa"/>
        <w:right w:w="100.0" w:type="dxa"/>
      </w:tblCellMar>
    </w:tblPr>
  </w:style>
  <w:style w:type="table" w:styleId="af2" w:customStyle="1">
    <w:basedOn w:val="TableNormal"/>
    <w:tblPr>
      <w:tblStyleRowBandSize w:val="1"/>
      <w:tblStyleColBandSize w:val="1"/>
      <w:tblCellMar>
        <w:top w:w="100.0" w:type="dxa"/>
        <w:left w:w="100.0" w:type="dxa"/>
        <w:bottom w:w="100.0" w:type="dxa"/>
        <w:right w:w="100.0" w:type="dxa"/>
      </w:tblCellMar>
    </w:tblPr>
  </w:style>
  <w:style w:type="table" w:styleId="af3" w:customStyle="1">
    <w:basedOn w:val="TableNormal"/>
    <w:tblPr>
      <w:tblStyleRowBandSize w:val="1"/>
      <w:tblStyleColBandSize w:val="1"/>
      <w:tblCellMar>
        <w:top w:w="100.0" w:type="dxa"/>
        <w:left w:w="100.0" w:type="dxa"/>
        <w:bottom w:w="100.0" w:type="dxa"/>
        <w:right w:w="100.0" w:type="dxa"/>
      </w:tblCellMar>
    </w:tblPr>
  </w:style>
  <w:style w:type="table" w:styleId="af4" w:customStyle="1">
    <w:basedOn w:val="TableNormal"/>
    <w:tblPr>
      <w:tblStyleRowBandSize w:val="1"/>
      <w:tblStyleColBandSize w:val="1"/>
      <w:tblCellMar>
        <w:top w:w="100.0" w:type="dxa"/>
        <w:left w:w="100.0" w:type="dxa"/>
        <w:bottom w:w="100.0" w:type="dxa"/>
        <w:right w:w="100.0" w:type="dxa"/>
      </w:tblCellMar>
    </w:tblPr>
  </w:style>
  <w:style w:type="table" w:styleId="af5" w:customStyle="1">
    <w:basedOn w:val="TableNormal"/>
    <w:tblPr>
      <w:tblStyleRowBandSize w:val="1"/>
      <w:tblStyleColBandSize w:val="1"/>
      <w:tblCellMar>
        <w:top w:w="100.0" w:type="dxa"/>
        <w:left w:w="100.0" w:type="dxa"/>
        <w:bottom w:w="100.0" w:type="dxa"/>
        <w:right w:w="100.0" w:type="dxa"/>
      </w:tblCellMar>
    </w:tblPr>
  </w:style>
  <w:style w:type="table" w:styleId="af6" w:customStyle="1">
    <w:basedOn w:val="TableNormal"/>
    <w:tblPr>
      <w:tblStyleRowBandSize w:val="1"/>
      <w:tblStyleColBandSize w:val="1"/>
      <w:tblCellMar>
        <w:top w:w="100.0" w:type="dxa"/>
        <w:left w:w="100.0" w:type="dxa"/>
        <w:bottom w:w="100.0" w:type="dxa"/>
        <w:right w:w="100.0" w:type="dxa"/>
      </w:tblCellMar>
    </w:tblPr>
  </w:style>
  <w:style w:type="table" w:styleId="af7" w:customStyle="1">
    <w:basedOn w:val="TableNormal"/>
    <w:tblPr>
      <w:tblStyleRowBandSize w:val="1"/>
      <w:tblStyleColBandSize w:val="1"/>
      <w:tblCellMar>
        <w:top w:w="100.0" w:type="dxa"/>
        <w:left w:w="100.0" w:type="dxa"/>
        <w:bottom w:w="100.0" w:type="dxa"/>
        <w:right w:w="100.0" w:type="dxa"/>
      </w:tblCellMar>
    </w:tblPr>
  </w:style>
  <w:style w:type="table" w:styleId="af8" w:customStyle="1">
    <w:basedOn w:val="TableNormal"/>
    <w:tblPr>
      <w:tblStyleRowBandSize w:val="1"/>
      <w:tblStyleColBandSize w:val="1"/>
      <w:tblCellMar>
        <w:top w:w="100.0" w:type="dxa"/>
        <w:left w:w="100.0" w:type="dxa"/>
        <w:bottom w:w="100.0" w:type="dxa"/>
        <w:right w:w="100.0" w:type="dxa"/>
      </w:tblCellMar>
    </w:tblPr>
  </w:style>
  <w:style w:type="table" w:styleId="af9" w:customStyle="1">
    <w:basedOn w:val="TableNormal"/>
    <w:tblPr>
      <w:tblStyleRowBandSize w:val="1"/>
      <w:tblStyleColBandSize w:val="1"/>
      <w:tblCellMar>
        <w:top w:w="100.0" w:type="dxa"/>
        <w:left w:w="100.0" w:type="dxa"/>
        <w:bottom w:w="100.0" w:type="dxa"/>
        <w:right w:w="100.0" w:type="dxa"/>
      </w:tblCellMar>
    </w:tblPr>
  </w:style>
  <w:style w:type="table" w:styleId="afa" w:customStyle="1">
    <w:basedOn w:val="TableNormal"/>
    <w:tblPr>
      <w:tblStyleRowBandSize w:val="1"/>
      <w:tblStyleColBandSize w:val="1"/>
      <w:tblCellMar>
        <w:top w:w="100.0" w:type="dxa"/>
        <w:left w:w="100.0" w:type="dxa"/>
        <w:bottom w:w="100.0" w:type="dxa"/>
        <w:right w:w="100.0" w:type="dxa"/>
      </w:tblCellMar>
    </w:tblPr>
  </w:style>
  <w:style w:type="table" w:styleId="afb" w:customStyle="1">
    <w:basedOn w:val="TableNormal"/>
    <w:tblPr>
      <w:tblStyleRowBandSize w:val="1"/>
      <w:tblStyleColBandSize w:val="1"/>
      <w:tblCellMar>
        <w:top w:w="100.0" w:type="dxa"/>
        <w:left w:w="100.0" w:type="dxa"/>
        <w:bottom w:w="100.0" w:type="dxa"/>
        <w:right w:w="100.0" w:type="dxa"/>
      </w:tblCellMar>
    </w:tblPr>
  </w:style>
  <w:style w:type="table" w:styleId="afc" w:customStyle="1">
    <w:basedOn w:val="TableNormal"/>
    <w:tblPr>
      <w:tblStyleRowBandSize w:val="1"/>
      <w:tblStyleColBandSize w:val="1"/>
      <w:tblCellMar>
        <w:top w:w="100.0" w:type="dxa"/>
        <w:left w:w="100.0" w:type="dxa"/>
        <w:bottom w:w="100.0" w:type="dxa"/>
        <w:right w:w="100.0" w:type="dxa"/>
      </w:tblCellMar>
    </w:tblPr>
  </w:style>
  <w:style w:type="table" w:styleId="afd" w:customStyle="1">
    <w:basedOn w:val="TableNormal"/>
    <w:tblPr>
      <w:tblStyleRowBandSize w:val="1"/>
      <w:tblStyleColBandSize w:val="1"/>
      <w:tblCellMar>
        <w:top w:w="100.0" w:type="dxa"/>
        <w:left w:w="100.0" w:type="dxa"/>
        <w:bottom w:w="100.0" w:type="dxa"/>
        <w:right w:w="100.0" w:type="dxa"/>
      </w:tblCellMar>
    </w:tblPr>
  </w:style>
  <w:style w:type="table" w:styleId="afe" w:customStyle="1">
    <w:basedOn w:val="TableNormal"/>
    <w:tblPr>
      <w:tblStyleRowBandSize w:val="1"/>
      <w:tblStyleColBandSize w:val="1"/>
      <w:tblCellMar>
        <w:top w:w="100.0" w:type="dxa"/>
        <w:left w:w="100.0" w:type="dxa"/>
        <w:bottom w:w="100.0" w:type="dxa"/>
        <w:right w:w="100.0" w:type="dxa"/>
      </w:tblCellMar>
    </w:tblPr>
  </w:style>
  <w:style w:type="table" w:styleId="aff" w:customStyle="1">
    <w:basedOn w:val="TableNormal"/>
    <w:tblPr>
      <w:tblStyleRowBandSize w:val="1"/>
      <w:tblStyleColBandSize w:val="1"/>
      <w:tblCellMar>
        <w:top w:w="100.0" w:type="dxa"/>
        <w:left w:w="100.0" w:type="dxa"/>
        <w:bottom w:w="100.0" w:type="dxa"/>
        <w:right w:w="100.0" w:type="dxa"/>
      </w:tblCellMar>
    </w:tblPr>
  </w:style>
  <w:style w:type="table" w:styleId="aff0" w:customStyle="1">
    <w:basedOn w:val="TableNormal"/>
    <w:tblPr>
      <w:tblStyleRowBandSize w:val="1"/>
      <w:tblStyleColBandSize w:val="1"/>
      <w:tblCellMar>
        <w:top w:w="100.0" w:type="dxa"/>
        <w:left w:w="100.0" w:type="dxa"/>
        <w:bottom w:w="100.0" w:type="dxa"/>
        <w:right w:w="100.0" w:type="dxa"/>
      </w:tblCellMar>
    </w:tblPr>
  </w:style>
  <w:style w:type="table" w:styleId="aff1" w:customStyle="1">
    <w:basedOn w:val="TableNormal"/>
    <w:tblPr>
      <w:tblStyleRowBandSize w:val="1"/>
      <w:tblStyleColBandSize w:val="1"/>
      <w:tblCellMar>
        <w:top w:w="100.0" w:type="dxa"/>
        <w:left w:w="100.0" w:type="dxa"/>
        <w:bottom w:w="100.0" w:type="dxa"/>
        <w:right w:w="100.0" w:type="dxa"/>
      </w:tblCellMar>
    </w:tblPr>
  </w:style>
  <w:style w:type="table" w:styleId="aff2" w:customStyle="1">
    <w:basedOn w:val="TableNormal"/>
    <w:tblPr>
      <w:tblStyleRowBandSize w:val="1"/>
      <w:tblStyleColBandSize w:val="1"/>
      <w:tblCellMar>
        <w:top w:w="100.0" w:type="dxa"/>
        <w:left w:w="100.0" w:type="dxa"/>
        <w:bottom w:w="100.0" w:type="dxa"/>
        <w:right w:w="100.0" w:type="dxa"/>
      </w:tblCellMar>
    </w:tblPr>
  </w:style>
  <w:style w:type="table" w:styleId="aff3" w:customStyle="1">
    <w:basedOn w:val="TableNormal"/>
    <w:tblPr>
      <w:tblStyleRowBandSize w:val="1"/>
      <w:tblStyleColBandSize w:val="1"/>
      <w:tblCellMar>
        <w:top w:w="100.0" w:type="dxa"/>
        <w:left w:w="100.0" w:type="dxa"/>
        <w:bottom w:w="100.0" w:type="dxa"/>
        <w:right w:w="100.0" w:type="dxa"/>
      </w:tblCellMar>
    </w:tblPr>
  </w:style>
  <w:style w:type="table" w:styleId="aff4" w:customStyle="1">
    <w:basedOn w:val="TableNormal"/>
    <w:tblPr>
      <w:tblStyleRowBandSize w:val="1"/>
      <w:tblStyleColBandSize w:val="1"/>
      <w:tblCellMar>
        <w:top w:w="100.0" w:type="dxa"/>
        <w:left w:w="100.0" w:type="dxa"/>
        <w:bottom w:w="100.0" w:type="dxa"/>
        <w:right w:w="100.0" w:type="dxa"/>
      </w:tblCellMar>
    </w:tblPr>
  </w:style>
  <w:style w:type="table" w:styleId="aff5" w:customStyle="1">
    <w:basedOn w:val="TableNormal"/>
    <w:tblPr>
      <w:tblStyleRowBandSize w:val="1"/>
      <w:tblStyleColBandSize w:val="1"/>
      <w:tblCellMar>
        <w:top w:w="100.0" w:type="dxa"/>
        <w:left w:w="100.0" w:type="dxa"/>
        <w:bottom w:w="100.0" w:type="dxa"/>
        <w:right w:w="100.0" w:type="dxa"/>
      </w:tblCellMar>
    </w:tblPr>
  </w:style>
  <w:style w:type="table" w:styleId="aff6" w:customStyle="1">
    <w:basedOn w:val="TableNormal"/>
    <w:tblPr>
      <w:tblStyleRowBandSize w:val="1"/>
      <w:tblStyleColBandSize w:val="1"/>
      <w:tblCellMar>
        <w:top w:w="100.0" w:type="dxa"/>
        <w:left w:w="100.0" w:type="dxa"/>
        <w:bottom w:w="100.0" w:type="dxa"/>
        <w:right w:w="100.0" w:type="dxa"/>
      </w:tblCellMar>
    </w:tblPr>
  </w:style>
  <w:style w:type="table" w:styleId="aff7" w:customStyle="1">
    <w:basedOn w:val="TableNormal"/>
    <w:tblPr>
      <w:tblStyleRowBandSize w:val="1"/>
      <w:tblStyleColBandSize w:val="1"/>
      <w:tblCellMar>
        <w:top w:w="100.0" w:type="dxa"/>
        <w:left w:w="100.0" w:type="dxa"/>
        <w:bottom w:w="100.0" w:type="dxa"/>
        <w:right w:w="100.0" w:type="dxa"/>
      </w:tblCellMar>
    </w:tblPr>
  </w:style>
  <w:style w:type="table" w:styleId="aff8" w:customStyle="1">
    <w:basedOn w:val="TableNormal"/>
    <w:tblPr>
      <w:tblStyleRowBandSize w:val="1"/>
      <w:tblStyleColBandSize w:val="1"/>
      <w:tblCellMar>
        <w:top w:w="100.0" w:type="dxa"/>
        <w:left w:w="100.0" w:type="dxa"/>
        <w:bottom w:w="100.0" w:type="dxa"/>
        <w:right w:w="100.0" w:type="dxa"/>
      </w:tblCellMar>
    </w:tblPr>
  </w:style>
  <w:style w:type="table" w:styleId="aff9" w:customStyle="1">
    <w:basedOn w:val="TableNormal"/>
    <w:tblPr>
      <w:tblStyleRowBandSize w:val="1"/>
      <w:tblStyleColBandSize w:val="1"/>
      <w:tblCellMar>
        <w:top w:w="100.0" w:type="dxa"/>
        <w:left w:w="100.0" w:type="dxa"/>
        <w:bottom w:w="100.0" w:type="dxa"/>
        <w:right w:w="100.0" w:type="dxa"/>
      </w:tblCellMar>
    </w:tblPr>
  </w:style>
  <w:style w:type="table" w:styleId="affa" w:customStyle="1">
    <w:basedOn w:val="TableNormal"/>
    <w:tblPr>
      <w:tblStyleRowBandSize w:val="1"/>
      <w:tblStyleColBandSize w:val="1"/>
      <w:tblCellMar>
        <w:top w:w="100.0" w:type="dxa"/>
        <w:left w:w="100.0" w:type="dxa"/>
        <w:bottom w:w="100.0" w:type="dxa"/>
        <w:right w:w="100.0" w:type="dxa"/>
      </w:tblCellMar>
    </w:tblPr>
  </w:style>
  <w:style w:type="table" w:styleId="affb" w:customStyle="1">
    <w:basedOn w:val="TableNormal"/>
    <w:tblPr>
      <w:tblStyleRowBandSize w:val="1"/>
      <w:tblStyleColBandSize w:val="1"/>
      <w:tblCellMar>
        <w:top w:w="100.0" w:type="dxa"/>
        <w:left w:w="100.0" w:type="dxa"/>
        <w:bottom w:w="100.0" w:type="dxa"/>
        <w:right w:w="100.0" w:type="dxa"/>
      </w:tblCellMar>
    </w:tblPr>
  </w:style>
  <w:style w:type="table" w:styleId="affc" w:customStyle="1">
    <w:basedOn w:val="TableNormal"/>
    <w:tblPr>
      <w:tblStyleRowBandSize w:val="1"/>
      <w:tblStyleColBandSize w:val="1"/>
      <w:tblCellMar>
        <w:top w:w="100.0" w:type="dxa"/>
        <w:left w:w="100.0" w:type="dxa"/>
        <w:bottom w:w="100.0" w:type="dxa"/>
        <w:right w:w="100.0" w:type="dxa"/>
      </w:tblCellMar>
    </w:tblPr>
  </w:style>
  <w:style w:type="table" w:styleId="affd" w:customStyle="1">
    <w:basedOn w:val="TableNormal"/>
    <w:tblPr>
      <w:tblStyleRowBandSize w:val="1"/>
      <w:tblStyleColBandSize w:val="1"/>
      <w:tblCellMar>
        <w:top w:w="100.0" w:type="dxa"/>
        <w:left w:w="100.0" w:type="dxa"/>
        <w:bottom w:w="100.0" w:type="dxa"/>
        <w:right w:w="100.0" w:type="dxa"/>
      </w:tblCellMar>
    </w:tblPr>
  </w:style>
  <w:style w:type="table" w:styleId="affe" w:customStyle="1">
    <w:basedOn w:val="TableNormal"/>
    <w:tblPr>
      <w:tblStyleRowBandSize w:val="1"/>
      <w:tblStyleColBandSize w:val="1"/>
      <w:tblCellMar>
        <w:top w:w="100.0" w:type="dxa"/>
        <w:left w:w="100.0" w:type="dxa"/>
        <w:bottom w:w="100.0" w:type="dxa"/>
        <w:right w:w="100.0" w:type="dxa"/>
      </w:tblCellMar>
    </w:tblPr>
  </w:style>
  <w:style w:type="table" w:styleId="afff" w:customStyle="1">
    <w:basedOn w:val="TableNormal"/>
    <w:tblPr>
      <w:tblStyleRowBandSize w:val="1"/>
      <w:tblStyleColBandSize w:val="1"/>
      <w:tblCellMar>
        <w:top w:w="100.0" w:type="dxa"/>
        <w:left w:w="100.0" w:type="dxa"/>
        <w:bottom w:w="100.0" w:type="dxa"/>
        <w:right w:w="100.0" w:type="dxa"/>
      </w:tblCellMar>
    </w:tblPr>
  </w:style>
  <w:style w:type="table" w:styleId="afff0" w:customStyle="1">
    <w:basedOn w:val="TableNormal"/>
    <w:tblPr>
      <w:tblStyleRowBandSize w:val="1"/>
      <w:tblStyleColBandSize w:val="1"/>
      <w:tblCellMar>
        <w:top w:w="100.0" w:type="dxa"/>
        <w:left w:w="100.0" w:type="dxa"/>
        <w:bottom w:w="100.0" w:type="dxa"/>
        <w:right w:w="100.0" w:type="dxa"/>
      </w:tblCellMar>
    </w:tblPr>
  </w:style>
  <w:style w:type="table" w:styleId="afff1" w:customStyle="1">
    <w:basedOn w:val="TableNormal"/>
    <w:tblPr>
      <w:tblStyleRowBandSize w:val="1"/>
      <w:tblStyleColBandSize w:val="1"/>
      <w:tblCellMar>
        <w:top w:w="100.0" w:type="dxa"/>
        <w:left w:w="100.0" w:type="dxa"/>
        <w:bottom w:w="100.0" w:type="dxa"/>
        <w:right w:w="100.0" w:type="dxa"/>
      </w:tblCellMar>
    </w:tblPr>
  </w:style>
  <w:style w:type="table" w:styleId="afff2" w:customStyle="1">
    <w:basedOn w:val="TableNormal"/>
    <w:tblPr>
      <w:tblStyleRowBandSize w:val="1"/>
      <w:tblStyleColBandSize w:val="1"/>
      <w:tblCellMar>
        <w:top w:w="100.0" w:type="dxa"/>
        <w:left w:w="100.0" w:type="dxa"/>
        <w:bottom w:w="100.0" w:type="dxa"/>
        <w:right w:w="100.0" w:type="dxa"/>
      </w:tblCellMar>
    </w:tblPr>
  </w:style>
  <w:style w:type="table" w:styleId="afff3" w:customStyle="1">
    <w:basedOn w:val="TableNormal"/>
    <w:tblPr>
      <w:tblStyleRowBandSize w:val="1"/>
      <w:tblStyleColBandSize w:val="1"/>
      <w:tblCellMar>
        <w:top w:w="100.0" w:type="dxa"/>
        <w:left w:w="100.0" w:type="dxa"/>
        <w:bottom w:w="100.0" w:type="dxa"/>
        <w:right w:w="100.0" w:type="dxa"/>
      </w:tblCellMar>
    </w:tblPr>
  </w:style>
  <w:style w:type="table" w:styleId="afff4" w:customStyle="1">
    <w:basedOn w:val="TableNormal"/>
    <w:tblPr>
      <w:tblStyleRowBandSize w:val="1"/>
      <w:tblStyleColBandSize w:val="1"/>
      <w:tblCellMar>
        <w:top w:w="100.0" w:type="dxa"/>
        <w:left w:w="100.0" w:type="dxa"/>
        <w:bottom w:w="100.0" w:type="dxa"/>
        <w:right w:w="100.0" w:type="dxa"/>
      </w:tblCellMar>
    </w:tblPr>
  </w:style>
  <w:style w:type="table" w:styleId="afff5" w:customStyle="1">
    <w:basedOn w:val="TableNormal"/>
    <w:tblPr>
      <w:tblStyleRowBandSize w:val="1"/>
      <w:tblStyleColBandSize w:val="1"/>
      <w:tblCellMar>
        <w:top w:w="100.0" w:type="dxa"/>
        <w:left w:w="100.0" w:type="dxa"/>
        <w:bottom w:w="100.0" w:type="dxa"/>
        <w:right w:w="100.0" w:type="dxa"/>
      </w:tblCellMar>
    </w:tblPr>
  </w:style>
  <w:style w:type="table" w:styleId="afff6" w:customStyle="1">
    <w:basedOn w:val="TableNormal"/>
    <w:tblPr>
      <w:tblStyleRowBandSize w:val="1"/>
      <w:tblStyleColBandSize w:val="1"/>
      <w:tblCellMar>
        <w:top w:w="100.0" w:type="dxa"/>
        <w:left w:w="100.0" w:type="dxa"/>
        <w:bottom w:w="100.0" w:type="dxa"/>
        <w:right w:w="100.0" w:type="dxa"/>
      </w:tblCellMar>
    </w:tblPr>
  </w:style>
  <w:style w:type="table" w:styleId="afff7" w:customStyle="1">
    <w:basedOn w:val="TableNormal"/>
    <w:tblPr>
      <w:tblStyleRowBandSize w:val="1"/>
      <w:tblStyleColBandSize w:val="1"/>
      <w:tblCellMar>
        <w:top w:w="100.0" w:type="dxa"/>
        <w:left w:w="100.0" w:type="dxa"/>
        <w:bottom w:w="100.0" w:type="dxa"/>
        <w:right w:w="100.0" w:type="dxa"/>
      </w:tblCellMar>
    </w:tblPr>
  </w:style>
  <w:style w:type="table" w:styleId="afff8" w:customStyle="1">
    <w:basedOn w:val="TableNormal"/>
    <w:tblPr>
      <w:tblStyleRowBandSize w:val="1"/>
      <w:tblStyleColBandSize w:val="1"/>
      <w:tblCellMar>
        <w:left w:w="115.0" w:type="dxa"/>
        <w:right w:w="115.0" w:type="dxa"/>
      </w:tblCellMar>
    </w:tblPr>
  </w:style>
  <w:style w:type="table" w:styleId="afff9" w:customStyle="1">
    <w:basedOn w:val="TableNormal"/>
    <w:tblPr>
      <w:tblStyleRowBandSize w:val="1"/>
      <w:tblStyleColBandSize w:val="1"/>
      <w:tblCellMar>
        <w:left w:w="115.0" w:type="dxa"/>
        <w:right w:w="115.0" w:type="dxa"/>
      </w:tblCellMar>
    </w:tblPr>
  </w:style>
  <w:style w:type="table" w:styleId="afffa" w:customStyle="1">
    <w:basedOn w:val="TableNormal"/>
    <w:tblPr>
      <w:tblStyleRowBandSize w:val="1"/>
      <w:tblStyleColBandSize w:val="1"/>
      <w:tblCellMar>
        <w:left w:w="115.0" w:type="dxa"/>
        <w:right w:w="115.0" w:type="dxa"/>
      </w:tblCellMar>
    </w:tblPr>
  </w:style>
  <w:style w:type="table" w:styleId="afffb" w:customStyle="1">
    <w:basedOn w:val="TableNormal"/>
    <w:tblPr>
      <w:tblStyleRowBandSize w:val="1"/>
      <w:tblStyleColBandSize w:val="1"/>
      <w:tblCellMar>
        <w:left w:w="115.0" w:type="dxa"/>
        <w:right w:w="115.0" w:type="dxa"/>
      </w:tblCellMar>
    </w:tblPr>
  </w:style>
  <w:style w:type="table" w:styleId="afffc" w:customStyle="1">
    <w:basedOn w:val="TableNormal"/>
    <w:tblPr>
      <w:tblStyleRowBandSize w:val="1"/>
      <w:tblStyleColBandSize w:val="1"/>
      <w:tblCellMar>
        <w:left w:w="115.0" w:type="dxa"/>
        <w:right w:w="115.0" w:type="dxa"/>
      </w:tblCellMar>
    </w:tblPr>
  </w:style>
  <w:style w:type="table" w:styleId="afffd" w:customStyle="1">
    <w:basedOn w:val="TableNormal"/>
    <w:tblPr>
      <w:tblStyleRowBandSize w:val="1"/>
      <w:tblStyleColBandSize w:val="1"/>
      <w:tblCellMar>
        <w:left w:w="115.0" w:type="dxa"/>
        <w:right w:w="115.0" w:type="dxa"/>
      </w:tblCellMar>
    </w:tblPr>
  </w:style>
  <w:style w:type="table" w:styleId="afffe" w:customStyle="1">
    <w:basedOn w:val="TableNormal"/>
    <w:tblPr>
      <w:tblStyleRowBandSize w:val="1"/>
      <w:tblStyleColBandSize w:val="1"/>
      <w:tblCellMar>
        <w:left w:w="115.0" w:type="dxa"/>
        <w:right w:w="115.0" w:type="dxa"/>
      </w:tblCellMar>
    </w:tblPr>
  </w:style>
  <w:style w:type="table" w:styleId="affff" w:customStyle="1">
    <w:basedOn w:val="TableNormal"/>
    <w:tblPr>
      <w:tblStyleRowBandSize w:val="1"/>
      <w:tblStyleColBandSize w:val="1"/>
      <w:tblCellMar>
        <w:left w:w="115.0" w:type="dxa"/>
        <w:right w:w="115.0" w:type="dxa"/>
      </w:tblCellMar>
    </w:tblPr>
  </w:style>
  <w:style w:type="table" w:styleId="affff0" w:customStyle="1">
    <w:basedOn w:val="TableNormal"/>
    <w:tblPr>
      <w:tblStyleRowBandSize w:val="1"/>
      <w:tblStyleColBandSize w:val="1"/>
      <w:tblCellMar>
        <w:left w:w="115.0" w:type="dxa"/>
        <w:right w:w="115.0" w:type="dxa"/>
      </w:tblCellMar>
    </w:tblPr>
  </w:style>
  <w:style w:type="table" w:styleId="affff1" w:customStyle="1">
    <w:basedOn w:val="TableNormal"/>
    <w:tblPr>
      <w:tblStyleRowBandSize w:val="1"/>
      <w:tblStyleColBandSize w:val="1"/>
      <w:tblCellMar>
        <w:left w:w="115.0" w:type="dxa"/>
        <w:right w:w="115.0" w:type="dxa"/>
      </w:tblCellMar>
    </w:tblPr>
  </w:style>
  <w:style w:type="table" w:styleId="affff2" w:customStyle="1">
    <w:basedOn w:val="TableNormal"/>
    <w:tblPr>
      <w:tblStyleRowBandSize w:val="1"/>
      <w:tblStyleColBandSize w:val="1"/>
      <w:tblCellMar>
        <w:left w:w="115.0" w:type="dxa"/>
        <w:right w:w="115.0" w:type="dxa"/>
      </w:tblCellMar>
    </w:tblPr>
  </w:style>
  <w:style w:type="table" w:styleId="affff3" w:customStyle="1">
    <w:basedOn w:val="TableNormal"/>
    <w:tblPr>
      <w:tblStyleRowBandSize w:val="1"/>
      <w:tblStyleColBandSize w:val="1"/>
      <w:tblCellMar>
        <w:left w:w="115.0" w:type="dxa"/>
        <w:right w:w="115.0" w:type="dxa"/>
      </w:tblCellMar>
    </w:tblPr>
  </w:style>
  <w:style w:type="table" w:styleId="affff4" w:customStyle="1">
    <w:basedOn w:val="TableNormal"/>
    <w:tblPr>
      <w:tblStyleRowBandSize w:val="1"/>
      <w:tblStyleColBandSize w:val="1"/>
      <w:tblCellMar>
        <w:left w:w="115.0" w:type="dxa"/>
        <w:right w:w="115.0" w:type="dxa"/>
      </w:tblCellMar>
    </w:tblPr>
  </w:style>
  <w:style w:type="table" w:styleId="affff5" w:customStyle="1">
    <w:basedOn w:val="TableNormal"/>
    <w:tblPr>
      <w:tblStyleRowBandSize w:val="1"/>
      <w:tblStyleColBandSize w:val="1"/>
      <w:tblCellMar>
        <w:left w:w="115.0" w:type="dxa"/>
        <w:right w:w="115.0" w:type="dxa"/>
      </w:tblCellMar>
    </w:tblPr>
  </w:style>
  <w:style w:type="table" w:styleId="affff6" w:customStyle="1">
    <w:basedOn w:val="TableNormal"/>
    <w:tblPr>
      <w:tblStyleRowBandSize w:val="1"/>
      <w:tblStyleColBandSize w:val="1"/>
      <w:tblCellMar>
        <w:left w:w="115.0" w:type="dxa"/>
        <w:right w:w="115.0" w:type="dxa"/>
      </w:tblCellMar>
    </w:tblPr>
  </w:style>
  <w:style w:type="table" w:styleId="affff7" w:customStyle="1">
    <w:basedOn w:val="TableNormal"/>
    <w:tblPr>
      <w:tblStyleRowBandSize w:val="1"/>
      <w:tblStyleColBandSize w:val="1"/>
      <w:tblCellMar>
        <w:left w:w="115.0" w:type="dxa"/>
        <w:right w:w="115.0" w:type="dxa"/>
      </w:tblCellMar>
    </w:tblPr>
  </w:style>
  <w:style w:type="table" w:styleId="affff8" w:customStyle="1">
    <w:basedOn w:val="TableNormal"/>
    <w:tblPr>
      <w:tblStyleRowBandSize w:val="1"/>
      <w:tblStyleColBandSize w:val="1"/>
      <w:tblCellMar>
        <w:left w:w="115.0" w:type="dxa"/>
        <w:right w:w="115.0" w:type="dxa"/>
      </w:tblCellMar>
    </w:tblPr>
  </w:style>
  <w:style w:type="table" w:styleId="affff9" w:customStyle="1">
    <w:basedOn w:val="TableNormal"/>
    <w:tblPr>
      <w:tblStyleRowBandSize w:val="1"/>
      <w:tblStyleColBandSize w:val="1"/>
      <w:tblCellMar>
        <w:left w:w="115.0" w:type="dxa"/>
        <w:right w:w="115.0" w:type="dxa"/>
      </w:tblCellMar>
    </w:tblPr>
  </w:style>
  <w:style w:type="table" w:styleId="affffa" w:customStyle="1">
    <w:basedOn w:val="TableNormal"/>
    <w:tblPr>
      <w:tblStyleRowBandSize w:val="1"/>
      <w:tblStyleColBandSize w:val="1"/>
      <w:tblCellMar>
        <w:left w:w="115.0" w:type="dxa"/>
        <w:right w:w="115.0" w:type="dxa"/>
      </w:tblCellMar>
    </w:tblPr>
  </w:style>
  <w:style w:type="table" w:styleId="affffb" w:customStyle="1">
    <w:basedOn w:val="TableNormal"/>
    <w:tblPr>
      <w:tblStyleRowBandSize w:val="1"/>
      <w:tblStyleColBandSize w:val="1"/>
      <w:tblCellMar>
        <w:left w:w="115.0" w:type="dxa"/>
        <w:right w:w="115.0" w:type="dxa"/>
      </w:tblCellMar>
    </w:tblPr>
  </w:style>
  <w:style w:type="table" w:styleId="affffc" w:customStyle="1">
    <w:basedOn w:val="TableNormal"/>
    <w:tblPr>
      <w:tblStyleRowBandSize w:val="1"/>
      <w:tblStyleColBandSize w:val="1"/>
      <w:tblCellMar>
        <w:left w:w="115.0" w:type="dxa"/>
        <w:right w:w="115.0" w:type="dxa"/>
      </w:tblCellMar>
    </w:tblPr>
  </w:style>
  <w:style w:type="table" w:styleId="affffd" w:customStyle="1">
    <w:basedOn w:val="TableNormal"/>
    <w:tblPr>
      <w:tblStyleRowBandSize w:val="1"/>
      <w:tblStyleColBandSize w:val="1"/>
      <w:tblCellMar>
        <w:left w:w="115.0" w:type="dxa"/>
        <w:right w:w="115.0" w:type="dxa"/>
      </w:tblCellMar>
    </w:tblPr>
  </w:style>
  <w:style w:type="table" w:styleId="affffe" w:customStyle="1">
    <w:basedOn w:val="TableNormal"/>
    <w:tblPr>
      <w:tblStyleRowBandSize w:val="1"/>
      <w:tblStyleColBandSize w:val="1"/>
      <w:tblCellMar>
        <w:left w:w="115.0" w:type="dxa"/>
        <w:right w:w="115.0" w:type="dxa"/>
      </w:tblCellMar>
    </w:tblPr>
  </w:style>
  <w:style w:type="table" w:styleId="afffff" w:customStyle="1">
    <w:basedOn w:val="TableNormal"/>
    <w:tblPr>
      <w:tblStyleRowBandSize w:val="1"/>
      <w:tblStyleColBandSize w:val="1"/>
      <w:tblCellMar>
        <w:left w:w="115.0" w:type="dxa"/>
        <w:right w:w="115.0" w:type="dxa"/>
      </w:tblCellMar>
    </w:tblPr>
  </w:style>
  <w:style w:type="table" w:styleId="afffff0" w:customStyle="1">
    <w:basedOn w:val="TableNormal"/>
    <w:tblPr>
      <w:tblStyleRowBandSize w:val="1"/>
      <w:tblStyleColBandSize w:val="1"/>
      <w:tblCellMar>
        <w:left w:w="115.0" w:type="dxa"/>
        <w:right w:w="115.0" w:type="dxa"/>
      </w:tblCellMar>
    </w:tblPr>
  </w:style>
  <w:style w:type="table" w:styleId="afffff1" w:customStyle="1">
    <w:basedOn w:val="TableNormal"/>
    <w:tblPr>
      <w:tblStyleRowBandSize w:val="1"/>
      <w:tblStyleColBandSize w:val="1"/>
      <w:tblCellMar>
        <w:left w:w="115.0" w:type="dxa"/>
        <w:right w:w="115.0" w:type="dxa"/>
      </w:tblCellMar>
    </w:tblPr>
  </w:style>
  <w:style w:type="table" w:styleId="afffff2" w:customStyle="1">
    <w:basedOn w:val="TableNormal"/>
    <w:tblPr>
      <w:tblStyleRowBandSize w:val="1"/>
      <w:tblStyleColBandSize w:val="1"/>
      <w:tblCellMar>
        <w:left w:w="115.0" w:type="dxa"/>
        <w:right w:w="115.0" w:type="dxa"/>
      </w:tblCellMar>
    </w:tblPr>
  </w:style>
  <w:style w:type="table" w:styleId="afffff3" w:customStyle="1">
    <w:basedOn w:val="TableNormal"/>
    <w:tblPr>
      <w:tblStyleRowBandSize w:val="1"/>
      <w:tblStyleColBandSize w:val="1"/>
      <w:tblCellMar>
        <w:left w:w="115.0" w:type="dxa"/>
        <w:right w:w="115.0" w:type="dxa"/>
      </w:tblCellMar>
    </w:tblPr>
  </w:style>
  <w:style w:type="table" w:styleId="afffff4" w:customStyle="1">
    <w:basedOn w:val="TableNormal"/>
    <w:tblPr>
      <w:tblStyleRowBandSize w:val="1"/>
      <w:tblStyleColBandSize w:val="1"/>
      <w:tblCellMar>
        <w:left w:w="115.0" w:type="dxa"/>
        <w:right w:w="115.0" w:type="dxa"/>
      </w:tblCellMar>
    </w:tblPr>
  </w:style>
  <w:style w:type="table" w:styleId="afffff5" w:customStyle="1">
    <w:basedOn w:val="TableNormal"/>
    <w:tblPr>
      <w:tblStyleRowBandSize w:val="1"/>
      <w:tblStyleColBandSize w:val="1"/>
      <w:tblCellMar>
        <w:left w:w="115.0" w:type="dxa"/>
        <w:right w:w="115.0" w:type="dxa"/>
      </w:tblCellMar>
    </w:tblPr>
  </w:style>
  <w:style w:type="table" w:styleId="afffff6" w:customStyle="1">
    <w:basedOn w:val="TableNormal"/>
    <w:tblPr>
      <w:tblStyleRowBandSize w:val="1"/>
      <w:tblStyleColBandSize w:val="1"/>
      <w:tblCellMar>
        <w:left w:w="115.0" w:type="dxa"/>
        <w:right w:w="115.0" w:type="dxa"/>
      </w:tblCellMar>
    </w:tblPr>
  </w:style>
  <w:style w:type="table" w:styleId="afffff7" w:customStyle="1">
    <w:basedOn w:val="TableNormal"/>
    <w:tblPr>
      <w:tblStyleRowBandSize w:val="1"/>
      <w:tblStyleColBandSize w:val="1"/>
      <w:tblCellMar>
        <w:left w:w="115.0" w:type="dxa"/>
        <w:right w:w="115.0" w:type="dxa"/>
      </w:tblCellMar>
    </w:tblPr>
  </w:style>
  <w:style w:type="table" w:styleId="afffff8" w:customStyle="1">
    <w:basedOn w:val="TableNormal"/>
    <w:tblPr>
      <w:tblStyleRowBandSize w:val="1"/>
      <w:tblStyleColBandSize w:val="1"/>
      <w:tblCellMar>
        <w:left w:w="115.0" w:type="dxa"/>
        <w:right w:w="115.0" w:type="dxa"/>
      </w:tblCellMar>
    </w:tblPr>
  </w:style>
  <w:style w:type="table" w:styleId="afffff9" w:customStyle="1">
    <w:basedOn w:val="TableNormal"/>
    <w:tblPr>
      <w:tblStyleRowBandSize w:val="1"/>
      <w:tblStyleColBandSize w:val="1"/>
      <w:tblCellMar>
        <w:left w:w="115.0" w:type="dxa"/>
        <w:right w:w="115.0" w:type="dxa"/>
      </w:tblCellMar>
    </w:tblPr>
  </w:style>
  <w:style w:type="table" w:styleId="afffffa" w:customStyle="1">
    <w:basedOn w:val="TableNormal"/>
    <w:tblPr>
      <w:tblStyleRowBandSize w:val="1"/>
      <w:tblStyleColBandSize w:val="1"/>
      <w:tblCellMar>
        <w:left w:w="115.0" w:type="dxa"/>
        <w:right w:w="115.0" w:type="dxa"/>
      </w:tblCellMar>
    </w:tblPr>
  </w:style>
  <w:style w:type="table" w:styleId="afffffb" w:customStyle="1">
    <w:basedOn w:val="TableNormal"/>
    <w:tblPr>
      <w:tblStyleRowBandSize w:val="1"/>
      <w:tblStyleColBandSize w:val="1"/>
      <w:tblCellMar>
        <w:left w:w="115.0" w:type="dxa"/>
        <w:right w:w="115.0" w:type="dxa"/>
      </w:tblCellMar>
    </w:tblPr>
  </w:style>
  <w:style w:type="table" w:styleId="afffffc" w:customStyle="1">
    <w:basedOn w:val="TableNormal"/>
    <w:tblPr>
      <w:tblStyleRowBandSize w:val="1"/>
      <w:tblStyleColBandSize w:val="1"/>
      <w:tblCellMar>
        <w:left w:w="115.0" w:type="dxa"/>
        <w:right w:w="115.0" w:type="dxa"/>
      </w:tblCellMar>
    </w:tblPr>
  </w:style>
  <w:style w:type="table" w:styleId="afffffd" w:customStyle="1">
    <w:basedOn w:val="TableNormal"/>
    <w:tblPr>
      <w:tblStyleRowBandSize w:val="1"/>
      <w:tblStyleColBandSize w:val="1"/>
      <w:tblCellMar>
        <w:left w:w="115.0" w:type="dxa"/>
        <w:right w:w="115.0" w:type="dxa"/>
      </w:tblCellMar>
    </w:tblPr>
  </w:style>
  <w:style w:type="table" w:styleId="afffffe" w:customStyle="1">
    <w:basedOn w:val="TableNormal"/>
    <w:tblPr>
      <w:tblStyleRowBandSize w:val="1"/>
      <w:tblStyleColBandSize w:val="1"/>
      <w:tblCellMar>
        <w:left w:w="115.0" w:type="dxa"/>
        <w:right w:w="115.0" w:type="dxa"/>
      </w:tblCellMar>
    </w:tblPr>
  </w:style>
  <w:style w:type="table" w:styleId="affffff" w:customStyle="1">
    <w:basedOn w:val="TableNormal"/>
    <w:tblPr>
      <w:tblStyleRowBandSize w:val="1"/>
      <w:tblStyleColBandSize w:val="1"/>
      <w:tblCellMar>
        <w:left w:w="115.0" w:type="dxa"/>
        <w:right w:w="115.0" w:type="dxa"/>
      </w:tblCellMar>
    </w:tblPr>
  </w:style>
  <w:style w:type="table" w:styleId="affffff0" w:customStyle="1">
    <w:basedOn w:val="TableNormal"/>
    <w:tblPr>
      <w:tblStyleRowBandSize w:val="1"/>
      <w:tblStyleColBandSize w:val="1"/>
      <w:tblCellMar>
        <w:left w:w="115.0" w:type="dxa"/>
        <w:right w:w="115.0" w:type="dxa"/>
      </w:tblCellMar>
    </w:tblPr>
  </w:style>
  <w:style w:type="table" w:styleId="affffff1" w:customStyle="1">
    <w:basedOn w:val="TableNormal"/>
    <w:tblPr>
      <w:tblStyleRowBandSize w:val="1"/>
      <w:tblStyleColBandSize w:val="1"/>
      <w:tblCellMar>
        <w:left w:w="115.0" w:type="dxa"/>
        <w:right w:w="115.0" w:type="dxa"/>
      </w:tblCellMar>
    </w:tblPr>
  </w:style>
  <w:style w:type="table" w:styleId="affffff2" w:customStyle="1">
    <w:basedOn w:val="TableNormal"/>
    <w:tblPr>
      <w:tblStyleRowBandSize w:val="1"/>
      <w:tblStyleColBandSize w:val="1"/>
      <w:tblCellMar>
        <w:left w:w="115.0" w:type="dxa"/>
        <w:right w:w="115.0" w:type="dxa"/>
      </w:tblCellMar>
    </w:tblPr>
  </w:style>
  <w:style w:type="table" w:styleId="affffff3" w:customStyle="1">
    <w:basedOn w:val="TableNormal"/>
    <w:tblPr>
      <w:tblStyleRowBandSize w:val="1"/>
      <w:tblStyleColBandSize w:val="1"/>
      <w:tblCellMar>
        <w:left w:w="115.0" w:type="dxa"/>
        <w:right w:w="115.0" w:type="dxa"/>
      </w:tblCellMar>
    </w:tblPr>
  </w:style>
  <w:style w:type="table" w:styleId="affffff4" w:customStyle="1">
    <w:basedOn w:val="TableNormal"/>
    <w:tblPr>
      <w:tblStyleRowBandSize w:val="1"/>
      <w:tblStyleColBandSize w:val="1"/>
      <w:tblCellMar>
        <w:left w:w="115.0" w:type="dxa"/>
        <w:right w:w="115.0" w:type="dxa"/>
      </w:tblCellMar>
    </w:tblPr>
  </w:style>
  <w:style w:type="table" w:styleId="affffff5" w:customStyle="1">
    <w:basedOn w:val="TableNormal"/>
    <w:tblPr>
      <w:tblStyleRowBandSize w:val="1"/>
      <w:tblStyleColBandSize w:val="1"/>
      <w:tblCellMar>
        <w:left w:w="115.0" w:type="dxa"/>
        <w:right w:w="115.0" w:type="dxa"/>
      </w:tblCellMar>
    </w:tblPr>
  </w:style>
  <w:style w:type="table" w:styleId="affffff6" w:customStyle="1">
    <w:basedOn w:val="TableNormal"/>
    <w:tblPr>
      <w:tblStyleRowBandSize w:val="1"/>
      <w:tblStyleColBandSize w:val="1"/>
      <w:tblCellMar>
        <w:left w:w="115.0" w:type="dxa"/>
        <w:right w:w="115.0" w:type="dxa"/>
      </w:tblCellMar>
    </w:tblPr>
  </w:style>
  <w:style w:type="table" w:styleId="affffff7" w:customStyle="1">
    <w:basedOn w:val="TableNormal"/>
    <w:tblPr>
      <w:tblStyleRowBandSize w:val="1"/>
      <w:tblStyleColBandSize w:val="1"/>
      <w:tblCellMar>
        <w:left w:w="115.0" w:type="dxa"/>
        <w:right w:w="115.0" w:type="dxa"/>
      </w:tblCellMar>
    </w:tblPr>
  </w:style>
  <w:style w:type="table" w:styleId="affffff8" w:customStyle="1">
    <w:basedOn w:val="TableNormal"/>
    <w:tblPr>
      <w:tblStyleRowBandSize w:val="1"/>
      <w:tblStyleColBandSize w:val="1"/>
      <w:tblCellMar>
        <w:left w:w="115.0" w:type="dxa"/>
        <w:right w:w="115.0" w:type="dxa"/>
      </w:tblCellMar>
    </w:tblPr>
  </w:style>
  <w:style w:type="table" w:styleId="affffff9" w:customStyle="1">
    <w:basedOn w:val="TableNormal"/>
    <w:tblPr>
      <w:tblStyleRowBandSize w:val="1"/>
      <w:tblStyleColBandSize w:val="1"/>
      <w:tblCellMar>
        <w:left w:w="115.0" w:type="dxa"/>
        <w:right w:w="115.0" w:type="dxa"/>
      </w:tblCellMar>
    </w:tblPr>
  </w:style>
  <w:style w:type="table" w:styleId="affffffa" w:customStyle="1">
    <w:basedOn w:val="TableNormal"/>
    <w:tblPr>
      <w:tblStyleRowBandSize w:val="1"/>
      <w:tblStyleColBandSize w:val="1"/>
      <w:tblCellMar>
        <w:left w:w="115.0" w:type="dxa"/>
        <w:right w:w="115.0" w:type="dxa"/>
      </w:tblCellMar>
    </w:tblPr>
  </w:style>
  <w:style w:type="table" w:styleId="affffffb" w:customStyle="1">
    <w:basedOn w:val="TableNormal"/>
    <w:tblPr>
      <w:tblStyleRowBandSize w:val="1"/>
      <w:tblStyleColBandSize w:val="1"/>
      <w:tblCellMar>
        <w:left w:w="115.0" w:type="dxa"/>
        <w:right w:w="115.0" w:type="dxa"/>
      </w:tblCellMar>
    </w:tblPr>
  </w:style>
  <w:style w:type="table" w:styleId="affffffc" w:customStyle="1">
    <w:basedOn w:val="TableNormal"/>
    <w:tblPr>
      <w:tblStyleRowBandSize w:val="1"/>
      <w:tblStyleColBandSize w:val="1"/>
      <w:tblCellMar>
        <w:left w:w="115.0" w:type="dxa"/>
        <w:right w:w="115.0" w:type="dxa"/>
      </w:tblCellMar>
    </w:tblPr>
  </w:style>
  <w:style w:type="table" w:styleId="affffffd" w:customStyle="1">
    <w:basedOn w:val="TableNormal"/>
    <w:tblPr>
      <w:tblStyleRowBandSize w:val="1"/>
      <w:tblStyleColBandSize w:val="1"/>
      <w:tblCellMar>
        <w:left w:w="115.0" w:type="dxa"/>
        <w:right w:w="115.0" w:type="dxa"/>
      </w:tblCellMar>
    </w:tblPr>
  </w:style>
  <w:style w:type="table" w:styleId="affffffe" w:customStyle="1">
    <w:basedOn w:val="TableNormal"/>
    <w:tblPr>
      <w:tblStyleRowBandSize w:val="1"/>
      <w:tblStyleColBandSize w:val="1"/>
      <w:tblCellMar>
        <w:left w:w="115.0" w:type="dxa"/>
        <w:right w:w="115.0" w:type="dxa"/>
      </w:tblCellMar>
    </w:tblPr>
  </w:style>
  <w:style w:type="table" w:styleId="afffffff" w:customStyle="1">
    <w:basedOn w:val="TableNormal"/>
    <w:tblPr>
      <w:tblStyleRowBandSize w:val="1"/>
      <w:tblStyleColBandSize w:val="1"/>
      <w:tblCellMar>
        <w:left w:w="115.0" w:type="dxa"/>
        <w:right w:w="115.0" w:type="dxa"/>
      </w:tblCellMar>
    </w:tblPr>
  </w:style>
  <w:style w:type="table" w:styleId="afffffff0" w:customStyle="1">
    <w:basedOn w:val="TableNormal"/>
    <w:tblPr>
      <w:tblStyleRowBandSize w:val="1"/>
      <w:tblStyleColBandSize w:val="1"/>
      <w:tblCellMar>
        <w:left w:w="115.0" w:type="dxa"/>
        <w:right w:w="115.0" w:type="dxa"/>
      </w:tblCellMar>
    </w:tblPr>
  </w:style>
  <w:style w:type="table" w:styleId="afffffff1" w:customStyle="1">
    <w:basedOn w:val="TableNormal"/>
    <w:tblPr>
      <w:tblStyleRowBandSize w:val="1"/>
      <w:tblStyleColBandSize w:val="1"/>
      <w:tblCellMar>
        <w:left w:w="115.0" w:type="dxa"/>
        <w:right w:w="115.0" w:type="dxa"/>
      </w:tblCellMar>
    </w:tblPr>
  </w:style>
  <w:style w:type="table" w:styleId="afffffff2" w:customStyle="1">
    <w:basedOn w:val="TableNormal"/>
    <w:tblPr>
      <w:tblStyleRowBandSize w:val="1"/>
      <w:tblStyleColBandSize w:val="1"/>
      <w:tblCellMar>
        <w:left w:w="115.0" w:type="dxa"/>
        <w:right w:w="115.0" w:type="dxa"/>
      </w:tblCellMar>
    </w:tblPr>
  </w:style>
  <w:style w:type="table" w:styleId="afffffff3" w:customStyle="1">
    <w:basedOn w:val="TableNormal"/>
    <w:tblPr>
      <w:tblStyleRowBandSize w:val="1"/>
      <w:tblStyleColBandSize w:val="1"/>
      <w:tblCellMar>
        <w:left w:w="115.0" w:type="dxa"/>
        <w:right w:w="115.0" w:type="dxa"/>
      </w:tblCellMar>
    </w:tblPr>
  </w:style>
  <w:style w:type="table" w:styleId="afffffff4" w:customStyle="1">
    <w:basedOn w:val="TableNormal"/>
    <w:tblPr>
      <w:tblStyleRowBandSize w:val="1"/>
      <w:tblStyleColBandSize w:val="1"/>
      <w:tblCellMar>
        <w:left w:w="115.0" w:type="dxa"/>
        <w:right w:w="115.0" w:type="dxa"/>
      </w:tblCellMar>
    </w:tblPr>
  </w:style>
  <w:style w:type="table" w:styleId="afffffff5" w:customStyle="1">
    <w:basedOn w:val="TableNormal"/>
    <w:tblPr>
      <w:tblStyleRowBandSize w:val="1"/>
      <w:tblStyleColBandSize w:val="1"/>
      <w:tblCellMar>
        <w:left w:w="115.0" w:type="dxa"/>
        <w:right w:w="115.0" w:type="dxa"/>
      </w:tblCellMar>
    </w:tblPr>
  </w:style>
  <w:style w:type="table" w:styleId="afffffff6" w:customStyle="1">
    <w:basedOn w:val="TableNormal"/>
    <w:tblPr>
      <w:tblStyleRowBandSize w:val="1"/>
      <w:tblStyleColBandSize w:val="1"/>
      <w:tblCellMar>
        <w:left w:w="115.0" w:type="dxa"/>
        <w:right w:w="115.0" w:type="dxa"/>
      </w:tblCellMar>
    </w:tblPr>
  </w:style>
  <w:style w:type="table" w:styleId="afffffff7" w:customStyle="1">
    <w:basedOn w:val="TableNormal"/>
    <w:tblPr>
      <w:tblStyleRowBandSize w:val="1"/>
      <w:tblStyleColBandSize w:val="1"/>
      <w:tblCellMar>
        <w:left w:w="115.0" w:type="dxa"/>
        <w:right w:w="115.0" w:type="dxa"/>
      </w:tblCellMar>
    </w:tblPr>
  </w:style>
  <w:style w:type="table" w:styleId="afffffff8" w:customStyle="1">
    <w:basedOn w:val="TableNormal"/>
    <w:tblPr>
      <w:tblStyleRowBandSize w:val="1"/>
      <w:tblStyleColBandSize w:val="1"/>
      <w:tblCellMar>
        <w:left w:w="115.0" w:type="dxa"/>
        <w:right w:w="115.0" w:type="dxa"/>
      </w:tblCellMar>
    </w:tblPr>
  </w:style>
  <w:style w:type="table" w:styleId="afffffff9" w:customStyle="1">
    <w:basedOn w:val="TableNormal"/>
    <w:tblPr>
      <w:tblStyleRowBandSize w:val="1"/>
      <w:tblStyleColBandSize w:val="1"/>
      <w:tblCellMar>
        <w:left w:w="115.0" w:type="dxa"/>
        <w:right w:w="115.0" w:type="dxa"/>
      </w:tblCellMar>
    </w:tblPr>
  </w:style>
  <w:style w:type="table" w:styleId="afffffffa" w:customStyle="1">
    <w:basedOn w:val="TableNormal"/>
    <w:tblPr>
      <w:tblStyleRowBandSize w:val="1"/>
      <w:tblStyleColBandSize w:val="1"/>
      <w:tblCellMar>
        <w:left w:w="115.0" w:type="dxa"/>
        <w:right w:w="115.0" w:type="dxa"/>
      </w:tblCellMar>
    </w:tblPr>
  </w:style>
  <w:style w:type="table" w:styleId="afffffffb" w:customStyle="1">
    <w:basedOn w:val="TableNormal"/>
    <w:tblPr>
      <w:tblStyleRowBandSize w:val="1"/>
      <w:tblStyleColBandSize w:val="1"/>
      <w:tblCellMar>
        <w:left w:w="115.0" w:type="dxa"/>
        <w:right w:w="115.0" w:type="dxa"/>
      </w:tblCellMar>
    </w:tblPr>
  </w:style>
  <w:style w:type="table" w:styleId="afffffffc" w:customStyle="1">
    <w:basedOn w:val="TableNormal"/>
    <w:tblPr>
      <w:tblStyleRowBandSize w:val="1"/>
      <w:tblStyleColBandSize w:val="1"/>
      <w:tblCellMar>
        <w:left w:w="115.0" w:type="dxa"/>
        <w:right w:w="115.0" w:type="dxa"/>
      </w:tblCellMar>
    </w:tblPr>
  </w:style>
  <w:style w:type="table" w:styleId="afffffffd" w:customStyle="1">
    <w:basedOn w:val="TableNormal"/>
    <w:tblPr>
      <w:tblStyleRowBandSize w:val="1"/>
      <w:tblStyleColBandSize w:val="1"/>
      <w:tblCellMar>
        <w:left w:w="115.0" w:type="dxa"/>
        <w:right w:w="115.0" w:type="dxa"/>
      </w:tblCellMar>
    </w:tblPr>
  </w:style>
  <w:style w:type="table" w:styleId="afffffffe" w:customStyle="1">
    <w:basedOn w:val="TableNormal"/>
    <w:tblPr>
      <w:tblStyleRowBandSize w:val="1"/>
      <w:tblStyleColBandSize w:val="1"/>
      <w:tblCellMar>
        <w:left w:w="115.0" w:type="dxa"/>
        <w:right w:w="115.0" w:type="dxa"/>
      </w:tblCellMar>
    </w:tblPr>
  </w:style>
  <w:style w:type="table" w:styleId="affffffff" w:customStyle="1">
    <w:basedOn w:val="TableNormal"/>
    <w:tblPr>
      <w:tblStyleRowBandSize w:val="1"/>
      <w:tblStyleColBandSize w:val="1"/>
      <w:tblCellMar>
        <w:left w:w="115.0" w:type="dxa"/>
        <w:right w:w="115.0" w:type="dxa"/>
      </w:tblCellMar>
    </w:tblPr>
  </w:style>
  <w:style w:type="table" w:styleId="affffffff0" w:customStyle="1">
    <w:basedOn w:val="TableNormal"/>
    <w:tblPr>
      <w:tblStyleRowBandSize w:val="1"/>
      <w:tblStyleColBandSize w:val="1"/>
      <w:tblCellMar>
        <w:left w:w="115.0" w:type="dxa"/>
        <w:right w:w="115.0" w:type="dxa"/>
      </w:tblCellMar>
    </w:tblPr>
  </w:style>
  <w:style w:type="table" w:styleId="affffffff1" w:customStyle="1">
    <w:basedOn w:val="TableNormal"/>
    <w:tblPr>
      <w:tblStyleRowBandSize w:val="1"/>
      <w:tblStyleColBandSize w:val="1"/>
      <w:tblCellMar>
        <w:left w:w="115.0" w:type="dxa"/>
        <w:right w:w="115.0" w:type="dxa"/>
      </w:tblCellMar>
    </w:tblPr>
  </w:style>
  <w:style w:type="table" w:styleId="affffffff2" w:customStyle="1">
    <w:basedOn w:val="TableNormal"/>
    <w:tblPr>
      <w:tblStyleRowBandSize w:val="1"/>
      <w:tblStyleColBandSize w:val="1"/>
      <w:tblCellMar>
        <w:left w:w="115.0" w:type="dxa"/>
        <w:right w:w="115.0" w:type="dxa"/>
      </w:tblCellMar>
    </w:tblPr>
  </w:style>
  <w:style w:type="table" w:styleId="affffffff3" w:customStyle="1">
    <w:basedOn w:val="TableNormal"/>
    <w:tblPr>
      <w:tblStyleRowBandSize w:val="1"/>
      <w:tblStyleColBandSize w:val="1"/>
      <w:tblCellMar>
        <w:left w:w="115.0" w:type="dxa"/>
        <w:right w:w="115.0" w:type="dxa"/>
      </w:tblCellMar>
    </w:tblPr>
  </w:style>
  <w:style w:type="table" w:styleId="affffffff4" w:customStyle="1">
    <w:basedOn w:val="TableNormal"/>
    <w:tblPr>
      <w:tblStyleRowBandSize w:val="1"/>
      <w:tblStyleColBandSize w:val="1"/>
      <w:tblCellMar>
        <w:left w:w="115.0" w:type="dxa"/>
        <w:right w:w="115.0" w:type="dxa"/>
      </w:tblCellMar>
    </w:tblPr>
  </w:style>
  <w:style w:type="table" w:styleId="affffffff5" w:customStyle="1">
    <w:basedOn w:val="TableNormal"/>
    <w:tblPr>
      <w:tblStyleRowBandSize w:val="1"/>
      <w:tblStyleColBandSize w:val="1"/>
      <w:tblCellMar>
        <w:left w:w="115.0" w:type="dxa"/>
        <w:right w:w="115.0" w:type="dxa"/>
      </w:tblCellMar>
    </w:tblPr>
  </w:style>
  <w:style w:type="table" w:styleId="affffffff6" w:customStyle="1">
    <w:basedOn w:val="TableNormal"/>
    <w:tblPr>
      <w:tblStyleRowBandSize w:val="1"/>
      <w:tblStyleColBandSize w:val="1"/>
      <w:tblCellMar>
        <w:left w:w="115.0" w:type="dxa"/>
        <w:right w:w="115.0" w:type="dxa"/>
      </w:tblCellMar>
    </w:tblPr>
  </w:style>
  <w:style w:type="table" w:styleId="affffffff7" w:customStyle="1">
    <w:basedOn w:val="TableNormal"/>
    <w:tblPr>
      <w:tblStyleRowBandSize w:val="1"/>
      <w:tblStyleColBandSize w:val="1"/>
      <w:tblCellMar>
        <w:left w:w="115.0" w:type="dxa"/>
        <w:right w:w="115.0" w:type="dxa"/>
      </w:tblCellMar>
    </w:tblPr>
  </w:style>
  <w:style w:type="table" w:styleId="affffffff8" w:customStyle="1">
    <w:basedOn w:val="TableNormal"/>
    <w:tblPr>
      <w:tblStyleRowBandSize w:val="1"/>
      <w:tblStyleColBandSize w:val="1"/>
      <w:tblCellMar>
        <w:left w:w="115.0" w:type="dxa"/>
        <w:right w:w="115.0" w:type="dxa"/>
      </w:tblCellMar>
    </w:tblPr>
  </w:style>
  <w:style w:type="table" w:styleId="affffffff9" w:customStyle="1">
    <w:basedOn w:val="TableNormal"/>
    <w:tblPr>
      <w:tblStyleRowBandSize w:val="1"/>
      <w:tblStyleColBandSize w:val="1"/>
      <w:tblCellMar>
        <w:left w:w="115.0" w:type="dxa"/>
        <w:right w:w="115.0" w:type="dxa"/>
      </w:tblCellMar>
    </w:tblPr>
  </w:style>
  <w:style w:type="table" w:styleId="affffffffa" w:customStyle="1">
    <w:basedOn w:val="TableNormal"/>
    <w:tblPr>
      <w:tblStyleRowBandSize w:val="1"/>
      <w:tblStyleColBandSize w:val="1"/>
      <w:tblCellMar>
        <w:left w:w="115.0" w:type="dxa"/>
        <w:right w:w="115.0" w:type="dxa"/>
      </w:tblCellMar>
    </w:tblPr>
  </w:style>
  <w:style w:type="table" w:styleId="affffffffb" w:customStyle="1">
    <w:basedOn w:val="TableNormal"/>
    <w:tblPr>
      <w:tblStyleRowBandSize w:val="1"/>
      <w:tblStyleColBandSize w:val="1"/>
      <w:tblCellMar>
        <w:left w:w="115.0" w:type="dxa"/>
        <w:right w:w="115.0" w:type="dxa"/>
      </w:tblCellMar>
    </w:tblPr>
  </w:style>
  <w:style w:type="table" w:styleId="affffffffc" w:customStyle="1">
    <w:basedOn w:val="TableNormal"/>
    <w:tblPr>
      <w:tblStyleRowBandSize w:val="1"/>
      <w:tblStyleColBandSize w:val="1"/>
      <w:tblCellMar>
        <w:left w:w="115.0" w:type="dxa"/>
        <w:right w:w="115.0" w:type="dxa"/>
      </w:tblCellMar>
    </w:tblPr>
  </w:style>
  <w:style w:type="table" w:styleId="affffffffd" w:customStyle="1">
    <w:basedOn w:val="TableNormal"/>
    <w:tblPr>
      <w:tblStyleRowBandSize w:val="1"/>
      <w:tblStyleColBandSize w:val="1"/>
      <w:tblCellMar>
        <w:left w:w="115.0" w:type="dxa"/>
        <w:right w:w="115.0" w:type="dxa"/>
      </w:tblCellMar>
    </w:tblPr>
  </w:style>
  <w:style w:type="table" w:styleId="affffffffe" w:customStyle="1">
    <w:basedOn w:val="TableNormal"/>
    <w:tblPr>
      <w:tblStyleRowBandSize w:val="1"/>
      <w:tblStyleColBandSize w:val="1"/>
      <w:tblCellMar>
        <w:left w:w="115.0" w:type="dxa"/>
        <w:right w:w="115.0" w:type="dxa"/>
      </w:tblCellMar>
    </w:tblPr>
  </w:style>
  <w:style w:type="table" w:styleId="afffffffff" w:customStyle="1">
    <w:basedOn w:val="TableNormal"/>
    <w:tblPr>
      <w:tblStyleRowBandSize w:val="1"/>
      <w:tblStyleColBandSize w:val="1"/>
      <w:tblCellMar>
        <w:left w:w="115.0" w:type="dxa"/>
        <w:right w:w="115.0" w:type="dxa"/>
      </w:tblCellMar>
    </w:tblPr>
  </w:style>
  <w:style w:type="table" w:styleId="afffffffff0" w:customStyle="1">
    <w:basedOn w:val="TableNormal"/>
    <w:tblPr>
      <w:tblStyleRowBandSize w:val="1"/>
      <w:tblStyleColBandSize w:val="1"/>
      <w:tblCellMar>
        <w:left w:w="115.0" w:type="dxa"/>
        <w:right w:w="115.0" w:type="dxa"/>
      </w:tblCellMar>
    </w:tblPr>
  </w:style>
  <w:style w:type="table" w:styleId="afffffffff1" w:customStyle="1">
    <w:basedOn w:val="TableNormal"/>
    <w:tblPr>
      <w:tblStyleRowBandSize w:val="1"/>
      <w:tblStyleColBandSize w:val="1"/>
      <w:tblCellMar>
        <w:left w:w="115.0" w:type="dxa"/>
        <w:right w:w="115.0" w:type="dxa"/>
      </w:tblCellMar>
    </w:tblPr>
  </w:style>
  <w:style w:type="table" w:styleId="afffffffff2" w:customStyle="1">
    <w:basedOn w:val="TableNormal"/>
    <w:tblPr>
      <w:tblStyleRowBandSize w:val="1"/>
      <w:tblStyleColBandSize w:val="1"/>
      <w:tblCellMar>
        <w:left w:w="115.0" w:type="dxa"/>
        <w:right w:w="115.0" w:type="dxa"/>
      </w:tblCellMar>
    </w:tblPr>
  </w:style>
  <w:style w:type="table" w:styleId="afffffffff3" w:customStyle="1">
    <w:basedOn w:val="TableNormal"/>
    <w:tblPr>
      <w:tblStyleRowBandSize w:val="1"/>
      <w:tblStyleColBandSize w:val="1"/>
      <w:tblCellMar>
        <w:left w:w="115.0" w:type="dxa"/>
        <w:right w:w="115.0" w:type="dxa"/>
      </w:tblCellMar>
    </w:tblPr>
  </w:style>
  <w:style w:type="table" w:styleId="afffffffff4" w:customStyle="1">
    <w:basedOn w:val="TableNormal"/>
    <w:tblPr>
      <w:tblStyleRowBandSize w:val="1"/>
      <w:tblStyleColBandSize w:val="1"/>
      <w:tblCellMar>
        <w:left w:w="115.0" w:type="dxa"/>
        <w:right w:w="115.0" w:type="dxa"/>
      </w:tblCellMar>
    </w:tblPr>
  </w:style>
  <w:style w:type="table" w:styleId="afffffffff5" w:customStyle="1">
    <w:basedOn w:val="TableNormal"/>
    <w:tblPr>
      <w:tblStyleRowBandSize w:val="1"/>
      <w:tblStyleColBandSize w:val="1"/>
      <w:tblCellMar>
        <w:left w:w="115.0" w:type="dxa"/>
        <w:right w:w="115.0" w:type="dxa"/>
      </w:tblCellMar>
    </w:tblPr>
  </w:style>
  <w:style w:type="table" w:styleId="afffffffff6" w:customStyle="1">
    <w:basedOn w:val="TableNormal"/>
    <w:tblPr>
      <w:tblStyleRowBandSize w:val="1"/>
      <w:tblStyleColBandSize w:val="1"/>
      <w:tblCellMar>
        <w:left w:w="115.0" w:type="dxa"/>
        <w:right w:w="115.0" w:type="dxa"/>
      </w:tblCellMar>
    </w:tblPr>
  </w:style>
  <w:style w:type="table" w:styleId="afffffffff7" w:customStyle="1">
    <w:basedOn w:val="TableNormal"/>
    <w:tblPr>
      <w:tblStyleRowBandSize w:val="1"/>
      <w:tblStyleColBandSize w:val="1"/>
      <w:tblCellMar>
        <w:left w:w="115.0" w:type="dxa"/>
        <w:right w:w="115.0" w:type="dxa"/>
      </w:tblCellMar>
    </w:tblPr>
  </w:style>
  <w:style w:type="table" w:styleId="afffffffff8" w:customStyle="1">
    <w:basedOn w:val="TableNormal"/>
    <w:tblPr>
      <w:tblStyleRowBandSize w:val="1"/>
      <w:tblStyleColBandSize w:val="1"/>
      <w:tblCellMar>
        <w:left w:w="115.0" w:type="dxa"/>
        <w:right w:w="115.0" w:type="dxa"/>
      </w:tblCellMar>
    </w:tblPr>
  </w:style>
  <w:style w:type="table" w:styleId="afffffffff9" w:customStyle="1">
    <w:basedOn w:val="TableNormal"/>
    <w:tblPr>
      <w:tblStyleRowBandSize w:val="1"/>
      <w:tblStyleColBandSize w:val="1"/>
      <w:tblCellMar>
        <w:left w:w="115.0" w:type="dxa"/>
        <w:right w:w="115.0" w:type="dxa"/>
      </w:tblCellMar>
    </w:tblPr>
  </w:style>
  <w:style w:type="table" w:styleId="afffffffffa" w:customStyle="1">
    <w:basedOn w:val="TableNormal"/>
    <w:tblPr>
      <w:tblStyleRowBandSize w:val="1"/>
      <w:tblStyleColBandSize w:val="1"/>
      <w:tblCellMar>
        <w:left w:w="115.0" w:type="dxa"/>
        <w:right w:w="115.0" w:type="dxa"/>
      </w:tblCellMar>
    </w:tblPr>
  </w:style>
  <w:style w:type="table" w:styleId="afffffffffb" w:customStyle="1">
    <w:basedOn w:val="TableNormal"/>
    <w:tblPr>
      <w:tblStyleRowBandSize w:val="1"/>
      <w:tblStyleColBandSize w:val="1"/>
      <w:tblCellMar>
        <w:left w:w="115.0" w:type="dxa"/>
        <w:right w:w="115.0" w:type="dxa"/>
      </w:tblCellMar>
    </w:tblPr>
  </w:style>
  <w:style w:type="table" w:styleId="afffffffffc" w:customStyle="1">
    <w:basedOn w:val="TableNormal"/>
    <w:tblPr>
      <w:tblStyleRowBandSize w:val="1"/>
      <w:tblStyleColBandSize w:val="1"/>
      <w:tblCellMar>
        <w:top w:w="100.0" w:type="dxa"/>
        <w:left w:w="100.0" w:type="dxa"/>
        <w:bottom w:w="100.0" w:type="dxa"/>
        <w:right w:w="100.0" w:type="dxa"/>
      </w:tblCellMar>
    </w:tblPr>
  </w:style>
  <w:style w:type="table" w:styleId="afffffffffd" w:customStyle="1">
    <w:basedOn w:val="TableNormal"/>
    <w:tblPr>
      <w:tblStyleRowBandSize w:val="1"/>
      <w:tblStyleColBandSize w:val="1"/>
      <w:tblCellMar>
        <w:top w:w="100.0" w:type="dxa"/>
        <w:left w:w="100.0" w:type="dxa"/>
        <w:bottom w:w="100.0" w:type="dxa"/>
        <w:right w:w="100.0" w:type="dxa"/>
      </w:tblCellMar>
    </w:tblPr>
  </w:style>
  <w:style w:type="table" w:styleId="afffffffffe" w:customStyle="1">
    <w:basedOn w:val="TableNormal"/>
    <w:tblPr>
      <w:tblStyleRowBandSize w:val="1"/>
      <w:tblStyleColBandSize w:val="1"/>
      <w:tblCellMar>
        <w:top w:w="100.0" w:type="dxa"/>
        <w:left w:w="100.0" w:type="dxa"/>
        <w:bottom w:w="100.0" w:type="dxa"/>
        <w:right w:w="100.0" w:type="dxa"/>
      </w:tblCellMar>
    </w:tblPr>
  </w:style>
  <w:style w:type="table" w:styleId="affffffffff" w:customStyle="1">
    <w:basedOn w:val="TableNormal"/>
    <w:tblPr>
      <w:tblStyleRowBandSize w:val="1"/>
      <w:tblStyleColBandSize w:val="1"/>
      <w:tblCellMar>
        <w:top w:w="100.0" w:type="dxa"/>
        <w:left w:w="100.0" w:type="dxa"/>
        <w:bottom w:w="100.0" w:type="dxa"/>
        <w:right w:w="100.0" w:type="dxa"/>
      </w:tblCellMar>
    </w:tblPr>
  </w:style>
  <w:style w:type="table" w:styleId="affffffffff0" w:customStyle="1">
    <w:basedOn w:val="TableNormal"/>
    <w:tblPr>
      <w:tblStyleRowBandSize w:val="1"/>
      <w:tblStyleColBandSize w:val="1"/>
      <w:tblCellMar>
        <w:left w:w="0.0" w:type="dxa"/>
        <w:right w:w="0.0" w:type="dxa"/>
      </w:tblCellMar>
    </w:tblPr>
  </w:style>
  <w:style w:type="table" w:styleId="affffffffff1" w:customStyle="1">
    <w:basedOn w:val="TableNormal"/>
    <w:tblPr>
      <w:tblStyleRowBandSize w:val="1"/>
      <w:tblStyleColBandSize w:val="1"/>
      <w:tblCellMar>
        <w:top w:w="100.0" w:type="dxa"/>
        <w:left w:w="0.0" w:type="dxa"/>
        <w:bottom w:w="100.0" w:type="dxa"/>
        <w:right w:w="0.0" w:type="dxa"/>
      </w:tblCellMar>
    </w:tblPr>
  </w:style>
  <w:style w:type="table" w:styleId="affffffffff2" w:customStyle="1">
    <w:basedOn w:val="TableNormal"/>
    <w:tblPr>
      <w:tblStyleRowBandSize w:val="1"/>
      <w:tblStyleColBandSize w:val="1"/>
      <w:tblCellMar>
        <w:top w:w="100.0" w:type="dxa"/>
        <w:left w:w="0.0" w:type="dxa"/>
        <w:bottom w:w="100.0" w:type="dxa"/>
        <w:right w:w="0.0" w:type="dxa"/>
      </w:tblCellMar>
    </w:tblPr>
  </w:style>
  <w:style w:type="table" w:styleId="affffffffff3" w:customStyle="1">
    <w:basedOn w:val="TableNormal"/>
    <w:tblPr>
      <w:tblStyleRowBandSize w:val="1"/>
      <w:tblStyleColBandSize w:val="1"/>
      <w:tblCellMar>
        <w:top w:w="100.0" w:type="dxa"/>
        <w:left w:w="0.0" w:type="dxa"/>
        <w:bottom w:w="100.0" w:type="dxa"/>
        <w:right w:w="0.0" w:type="dxa"/>
      </w:tblCellMar>
    </w:tblPr>
  </w:style>
  <w:style w:type="table" w:styleId="affffffffff4" w:customStyle="1">
    <w:basedOn w:val="TableNormal"/>
    <w:tblPr>
      <w:tblStyleRowBandSize w:val="1"/>
      <w:tblStyleColBandSize w:val="1"/>
      <w:tblCellMar>
        <w:top w:w="100.0" w:type="dxa"/>
        <w:left w:w="0.0" w:type="dxa"/>
        <w:bottom w:w="100.0" w:type="dxa"/>
        <w:right w:w="0.0" w:type="dxa"/>
      </w:tblCellMar>
    </w:tblPr>
  </w:style>
  <w:style w:type="table" w:styleId="affffffffff5" w:customStyle="1">
    <w:basedOn w:val="TableNormal"/>
    <w:tblPr>
      <w:tblStyleRowBandSize w:val="1"/>
      <w:tblStyleColBandSize w:val="1"/>
      <w:tblCellMar>
        <w:top w:w="100.0" w:type="dxa"/>
        <w:left w:w="0.0" w:type="dxa"/>
        <w:bottom w:w="100.0" w:type="dxa"/>
        <w:right w:w="0.0" w:type="dxa"/>
      </w:tblCellMar>
    </w:tblPr>
  </w:style>
  <w:style w:type="table" w:styleId="affffffffff6" w:customStyle="1">
    <w:basedOn w:val="TableNormal"/>
    <w:tblPr>
      <w:tblStyleRowBandSize w:val="1"/>
      <w:tblStyleColBandSize w:val="1"/>
      <w:tblCellMar>
        <w:top w:w="100.0" w:type="dxa"/>
        <w:left w:w="0.0" w:type="dxa"/>
        <w:bottom w:w="100.0" w:type="dxa"/>
        <w:right w:w="0.0" w:type="dxa"/>
      </w:tblCellMar>
    </w:tblPr>
  </w:style>
  <w:style w:type="table" w:styleId="affffffffff7" w:customStyle="1">
    <w:basedOn w:val="TableNormal"/>
    <w:tblPr>
      <w:tblStyleRowBandSize w:val="1"/>
      <w:tblStyleColBandSize w:val="1"/>
      <w:tblCellMar>
        <w:top w:w="100.0" w:type="dxa"/>
        <w:left w:w="0.0" w:type="dxa"/>
        <w:bottom w:w="100.0" w:type="dxa"/>
        <w:right w:w="0.0" w:type="dxa"/>
      </w:tblCellMar>
    </w:tblPr>
  </w:style>
  <w:style w:type="table" w:styleId="affffffffff8" w:customStyle="1">
    <w:basedOn w:val="TableNormal"/>
    <w:tblPr>
      <w:tblStyleRowBandSize w:val="1"/>
      <w:tblStyleColBandSize w:val="1"/>
      <w:tblCellMar>
        <w:top w:w="100.0" w:type="dxa"/>
        <w:left w:w="0.0" w:type="dxa"/>
        <w:bottom w:w="100.0" w:type="dxa"/>
        <w:right w:w="0.0" w:type="dxa"/>
      </w:tblCellMar>
    </w:tblPr>
  </w:style>
  <w:style w:type="table" w:styleId="affffffffff9" w:customStyle="1">
    <w:basedOn w:val="TableNormal"/>
    <w:tblPr>
      <w:tblStyleRowBandSize w:val="1"/>
      <w:tblStyleColBandSize w:val="1"/>
      <w:tblCellMar>
        <w:top w:w="100.0" w:type="dxa"/>
        <w:left w:w="0.0" w:type="dxa"/>
        <w:bottom w:w="100.0" w:type="dxa"/>
        <w:right w:w="0.0" w:type="dxa"/>
      </w:tblCellMar>
    </w:tblPr>
  </w:style>
  <w:style w:type="table" w:styleId="affffffffffa" w:customStyle="1">
    <w:basedOn w:val="TableNormal"/>
    <w:tblPr>
      <w:tblStyleRowBandSize w:val="1"/>
      <w:tblStyleColBandSize w:val="1"/>
      <w:tblCellMar>
        <w:top w:w="100.0" w:type="dxa"/>
        <w:left w:w="0.0" w:type="dxa"/>
        <w:bottom w:w="100.0" w:type="dxa"/>
        <w:right w:w="0.0" w:type="dxa"/>
      </w:tblCellMar>
    </w:tblPr>
  </w:style>
  <w:style w:type="table" w:styleId="affffffffffb" w:customStyle="1">
    <w:basedOn w:val="TableNormal"/>
    <w:tblPr>
      <w:tblStyleRowBandSize w:val="1"/>
      <w:tblStyleColBandSize w:val="1"/>
      <w:tblCellMar>
        <w:top w:w="100.0" w:type="dxa"/>
        <w:left w:w="0.0" w:type="dxa"/>
        <w:bottom w:w="100.0" w:type="dxa"/>
        <w:right w:w="0.0" w:type="dxa"/>
      </w:tblCellMar>
    </w:tblPr>
  </w:style>
  <w:style w:type="table" w:styleId="affffffffffc" w:customStyle="1">
    <w:basedOn w:val="TableNormal"/>
    <w:tblPr>
      <w:tblStyleRowBandSize w:val="1"/>
      <w:tblStyleColBandSize w:val="1"/>
      <w:tblCellMar>
        <w:top w:w="100.0" w:type="dxa"/>
        <w:left w:w="0.0" w:type="dxa"/>
        <w:bottom w:w="100.0" w:type="dxa"/>
        <w:right w:w="0.0" w:type="dxa"/>
      </w:tblCellMar>
    </w:tblPr>
  </w:style>
  <w:style w:type="table" w:styleId="affffffffffd" w:customStyle="1">
    <w:basedOn w:val="TableNormal"/>
    <w:tblPr>
      <w:tblStyleRowBandSize w:val="1"/>
      <w:tblStyleColBandSize w:val="1"/>
      <w:tblCellMar>
        <w:top w:w="100.0" w:type="dxa"/>
        <w:left w:w="0.0" w:type="dxa"/>
        <w:bottom w:w="100.0" w:type="dxa"/>
        <w:right w:w="0.0" w:type="dxa"/>
      </w:tblCellMar>
    </w:tblPr>
  </w:style>
  <w:style w:type="table" w:styleId="affffffffffe" w:customStyle="1">
    <w:basedOn w:val="TableNormal"/>
    <w:tblPr>
      <w:tblStyleRowBandSize w:val="1"/>
      <w:tblStyleColBandSize w:val="1"/>
      <w:tblCellMar>
        <w:top w:w="100.0" w:type="dxa"/>
        <w:left w:w="0.0" w:type="dxa"/>
        <w:bottom w:w="100.0" w:type="dxa"/>
        <w:right w:w="0.0" w:type="dxa"/>
      </w:tblCellMar>
    </w:tblPr>
  </w:style>
  <w:style w:type="table" w:styleId="afffffffffff" w:customStyle="1">
    <w:basedOn w:val="TableNormal"/>
    <w:tblPr>
      <w:tblStyleRowBandSize w:val="1"/>
      <w:tblStyleColBandSize w:val="1"/>
      <w:tblCellMar>
        <w:top w:w="100.0" w:type="dxa"/>
        <w:left w:w="0.0" w:type="dxa"/>
        <w:bottom w:w="100.0" w:type="dxa"/>
        <w:right w:w="0.0" w:type="dxa"/>
      </w:tblCellMar>
    </w:tblPr>
  </w:style>
  <w:style w:type="table" w:styleId="afffffffffff0" w:customStyle="1">
    <w:basedOn w:val="TableNormal"/>
    <w:tblPr>
      <w:tblStyleRowBandSize w:val="1"/>
      <w:tblStyleColBandSize w:val="1"/>
      <w:tblCellMar>
        <w:top w:w="100.0" w:type="dxa"/>
        <w:left w:w="0.0" w:type="dxa"/>
        <w:bottom w:w="100.0" w:type="dxa"/>
        <w:right w:w="0.0" w:type="dxa"/>
      </w:tblCellMar>
    </w:tblPr>
  </w:style>
  <w:style w:type="table" w:styleId="afffffffffff1" w:customStyle="1">
    <w:basedOn w:val="TableNormal"/>
    <w:tblPr>
      <w:tblStyleRowBandSize w:val="1"/>
      <w:tblStyleColBandSize w:val="1"/>
      <w:tblCellMar>
        <w:top w:w="100.0" w:type="dxa"/>
        <w:left w:w="0.0" w:type="dxa"/>
        <w:bottom w:w="100.0" w:type="dxa"/>
        <w:right w:w="0.0" w:type="dxa"/>
      </w:tblCellMar>
    </w:tblPr>
  </w:style>
  <w:style w:type="table" w:styleId="afffffffffff2" w:customStyle="1">
    <w:basedOn w:val="TableNormal"/>
    <w:tblPr>
      <w:tblStyleRowBandSize w:val="1"/>
      <w:tblStyleColBandSize w:val="1"/>
      <w:tblCellMar>
        <w:top w:w="100.0" w:type="dxa"/>
        <w:left w:w="0.0" w:type="dxa"/>
        <w:bottom w:w="100.0" w:type="dxa"/>
        <w:right w:w="0.0" w:type="dxa"/>
      </w:tblCellMar>
    </w:tblPr>
  </w:style>
  <w:style w:type="table" w:styleId="afffffffffff3" w:customStyle="1">
    <w:basedOn w:val="TableNormal"/>
    <w:tblPr>
      <w:tblStyleRowBandSize w:val="1"/>
      <w:tblStyleColBandSize w:val="1"/>
      <w:tblCellMar>
        <w:top w:w="100.0" w:type="dxa"/>
        <w:left w:w="0.0" w:type="dxa"/>
        <w:bottom w:w="100.0" w:type="dxa"/>
        <w:right w:w="0.0" w:type="dxa"/>
      </w:tblCellMar>
    </w:tblPr>
  </w:style>
  <w:style w:type="table" w:styleId="afffffffffff4" w:customStyle="1">
    <w:basedOn w:val="TableNormal"/>
    <w:tblPr>
      <w:tblStyleRowBandSize w:val="1"/>
      <w:tblStyleColBandSize w:val="1"/>
      <w:tblCellMar>
        <w:top w:w="100.0" w:type="dxa"/>
        <w:left w:w="0.0" w:type="dxa"/>
        <w:bottom w:w="100.0" w:type="dxa"/>
        <w:right w:w="0.0" w:type="dxa"/>
      </w:tblCellMar>
    </w:tblPr>
  </w:style>
  <w:style w:type="table" w:styleId="afffffffffff5" w:customStyle="1">
    <w:basedOn w:val="TableNormal"/>
    <w:tblPr>
      <w:tblStyleRowBandSize w:val="1"/>
      <w:tblStyleColBandSize w:val="1"/>
      <w:tblCellMar>
        <w:top w:w="100.0" w:type="dxa"/>
        <w:left w:w="0.0" w:type="dxa"/>
        <w:bottom w:w="100.0" w:type="dxa"/>
        <w:right w:w="0.0" w:type="dxa"/>
      </w:tblCellMar>
    </w:tblPr>
  </w:style>
  <w:style w:type="table" w:styleId="afffffffffff6" w:customStyle="1">
    <w:basedOn w:val="TableNormal"/>
    <w:tblPr>
      <w:tblStyleRowBandSize w:val="1"/>
      <w:tblStyleColBandSize w:val="1"/>
      <w:tblCellMar>
        <w:top w:w="100.0" w:type="dxa"/>
        <w:left w:w="0.0" w:type="dxa"/>
        <w:bottom w:w="100.0" w:type="dxa"/>
        <w:right w:w="0.0" w:type="dxa"/>
      </w:tblCellMar>
    </w:tblPr>
  </w:style>
  <w:style w:type="table" w:styleId="afffffffffff7" w:customStyle="1">
    <w:basedOn w:val="TableNormal"/>
    <w:tblPr>
      <w:tblStyleRowBandSize w:val="1"/>
      <w:tblStyleColBandSize w:val="1"/>
      <w:tblCellMar>
        <w:top w:w="100.0" w:type="dxa"/>
        <w:left w:w="0.0" w:type="dxa"/>
        <w:bottom w:w="100.0" w:type="dxa"/>
        <w:right w:w="0.0" w:type="dxa"/>
      </w:tblCellMar>
    </w:tblPr>
  </w:style>
  <w:style w:type="table" w:styleId="afffffffffff8" w:customStyle="1">
    <w:basedOn w:val="TableNormal"/>
    <w:tblPr>
      <w:tblStyleRowBandSize w:val="1"/>
      <w:tblStyleColBandSize w:val="1"/>
      <w:tblCellMar>
        <w:top w:w="100.0" w:type="dxa"/>
        <w:left w:w="0.0" w:type="dxa"/>
        <w:bottom w:w="100.0" w:type="dxa"/>
        <w:right w:w="0.0" w:type="dxa"/>
      </w:tblCellMar>
    </w:tblPr>
  </w:style>
  <w:style w:type="table" w:styleId="afffffffffff9" w:customStyle="1">
    <w:basedOn w:val="TableNormal"/>
    <w:tblPr>
      <w:tblStyleRowBandSize w:val="1"/>
      <w:tblStyleColBandSize w:val="1"/>
      <w:tblCellMar>
        <w:top w:w="100.0" w:type="dxa"/>
        <w:left w:w="0.0" w:type="dxa"/>
        <w:bottom w:w="100.0" w:type="dxa"/>
        <w:right w:w="0.0" w:type="dxa"/>
      </w:tblCellMar>
    </w:tblPr>
  </w:style>
  <w:style w:type="table" w:styleId="afffffffffffa" w:customStyle="1">
    <w:basedOn w:val="TableNormal"/>
    <w:tblPr>
      <w:tblStyleRowBandSize w:val="1"/>
      <w:tblStyleColBandSize w:val="1"/>
      <w:tblCellMar>
        <w:top w:w="100.0" w:type="dxa"/>
        <w:left w:w="0.0" w:type="dxa"/>
        <w:bottom w:w="100.0" w:type="dxa"/>
        <w:right w:w="0.0" w:type="dxa"/>
      </w:tblCellMar>
    </w:tblPr>
  </w:style>
  <w:style w:type="table" w:styleId="afffffffffffb" w:customStyle="1">
    <w:basedOn w:val="TableNormal"/>
    <w:tblPr>
      <w:tblStyleRowBandSize w:val="1"/>
      <w:tblStyleColBandSize w:val="1"/>
      <w:tblCellMar>
        <w:top w:w="100.0" w:type="dxa"/>
        <w:left w:w="0.0" w:type="dxa"/>
        <w:bottom w:w="100.0" w:type="dxa"/>
        <w:right w:w="0.0" w:type="dxa"/>
      </w:tblCellMar>
    </w:tblPr>
  </w:style>
  <w:style w:type="table" w:styleId="afffffffffffc" w:customStyle="1">
    <w:basedOn w:val="TableNormal"/>
    <w:tblPr>
      <w:tblStyleRowBandSize w:val="1"/>
      <w:tblStyleColBandSize w:val="1"/>
      <w:tblCellMar>
        <w:top w:w="100.0" w:type="dxa"/>
        <w:left w:w="0.0" w:type="dxa"/>
        <w:bottom w:w="100.0" w:type="dxa"/>
        <w:right w:w="0.0" w:type="dxa"/>
      </w:tblCellMar>
    </w:tblPr>
  </w:style>
  <w:style w:type="table" w:styleId="afffffffffffd" w:customStyle="1">
    <w:basedOn w:val="TableNormal"/>
    <w:tblPr>
      <w:tblStyleRowBandSize w:val="1"/>
      <w:tblStyleColBandSize w:val="1"/>
      <w:tblCellMar>
        <w:top w:w="100.0" w:type="dxa"/>
        <w:left w:w="0.0" w:type="dxa"/>
        <w:bottom w:w="100.0" w:type="dxa"/>
        <w:right w:w="0.0" w:type="dxa"/>
      </w:tblCellMar>
    </w:tblPr>
  </w:style>
  <w:style w:type="table" w:styleId="afffffffffffe" w:customStyle="1">
    <w:basedOn w:val="TableNormal"/>
    <w:tblPr>
      <w:tblStyleRowBandSize w:val="1"/>
      <w:tblStyleColBandSize w:val="1"/>
      <w:tblCellMar>
        <w:top w:w="100.0" w:type="dxa"/>
        <w:left w:w="0.0" w:type="dxa"/>
        <w:bottom w:w="100.0" w:type="dxa"/>
        <w:right w:w="0.0" w:type="dxa"/>
      </w:tblCellMar>
    </w:tblPr>
  </w:style>
  <w:style w:type="table" w:styleId="affffffffffff" w:customStyle="1">
    <w:basedOn w:val="TableNormal"/>
    <w:tblPr>
      <w:tblStyleRowBandSize w:val="1"/>
      <w:tblStyleColBandSize w:val="1"/>
      <w:tblCellMar>
        <w:top w:w="100.0" w:type="dxa"/>
        <w:left w:w="0.0" w:type="dxa"/>
        <w:bottom w:w="100.0" w:type="dxa"/>
        <w:right w:w="0.0" w:type="dxa"/>
      </w:tblCellMar>
    </w:tblPr>
  </w:style>
  <w:style w:type="table" w:styleId="affffffffffff0" w:customStyle="1">
    <w:basedOn w:val="TableNormal"/>
    <w:tblPr>
      <w:tblStyleRowBandSize w:val="1"/>
      <w:tblStyleColBandSize w:val="1"/>
      <w:tblCellMar>
        <w:top w:w="100.0" w:type="dxa"/>
        <w:left w:w="0.0" w:type="dxa"/>
        <w:bottom w:w="100.0" w:type="dxa"/>
        <w:right w:w="0.0" w:type="dxa"/>
      </w:tblCellMar>
    </w:tblPr>
  </w:style>
  <w:style w:type="table" w:styleId="affffffffffff1" w:customStyle="1">
    <w:basedOn w:val="TableNormal"/>
    <w:tblPr>
      <w:tblStyleRowBandSize w:val="1"/>
      <w:tblStyleColBandSize w:val="1"/>
      <w:tblCellMar>
        <w:top w:w="100.0" w:type="dxa"/>
        <w:left w:w="0.0" w:type="dxa"/>
        <w:bottom w:w="100.0" w:type="dxa"/>
        <w:right w:w="0.0" w:type="dxa"/>
      </w:tblCellMar>
    </w:tblPr>
  </w:style>
  <w:style w:type="table" w:styleId="affffffffffff2" w:customStyle="1">
    <w:basedOn w:val="TableNormal"/>
    <w:tblPr>
      <w:tblStyleRowBandSize w:val="1"/>
      <w:tblStyleColBandSize w:val="1"/>
      <w:tblCellMar>
        <w:top w:w="100.0" w:type="dxa"/>
        <w:left w:w="0.0" w:type="dxa"/>
        <w:bottom w:w="100.0" w:type="dxa"/>
        <w:right w:w="0.0" w:type="dxa"/>
      </w:tblCellMar>
    </w:tblPr>
  </w:style>
  <w:style w:type="table" w:styleId="affffffffffff3" w:customStyle="1">
    <w:basedOn w:val="TableNormal"/>
    <w:tblPr>
      <w:tblStyleRowBandSize w:val="1"/>
      <w:tblStyleColBandSize w:val="1"/>
      <w:tblCellMar>
        <w:top w:w="100.0" w:type="dxa"/>
        <w:left w:w="0.0" w:type="dxa"/>
        <w:bottom w:w="100.0" w:type="dxa"/>
        <w:right w:w="0.0" w:type="dxa"/>
      </w:tblCellMar>
    </w:tblPr>
  </w:style>
  <w:style w:type="table" w:styleId="affffffffffff4" w:customStyle="1">
    <w:basedOn w:val="TableNormal"/>
    <w:tblPr>
      <w:tblStyleRowBandSize w:val="1"/>
      <w:tblStyleColBandSize w:val="1"/>
      <w:tblCellMar>
        <w:top w:w="100.0" w:type="dxa"/>
        <w:left w:w="0.0" w:type="dxa"/>
        <w:bottom w:w="100.0" w:type="dxa"/>
        <w:right w:w="0.0" w:type="dxa"/>
      </w:tblCellMar>
    </w:tblPr>
  </w:style>
  <w:style w:type="table" w:styleId="affffffffffff5" w:customStyle="1">
    <w:basedOn w:val="TableNormal"/>
    <w:tblPr>
      <w:tblStyleRowBandSize w:val="1"/>
      <w:tblStyleColBandSize w:val="1"/>
      <w:tblCellMar>
        <w:top w:w="100.0" w:type="dxa"/>
        <w:left w:w="0.0" w:type="dxa"/>
        <w:bottom w:w="100.0" w:type="dxa"/>
        <w:right w:w="0.0" w:type="dxa"/>
      </w:tblCellMar>
    </w:tblPr>
  </w:style>
  <w:style w:type="table" w:styleId="affffffffffff6" w:customStyle="1">
    <w:basedOn w:val="TableNormal"/>
    <w:tblPr>
      <w:tblStyleRowBandSize w:val="1"/>
      <w:tblStyleColBandSize w:val="1"/>
      <w:tblCellMar>
        <w:top w:w="100.0" w:type="dxa"/>
        <w:left w:w="0.0" w:type="dxa"/>
        <w:bottom w:w="100.0" w:type="dxa"/>
        <w:right w:w="0.0" w:type="dxa"/>
      </w:tblCellMar>
    </w:tblPr>
  </w:style>
  <w:style w:type="table" w:styleId="affffffffffff7" w:customStyle="1">
    <w:basedOn w:val="TableNormal"/>
    <w:tblPr>
      <w:tblStyleRowBandSize w:val="1"/>
      <w:tblStyleColBandSize w:val="1"/>
      <w:tblCellMar>
        <w:top w:w="100.0" w:type="dxa"/>
        <w:left w:w="0.0" w:type="dxa"/>
        <w:bottom w:w="100.0" w:type="dxa"/>
        <w:right w:w="0.0" w:type="dxa"/>
      </w:tblCellMar>
    </w:tblPr>
  </w:style>
  <w:style w:type="table" w:styleId="affffffffffff8" w:customStyle="1">
    <w:basedOn w:val="TableNormal"/>
    <w:tblPr>
      <w:tblStyleRowBandSize w:val="1"/>
      <w:tblStyleColBandSize w:val="1"/>
      <w:tblCellMar>
        <w:top w:w="100.0" w:type="dxa"/>
        <w:left w:w="0.0" w:type="dxa"/>
        <w:bottom w:w="100.0" w:type="dxa"/>
        <w:right w:w="0.0" w:type="dxa"/>
      </w:tblCellMar>
    </w:tblPr>
  </w:style>
  <w:style w:type="table" w:styleId="affffffffffff9" w:customStyle="1">
    <w:basedOn w:val="TableNormal"/>
    <w:tblPr>
      <w:tblStyleRowBandSize w:val="1"/>
      <w:tblStyleColBandSize w:val="1"/>
      <w:tblCellMar>
        <w:top w:w="100.0" w:type="dxa"/>
        <w:left w:w="0.0" w:type="dxa"/>
        <w:bottom w:w="100.0" w:type="dxa"/>
        <w:right w:w="0.0" w:type="dxa"/>
      </w:tblCellMar>
    </w:tblPr>
  </w:style>
  <w:style w:type="table" w:styleId="affffffffffffa" w:customStyle="1">
    <w:basedOn w:val="TableNormal"/>
    <w:tblPr>
      <w:tblStyleRowBandSize w:val="1"/>
      <w:tblStyleColBandSize w:val="1"/>
      <w:tblCellMar>
        <w:top w:w="100.0" w:type="dxa"/>
        <w:left w:w="0.0" w:type="dxa"/>
        <w:bottom w:w="100.0" w:type="dxa"/>
        <w:right w:w="0.0" w:type="dxa"/>
      </w:tblCellMar>
    </w:tblPr>
  </w:style>
  <w:style w:type="table" w:styleId="affffffffffffb" w:customStyle="1">
    <w:basedOn w:val="TableNormal"/>
    <w:tblPr>
      <w:tblStyleRowBandSize w:val="1"/>
      <w:tblStyleColBandSize w:val="1"/>
      <w:tblCellMar>
        <w:top w:w="100.0" w:type="dxa"/>
        <w:left w:w="0.0" w:type="dxa"/>
        <w:bottom w:w="100.0" w:type="dxa"/>
        <w:right w:w="0.0" w:type="dxa"/>
      </w:tblCellMar>
    </w:tblPr>
  </w:style>
  <w:style w:type="table" w:styleId="affffffffffffc" w:customStyle="1">
    <w:basedOn w:val="TableNormal"/>
    <w:tblPr>
      <w:tblStyleRowBandSize w:val="1"/>
      <w:tblStyleColBandSize w:val="1"/>
      <w:tblCellMar>
        <w:top w:w="100.0" w:type="dxa"/>
        <w:left w:w="0.0" w:type="dxa"/>
        <w:bottom w:w="100.0" w:type="dxa"/>
        <w:right w:w="0.0" w:type="dxa"/>
      </w:tblCellMar>
    </w:tblPr>
  </w:style>
  <w:style w:type="table" w:styleId="affffffffffffd" w:customStyle="1">
    <w:basedOn w:val="TableNormal"/>
    <w:tblPr>
      <w:tblStyleRowBandSize w:val="1"/>
      <w:tblStyleColBandSize w:val="1"/>
      <w:tblCellMar>
        <w:top w:w="100.0" w:type="dxa"/>
        <w:left w:w="0.0" w:type="dxa"/>
        <w:bottom w:w="100.0" w:type="dxa"/>
        <w:right w:w="0.0" w:type="dxa"/>
      </w:tblCellMar>
    </w:tblPr>
  </w:style>
  <w:style w:type="table" w:styleId="affffffffffffe" w:customStyle="1">
    <w:basedOn w:val="TableNormal"/>
    <w:tblPr>
      <w:tblStyleRowBandSize w:val="1"/>
      <w:tblStyleColBandSize w:val="1"/>
      <w:tblCellMar>
        <w:top w:w="100.0" w:type="dxa"/>
        <w:left w:w="0.0" w:type="dxa"/>
        <w:bottom w:w="100.0" w:type="dxa"/>
        <w:right w:w="0.0" w:type="dxa"/>
      </w:tblCellMar>
    </w:tblPr>
  </w:style>
  <w:style w:type="table" w:styleId="afffffffffffff" w:customStyle="1">
    <w:basedOn w:val="TableNormal"/>
    <w:tblPr>
      <w:tblStyleRowBandSize w:val="1"/>
      <w:tblStyleColBandSize w:val="1"/>
      <w:tblCellMar>
        <w:top w:w="100.0" w:type="dxa"/>
        <w:left w:w="0.0" w:type="dxa"/>
        <w:bottom w:w="100.0" w:type="dxa"/>
        <w:right w:w="0.0" w:type="dxa"/>
      </w:tblCellMar>
    </w:tblPr>
  </w:style>
  <w:style w:type="table" w:styleId="afffffffffffff0" w:customStyle="1">
    <w:basedOn w:val="TableNormal"/>
    <w:tblPr>
      <w:tblStyleRowBandSize w:val="1"/>
      <w:tblStyleColBandSize w:val="1"/>
      <w:tblCellMar>
        <w:top w:w="100.0" w:type="dxa"/>
        <w:left w:w="0.0" w:type="dxa"/>
        <w:bottom w:w="100.0" w:type="dxa"/>
        <w:right w:w="0.0" w:type="dxa"/>
      </w:tblCellMar>
    </w:tblPr>
  </w:style>
  <w:style w:type="table" w:styleId="afffffffffffff1" w:customStyle="1">
    <w:basedOn w:val="TableNormal"/>
    <w:tblPr>
      <w:tblStyleRowBandSize w:val="1"/>
      <w:tblStyleColBandSize w:val="1"/>
      <w:tblCellMar>
        <w:top w:w="100.0" w:type="dxa"/>
        <w:left w:w="0.0" w:type="dxa"/>
        <w:bottom w:w="100.0" w:type="dxa"/>
        <w:right w:w="0.0" w:type="dxa"/>
      </w:tblCellMar>
    </w:tblPr>
  </w:style>
  <w:style w:type="table" w:styleId="afffffffffffff2" w:customStyle="1">
    <w:basedOn w:val="TableNormal"/>
    <w:tblPr>
      <w:tblStyleRowBandSize w:val="1"/>
      <w:tblStyleColBandSize w:val="1"/>
      <w:tblCellMar>
        <w:top w:w="100.0" w:type="dxa"/>
        <w:left w:w="0.0" w:type="dxa"/>
        <w:bottom w:w="100.0" w:type="dxa"/>
        <w:right w:w="0.0" w:type="dxa"/>
      </w:tblCellMar>
    </w:tblPr>
  </w:style>
  <w:style w:type="table" w:styleId="afffffffffffff3" w:customStyle="1">
    <w:basedOn w:val="TableNormal"/>
    <w:tblPr>
      <w:tblStyleRowBandSize w:val="1"/>
      <w:tblStyleColBandSize w:val="1"/>
      <w:tblCellMar>
        <w:top w:w="100.0" w:type="dxa"/>
        <w:left w:w="0.0" w:type="dxa"/>
        <w:bottom w:w="100.0" w:type="dxa"/>
        <w:right w:w="0.0" w:type="dxa"/>
      </w:tblCellMar>
    </w:tblPr>
  </w:style>
  <w:style w:type="table" w:styleId="afffffffffffff4" w:customStyle="1">
    <w:basedOn w:val="TableNormal"/>
    <w:tblPr>
      <w:tblStyleRowBandSize w:val="1"/>
      <w:tblStyleColBandSize w:val="1"/>
      <w:tblCellMar>
        <w:top w:w="100.0" w:type="dxa"/>
        <w:left w:w="0.0" w:type="dxa"/>
        <w:bottom w:w="100.0" w:type="dxa"/>
        <w:right w:w="0.0" w:type="dxa"/>
      </w:tblCellMar>
    </w:tblPr>
  </w:style>
  <w:style w:type="table" w:styleId="afffffffffffff5" w:customStyle="1">
    <w:basedOn w:val="TableNormal"/>
    <w:tblPr>
      <w:tblStyleRowBandSize w:val="1"/>
      <w:tblStyleColBandSize w:val="1"/>
      <w:tblCellMar>
        <w:top w:w="100.0" w:type="dxa"/>
        <w:left w:w="0.0" w:type="dxa"/>
        <w:bottom w:w="100.0" w:type="dxa"/>
        <w:right w:w="0.0" w:type="dxa"/>
      </w:tblCellMar>
    </w:tblPr>
  </w:style>
  <w:style w:type="table" w:styleId="afffffffffffff6" w:customStyle="1">
    <w:basedOn w:val="TableNormal"/>
    <w:tblPr>
      <w:tblStyleRowBandSize w:val="1"/>
      <w:tblStyleColBandSize w:val="1"/>
      <w:tblCellMar>
        <w:top w:w="100.0" w:type="dxa"/>
        <w:left w:w="0.0" w:type="dxa"/>
        <w:bottom w:w="100.0" w:type="dxa"/>
        <w:right w:w="0.0" w:type="dxa"/>
      </w:tblCellMar>
    </w:tblPr>
  </w:style>
  <w:style w:type="table" w:styleId="afffffffffffff7" w:customStyle="1">
    <w:basedOn w:val="TableNormal"/>
    <w:tblPr>
      <w:tblStyleRowBandSize w:val="1"/>
      <w:tblStyleColBandSize w:val="1"/>
      <w:tblCellMar>
        <w:top w:w="100.0" w:type="dxa"/>
        <w:left w:w="0.0" w:type="dxa"/>
        <w:bottom w:w="100.0" w:type="dxa"/>
        <w:right w:w="0.0" w:type="dxa"/>
      </w:tblCellMar>
    </w:tblPr>
  </w:style>
  <w:style w:type="table" w:styleId="afffffffffffff8" w:customStyle="1">
    <w:basedOn w:val="TableNormal"/>
    <w:tblPr>
      <w:tblStyleRowBandSize w:val="1"/>
      <w:tblStyleColBandSize w:val="1"/>
      <w:tblCellMar>
        <w:top w:w="100.0" w:type="dxa"/>
        <w:left w:w="0.0" w:type="dxa"/>
        <w:bottom w:w="100.0" w:type="dxa"/>
        <w:right w:w="0.0" w:type="dxa"/>
      </w:tblCellMar>
    </w:tblPr>
  </w:style>
  <w:style w:type="table" w:styleId="afffffffffffff9" w:customStyle="1">
    <w:basedOn w:val="TableNormal"/>
    <w:tblPr>
      <w:tblStyleRowBandSize w:val="1"/>
      <w:tblStyleColBandSize w:val="1"/>
      <w:tblCellMar>
        <w:top w:w="100.0" w:type="dxa"/>
        <w:left w:w="0.0" w:type="dxa"/>
        <w:bottom w:w="100.0" w:type="dxa"/>
        <w:right w:w="0.0" w:type="dxa"/>
      </w:tblCellMar>
    </w:tblPr>
  </w:style>
  <w:style w:type="table" w:styleId="afffffffffffffa" w:customStyle="1">
    <w:basedOn w:val="TableNormal"/>
    <w:tblPr>
      <w:tblStyleRowBandSize w:val="1"/>
      <w:tblStyleColBandSize w:val="1"/>
      <w:tblCellMar>
        <w:top w:w="100.0" w:type="dxa"/>
        <w:left w:w="0.0" w:type="dxa"/>
        <w:bottom w:w="100.0" w:type="dxa"/>
        <w:right w:w="0.0" w:type="dxa"/>
      </w:tblCellMar>
    </w:tblPr>
  </w:style>
  <w:style w:type="table" w:styleId="afffffffffffffb" w:customStyle="1">
    <w:basedOn w:val="TableNormal"/>
    <w:tblPr>
      <w:tblStyleRowBandSize w:val="1"/>
      <w:tblStyleColBandSize w:val="1"/>
      <w:tblCellMar>
        <w:top w:w="100.0" w:type="dxa"/>
        <w:left w:w="0.0" w:type="dxa"/>
        <w:bottom w:w="100.0" w:type="dxa"/>
        <w:right w:w="0.0" w:type="dxa"/>
      </w:tblCellMar>
    </w:tblPr>
  </w:style>
  <w:style w:type="table" w:styleId="afffffffffffffc" w:customStyle="1">
    <w:basedOn w:val="TableNormal"/>
    <w:tblPr>
      <w:tblStyleRowBandSize w:val="1"/>
      <w:tblStyleColBandSize w:val="1"/>
      <w:tblCellMar>
        <w:top w:w="100.0" w:type="dxa"/>
        <w:left w:w="0.0" w:type="dxa"/>
        <w:bottom w:w="100.0" w:type="dxa"/>
        <w:right w:w="0.0" w:type="dxa"/>
      </w:tblCellMar>
    </w:tblPr>
  </w:style>
  <w:style w:type="table" w:styleId="afffffffffffffd" w:customStyle="1">
    <w:basedOn w:val="TableNormal"/>
    <w:tblPr>
      <w:tblStyleRowBandSize w:val="1"/>
      <w:tblStyleColBandSize w:val="1"/>
      <w:tblCellMar>
        <w:top w:w="100.0" w:type="dxa"/>
        <w:left w:w="0.0" w:type="dxa"/>
        <w:bottom w:w="100.0" w:type="dxa"/>
        <w:right w:w="0.0" w:type="dxa"/>
      </w:tblCellMar>
    </w:tblPr>
  </w:style>
  <w:style w:type="table" w:styleId="afffffffffffffe" w:customStyle="1">
    <w:basedOn w:val="TableNormal"/>
    <w:tblPr>
      <w:tblStyleRowBandSize w:val="1"/>
      <w:tblStyleColBandSize w:val="1"/>
      <w:tblCellMar>
        <w:top w:w="100.0" w:type="dxa"/>
        <w:left w:w="0.0" w:type="dxa"/>
        <w:bottom w:w="100.0" w:type="dxa"/>
        <w:right w:w="0.0" w:type="dxa"/>
      </w:tblCellMar>
    </w:tblPr>
  </w:style>
  <w:style w:type="table" w:styleId="affffffffffffff" w:customStyle="1">
    <w:basedOn w:val="TableNormal"/>
    <w:tblPr>
      <w:tblStyleRowBandSize w:val="1"/>
      <w:tblStyleColBandSize w:val="1"/>
      <w:tblCellMar>
        <w:top w:w="100.0" w:type="dxa"/>
        <w:left w:w="0.0" w:type="dxa"/>
        <w:bottom w:w="100.0" w:type="dxa"/>
        <w:right w:w="0.0" w:type="dxa"/>
      </w:tblCellMar>
    </w:tblPr>
  </w:style>
  <w:style w:type="table" w:styleId="affffffffffffff0" w:customStyle="1">
    <w:basedOn w:val="TableNormal"/>
    <w:tblPr>
      <w:tblStyleRowBandSize w:val="1"/>
      <w:tblStyleColBandSize w:val="1"/>
      <w:tblCellMar>
        <w:top w:w="100.0" w:type="dxa"/>
        <w:left w:w="0.0" w:type="dxa"/>
        <w:bottom w:w="100.0" w:type="dxa"/>
        <w:right w:w="0.0" w:type="dxa"/>
      </w:tblCellMar>
    </w:tblPr>
  </w:style>
  <w:style w:type="table" w:styleId="affffffffffffff1" w:customStyle="1">
    <w:basedOn w:val="TableNormal"/>
    <w:tblPr>
      <w:tblStyleRowBandSize w:val="1"/>
      <w:tblStyleColBandSize w:val="1"/>
      <w:tblCellMar>
        <w:top w:w="100.0" w:type="dxa"/>
        <w:left w:w="0.0" w:type="dxa"/>
        <w:bottom w:w="100.0" w:type="dxa"/>
        <w:right w:w="0.0" w:type="dxa"/>
      </w:tblCellMar>
    </w:tblPr>
  </w:style>
  <w:style w:type="table" w:styleId="affffffffffffff2" w:customStyle="1">
    <w:basedOn w:val="TableNormal"/>
    <w:tblPr>
      <w:tblStyleRowBandSize w:val="1"/>
      <w:tblStyleColBandSize w:val="1"/>
      <w:tblCellMar>
        <w:top w:w="100.0" w:type="dxa"/>
        <w:left w:w="0.0" w:type="dxa"/>
        <w:bottom w:w="100.0" w:type="dxa"/>
        <w:right w:w="0.0" w:type="dxa"/>
      </w:tblCellMar>
    </w:tblPr>
  </w:style>
  <w:style w:type="table" w:styleId="affffffffffffff3" w:customStyle="1">
    <w:basedOn w:val="TableNormal"/>
    <w:tblPr>
      <w:tblStyleRowBandSize w:val="1"/>
      <w:tblStyleColBandSize w:val="1"/>
      <w:tblCellMar>
        <w:top w:w="100.0" w:type="dxa"/>
        <w:left w:w="0.0" w:type="dxa"/>
        <w:bottom w:w="100.0" w:type="dxa"/>
        <w:right w:w="0.0" w:type="dxa"/>
      </w:tblCellMar>
    </w:tblPr>
  </w:style>
  <w:style w:type="table" w:styleId="affffffffffffff4" w:customStyle="1">
    <w:basedOn w:val="TableNormal"/>
    <w:tblPr>
      <w:tblStyleRowBandSize w:val="1"/>
      <w:tblStyleColBandSize w:val="1"/>
      <w:tblCellMar>
        <w:top w:w="100.0" w:type="dxa"/>
        <w:left w:w="0.0" w:type="dxa"/>
        <w:bottom w:w="100.0" w:type="dxa"/>
        <w:right w:w="0.0" w:type="dxa"/>
      </w:tblCellMar>
    </w:tblPr>
  </w:style>
  <w:style w:type="table" w:styleId="affffffffffffff5" w:customStyle="1">
    <w:basedOn w:val="TableNormal"/>
    <w:tblPr>
      <w:tblStyleRowBandSize w:val="1"/>
      <w:tblStyleColBandSize w:val="1"/>
      <w:tblCellMar>
        <w:top w:w="100.0" w:type="dxa"/>
        <w:left w:w="0.0" w:type="dxa"/>
        <w:bottom w:w="100.0" w:type="dxa"/>
        <w:right w:w="0.0" w:type="dxa"/>
      </w:tblCellMar>
    </w:tblPr>
  </w:style>
  <w:style w:type="table" w:styleId="affffffffffffff6" w:customStyle="1">
    <w:basedOn w:val="TableNormal"/>
    <w:tblPr>
      <w:tblStyleRowBandSize w:val="1"/>
      <w:tblStyleColBandSize w:val="1"/>
      <w:tblCellMar>
        <w:top w:w="100.0" w:type="dxa"/>
        <w:left w:w="0.0" w:type="dxa"/>
        <w:bottom w:w="100.0" w:type="dxa"/>
        <w:right w:w="0.0" w:type="dxa"/>
      </w:tblCellMar>
    </w:tblPr>
  </w:style>
  <w:style w:type="table" w:styleId="affffffffffffff7" w:customStyle="1">
    <w:basedOn w:val="TableNormal"/>
    <w:tblPr>
      <w:tblStyleRowBandSize w:val="1"/>
      <w:tblStyleColBandSize w:val="1"/>
      <w:tblCellMar>
        <w:top w:w="100.0" w:type="dxa"/>
        <w:left w:w="0.0" w:type="dxa"/>
        <w:bottom w:w="100.0" w:type="dxa"/>
        <w:right w:w="0.0" w:type="dxa"/>
      </w:tblCellMar>
    </w:tblPr>
  </w:style>
  <w:style w:type="table" w:styleId="affffffffffffff8" w:customStyle="1">
    <w:basedOn w:val="TableNormal"/>
    <w:tblPr>
      <w:tblStyleRowBandSize w:val="1"/>
      <w:tblStyleColBandSize w:val="1"/>
      <w:tblCellMar>
        <w:top w:w="100.0" w:type="dxa"/>
        <w:left w:w="0.0" w:type="dxa"/>
        <w:bottom w:w="100.0" w:type="dxa"/>
        <w:right w:w="0.0" w:type="dxa"/>
      </w:tblCellMar>
    </w:tblPr>
  </w:style>
  <w:style w:type="table" w:styleId="affffffffffffff9" w:customStyle="1">
    <w:basedOn w:val="TableNormal"/>
    <w:tblPr>
      <w:tblStyleRowBandSize w:val="1"/>
      <w:tblStyleColBandSize w:val="1"/>
      <w:tblCellMar>
        <w:top w:w="100.0" w:type="dxa"/>
        <w:left w:w="0.0" w:type="dxa"/>
        <w:bottom w:w="100.0" w:type="dxa"/>
        <w:right w:w="0.0" w:type="dxa"/>
      </w:tblCellMar>
    </w:tblPr>
  </w:style>
  <w:style w:type="table" w:styleId="affffffffffffffa" w:customStyle="1">
    <w:basedOn w:val="TableNormal"/>
    <w:tblPr>
      <w:tblStyleRowBandSize w:val="1"/>
      <w:tblStyleColBandSize w:val="1"/>
      <w:tblCellMar>
        <w:top w:w="100.0" w:type="dxa"/>
        <w:left w:w="0.0" w:type="dxa"/>
        <w:bottom w:w="100.0" w:type="dxa"/>
        <w:right w:w="0.0" w:type="dxa"/>
      </w:tblCellMar>
    </w:tblPr>
  </w:style>
  <w:style w:type="table" w:styleId="affffffffffffffb" w:customStyle="1">
    <w:basedOn w:val="TableNormal"/>
    <w:tblPr>
      <w:tblStyleRowBandSize w:val="1"/>
      <w:tblStyleColBandSize w:val="1"/>
      <w:tblCellMar>
        <w:top w:w="100.0" w:type="dxa"/>
        <w:left w:w="0.0" w:type="dxa"/>
        <w:bottom w:w="100.0" w:type="dxa"/>
        <w:right w:w="0.0" w:type="dxa"/>
      </w:tblCellMar>
    </w:tblPr>
  </w:style>
  <w:style w:type="table" w:styleId="affffffffffffffc" w:customStyle="1">
    <w:basedOn w:val="TableNormal"/>
    <w:tblPr>
      <w:tblStyleRowBandSize w:val="1"/>
      <w:tblStyleColBandSize w:val="1"/>
      <w:tblCellMar>
        <w:top w:w="100.0" w:type="dxa"/>
        <w:left w:w="0.0" w:type="dxa"/>
        <w:bottom w:w="100.0" w:type="dxa"/>
        <w:right w:w="0.0" w:type="dxa"/>
      </w:tblCellMar>
    </w:tblPr>
  </w:style>
  <w:style w:type="table" w:styleId="affffffffffffffd" w:customStyle="1">
    <w:basedOn w:val="TableNormal"/>
    <w:tblPr>
      <w:tblStyleRowBandSize w:val="1"/>
      <w:tblStyleColBandSize w:val="1"/>
      <w:tblCellMar>
        <w:top w:w="100.0" w:type="dxa"/>
        <w:left w:w="0.0" w:type="dxa"/>
        <w:bottom w:w="100.0" w:type="dxa"/>
        <w:right w:w="0.0" w:type="dxa"/>
      </w:tblCellMar>
    </w:tblPr>
  </w:style>
  <w:style w:type="table" w:styleId="affffffffffffffe" w:customStyle="1">
    <w:basedOn w:val="TableNormal"/>
    <w:tblPr>
      <w:tblStyleRowBandSize w:val="1"/>
      <w:tblStyleColBandSize w:val="1"/>
      <w:tblCellMar>
        <w:top w:w="100.0" w:type="dxa"/>
        <w:left w:w="0.0" w:type="dxa"/>
        <w:bottom w:w="100.0" w:type="dxa"/>
        <w:right w:w="0.0" w:type="dxa"/>
      </w:tblCellMar>
    </w:tblPr>
  </w:style>
  <w:style w:type="table" w:styleId="afffffffffffffff" w:customStyle="1">
    <w:basedOn w:val="TableNormal"/>
    <w:tblPr>
      <w:tblStyleRowBandSize w:val="1"/>
      <w:tblStyleColBandSize w:val="1"/>
      <w:tblCellMar>
        <w:top w:w="100.0" w:type="dxa"/>
        <w:left w:w="0.0" w:type="dxa"/>
        <w:bottom w:w="100.0" w:type="dxa"/>
        <w:right w:w="0.0" w:type="dxa"/>
      </w:tblCellMar>
    </w:tblPr>
  </w:style>
  <w:style w:type="table" w:styleId="afffffffffffffff0" w:customStyle="1">
    <w:basedOn w:val="TableNormal"/>
    <w:tblPr>
      <w:tblStyleRowBandSize w:val="1"/>
      <w:tblStyleColBandSize w:val="1"/>
      <w:tblCellMar>
        <w:top w:w="100.0" w:type="dxa"/>
        <w:left w:w="0.0" w:type="dxa"/>
        <w:bottom w:w="100.0" w:type="dxa"/>
        <w:right w:w="0.0" w:type="dxa"/>
      </w:tblCellMar>
    </w:tblPr>
  </w:style>
  <w:style w:type="table" w:styleId="afffffffffffffff1" w:customStyle="1">
    <w:basedOn w:val="TableNormal"/>
    <w:tblPr>
      <w:tblStyleRowBandSize w:val="1"/>
      <w:tblStyleColBandSize w:val="1"/>
      <w:tblCellMar>
        <w:top w:w="100.0" w:type="dxa"/>
        <w:left w:w="0.0" w:type="dxa"/>
        <w:bottom w:w="100.0" w:type="dxa"/>
        <w:right w:w="0.0" w:type="dxa"/>
      </w:tblCellMar>
    </w:tblPr>
  </w:style>
  <w:style w:type="table" w:styleId="afffffffffffffff2" w:customStyle="1">
    <w:basedOn w:val="TableNormal"/>
    <w:tblPr>
      <w:tblStyleRowBandSize w:val="1"/>
      <w:tblStyleColBandSize w:val="1"/>
      <w:tblCellMar>
        <w:top w:w="100.0" w:type="dxa"/>
        <w:left w:w="0.0" w:type="dxa"/>
        <w:bottom w:w="100.0" w:type="dxa"/>
        <w:right w:w="0.0" w:type="dxa"/>
      </w:tblCellMar>
    </w:tblPr>
  </w:style>
  <w:style w:type="table" w:styleId="afffffffffffffff3" w:customStyle="1">
    <w:basedOn w:val="TableNormal"/>
    <w:tblPr>
      <w:tblStyleRowBandSize w:val="1"/>
      <w:tblStyleColBandSize w:val="1"/>
      <w:tblCellMar>
        <w:top w:w="100.0" w:type="dxa"/>
        <w:left w:w="0.0" w:type="dxa"/>
        <w:bottom w:w="100.0" w:type="dxa"/>
        <w:right w:w="0.0" w:type="dxa"/>
      </w:tblCellMar>
    </w:tblPr>
  </w:style>
  <w:style w:type="table" w:styleId="afffffffffffffff4" w:customStyle="1">
    <w:basedOn w:val="TableNormal"/>
    <w:tblPr>
      <w:tblStyleRowBandSize w:val="1"/>
      <w:tblStyleColBandSize w:val="1"/>
      <w:tblCellMar>
        <w:top w:w="100.0" w:type="dxa"/>
        <w:left w:w="0.0" w:type="dxa"/>
        <w:bottom w:w="100.0" w:type="dxa"/>
        <w:right w:w="0.0" w:type="dxa"/>
      </w:tblCellMar>
    </w:tblPr>
  </w:style>
  <w:style w:type="table" w:styleId="afffffffffffffff5" w:customStyle="1">
    <w:basedOn w:val="TableNormal"/>
    <w:tblPr>
      <w:tblStyleRowBandSize w:val="1"/>
      <w:tblStyleColBandSize w:val="1"/>
      <w:tblCellMar>
        <w:top w:w="100.0" w:type="dxa"/>
        <w:left w:w="0.0" w:type="dxa"/>
        <w:bottom w:w="100.0" w:type="dxa"/>
        <w:right w:w="0.0" w:type="dxa"/>
      </w:tblCellMar>
    </w:tblPr>
  </w:style>
  <w:style w:type="table" w:styleId="afffffffffffffff6" w:customStyle="1">
    <w:basedOn w:val="TableNormal"/>
    <w:tblPr>
      <w:tblStyleRowBandSize w:val="1"/>
      <w:tblStyleColBandSize w:val="1"/>
      <w:tblCellMar>
        <w:top w:w="100.0" w:type="dxa"/>
        <w:left w:w="0.0" w:type="dxa"/>
        <w:bottom w:w="100.0" w:type="dxa"/>
        <w:right w:w="0.0" w:type="dxa"/>
      </w:tblCellMar>
    </w:tblPr>
  </w:style>
  <w:style w:type="table" w:styleId="afffffffffffffff7" w:customStyle="1">
    <w:basedOn w:val="TableNormal"/>
    <w:tblPr>
      <w:tblStyleRowBandSize w:val="1"/>
      <w:tblStyleColBandSize w:val="1"/>
      <w:tblCellMar>
        <w:top w:w="100.0" w:type="dxa"/>
        <w:left w:w="0.0" w:type="dxa"/>
        <w:bottom w:w="100.0" w:type="dxa"/>
        <w:right w:w="0.0" w:type="dxa"/>
      </w:tblCellMar>
    </w:tblPr>
  </w:style>
  <w:style w:type="table" w:styleId="afffffffffffffff8" w:customStyle="1">
    <w:basedOn w:val="TableNormal"/>
    <w:tblPr>
      <w:tblStyleRowBandSize w:val="1"/>
      <w:tblStyleColBandSize w:val="1"/>
      <w:tblCellMar>
        <w:top w:w="100.0" w:type="dxa"/>
        <w:left w:w="0.0" w:type="dxa"/>
        <w:bottom w:w="100.0" w:type="dxa"/>
        <w:right w:w="0.0" w:type="dxa"/>
      </w:tblCellMar>
    </w:tblPr>
  </w:style>
  <w:style w:type="table" w:styleId="afffffffffffffff9" w:customStyle="1">
    <w:basedOn w:val="TableNormal"/>
    <w:tblPr>
      <w:tblStyleRowBandSize w:val="1"/>
      <w:tblStyleColBandSize w:val="1"/>
      <w:tblCellMar>
        <w:top w:w="100.0" w:type="dxa"/>
        <w:left w:w="0.0" w:type="dxa"/>
        <w:bottom w:w="100.0" w:type="dxa"/>
        <w:right w:w="0.0" w:type="dxa"/>
      </w:tblCellMar>
    </w:tblPr>
  </w:style>
  <w:style w:type="table" w:styleId="afffffffffffffffa" w:customStyle="1">
    <w:basedOn w:val="TableNormal"/>
    <w:tblPr>
      <w:tblStyleRowBandSize w:val="1"/>
      <w:tblStyleColBandSize w:val="1"/>
      <w:tblCellMar>
        <w:top w:w="100.0" w:type="dxa"/>
        <w:left w:w="0.0" w:type="dxa"/>
        <w:bottom w:w="100.0" w:type="dxa"/>
        <w:right w:w="0.0" w:type="dxa"/>
      </w:tblCellMar>
    </w:tblPr>
  </w:style>
  <w:style w:type="table" w:styleId="afffffffffffffffb" w:customStyle="1">
    <w:basedOn w:val="TableNormal"/>
    <w:tblPr>
      <w:tblStyleRowBandSize w:val="1"/>
      <w:tblStyleColBandSize w:val="1"/>
      <w:tblCellMar>
        <w:top w:w="100.0" w:type="dxa"/>
        <w:left w:w="0.0" w:type="dxa"/>
        <w:bottom w:w="100.0" w:type="dxa"/>
        <w:right w:w="0.0" w:type="dxa"/>
      </w:tblCellMar>
    </w:tblPr>
  </w:style>
  <w:style w:type="table" w:styleId="afffffffffffffffc" w:customStyle="1">
    <w:basedOn w:val="TableNormal"/>
    <w:tblPr>
      <w:tblStyleRowBandSize w:val="1"/>
      <w:tblStyleColBandSize w:val="1"/>
      <w:tblCellMar>
        <w:top w:w="100.0" w:type="dxa"/>
        <w:left w:w="0.0" w:type="dxa"/>
        <w:bottom w:w="100.0" w:type="dxa"/>
        <w:right w:w="0.0" w:type="dxa"/>
      </w:tblCellMar>
    </w:tblPr>
  </w:style>
  <w:style w:type="table" w:styleId="afffffffffffffffd" w:customStyle="1">
    <w:basedOn w:val="TableNormal"/>
    <w:tblPr>
      <w:tblStyleRowBandSize w:val="1"/>
      <w:tblStyleColBandSize w:val="1"/>
      <w:tblCellMar>
        <w:top w:w="100.0" w:type="dxa"/>
        <w:left w:w="0.0" w:type="dxa"/>
        <w:bottom w:w="100.0" w:type="dxa"/>
        <w:right w:w="0.0" w:type="dxa"/>
      </w:tblCellMar>
    </w:tblPr>
  </w:style>
  <w:style w:type="table" w:styleId="afffffffffffffffe" w:customStyle="1">
    <w:basedOn w:val="TableNormal"/>
    <w:tblPr>
      <w:tblStyleRowBandSize w:val="1"/>
      <w:tblStyleColBandSize w:val="1"/>
      <w:tblCellMar>
        <w:top w:w="100.0" w:type="dxa"/>
        <w:left w:w="0.0" w:type="dxa"/>
        <w:bottom w:w="100.0" w:type="dxa"/>
        <w:right w:w="0.0" w:type="dxa"/>
      </w:tblCellMar>
    </w:tblPr>
  </w:style>
  <w:style w:type="table" w:styleId="affffffffffffffff" w:customStyle="1">
    <w:basedOn w:val="TableNormal"/>
    <w:tblPr>
      <w:tblStyleRowBandSize w:val="1"/>
      <w:tblStyleColBandSize w:val="1"/>
      <w:tblCellMar>
        <w:top w:w="100.0" w:type="dxa"/>
        <w:left w:w="0.0" w:type="dxa"/>
        <w:bottom w:w="100.0" w:type="dxa"/>
        <w:right w:w="0.0" w:type="dxa"/>
      </w:tblCellMar>
    </w:tblPr>
  </w:style>
  <w:style w:type="table" w:styleId="affffffffffffffff0" w:customStyle="1">
    <w:basedOn w:val="TableNormal"/>
    <w:tblPr>
      <w:tblStyleRowBandSize w:val="1"/>
      <w:tblStyleColBandSize w:val="1"/>
      <w:tblCellMar>
        <w:top w:w="100.0" w:type="dxa"/>
        <w:left w:w="0.0" w:type="dxa"/>
        <w:bottom w:w="100.0" w:type="dxa"/>
        <w:right w:w="0.0" w:type="dxa"/>
      </w:tblCellMar>
    </w:tblPr>
  </w:style>
  <w:style w:type="table" w:styleId="affffffffffffffff1" w:customStyle="1">
    <w:basedOn w:val="TableNormal"/>
    <w:tblPr>
      <w:tblStyleRowBandSize w:val="1"/>
      <w:tblStyleColBandSize w:val="1"/>
      <w:tblCellMar>
        <w:top w:w="100.0" w:type="dxa"/>
        <w:left w:w="0.0" w:type="dxa"/>
        <w:bottom w:w="100.0" w:type="dxa"/>
        <w:right w:w="0.0" w:type="dxa"/>
      </w:tblCellMar>
    </w:tblPr>
  </w:style>
  <w:style w:type="table" w:styleId="affffffffffffffff2" w:customStyle="1">
    <w:basedOn w:val="TableNormal"/>
    <w:tblPr>
      <w:tblStyleRowBandSize w:val="1"/>
      <w:tblStyleColBandSize w:val="1"/>
      <w:tblCellMar>
        <w:top w:w="100.0" w:type="dxa"/>
        <w:left w:w="0.0" w:type="dxa"/>
        <w:bottom w:w="100.0" w:type="dxa"/>
        <w:right w:w="0.0" w:type="dxa"/>
      </w:tblCellMar>
    </w:tblPr>
  </w:style>
  <w:style w:type="table" w:styleId="affffffffffffffff3" w:customStyle="1">
    <w:basedOn w:val="TableNormal"/>
    <w:tblPr>
      <w:tblStyleRowBandSize w:val="1"/>
      <w:tblStyleColBandSize w:val="1"/>
      <w:tblCellMar>
        <w:top w:w="100.0" w:type="dxa"/>
        <w:left w:w="0.0" w:type="dxa"/>
        <w:bottom w:w="100.0" w:type="dxa"/>
        <w:right w:w="0.0" w:type="dxa"/>
      </w:tblCellMar>
    </w:tblPr>
  </w:style>
  <w:style w:type="table" w:styleId="affffffffffffffff4" w:customStyle="1">
    <w:basedOn w:val="TableNormal"/>
    <w:tblPr>
      <w:tblStyleRowBandSize w:val="1"/>
      <w:tblStyleColBandSize w:val="1"/>
      <w:tblCellMar>
        <w:top w:w="100.0" w:type="dxa"/>
        <w:left w:w="0.0" w:type="dxa"/>
        <w:bottom w:w="100.0" w:type="dxa"/>
        <w:right w:w="0.0" w:type="dxa"/>
      </w:tblCellMar>
    </w:tblPr>
  </w:style>
  <w:style w:type="table" w:styleId="affffffffffffffff5" w:customStyle="1">
    <w:basedOn w:val="TableNormal"/>
    <w:tblPr>
      <w:tblStyleRowBandSize w:val="1"/>
      <w:tblStyleColBandSize w:val="1"/>
      <w:tblCellMar>
        <w:top w:w="100.0" w:type="dxa"/>
        <w:left w:w="0.0" w:type="dxa"/>
        <w:bottom w:w="100.0" w:type="dxa"/>
        <w:right w:w="0.0" w:type="dxa"/>
      </w:tblCellMar>
    </w:tblPr>
  </w:style>
  <w:style w:type="table" w:styleId="affffffffffffffff6" w:customStyle="1">
    <w:basedOn w:val="TableNormal"/>
    <w:tblPr>
      <w:tblStyleRowBandSize w:val="1"/>
      <w:tblStyleColBandSize w:val="1"/>
      <w:tblCellMar>
        <w:top w:w="100.0" w:type="dxa"/>
        <w:left w:w="0.0" w:type="dxa"/>
        <w:bottom w:w="100.0" w:type="dxa"/>
        <w:right w:w="0.0" w:type="dxa"/>
      </w:tblCellMar>
    </w:tblPr>
  </w:style>
  <w:style w:type="table" w:styleId="affffffffffffffff7" w:customStyle="1">
    <w:basedOn w:val="TableNormal"/>
    <w:tblPr>
      <w:tblStyleRowBandSize w:val="1"/>
      <w:tblStyleColBandSize w:val="1"/>
      <w:tblCellMar>
        <w:top w:w="100.0" w:type="dxa"/>
        <w:left w:w="0.0" w:type="dxa"/>
        <w:bottom w:w="100.0" w:type="dxa"/>
        <w:right w:w="0.0" w:type="dxa"/>
      </w:tblCellMar>
    </w:tblPr>
  </w:style>
  <w:style w:type="table" w:styleId="affffffffffffffff8" w:customStyle="1">
    <w:basedOn w:val="TableNormal"/>
    <w:tblPr>
      <w:tblStyleRowBandSize w:val="1"/>
      <w:tblStyleColBandSize w:val="1"/>
      <w:tblCellMar>
        <w:top w:w="100.0" w:type="dxa"/>
        <w:left w:w="0.0" w:type="dxa"/>
        <w:bottom w:w="100.0" w:type="dxa"/>
        <w:right w:w="0.0" w:type="dxa"/>
      </w:tblCellMar>
    </w:tblPr>
  </w:style>
  <w:style w:type="table" w:styleId="affffffffffffffff9" w:customStyle="1">
    <w:basedOn w:val="TableNormal"/>
    <w:tblPr>
      <w:tblStyleRowBandSize w:val="1"/>
      <w:tblStyleColBandSize w:val="1"/>
      <w:tblCellMar>
        <w:top w:w="100.0" w:type="dxa"/>
        <w:left w:w="0.0" w:type="dxa"/>
        <w:bottom w:w="100.0" w:type="dxa"/>
        <w:right w:w="0.0" w:type="dxa"/>
      </w:tblCellMar>
    </w:tblPr>
  </w:style>
  <w:style w:type="table" w:styleId="affffffffffffffffa" w:customStyle="1">
    <w:basedOn w:val="TableNormal"/>
    <w:tblPr>
      <w:tblStyleRowBandSize w:val="1"/>
      <w:tblStyleColBandSize w:val="1"/>
      <w:tblCellMar>
        <w:top w:w="100.0" w:type="dxa"/>
        <w:left w:w="0.0" w:type="dxa"/>
        <w:bottom w:w="100.0" w:type="dxa"/>
        <w:right w:w="0.0" w:type="dxa"/>
      </w:tblCellMar>
    </w:tblPr>
  </w:style>
  <w:style w:type="table" w:styleId="affffffffffffffffb" w:customStyle="1">
    <w:basedOn w:val="TableNormal"/>
    <w:tblPr>
      <w:tblStyleRowBandSize w:val="1"/>
      <w:tblStyleColBandSize w:val="1"/>
      <w:tblCellMar>
        <w:top w:w="100.0" w:type="dxa"/>
        <w:left w:w="0.0" w:type="dxa"/>
        <w:bottom w:w="100.0" w:type="dxa"/>
        <w:right w:w="0.0" w:type="dxa"/>
      </w:tblCellMar>
    </w:tblPr>
  </w:style>
  <w:style w:type="table" w:styleId="affffffffffffffffc" w:customStyle="1">
    <w:basedOn w:val="TableNormal"/>
    <w:tblPr>
      <w:tblStyleRowBandSize w:val="1"/>
      <w:tblStyleColBandSize w:val="1"/>
      <w:tblCellMar>
        <w:top w:w="100.0" w:type="dxa"/>
        <w:left w:w="0.0" w:type="dxa"/>
        <w:bottom w:w="100.0" w:type="dxa"/>
        <w:right w:w="0.0" w:type="dxa"/>
      </w:tblCellMar>
    </w:tblPr>
  </w:style>
  <w:style w:type="table" w:styleId="affffffffffffffffd" w:customStyle="1">
    <w:basedOn w:val="TableNormal"/>
    <w:tblPr>
      <w:tblStyleRowBandSize w:val="1"/>
      <w:tblStyleColBandSize w:val="1"/>
      <w:tblCellMar>
        <w:top w:w="100.0" w:type="dxa"/>
        <w:left w:w="0.0" w:type="dxa"/>
        <w:bottom w:w="100.0" w:type="dxa"/>
        <w:right w:w="0.0" w:type="dxa"/>
      </w:tblCellMar>
    </w:tblPr>
  </w:style>
  <w:style w:type="table" w:styleId="affffffffffffffffe" w:customStyle="1">
    <w:basedOn w:val="TableNormal"/>
    <w:tblPr>
      <w:tblStyleRowBandSize w:val="1"/>
      <w:tblStyleColBandSize w:val="1"/>
      <w:tblCellMar>
        <w:top w:w="100.0" w:type="dxa"/>
        <w:left w:w="0.0" w:type="dxa"/>
        <w:bottom w:w="100.0" w:type="dxa"/>
        <w:right w:w="0.0" w:type="dxa"/>
      </w:tblCellMar>
    </w:tblPr>
  </w:style>
  <w:style w:type="table" w:styleId="afffffffffffffffff" w:customStyle="1">
    <w:basedOn w:val="TableNormal"/>
    <w:tblPr>
      <w:tblStyleRowBandSize w:val="1"/>
      <w:tblStyleColBandSize w:val="1"/>
      <w:tblCellMar>
        <w:top w:w="100.0" w:type="dxa"/>
        <w:left w:w="0.0" w:type="dxa"/>
        <w:bottom w:w="100.0" w:type="dxa"/>
        <w:right w:w="0.0" w:type="dxa"/>
      </w:tblCellMar>
    </w:tblPr>
  </w:style>
  <w:style w:type="table" w:styleId="afffffffffffffffff0" w:customStyle="1">
    <w:basedOn w:val="TableNormal"/>
    <w:tblPr>
      <w:tblStyleRowBandSize w:val="1"/>
      <w:tblStyleColBandSize w:val="1"/>
      <w:tblCellMar>
        <w:top w:w="100.0" w:type="dxa"/>
        <w:left w:w="0.0" w:type="dxa"/>
        <w:bottom w:w="100.0" w:type="dxa"/>
        <w:right w:w="0.0" w:type="dxa"/>
      </w:tblCellMar>
    </w:tblPr>
  </w:style>
  <w:style w:type="table" w:styleId="afffffffffffffffff1" w:customStyle="1">
    <w:basedOn w:val="TableNormal"/>
    <w:tblPr>
      <w:tblStyleRowBandSize w:val="1"/>
      <w:tblStyleColBandSize w:val="1"/>
      <w:tblCellMar>
        <w:top w:w="100.0" w:type="dxa"/>
        <w:left w:w="0.0" w:type="dxa"/>
        <w:bottom w:w="100.0" w:type="dxa"/>
        <w:right w:w="0.0" w:type="dxa"/>
      </w:tblCellMar>
    </w:tblPr>
  </w:style>
  <w:style w:type="table" w:styleId="afffffffffffffffff2" w:customStyle="1">
    <w:basedOn w:val="TableNormal"/>
    <w:tblPr>
      <w:tblStyleRowBandSize w:val="1"/>
      <w:tblStyleColBandSize w:val="1"/>
      <w:tblCellMar>
        <w:top w:w="100.0" w:type="dxa"/>
        <w:left w:w="0.0" w:type="dxa"/>
        <w:bottom w:w="100.0" w:type="dxa"/>
        <w:right w:w="0.0" w:type="dxa"/>
      </w:tblCellMar>
    </w:tblPr>
  </w:style>
  <w:style w:type="table" w:styleId="afffffffffffffffff3" w:customStyle="1">
    <w:basedOn w:val="TableNormal"/>
    <w:tblPr>
      <w:tblStyleRowBandSize w:val="1"/>
      <w:tblStyleColBandSize w:val="1"/>
      <w:tblCellMar>
        <w:top w:w="100.0" w:type="dxa"/>
        <w:left w:w="0.0" w:type="dxa"/>
        <w:bottom w:w="100.0" w:type="dxa"/>
        <w:right w:w="0.0" w:type="dxa"/>
      </w:tblCellMar>
    </w:tblPr>
  </w:style>
  <w:style w:type="table" w:styleId="afffffffffffffffff4" w:customStyle="1">
    <w:basedOn w:val="TableNormal"/>
    <w:tblPr>
      <w:tblStyleRowBandSize w:val="1"/>
      <w:tblStyleColBandSize w:val="1"/>
      <w:tblCellMar>
        <w:top w:w="100.0" w:type="dxa"/>
        <w:left w:w="0.0" w:type="dxa"/>
        <w:bottom w:w="100.0" w:type="dxa"/>
        <w:right w:w="0.0" w:type="dxa"/>
      </w:tblCellMar>
    </w:tblPr>
  </w:style>
  <w:style w:type="table" w:styleId="afffffffffffffffff5" w:customStyle="1">
    <w:basedOn w:val="TableNormal"/>
    <w:tblPr>
      <w:tblStyleRowBandSize w:val="1"/>
      <w:tblStyleColBandSize w:val="1"/>
      <w:tblCellMar>
        <w:top w:w="100.0" w:type="dxa"/>
        <w:left w:w="0.0" w:type="dxa"/>
        <w:bottom w:w="100.0" w:type="dxa"/>
        <w:right w:w="0.0" w:type="dxa"/>
      </w:tblCellMar>
    </w:tblPr>
  </w:style>
  <w:style w:type="table" w:styleId="afffffffffffffffff6" w:customStyle="1">
    <w:basedOn w:val="TableNormal"/>
    <w:tblPr>
      <w:tblStyleRowBandSize w:val="1"/>
      <w:tblStyleColBandSize w:val="1"/>
      <w:tblCellMar>
        <w:top w:w="100.0" w:type="dxa"/>
        <w:left w:w="0.0" w:type="dxa"/>
        <w:bottom w:w="100.0" w:type="dxa"/>
        <w:right w:w="0.0" w:type="dxa"/>
      </w:tblCellMar>
    </w:tblPr>
  </w:style>
  <w:style w:type="table" w:styleId="afffffffffffffffff7" w:customStyle="1">
    <w:basedOn w:val="TableNormal"/>
    <w:tblPr>
      <w:tblStyleRowBandSize w:val="1"/>
      <w:tblStyleColBandSize w:val="1"/>
      <w:tblCellMar>
        <w:top w:w="100.0" w:type="dxa"/>
        <w:left w:w="0.0" w:type="dxa"/>
        <w:bottom w:w="100.0" w:type="dxa"/>
        <w:right w:w="0.0" w:type="dxa"/>
      </w:tblCellMar>
    </w:tblPr>
  </w:style>
  <w:style w:type="table" w:styleId="afffffffffffffffff8" w:customStyle="1">
    <w:basedOn w:val="TableNormal"/>
    <w:tblPr>
      <w:tblStyleRowBandSize w:val="1"/>
      <w:tblStyleColBandSize w:val="1"/>
      <w:tblCellMar>
        <w:top w:w="100.0" w:type="dxa"/>
        <w:left w:w="0.0" w:type="dxa"/>
        <w:bottom w:w="100.0" w:type="dxa"/>
        <w:right w:w="0.0" w:type="dxa"/>
      </w:tblCellMar>
    </w:tblPr>
  </w:style>
  <w:style w:type="table" w:styleId="afffffffffffffffff9" w:customStyle="1">
    <w:basedOn w:val="TableNormal"/>
    <w:tblPr>
      <w:tblStyleRowBandSize w:val="1"/>
      <w:tblStyleColBandSize w:val="1"/>
      <w:tblCellMar>
        <w:top w:w="100.0" w:type="dxa"/>
        <w:left w:w="0.0" w:type="dxa"/>
        <w:bottom w:w="100.0" w:type="dxa"/>
        <w:right w:w="0.0" w:type="dxa"/>
      </w:tblCellMar>
    </w:tblPr>
  </w:style>
  <w:style w:type="table" w:styleId="afffffffffffffffffa" w:customStyle="1">
    <w:basedOn w:val="TableNormal"/>
    <w:tblPr>
      <w:tblStyleRowBandSize w:val="1"/>
      <w:tblStyleColBandSize w:val="1"/>
      <w:tblCellMar>
        <w:top w:w="100.0" w:type="dxa"/>
        <w:left w:w="0.0" w:type="dxa"/>
        <w:bottom w:w="100.0" w:type="dxa"/>
        <w:right w:w="0.0" w:type="dxa"/>
      </w:tblCellMar>
    </w:tblPr>
  </w:style>
  <w:style w:type="table" w:styleId="afffffffffffffffffb" w:customStyle="1">
    <w:basedOn w:val="TableNormal"/>
    <w:tblPr>
      <w:tblStyleRowBandSize w:val="1"/>
      <w:tblStyleColBandSize w:val="1"/>
      <w:tblCellMar>
        <w:top w:w="100.0" w:type="dxa"/>
        <w:left w:w="0.0" w:type="dxa"/>
        <w:bottom w:w="100.0" w:type="dxa"/>
        <w:right w:w="0.0" w:type="dxa"/>
      </w:tblCellMar>
    </w:tblPr>
  </w:style>
  <w:style w:type="table" w:styleId="afffffffffffffffffc" w:customStyle="1">
    <w:basedOn w:val="TableNormal"/>
    <w:tblPr>
      <w:tblStyleRowBandSize w:val="1"/>
      <w:tblStyleColBandSize w:val="1"/>
      <w:tblCellMar>
        <w:top w:w="100.0" w:type="dxa"/>
        <w:left w:w="0.0" w:type="dxa"/>
        <w:bottom w:w="100.0" w:type="dxa"/>
        <w:right w:w="0.0" w:type="dxa"/>
      </w:tblCellMar>
    </w:tblPr>
  </w:style>
  <w:style w:type="table" w:styleId="afffffffffffffffffd" w:customStyle="1">
    <w:basedOn w:val="TableNormal"/>
    <w:tblPr>
      <w:tblStyleRowBandSize w:val="1"/>
      <w:tblStyleColBandSize w:val="1"/>
      <w:tblCellMar>
        <w:top w:w="100.0" w:type="dxa"/>
        <w:left w:w="0.0" w:type="dxa"/>
        <w:bottom w:w="100.0" w:type="dxa"/>
        <w:right w:w="0.0" w:type="dxa"/>
      </w:tblCellMar>
    </w:tblPr>
  </w:style>
  <w:style w:type="table" w:styleId="afffffffffffffffffe" w:customStyle="1">
    <w:basedOn w:val="TableNormal"/>
    <w:tblPr>
      <w:tblStyleRowBandSize w:val="1"/>
      <w:tblStyleColBandSize w:val="1"/>
      <w:tblCellMar>
        <w:top w:w="100.0" w:type="dxa"/>
        <w:left w:w="0.0" w:type="dxa"/>
        <w:bottom w:w="100.0" w:type="dxa"/>
        <w:right w:w="0.0" w:type="dxa"/>
      </w:tblCellMar>
    </w:tblPr>
  </w:style>
  <w:style w:type="table" w:styleId="affffffffffffffffff" w:customStyle="1">
    <w:basedOn w:val="TableNormal"/>
    <w:tblPr>
      <w:tblStyleRowBandSize w:val="1"/>
      <w:tblStyleColBandSize w:val="1"/>
      <w:tblCellMar>
        <w:top w:w="100.0" w:type="dxa"/>
        <w:left w:w="0.0" w:type="dxa"/>
        <w:bottom w:w="100.0" w:type="dxa"/>
        <w:right w:w="0.0" w:type="dxa"/>
      </w:tblCellMar>
    </w:tblPr>
  </w:style>
  <w:style w:type="table" w:styleId="affffffffffffffffff0" w:customStyle="1">
    <w:basedOn w:val="TableNormal"/>
    <w:tblPr>
      <w:tblStyleRowBandSize w:val="1"/>
      <w:tblStyleColBandSize w:val="1"/>
      <w:tblCellMar>
        <w:top w:w="100.0" w:type="dxa"/>
        <w:left w:w="0.0" w:type="dxa"/>
        <w:bottom w:w="100.0" w:type="dxa"/>
        <w:right w:w="0.0" w:type="dxa"/>
      </w:tblCellMar>
    </w:tblPr>
  </w:style>
  <w:style w:type="table" w:styleId="affffffffffffffffff1" w:customStyle="1">
    <w:basedOn w:val="TableNormal"/>
    <w:tblPr>
      <w:tblStyleRowBandSize w:val="1"/>
      <w:tblStyleColBandSize w:val="1"/>
      <w:tblCellMar>
        <w:top w:w="100.0" w:type="dxa"/>
        <w:left w:w="0.0" w:type="dxa"/>
        <w:bottom w:w="100.0" w:type="dxa"/>
        <w:right w:w="0.0" w:type="dxa"/>
      </w:tblCellMar>
    </w:tblPr>
  </w:style>
  <w:style w:type="table" w:styleId="affffffffffffffffff2" w:customStyle="1">
    <w:basedOn w:val="TableNormal"/>
    <w:tblPr>
      <w:tblStyleRowBandSize w:val="1"/>
      <w:tblStyleColBandSize w:val="1"/>
      <w:tblCellMar>
        <w:top w:w="100.0" w:type="dxa"/>
        <w:left w:w="0.0" w:type="dxa"/>
        <w:bottom w:w="100.0" w:type="dxa"/>
        <w:right w:w="0.0" w:type="dxa"/>
      </w:tblCellMar>
    </w:tblPr>
  </w:style>
  <w:style w:type="table" w:styleId="affffffffffffffffff3" w:customStyle="1">
    <w:basedOn w:val="TableNormal"/>
    <w:tblPr>
      <w:tblStyleRowBandSize w:val="1"/>
      <w:tblStyleColBandSize w:val="1"/>
      <w:tblCellMar>
        <w:top w:w="100.0" w:type="dxa"/>
        <w:left w:w="0.0" w:type="dxa"/>
        <w:bottom w:w="100.0" w:type="dxa"/>
        <w:right w:w="0.0" w:type="dxa"/>
      </w:tblCellMar>
    </w:tblPr>
  </w:style>
  <w:style w:type="table" w:styleId="affffffffffffffffff4" w:customStyle="1">
    <w:basedOn w:val="TableNormal"/>
    <w:tblPr>
      <w:tblStyleRowBandSize w:val="1"/>
      <w:tblStyleColBandSize w:val="1"/>
      <w:tblCellMar>
        <w:top w:w="100.0" w:type="dxa"/>
        <w:left w:w="0.0" w:type="dxa"/>
        <w:bottom w:w="100.0" w:type="dxa"/>
        <w:right w:w="0.0" w:type="dxa"/>
      </w:tblCellMar>
    </w:tblPr>
  </w:style>
  <w:style w:type="table" w:styleId="affffffffffffffffff5" w:customStyle="1">
    <w:basedOn w:val="TableNormal"/>
    <w:tblPr>
      <w:tblStyleRowBandSize w:val="1"/>
      <w:tblStyleColBandSize w:val="1"/>
      <w:tblCellMar>
        <w:top w:w="100.0" w:type="dxa"/>
        <w:left w:w="0.0" w:type="dxa"/>
        <w:bottom w:w="100.0" w:type="dxa"/>
        <w:right w:w="0.0" w:type="dxa"/>
      </w:tblCellMar>
    </w:tblPr>
  </w:style>
  <w:style w:type="table" w:styleId="affffffffffffffffff6" w:customStyle="1">
    <w:basedOn w:val="TableNormal"/>
    <w:tblPr>
      <w:tblStyleRowBandSize w:val="1"/>
      <w:tblStyleColBandSize w:val="1"/>
      <w:tblCellMar>
        <w:top w:w="100.0" w:type="dxa"/>
        <w:left w:w="0.0" w:type="dxa"/>
        <w:bottom w:w="100.0" w:type="dxa"/>
        <w:right w:w="0.0" w:type="dxa"/>
      </w:tblCellMar>
    </w:tblPr>
  </w:style>
  <w:style w:type="table" w:styleId="affffffffffffffffff7" w:customStyle="1">
    <w:basedOn w:val="TableNormal"/>
    <w:tblPr>
      <w:tblStyleRowBandSize w:val="1"/>
      <w:tblStyleColBandSize w:val="1"/>
      <w:tblCellMar>
        <w:top w:w="100.0" w:type="dxa"/>
        <w:left w:w="0.0" w:type="dxa"/>
        <w:bottom w:w="100.0" w:type="dxa"/>
        <w:right w:w="0.0" w:type="dxa"/>
      </w:tblCellMar>
    </w:tblPr>
  </w:style>
  <w:style w:type="table" w:styleId="affffffffffffffffff8" w:customStyle="1">
    <w:basedOn w:val="TableNormal"/>
    <w:tblPr>
      <w:tblStyleRowBandSize w:val="1"/>
      <w:tblStyleColBandSize w:val="1"/>
      <w:tblCellMar>
        <w:top w:w="100.0" w:type="dxa"/>
        <w:left w:w="0.0" w:type="dxa"/>
        <w:bottom w:w="100.0" w:type="dxa"/>
        <w:right w:w="0.0" w:type="dxa"/>
      </w:tblCellMar>
    </w:tblPr>
  </w:style>
  <w:style w:type="table" w:styleId="affffffffffffffffff9" w:customStyle="1">
    <w:basedOn w:val="TableNormal"/>
    <w:tblPr>
      <w:tblStyleRowBandSize w:val="1"/>
      <w:tblStyleColBandSize w:val="1"/>
      <w:tblCellMar>
        <w:top w:w="100.0" w:type="dxa"/>
        <w:left w:w="0.0" w:type="dxa"/>
        <w:bottom w:w="100.0" w:type="dxa"/>
        <w:right w:w="0.0" w:type="dxa"/>
      </w:tblCellMar>
    </w:tblPr>
  </w:style>
  <w:style w:type="table" w:styleId="affffffffffffffffffa" w:customStyle="1">
    <w:basedOn w:val="TableNormal"/>
    <w:tblPr>
      <w:tblStyleRowBandSize w:val="1"/>
      <w:tblStyleColBandSize w:val="1"/>
      <w:tblCellMar>
        <w:top w:w="100.0" w:type="dxa"/>
        <w:left w:w="0.0" w:type="dxa"/>
        <w:bottom w:w="100.0" w:type="dxa"/>
        <w:right w:w="0.0" w:type="dxa"/>
      </w:tblCellMar>
    </w:tblPr>
  </w:style>
  <w:style w:type="table" w:styleId="affffffffffffffffffb" w:customStyle="1">
    <w:basedOn w:val="TableNormal"/>
    <w:tblPr>
      <w:tblStyleRowBandSize w:val="1"/>
      <w:tblStyleColBandSize w:val="1"/>
      <w:tblCellMar>
        <w:top w:w="100.0" w:type="dxa"/>
        <w:left w:w="0.0" w:type="dxa"/>
        <w:bottom w:w="100.0" w:type="dxa"/>
        <w:right w:w="0.0" w:type="dxa"/>
      </w:tblCellMar>
    </w:tblPr>
  </w:style>
  <w:style w:type="table" w:styleId="affffffffffffffffffc" w:customStyle="1">
    <w:basedOn w:val="TableNormal"/>
    <w:tblPr>
      <w:tblStyleRowBandSize w:val="1"/>
      <w:tblStyleColBandSize w:val="1"/>
      <w:tblCellMar>
        <w:top w:w="100.0" w:type="dxa"/>
        <w:left w:w="0.0" w:type="dxa"/>
        <w:bottom w:w="100.0" w:type="dxa"/>
        <w:right w:w="0.0" w:type="dxa"/>
      </w:tblCellMar>
    </w:tblPr>
  </w:style>
  <w:style w:type="table" w:styleId="affffffffffffffffffd" w:customStyle="1">
    <w:basedOn w:val="TableNormal"/>
    <w:tblPr>
      <w:tblStyleRowBandSize w:val="1"/>
      <w:tblStyleColBandSize w:val="1"/>
      <w:tblCellMar>
        <w:top w:w="100.0" w:type="dxa"/>
        <w:left w:w="0.0" w:type="dxa"/>
        <w:bottom w:w="100.0" w:type="dxa"/>
        <w:right w:w="0.0" w:type="dxa"/>
      </w:tblCellMar>
    </w:tblPr>
  </w:style>
  <w:style w:type="table" w:styleId="affffffffffffffffffe" w:customStyle="1">
    <w:basedOn w:val="TableNormal"/>
    <w:tblPr>
      <w:tblStyleRowBandSize w:val="1"/>
      <w:tblStyleColBandSize w:val="1"/>
      <w:tblCellMar>
        <w:top w:w="100.0" w:type="dxa"/>
        <w:left w:w="0.0" w:type="dxa"/>
        <w:bottom w:w="100.0" w:type="dxa"/>
        <w:right w:w="0.0" w:type="dxa"/>
      </w:tblCellMar>
    </w:tblPr>
  </w:style>
  <w:style w:type="table" w:styleId="afffffffffffffffffff" w:customStyle="1">
    <w:basedOn w:val="TableNormal"/>
    <w:tblPr>
      <w:tblStyleRowBandSize w:val="1"/>
      <w:tblStyleColBandSize w:val="1"/>
      <w:tblCellMar>
        <w:top w:w="100.0" w:type="dxa"/>
        <w:left w:w="0.0" w:type="dxa"/>
        <w:bottom w:w="100.0" w:type="dxa"/>
        <w:right w:w="0.0" w:type="dxa"/>
      </w:tblCellMar>
    </w:tblPr>
  </w:style>
  <w:style w:type="table" w:styleId="afffffffffffffffffff0" w:customStyle="1">
    <w:basedOn w:val="TableNormal"/>
    <w:tblPr>
      <w:tblStyleRowBandSize w:val="1"/>
      <w:tblStyleColBandSize w:val="1"/>
      <w:tblCellMar>
        <w:top w:w="100.0" w:type="dxa"/>
        <w:left w:w="0.0" w:type="dxa"/>
        <w:bottom w:w="100.0" w:type="dxa"/>
        <w:right w:w="0.0" w:type="dxa"/>
      </w:tblCellMar>
    </w:tblPr>
  </w:style>
  <w:style w:type="table" w:styleId="afffffffffffffffffff1" w:customStyle="1">
    <w:basedOn w:val="TableNormal"/>
    <w:tblPr>
      <w:tblStyleRowBandSize w:val="1"/>
      <w:tblStyleColBandSize w:val="1"/>
      <w:tblCellMar>
        <w:top w:w="100.0" w:type="dxa"/>
        <w:left w:w="0.0" w:type="dxa"/>
        <w:bottom w:w="100.0" w:type="dxa"/>
        <w:right w:w="0.0" w:type="dxa"/>
      </w:tblCellMar>
    </w:tblPr>
  </w:style>
  <w:style w:type="table" w:styleId="afffffffffffffffffff2" w:customStyle="1">
    <w:basedOn w:val="TableNormal"/>
    <w:tblPr>
      <w:tblStyleRowBandSize w:val="1"/>
      <w:tblStyleColBandSize w:val="1"/>
      <w:tblCellMar>
        <w:top w:w="100.0" w:type="dxa"/>
        <w:left w:w="0.0" w:type="dxa"/>
        <w:bottom w:w="100.0" w:type="dxa"/>
        <w:right w:w="0.0" w:type="dxa"/>
      </w:tblCellMar>
    </w:tblPr>
  </w:style>
  <w:style w:type="table" w:styleId="afffffffffffffffffff3" w:customStyle="1">
    <w:basedOn w:val="TableNormal"/>
    <w:tblPr>
      <w:tblStyleRowBandSize w:val="1"/>
      <w:tblStyleColBandSize w:val="1"/>
      <w:tblCellMar>
        <w:top w:w="100.0" w:type="dxa"/>
        <w:left w:w="0.0" w:type="dxa"/>
        <w:bottom w:w="100.0" w:type="dxa"/>
        <w:right w:w="0.0" w:type="dxa"/>
      </w:tblCellMar>
    </w:tblPr>
  </w:style>
  <w:style w:type="table" w:styleId="afffffffffffffffffff4" w:customStyle="1">
    <w:basedOn w:val="TableNormal"/>
    <w:tblPr>
      <w:tblStyleRowBandSize w:val="1"/>
      <w:tblStyleColBandSize w:val="1"/>
      <w:tblCellMar>
        <w:top w:w="100.0" w:type="dxa"/>
        <w:left w:w="0.0" w:type="dxa"/>
        <w:bottom w:w="100.0" w:type="dxa"/>
        <w:right w:w="0.0" w:type="dxa"/>
      </w:tblCellMar>
    </w:tblPr>
  </w:style>
  <w:style w:type="table" w:styleId="afffffffffffffffffff5" w:customStyle="1">
    <w:basedOn w:val="TableNormal"/>
    <w:tblPr>
      <w:tblStyleRowBandSize w:val="1"/>
      <w:tblStyleColBandSize w:val="1"/>
      <w:tblCellMar>
        <w:top w:w="100.0" w:type="dxa"/>
        <w:left w:w="0.0" w:type="dxa"/>
        <w:bottom w:w="100.0" w:type="dxa"/>
        <w:right w:w="0.0" w:type="dxa"/>
      </w:tblCellMar>
    </w:tblPr>
  </w:style>
  <w:style w:type="table" w:styleId="afffffffffffffffffff6" w:customStyle="1">
    <w:basedOn w:val="TableNormal"/>
    <w:tblPr>
      <w:tblStyleRowBandSize w:val="1"/>
      <w:tblStyleColBandSize w:val="1"/>
      <w:tblCellMar>
        <w:top w:w="100.0" w:type="dxa"/>
        <w:left w:w="0.0" w:type="dxa"/>
        <w:bottom w:w="100.0" w:type="dxa"/>
        <w:right w:w="0.0" w:type="dxa"/>
      </w:tblCellMar>
    </w:tblPr>
  </w:style>
  <w:style w:type="table" w:styleId="afffffffffffffffffff7" w:customStyle="1">
    <w:basedOn w:val="TableNormal"/>
    <w:tblPr>
      <w:tblStyleRowBandSize w:val="1"/>
      <w:tblStyleColBandSize w:val="1"/>
      <w:tblCellMar>
        <w:top w:w="100.0" w:type="dxa"/>
        <w:left w:w="0.0" w:type="dxa"/>
        <w:bottom w:w="100.0" w:type="dxa"/>
        <w:right w:w="0.0" w:type="dxa"/>
      </w:tblCellMar>
    </w:tblPr>
  </w:style>
  <w:style w:type="table" w:styleId="afffffffffffffffffff8" w:customStyle="1">
    <w:basedOn w:val="TableNormal"/>
    <w:tblPr>
      <w:tblStyleRowBandSize w:val="1"/>
      <w:tblStyleColBandSize w:val="1"/>
      <w:tblCellMar>
        <w:top w:w="100.0" w:type="dxa"/>
        <w:left w:w="0.0" w:type="dxa"/>
        <w:bottom w:w="100.0" w:type="dxa"/>
        <w:right w:w="0.0" w:type="dxa"/>
      </w:tblCellMar>
    </w:tblPr>
  </w:style>
  <w:style w:type="table" w:styleId="afffffffffffffffffff9" w:customStyle="1">
    <w:basedOn w:val="TableNormal"/>
    <w:tblPr>
      <w:tblStyleRowBandSize w:val="1"/>
      <w:tblStyleColBandSize w:val="1"/>
      <w:tblCellMar>
        <w:top w:w="100.0" w:type="dxa"/>
        <w:left w:w="0.0" w:type="dxa"/>
        <w:bottom w:w="100.0" w:type="dxa"/>
        <w:right w:w="0.0" w:type="dxa"/>
      </w:tblCellMar>
    </w:tblPr>
  </w:style>
  <w:style w:type="table" w:styleId="afffffffffffffffffffa" w:customStyle="1">
    <w:basedOn w:val="TableNormal"/>
    <w:tblPr>
      <w:tblStyleRowBandSize w:val="1"/>
      <w:tblStyleColBandSize w:val="1"/>
      <w:tblCellMar>
        <w:top w:w="100.0" w:type="dxa"/>
        <w:left w:w="0.0" w:type="dxa"/>
        <w:bottom w:w="100.0" w:type="dxa"/>
        <w:right w:w="0.0" w:type="dxa"/>
      </w:tblCellMar>
    </w:tblPr>
  </w:style>
  <w:style w:type="table" w:styleId="afffffffffffffffffffb" w:customStyle="1">
    <w:basedOn w:val="TableNormal"/>
    <w:tblPr>
      <w:tblStyleRowBandSize w:val="1"/>
      <w:tblStyleColBandSize w:val="1"/>
      <w:tblCellMar>
        <w:top w:w="100.0" w:type="dxa"/>
        <w:left w:w="0.0" w:type="dxa"/>
        <w:bottom w:w="100.0" w:type="dxa"/>
        <w:right w:w="0.0" w:type="dxa"/>
      </w:tblCellMar>
    </w:tblPr>
  </w:style>
  <w:style w:type="table" w:styleId="afffffffffffffffffffc" w:customStyle="1">
    <w:basedOn w:val="TableNormal"/>
    <w:tblPr>
      <w:tblStyleRowBandSize w:val="1"/>
      <w:tblStyleColBandSize w:val="1"/>
      <w:tblCellMar>
        <w:top w:w="100.0" w:type="dxa"/>
        <w:left w:w="0.0" w:type="dxa"/>
        <w:bottom w:w="100.0" w:type="dxa"/>
        <w:right w:w="0.0" w:type="dxa"/>
      </w:tblCellMar>
    </w:tblPr>
  </w:style>
  <w:style w:type="table" w:styleId="afffffffffffffffffffd" w:customStyle="1">
    <w:basedOn w:val="TableNormal"/>
    <w:tblPr>
      <w:tblStyleRowBandSize w:val="1"/>
      <w:tblStyleColBandSize w:val="1"/>
      <w:tblCellMar>
        <w:top w:w="100.0" w:type="dxa"/>
        <w:left w:w="0.0" w:type="dxa"/>
        <w:bottom w:w="100.0" w:type="dxa"/>
        <w:right w:w="0.0" w:type="dxa"/>
      </w:tblCellMar>
    </w:tblPr>
  </w:style>
  <w:style w:type="table" w:styleId="afffffffffffffffffffe" w:customStyle="1">
    <w:basedOn w:val="TableNormal"/>
    <w:tblPr>
      <w:tblStyleRowBandSize w:val="1"/>
      <w:tblStyleColBandSize w:val="1"/>
      <w:tblCellMar>
        <w:top w:w="100.0" w:type="dxa"/>
        <w:left w:w="0.0" w:type="dxa"/>
        <w:bottom w:w="100.0" w:type="dxa"/>
        <w:right w:w="0.0" w:type="dxa"/>
      </w:tblCellMar>
    </w:tblPr>
  </w:style>
  <w:style w:type="table" w:styleId="affffffffffffffffffff" w:customStyle="1">
    <w:basedOn w:val="TableNormal"/>
    <w:tblPr>
      <w:tblStyleRowBandSize w:val="1"/>
      <w:tblStyleColBandSize w:val="1"/>
      <w:tblCellMar>
        <w:top w:w="100.0" w:type="dxa"/>
        <w:left w:w="0.0" w:type="dxa"/>
        <w:bottom w:w="100.0" w:type="dxa"/>
        <w:right w:w="0.0" w:type="dxa"/>
      </w:tblCellMar>
    </w:tblPr>
  </w:style>
  <w:style w:type="table" w:styleId="affffffffffffffffffff0" w:customStyle="1">
    <w:basedOn w:val="TableNormal"/>
    <w:tblPr>
      <w:tblStyleRowBandSize w:val="1"/>
      <w:tblStyleColBandSize w:val="1"/>
      <w:tblCellMar>
        <w:top w:w="100.0" w:type="dxa"/>
        <w:left w:w="0.0" w:type="dxa"/>
        <w:bottom w:w="100.0" w:type="dxa"/>
        <w:right w:w="0.0" w:type="dxa"/>
      </w:tblCellMar>
    </w:tblPr>
  </w:style>
  <w:style w:type="table" w:styleId="affffffffffffffffffff1" w:customStyle="1">
    <w:basedOn w:val="TableNormal"/>
    <w:tblPr>
      <w:tblStyleRowBandSize w:val="1"/>
      <w:tblStyleColBandSize w:val="1"/>
      <w:tblCellMar>
        <w:top w:w="100.0" w:type="dxa"/>
        <w:left w:w="0.0" w:type="dxa"/>
        <w:bottom w:w="100.0" w:type="dxa"/>
        <w:right w:w="0.0" w:type="dxa"/>
      </w:tblCellMar>
    </w:tblPr>
  </w:style>
  <w:style w:type="table" w:styleId="affffffffffffffffffff2" w:customStyle="1">
    <w:basedOn w:val="TableNormal"/>
    <w:tblPr>
      <w:tblStyleRowBandSize w:val="1"/>
      <w:tblStyleColBandSize w:val="1"/>
      <w:tblCellMar>
        <w:top w:w="100.0" w:type="dxa"/>
        <w:left w:w="0.0" w:type="dxa"/>
        <w:bottom w:w="100.0" w:type="dxa"/>
        <w:right w:w="0.0" w:type="dxa"/>
      </w:tblCellMar>
    </w:tblPr>
  </w:style>
  <w:style w:type="table" w:styleId="affffffffffffffffffff3" w:customStyle="1">
    <w:basedOn w:val="TableNormal"/>
    <w:tblPr>
      <w:tblStyleRowBandSize w:val="1"/>
      <w:tblStyleColBandSize w:val="1"/>
      <w:tblCellMar>
        <w:top w:w="100.0" w:type="dxa"/>
        <w:left w:w="0.0" w:type="dxa"/>
        <w:bottom w:w="100.0" w:type="dxa"/>
        <w:right w:w="0.0" w:type="dxa"/>
      </w:tblCellMar>
    </w:tblPr>
  </w:style>
  <w:style w:type="table" w:styleId="affffffffffffffffffff4" w:customStyle="1">
    <w:basedOn w:val="TableNormal"/>
    <w:tblPr>
      <w:tblStyleRowBandSize w:val="1"/>
      <w:tblStyleColBandSize w:val="1"/>
      <w:tblCellMar>
        <w:top w:w="100.0" w:type="dxa"/>
        <w:left w:w="0.0" w:type="dxa"/>
        <w:bottom w:w="100.0" w:type="dxa"/>
        <w:right w:w="0.0" w:type="dxa"/>
      </w:tblCellMar>
    </w:tblPr>
  </w:style>
  <w:style w:type="table" w:styleId="affffffffffffffffffff5" w:customStyle="1">
    <w:basedOn w:val="TableNormal"/>
    <w:tblPr>
      <w:tblStyleRowBandSize w:val="1"/>
      <w:tblStyleColBandSize w:val="1"/>
      <w:tblCellMar>
        <w:top w:w="100.0" w:type="dxa"/>
        <w:left w:w="0.0" w:type="dxa"/>
        <w:bottom w:w="100.0" w:type="dxa"/>
        <w:right w:w="0.0" w:type="dxa"/>
      </w:tblCellMar>
    </w:tblPr>
  </w:style>
  <w:style w:type="table" w:styleId="affffffffffffffffffff6" w:customStyle="1">
    <w:basedOn w:val="TableNormal"/>
    <w:tblPr>
      <w:tblStyleRowBandSize w:val="1"/>
      <w:tblStyleColBandSize w:val="1"/>
      <w:tblCellMar>
        <w:top w:w="100.0" w:type="dxa"/>
        <w:left w:w="0.0" w:type="dxa"/>
        <w:bottom w:w="100.0" w:type="dxa"/>
        <w:right w:w="0.0" w:type="dxa"/>
      </w:tblCellMar>
    </w:tblPr>
  </w:style>
  <w:style w:type="table" w:styleId="affffffffffffffffffff7" w:customStyle="1">
    <w:basedOn w:val="TableNormal"/>
    <w:tblPr>
      <w:tblStyleRowBandSize w:val="1"/>
      <w:tblStyleColBandSize w:val="1"/>
      <w:tblCellMar>
        <w:top w:w="100.0" w:type="dxa"/>
        <w:left w:w="0.0" w:type="dxa"/>
        <w:bottom w:w="100.0" w:type="dxa"/>
        <w:right w:w="0.0" w:type="dxa"/>
      </w:tblCellMar>
    </w:tblPr>
  </w:style>
  <w:style w:type="table" w:styleId="affffffffffffffffffff8" w:customStyle="1">
    <w:basedOn w:val="TableNormal"/>
    <w:tblPr>
      <w:tblStyleRowBandSize w:val="1"/>
      <w:tblStyleColBandSize w:val="1"/>
      <w:tblCellMar>
        <w:top w:w="100.0" w:type="dxa"/>
        <w:left w:w="0.0" w:type="dxa"/>
        <w:bottom w:w="100.0" w:type="dxa"/>
        <w:right w:w="0.0" w:type="dxa"/>
      </w:tblCellMar>
    </w:tblPr>
  </w:style>
  <w:style w:type="table" w:styleId="affffffffffffffffffff9" w:customStyle="1">
    <w:basedOn w:val="TableNormal"/>
    <w:tblPr>
      <w:tblStyleRowBandSize w:val="1"/>
      <w:tblStyleColBandSize w:val="1"/>
      <w:tblCellMar>
        <w:top w:w="100.0" w:type="dxa"/>
        <w:left w:w="0.0" w:type="dxa"/>
        <w:bottom w:w="100.0" w:type="dxa"/>
        <w:right w:w="0.0" w:type="dxa"/>
      </w:tblCellMar>
    </w:tblPr>
  </w:style>
  <w:style w:type="table" w:styleId="affffffffffffffffffffa" w:customStyle="1">
    <w:basedOn w:val="TableNormal"/>
    <w:tblPr>
      <w:tblStyleRowBandSize w:val="1"/>
      <w:tblStyleColBandSize w:val="1"/>
      <w:tblCellMar>
        <w:top w:w="100.0" w:type="dxa"/>
        <w:left w:w="0.0" w:type="dxa"/>
        <w:bottom w:w="100.0" w:type="dxa"/>
        <w:right w:w="0.0" w:type="dxa"/>
      </w:tblCellMar>
    </w:tblPr>
  </w:style>
  <w:style w:type="table" w:styleId="affffffffffffffffffffb" w:customStyle="1">
    <w:basedOn w:val="TableNormal"/>
    <w:tblPr>
      <w:tblStyleRowBandSize w:val="1"/>
      <w:tblStyleColBandSize w:val="1"/>
      <w:tblCellMar>
        <w:top w:w="100.0" w:type="dxa"/>
        <w:left w:w="0.0" w:type="dxa"/>
        <w:bottom w:w="100.0" w:type="dxa"/>
        <w:right w:w="0.0" w:type="dxa"/>
      </w:tblCellMar>
    </w:tblPr>
  </w:style>
  <w:style w:type="table" w:styleId="affffffffffffffffffffc" w:customStyle="1">
    <w:basedOn w:val="TableNormal"/>
    <w:tblPr>
      <w:tblStyleRowBandSize w:val="1"/>
      <w:tblStyleColBandSize w:val="1"/>
      <w:tblCellMar>
        <w:top w:w="100.0" w:type="dxa"/>
        <w:left w:w="0.0" w:type="dxa"/>
        <w:bottom w:w="100.0" w:type="dxa"/>
        <w:right w:w="0.0" w:type="dxa"/>
      </w:tblCellMar>
    </w:tblPr>
  </w:style>
  <w:style w:type="table" w:styleId="affffffffffffffffffffd" w:customStyle="1">
    <w:basedOn w:val="TableNormal"/>
    <w:tblPr>
      <w:tblStyleRowBandSize w:val="1"/>
      <w:tblStyleColBandSize w:val="1"/>
      <w:tblCellMar>
        <w:top w:w="100.0" w:type="dxa"/>
        <w:left w:w="0.0" w:type="dxa"/>
        <w:bottom w:w="100.0" w:type="dxa"/>
        <w:right w:w="0.0" w:type="dxa"/>
      </w:tblCellMar>
    </w:tblPr>
  </w:style>
  <w:style w:type="table" w:styleId="affffffffffffffffffffe" w:customStyle="1">
    <w:basedOn w:val="TableNormal"/>
    <w:tblPr>
      <w:tblStyleRowBandSize w:val="1"/>
      <w:tblStyleColBandSize w:val="1"/>
      <w:tblCellMar>
        <w:top w:w="100.0" w:type="dxa"/>
        <w:left w:w="0.0" w:type="dxa"/>
        <w:bottom w:w="100.0" w:type="dxa"/>
        <w:right w:w="0.0" w:type="dxa"/>
      </w:tblCellMar>
    </w:tblPr>
  </w:style>
  <w:style w:type="table" w:styleId="afffffffffffffffffffff" w:customStyle="1">
    <w:basedOn w:val="TableNormal"/>
    <w:tblPr>
      <w:tblStyleRowBandSize w:val="1"/>
      <w:tblStyleColBandSize w:val="1"/>
      <w:tblCellMar>
        <w:top w:w="100.0" w:type="dxa"/>
        <w:left w:w="0.0" w:type="dxa"/>
        <w:bottom w:w="100.0" w:type="dxa"/>
        <w:right w:w="0.0" w:type="dxa"/>
      </w:tblCellMar>
    </w:tblPr>
  </w:style>
  <w:style w:type="table" w:styleId="afffffffffffffffffffff0" w:customStyle="1">
    <w:basedOn w:val="TableNormal"/>
    <w:tblPr>
      <w:tblStyleRowBandSize w:val="1"/>
      <w:tblStyleColBandSize w:val="1"/>
      <w:tblCellMar>
        <w:top w:w="100.0" w:type="dxa"/>
        <w:left w:w="0.0" w:type="dxa"/>
        <w:bottom w:w="100.0" w:type="dxa"/>
        <w:right w:w="0.0" w:type="dxa"/>
      </w:tblCellMar>
    </w:tblPr>
  </w:style>
  <w:style w:type="table" w:styleId="afffffffffffffffffffff1" w:customStyle="1">
    <w:basedOn w:val="TableNormal"/>
    <w:tblPr>
      <w:tblStyleRowBandSize w:val="1"/>
      <w:tblStyleColBandSize w:val="1"/>
      <w:tblCellMar>
        <w:top w:w="100.0" w:type="dxa"/>
        <w:left w:w="0.0" w:type="dxa"/>
        <w:bottom w:w="100.0" w:type="dxa"/>
        <w:right w:w="0.0" w:type="dxa"/>
      </w:tblCellMar>
    </w:tblPr>
  </w:style>
  <w:style w:type="table" w:styleId="afffffffffffffffffffff2" w:customStyle="1">
    <w:basedOn w:val="TableNormal"/>
    <w:tblPr>
      <w:tblStyleRowBandSize w:val="1"/>
      <w:tblStyleColBandSize w:val="1"/>
      <w:tblCellMar>
        <w:top w:w="100.0" w:type="dxa"/>
        <w:left w:w="0.0" w:type="dxa"/>
        <w:bottom w:w="100.0" w:type="dxa"/>
        <w:right w:w="0.0" w:type="dxa"/>
      </w:tblCellMar>
    </w:tblPr>
  </w:style>
  <w:style w:type="table" w:styleId="afffffffffffffffffffff3" w:customStyle="1">
    <w:basedOn w:val="TableNormal"/>
    <w:tblPr>
      <w:tblStyleRowBandSize w:val="1"/>
      <w:tblStyleColBandSize w:val="1"/>
      <w:tblCellMar>
        <w:top w:w="100.0" w:type="dxa"/>
        <w:left w:w="0.0" w:type="dxa"/>
        <w:bottom w:w="100.0" w:type="dxa"/>
        <w:right w:w="0.0" w:type="dxa"/>
      </w:tblCellMar>
    </w:tblPr>
  </w:style>
  <w:style w:type="table" w:styleId="afffffffffffffffffffff4" w:customStyle="1">
    <w:basedOn w:val="TableNormal"/>
    <w:tblPr>
      <w:tblStyleRowBandSize w:val="1"/>
      <w:tblStyleColBandSize w:val="1"/>
      <w:tblCellMar>
        <w:top w:w="100.0" w:type="dxa"/>
        <w:left w:w="0.0" w:type="dxa"/>
        <w:bottom w:w="100.0" w:type="dxa"/>
        <w:right w:w="0.0" w:type="dxa"/>
      </w:tblCellMar>
    </w:tblPr>
  </w:style>
  <w:style w:type="table" w:styleId="afffffffffffffffffffff5" w:customStyle="1">
    <w:basedOn w:val="TableNormal"/>
    <w:tblPr>
      <w:tblStyleRowBandSize w:val="1"/>
      <w:tblStyleColBandSize w:val="1"/>
      <w:tblCellMar>
        <w:top w:w="100.0" w:type="dxa"/>
        <w:left w:w="0.0" w:type="dxa"/>
        <w:bottom w:w="100.0" w:type="dxa"/>
        <w:right w:w="0.0" w:type="dxa"/>
      </w:tblCellMar>
    </w:tblPr>
  </w:style>
  <w:style w:type="table" w:styleId="afffffffffffffffffffff6" w:customStyle="1">
    <w:basedOn w:val="TableNormal"/>
    <w:tblPr>
      <w:tblStyleRowBandSize w:val="1"/>
      <w:tblStyleColBandSize w:val="1"/>
      <w:tblCellMar>
        <w:top w:w="100.0" w:type="dxa"/>
        <w:left w:w="0.0" w:type="dxa"/>
        <w:bottom w:w="100.0" w:type="dxa"/>
        <w:right w:w="0.0" w:type="dxa"/>
      </w:tblCellMar>
    </w:tblPr>
  </w:style>
  <w:style w:type="table" w:styleId="afffffffffffffffffffff7" w:customStyle="1">
    <w:basedOn w:val="TableNormal"/>
    <w:tblPr>
      <w:tblStyleRowBandSize w:val="1"/>
      <w:tblStyleColBandSize w:val="1"/>
      <w:tblCellMar>
        <w:top w:w="100.0" w:type="dxa"/>
        <w:left w:w="0.0" w:type="dxa"/>
        <w:bottom w:w="100.0" w:type="dxa"/>
        <w:right w:w="0.0" w:type="dxa"/>
      </w:tblCellMar>
    </w:tblPr>
  </w:style>
  <w:style w:type="table" w:styleId="afffffffffffffffffffff8" w:customStyle="1">
    <w:basedOn w:val="TableNormal"/>
    <w:tblPr>
      <w:tblStyleRowBandSize w:val="1"/>
      <w:tblStyleColBandSize w:val="1"/>
      <w:tblCellMar>
        <w:top w:w="100.0" w:type="dxa"/>
        <w:left w:w="0.0" w:type="dxa"/>
        <w:bottom w:w="100.0" w:type="dxa"/>
        <w:right w:w="0.0" w:type="dxa"/>
      </w:tblCellMar>
    </w:tblPr>
  </w:style>
  <w:style w:type="table" w:styleId="afffffffffffffffffffff9" w:customStyle="1">
    <w:basedOn w:val="TableNormal"/>
    <w:tblPr>
      <w:tblStyleRowBandSize w:val="1"/>
      <w:tblStyleColBandSize w:val="1"/>
      <w:tblCellMar>
        <w:top w:w="100.0" w:type="dxa"/>
        <w:left w:w="0.0" w:type="dxa"/>
        <w:bottom w:w="100.0" w:type="dxa"/>
        <w:right w:w="0.0" w:type="dxa"/>
      </w:tblCellMar>
    </w:tblPr>
  </w:style>
  <w:style w:type="table" w:styleId="afffffffffffffffffffffa" w:customStyle="1">
    <w:basedOn w:val="TableNormal"/>
    <w:tblPr>
      <w:tblStyleRowBandSize w:val="1"/>
      <w:tblStyleColBandSize w:val="1"/>
      <w:tblCellMar>
        <w:top w:w="100.0" w:type="dxa"/>
        <w:left w:w="0.0" w:type="dxa"/>
        <w:bottom w:w="100.0" w:type="dxa"/>
        <w:right w:w="0.0" w:type="dxa"/>
      </w:tblCellMar>
    </w:tblPr>
  </w:style>
  <w:style w:type="table" w:styleId="afffffffffffffffffffffb" w:customStyle="1">
    <w:basedOn w:val="TableNormal"/>
    <w:tblPr>
      <w:tblStyleRowBandSize w:val="1"/>
      <w:tblStyleColBandSize w:val="1"/>
      <w:tblCellMar>
        <w:top w:w="100.0" w:type="dxa"/>
        <w:left w:w="0.0" w:type="dxa"/>
        <w:bottom w:w="100.0" w:type="dxa"/>
        <w:right w:w="0.0" w:type="dxa"/>
      </w:tblCellMar>
    </w:tblPr>
  </w:style>
  <w:style w:type="table" w:styleId="afffffffffffffffffffffc" w:customStyle="1">
    <w:basedOn w:val="TableNormal"/>
    <w:tblPr>
      <w:tblStyleRowBandSize w:val="1"/>
      <w:tblStyleColBandSize w:val="1"/>
      <w:tblCellMar>
        <w:top w:w="100.0" w:type="dxa"/>
        <w:left w:w="0.0" w:type="dxa"/>
        <w:bottom w:w="100.0" w:type="dxa"/>
        <w:right w:w="0.0" w:type="dxa"/>
      </w:tblCellMar>
    </w:tblPr>
  </w:style>
  <w:style w:type="table" w:styleId="afffffffffffffffffffffd" w:customStyle="1">
    <w:basedOn w:val="TableNormal"/>
    <w:tblPr>
      <w:tblStyleRowBandSize w:val="1"/>
      <w:tblStyleColBandSize w:val="1"/>
      <w:tblCellMar>
        <w:top w:w="100.0" w:type="dxa"/>
        <w:left w:w="0.0" w:type="dxa"/>
        <w:bottom w:w="100.0" w:type="dxa"/>
        <w:right w:w="0.0" w:type="dxa"/>
      </w:tblCellMar>
    </w:tblPr>
  </w:style>
  <w:style w:type="table" w:styleId="afffffffffffffffffffffe" w:customStyle="1">
    <w:basedOn w:val="TableNormal"/>
    <w:tblPr>
      <w:tblStyleRowBandSize w:val="1"/>
      <w:tblStyleColBandSize w:val="1"/>
      <w:tblCellMar>
        <w:top w:w="100.0" w:type="dxa"/>
        <w:left w:w="0.0" w:type="dxa"/>
        <w:bottom w:w="100.0" w:type="dxa"/>
        <w:right w:w="0.0" w:type="dxa"/>
      </w:tblCellMar>
    </w:tblPr>
  </w:style>
  <w:style w:type="table" w:styleId="affffffffffffffffffffff" w:customStyle="1">
    <w:basedOn w:val="TableNormal"/>
    <w:tblPr>
      <w:tblStyleRowBandSize w:val="1"/>
      <w:tblStyleColBandSize w:val="1"/>
      <w:tblCellMar>
        <w:top w:w="100.0" w:type="dxa"/>
        <w:left w:w="0.0" w:type="dxa"/>
        <w:bottom w:w="100.0" w:type="dxa"/>
        <w:right w:w="0.0" w:type="dxa"/>
      </w:tblCellMar>
    </w:tblPr>
  </w:style>
  <w:style w:type="table" w:styleId="affffffffffffffffffffff0" w:customStyle="1">
    <w:basedOn w:val="TableNormal"/>
    <w:tblPr>
      <w:tblStyleRowBandSize w:val="1"/>
      <w:tblStyleColBandSize w:val="1"/>
      <w:tblCellMar>
        <w:top w:w="100.0" w:type="dxa"/>
        <w:left w:w="0.0" w:type="dxa"/>
        <w:bottom w:w="100.0" w:type="dxa"/>
        <w:right w:w="0.0" w:type="dxa"/>
      </w:tblCellMar>
    </w:tblPr>
  </w:style>
  <w:style w:type="table" w:styleId="affffffffffffffffffffff1" w:customStyle="1">
    <w:basedOn w:val="TableNormal"/>
    <w:tblPr>
      <w:tblStyleRowBandSize w:val="1"/>
      <w:tblStyleColBandSize w:val="1"/>
      <w:tblCellMar>
        <w:top w:w="100.0" w:type="dxa"/>
        <w:left w:w="0.0" w:type="dxa"/>
        <w:bottom w:w="100.0" w:type="dxa"/>
        <w:right w:w="0.0" w:type="dxa"/>
      </w:tblCellMar>
    </w:tblPr>
  </w:style>
  <w:style w:type="table" w:styleId="affffffffffffffffffffff2" w:customStyle="1">
    <w:basedOn w:val="TableNormal"/>
    <w:tblPr>
      <w:tblStyleRowBandSize w:val="1"/>
      <w:tblStyleColBandSize w:val="1"/>
      <w:tblCellMar>
        <w:top w:w="100.0" w:type="dxa"/>
        <w:left w:w="0.0" w:type="dxa"/>
        <w:bottom w:w="100.0" w:type="dxa"/>
        <w:right w:w="0.0" w:type="dxa"/>
      </w:tblCellMar>
    </w:tblPr>
  </w:style>
  <w:style w:type="table" w:styleId="affffffffffffffffffffff3" w:customStyle="1">
    <w:basedOn w:val="TableNormal"/>
    <w:tblPr>
      <w:tblStyleRowBandSize w:val="1"/>
      <w:tblStyleColBandSize w:val="1"/>
      <w:tblCellMar>
        <w:top w:w="100.0" w:type="dxa"/>
        <w:left w:w="0.0" w:type="dxa"/>
        <w:bottom w:w="100.0" w:type="dxa"/>
        <w:right w:w="0.0" w:type="dxa"/>
      </w:tblCellMar>
    </w:tblPr>
  </w:style>
  <w:style w:type="table" w:styleId="affffffffffffffffffffff4" w:customStyle="1">
    <w:basedOn w:val="TableNormal"/>
    <w:tblPr>
      <w:tblStyleRowBandSize w:val="1"/>
      <w:tblStyleColBandSize w:val="1"/>
      <w:tblCellMar>
        <w:top w:w="100.0" w:type="dxa"/>
        <w:left w:w="0.0" w:type="dxa"/>
        <w:bottom w:w="100.0" w:type="dxa"/>
        <w:right w:w="0.0" w:type="dxa"/>
      </w:tblCellMar>
    </w:tblPr>
  </w:style>
  <w:style w:type="table" w:styleId="affffffffffffffffffffff5" w:customStyle="1">
    <w:basedOn w:val="TableNormal"/>
    <w:tblPr>
      <w:tblStyleRowBandSize w:val="1"/>
      <w:tblStyleColBandSize w:val="1"/>
      <w:tblCellMar>
        <w:top w:w="100.0" w:type="dxa"/>
        <w:left w:w="0.0" w:type="dxa"/>
        <w:bottom w:w="100.0" w:type="dxa"/>
        <w:right w:w="0.0" w:type="dxa"/>
      </w:tblCellMar>
    </w:tblPr>
  </w:style>
  <w:style w:type="table" w:styleId="affffffffffffffffffffff6" w:customStyle="1">
    <w:basedOn w:val="TableNormal"/>
    <w:tblPr>
      <w:tblStyleRowBandSize w:val="1"/>
      <w:tblStyleColBandSize w:val="1"/>
      <w:tblCellMar>
        <w:top w:w="100.0" w:type="dxa"/>
        <w:left w:w="0.0" w:type="dxa"/>
        <w:bottom w:w="100.0" w:type="dxa"/>
        <w:right w:w="0.0" w:type="dxa"/>
      </w:tblCellMar>
    </w:tblPr>
  </w:style>
  <w:style w:type="table" w:styleId="affffffffffffffffffffff7" w:customStyle="1">
    <w:basedOn w:val="TableNormal"/>
    <w:tblPr>
      <w:tblStyleRowBandSize w:val="1"/>
      <w:tblStyleColBandSize w:val="1"/>
      <w:tblCellMar>
        <w:top w:w="100.0" w:type="dxa"/>
        <w:left w:w="0.0" w:type="dxa"/>
        <w:bottom w:w="100.0" w:type="dxa"/>
        <w:right w:w="0.0" w:type="dxa"/>
      </w:tblCellMar>
    </w:tblPr>
  </w:style>
  <w:style w:type="table" w:styleId="affffffffffffffffffffff8" w:customStyle="1">
    <w:basedOn w:val="TableNormal"/>
    <w:tblPr>
      <w:tblStyleRowBandSize w:val="1"/>
      <w:tblStyleColBandSize w:val="1"/>
      <w:tblCellMar>
        <w:top w:w="100.0" w:type="dxa"/>
        <w:left w:w="0.0" w:type="dxa"/>
        <w:bottom w:w="100.0" w:type="dxa"/>
        <w:right w:w="0.0" w:type="dxa"/>
      </w:tblCellMar>
    </w:tblPr>
  </w:style>
  <w:style w:type="table" w:styleId="affffffffffffffffffffff9" w:customStyle="1">
    <w:basedOn w:val="TableNormal"/>
    <w:tblPr>
      <w:tblStyleRowBandSize w:val="1"/>
      <w:tblStyleColBandSize w:val="1"/>
      <w:tblCellMar>
        <w:top w:w="100.0" w:type="dxa"/>
        <w:left w:w="0.0" w:type="dxa"/>
        <w:bottom w:w="100.0" w:type="dxa"/>
        <w:right w:w="0.0" w:type="dxa"/>
      </w:tblCellMar>
    </w:tblPr>
  </w:style>
  <w:style w:type="table" w:styleId="affffffffffffffffffffffa" w:customStyle="1">
    <w:basedOn w:val="TableNormal"/>
    <w:tblPr>
      <w:tblStyleRowBandSize w:val="1"/>
      <w:tblStyleColBandSize w:val="1"/>
      <w:tblCellMar>
        <w:top w:w="100.0" w:type="dxa"/>
        <w:left w:w="0.0" w:type="dxa"/>
        <w:bottom w:w="100.0" w:type="dxa"/>
        <w:right w:w="0.0" w:type="dxa"/>
      </w:tblCellMar>
    </w:tblPr>
  </w:style>
  <w:style w:type="table" w:styleId="affffffffffffffffffffffb" w:customStyle="1">
    <w:basedOn w:val="TableNormal"/>
    <w:tblPr>
      <w:tblStyleRowBandSize w:val="1"/>
      <w:tblStyleColBandSize w:val="1"/>
      <w:tblCellMar>
        <w:top w:w="100.0" w:type="dxa"/>
        <w:left w:w="0.0" w:type="dxa"/>
        <w:bottom w:w="100.0" w:type="dxa"/>
        <w:right w:w="0.0" w:type="dxa"/>
      </w:tblCellMar>
    </w:tblPr>
  </w:style>
  <w:style w:type="table" w:styleId="affffffffffffffffffffffc" w:customStyle="1">
    <w:basedOn w:val="TableNormal"/>
    <w:tblPr>
      <w:tblStyleRowBandSize w:val="1"/>
      <w:tblStyleColBandSize w:val="1"/>
      <w:tblCellMar>
        <w:top w:w="100.0" w:type="dxa"/>
        <w:left w:w="0.0" w:type="dxa"/>
        <w:bottom w:w="100.0" w:type="dxa"/>
        <w:right w:w="0.0" w:type="dxa"/>
      </w:tblCellMar>
    </w:tblPr>
  </w:style>
  <w:style w:type="table" w:styleId="affffffffffffffffffffffd" w:customStyle="1">
    <w:basedOn w:val="TableNormal"/>
    <w:tblPr>
      <w:tblStyleRowBandSize w:val="1"/>
      <w:tblStyleColBandSize w:val="1"/>
      <w:tblCellMar>
        <w:top w:w="100.0" w:type="dxa"/>
        <w:left w:w="0.0" w:type="dxa"/>
        <w:bottom w:w="100.0" w:type="dxa"/>
        <w:right w:w="0.0" w:type="dxa"/>
      </w:tblCellMar>
    </w:tblPr>
  </w:style>
  <w:style w:type="table" w:styleId="affffffffffffffffffffffe" w:customStyle="1">
    <w:basedOn w:val="TableNormal"/>
    <w:tblPr>
      <w:tblStyleRowBandSize w:val="1"/>
      <w:tblStyleColBandSize w:val="1"/>
      <w:tblCellMar>
        <w:top w:w="100.0" w:type="dxa"/>
        <w:left w:w="0.0" w:type="dxa"/>
        <w:bottom w:w="100.0" w:type="dxa"/>
        <w:right w:w="0.0" w:type="dxa"/>
      </w:tblCellMar>
    </w:tblPr>
  </w:style>
  <w:style w:type="table" w:styleId="afffffffffffffffffffffff" w:customStyle="1">
    <w:basedOn w:val="TableNormal"/>
    <w:tblPr>
      <w:tblStyleRowBandSize w:val="1"/>
      <w:tblStyleColBandSize w:val="1"/>
      <w:tblCellMar>
        <w:top w:w="100.0" w:type="dxa"/>
        <w:left w:w="0.0" w:type="dxa"/>
        <w:bottom w:w="100.0" w:type="dxa"/>
        <w:right w:w="0.0" w:type="dxa"/>
      </w:tblCellMar>
    </w:tblPr>
  </w:style>
  <w:style w:type="table" w:styleId="afffffffffffffffffffffff0" w:customStyle="1">
    <w:basedOn w:val="TableNormal"/>
    <w:tblPr>
      <w:tblStyleRowBandSize w:val="1"/>
      <w:tblStyleColBandSize w:val="1"/>
      <w:tblCellMar>
        <w:top w:w="100.0" w:type="dxa"/>
        <w:left w:w="0.0" w:type="dxa"/>
        <w:bottom w:w="100.0" w:type="dxa"/>
        <w:right w:w="0.0" w:type="dxa"/>
      </w:tblCellMar>
    </w:tblPr>
  </w:style>
  <w:style w:type="table" w:styleId="afffffffffffffffffffffff1" w:customStyle="1">
    <w:basedOn w:val="TableNormal"/>
    <w:tblPr>
      <w:tblStyleRowBandSize w:val="1"/>
      <w:tblStyleColBandSize w:val="1"/>
      <w:tblCellMar>
        <w:top w:w="100.0" w:type="dxa"/>
        <w:left w:w="0.0" w:type="dxa"/>
        <w:bottom w:w="100.0" w:type="dxa"/>
        <w:right w:w="0.0" w:type="dxa"/>
      </w:tblCellMar>
    </w:tblPr>
  </w:style>
  <w:style w:type="table" w:styleId="afffffffffffffffffffffff2" w:customStyle="1">
    <w:basedOn w:val="TableNormal"/>
    <w:tblPr>
      <w:tblStyleRowBandSize w:val="1"/>
      <w:tblStyleColBandSize w:val="1"/>
      <w:tblCellMar>
        <w:top w:w="100.0" w:type="dxa"/>
        <w:left w:w="0.0" w:type="dxa"/>
        <w:bottom w:w="100.0" w:type="dxa"/>
        <w:right w:w="0.0" w:type="dxa"/>
      </w:tblCellMar>
    </w:tblPr>
  </w:style>
  <w:style w:type="table" w:styleId="afffffffffffffffffffffff3" w:customStyle="1">
    <w:basedOn w:val="TableNormal"/>
    <w:tblPr>
      <w:tblStyleRowBandSize w:val="1"/>
      <w:tblStyleColBandSize w:val="1"/>
      <w:tblCellMar>
        <w:top w:w="100.0" w:type="dxa"/>
        <w:left w:w="0.0" w:type="dxa"/>
        <w:bottom w:w="100.0" w:type="dxa"/>
        <w:right w:w="0.0" w:type="dxa"/>
      </w:tblCellMar>
    </w:tblPr>
  </w:style>
  <w:style w:type="table" w:styleId="afffffffffffffffffffffff4" w:customStyle="1">
    <w:basedOn w:val="TableNormal"/>
    <w:tblPr>
      <w:tblStyleRowBandSize w:val="1"/>
      <w:tblStyleColBandSize w:val="1"/>
      <w:tblCellMar>
        <w:top w:w="100.0" w:type="dxa"/>
        <w:left w:w="0.0" w:type="dxa"/>
        <w:bottom w:w="100.0" w:type="dxa"/>
        <w:right w:w="0.0" w:type="dxa"/>
      </w:tblCellMar>
    </w:tblPr>
  </w:style>
  <w:style w:type="table" w:styleId="afffffffffffffffffffffff5" w:customStyle="1">
    <w:basedOn w:val="TableNormal"/>
    <w:tblPr>
      <w:tblStyleRowBandSize w:val="1"/>
      <w:tblStyleColBandSize w:val="1"/>
      <w:tblCellMar>
        <w:top w:w="100.0" w:type="dxa"/>
        <w:left w:w="0.0" w:type="dxa"/>
        <w:bottom w:w="100.0" w:type="dxa"/>
        <w:right w:w="0.0" w:type="dxa"/>
      </w:tblCellMar>
    </w:tblPr>
  </w:style>
  <w:style w:type="table" w:styleId="afffffffffffffffffffffff6" w:customStyle="1">
    <w:basedOn w:val="TableNormal"/>
    <w:tblPr>
      <w:tblStyleRowBandSize w:val="1"/>
      <w:tblStyleColBandSize w:val="1"/>
      <w:tblCellMar>
        <w:top w:w="100.0" w:type="dxa"/>
        <w:left w:w="0.0" w:type="dxa"/>
        <w:bottom w:w="100.0" w:type="dxa"/>
        <w:right w:w="0.0" w:type="dxa"/>
      </w:tblCellMar>
    </w:tblPr>
  </w:style>
  <w:style w:type="table" w:styleId="afffffffffffffffffffffff7" w:customStyle="1">
    <w:basedOn w:val="TableNormal"/>
    <w:tblPr>
      <w:tblStyleRowBandSize w:val="1"/>
      <w:tblStyleColBandSize w:val="1"/>
      <w:tblCellMar>
        <w:top w:w="100.0" w:type="dxa"/>
        <w:left w:w="0.0" w:type="dxa"/>
        <w:bottom w:w="100.0" w:type="dxa"/>
        <w:right w:w="0.0" w:type="dxa"/>
      </w:tblCellMar>
    </w:tblPr>
  </w:style>
  <w:style w:type="table" w:styleId="afffffffffffffffffffffff8" w:customStyle="1">
    <w:basedOn w:val="TableNormal"/>
    <w:tblPr>
      <w:tblStyleRowBandSize w:val="1"/>
      <w:tblStyleColBandSize w:val="1"/>
      <w:tblCellMar>
        <w:top w:w="100.0" w:type="dxa"/>
        <w:left w:w="0.0" w:type="dxa"/>
        <w:bottom w:w="100.0" w:type="dxa"/>
        <w:right w:w="0.0" w:type="dxa"/>
      </w:tblCellMar>
    </w:tblPr>
  </w:style>
  <w:style w:type="table" w:styleId="afffffffffffffffffffffff9" w:customStyle="1">
    <w:basedOn w:val="TableNormal"/>
    <w:tblPr>
      <w:tblStyleRowBandSize w:val="1"/>
      <w:tblStyleColBandSize w:val="1"/>
      <w:tblCellMar>
        <w:top w:w="100.0" w:type="dxa"/>
        <w:left w:w="0.0" w:type="dxa"/>
        <w:bottom w:w="100.0" w:type="dxa"/>
        <w:right w:w="0.0" w:type="dxa"/>
      </w:tblCellMar>
    </w:tblPr>
  </w:style>
  <w:style w:type="table" w:styleId="afffffffffffffffffffffffa" w:customStyle="1">
    <w:basedOn w:val="TableNormal"/>
    <w:tblPr>
      <w:tblStyleRowBandSize w:val="1"/>
      <w:tblStyleColBandSize w:val="1"/>
      <w:tblCellMar>
        <w:top w:w="100.0" w:type="dxa"/>
        <w:left w:w="0.0" w:type="dxa"/>
        <w:bottom w:w="100.0" w:type="dxa"/>
        <w:right w:w="0.0" w:type="dxa"/>
      </w:tblCellMar>
    </w:tblPr>
  </w:style>
  <w:style w:type="table" w:styleId="afffffffffffffffffffffffb" w:customStyle="1">
    <w:basedOn w:val="TableNormal"/>
    <w:tblPr>
      <w:tblStyleRowBandSize w:val="1"/>
      <w:tblStyleColBandSize w:val="1"/>
      <w:tblCellMar>
        <w:top w:w="100.0" w:type="dxa"/>
        <w:left w:w="0.0" w:type="dxa"/>
        <w:bottom w:w="100.0" w:type="dxa"/>
        <w:right w:w="0.0" w:type="dxa"/>
      </w:tblCellMar>
    </w:tblPr>
  </w:style>
  <w:style w:type="table" w:styleId="afffffffffffffffffffffffc" w:customStyle="1">
    <w:basedOn w:val="TableNormal"/>
    <w:tblPr>
      <w:tblStyleRowBandSize w:val="1"/>
      <w:tblStyleColBandSize w:val="1"/>
      <w:tblCellMar>
        <w:top w:w="100.0" w:type="dxa"/>
        <w:left w:w="0.0" w:type="dxa"/>
        <w:bottom w:w="100.0" w:type="dxa"/>
        <w:right w:w="0.0" w:type="dxa"/>
      </w:tblCellMar>
    </w:tblPr>
  </w:style>
  <w:style w:type="table" w:styleId="afffffffffffffffffffffffd" w:customStyle="1">
    <w:basedOn w:val="TableNormal"/>
    <w:tblPr>
      <w:tblStyleRowBandSize w:val="1"/>
      <w:tblStyleColBandSize w:val="1"/>
      <w:tblCellMar>
        <w:top w:w="100.0" w:type="dxa"/>
        <w:left w:w="0.0" w:type="dxa"/>
        <w:bottom w:w="100.0" w:type="dxa"/>
        <w:right w:w="0.0" w:type="dxa"/>
      </w:tblCellMar>
    </w:tblPr>
  </w:style>
  <w:style w:type="table" w:styleId="afffffffffffffffffffffffe" w:customStyle="1">
    <w:basedOn w:val="TableNormal"/>
    <w:tblPr>
      <w:tblStyleRowBandSize w:val="1"/>
      <w:tblStyleColBandSize w:val="1"/>
      <w:tblCellMar>
        <w:top w:w="100.0" w:type="dxa"/>
        <w:left w:w="0.0" w:type="dxa"/>
        <w:bottom w:w="100.0" w:type="dxa"/>
        <w:right w:w="0.0" w:type="dxa"/>
      </w:tblCellMar>
    </w:tblPr>
  </w:style>
  <w:style w:type="table" w:styleId="affffffffffffffffffffffff" w:customStyle="1">
    <w:basedOn w:val="TableNormal"/>
    <w:tblPr>
      <w:tblStyleRowBandSize w:val="1"/>
      <w:tblStyleColBandSize w:val="1"/>
      <w:tblCellMar>
        <w:top w:w="100.0" w:type="dxa"/>
        <w:left w:w="0.0" w:type="dxa"/>
        <w:bottom w:w="100.0" w:type="dxa"/>
        <w:right w:w="0.0" w:type="dxa"/>
      </w:tblCellMar>
    </w:tblPr>
  </w:style>
  <w:style w:type="table" w:styleId="affffffffffffffffffffffff0" w:customStyle="1">
    <w:basedOn w:val="TableNormal"/>
    <w:tblPr>
      <w:tblStyleRowBandSize w:val="1"/>
      <w:tblStyleColBandSize w:val="1"/>
      <w:tblCellMar>
        <w:top w:w="100.0" w:type="dxa"/>
        <w:left w:w="0.0" w:type="dxa"/>
        <w:bottom w:w="100.0" w:type="dxa"/>
        <w:right w:w="0.0" w:type="dxa"/>
      </w:tblCellMar>
    </w:tblPr>
  </w:style>
  <w:style w:type="table" w:styleId="affffffffffffffffffffffff1" w:customStyle="1">
    <w:basedOn w:val="TableNormal"/>
    <w:tblPr>
      <w:tblStyleRowBandSize w:val="1"/>
      <w:tblStyleColBandSize w:val="1"/>
      <w:tblCellMar>
        <w:top w:w="100.0" w:type="dxa"/>
        <w:left w:w="0.0" w:type="dxa"/>
        <w:bottom w:w="100.0" w:type="dxa"/>
        <w:right w:w="0.0" w:type="dxa"/>
      </w:tblCellMar>
    </w:tblPr>
  </w:style>
  <w:style w:type="table" w:styleId="affffffffffffffffffffffff2" w:customStyle="1">
    <w:basedOn w:val="TableNormal"/>
    <w:tblPr>
      <w:tblStyleRowBandSize w:val="1"/>
      <w:tblStyleColBandSize w:val="1"/>
      <w:tblCellMar>
        <w:top w:w="100.0" w:type="dxa"/>
        <w:left w:w="0.0" w:type="dxa"/>
        <w:bottom w:w="100.0" w:type="dxa"/>
        <w:right w:w="0.0" w:type="dxa"/>
      </w:tblCellMar>
    </w:tblPr>
  </w:style>
  <w:style w:type="table" w:styleId="affffffffffffffffffffffff3" w:customStyle="1">
    <w:basedOn w:val="TableNormal"/>
    <w:tblPr>
      <w:tblStyleRowBandSize w:val="1"/>
      <w:tblStyleColBandSize w:val="1"/>
      <w:tblCellMar>
        <w:top w:w="100.0" w:type="dxa"/>
        <w:left w:w="0.0" w:type="dxa"/>
        <w:bottom w:w="100.0" w:type="dxa"/>
        <w:right w:w="0.0" w:type="dxa"/>
      </w:tblCellMar>
    </w:tblPr>
  </w:style>
  <w:style w:type="table" w:styleId="affffffffffffffffffffffff4" w:customStyle="1">
    <w:basedOn w:val="TableNormal"/>
    <w:tblPr>
      <w:tblStyleRowBandSize w:val="1"/>
      <w:tblStyleColBandSize w:val="1"/>
      <w:tblCellMar>
        <w:top w:w="100.0" w:type="dxa"/>
        <w:left w:w="0.0" w:type="dxa"/>
        <w:bottom w:w="100.0" w:type="dxa"/>
        <w:right w:w="0.0" w:type="dxa"/>
      </w:tblCellMar>
    </w:tblPr>
  </w:style>
  <w:style w:type="table" w:styleId="affffffffffffffffffffffff5" w:customStyle="1">
    <w:basedOn w:val="TableNormal"/>
    <w:tblPr>
      <w:tblStyleRowBandSize w:val="1"/>
      <w:tblStyleColBandSize w:val="1"/>
      <w:tblCellMar>
        <w:top w:w="100.0" w:type="dxa"/>
        <w:left w:w="0.0" w:type="dxa"/>
        <w:bottom w:w="100.0" w:type="dxa"/>
        <w:right w:w="0.0" w:type="dxa"/>
      </w:tblCellMar>
    </w:tblPr>
  </w:style>
  <w:style w:type="table" w:styleId="affffffffffffffffffffffff6" w:customStyle="1">
    <w:basedOn w:val="TableNormal"/>
    <w:tblPr>
      <w:tblStyleRowBandSize w:val="1"/>
      <w:tblStyleColBandSize w:val="1"/>
      <w:tblCellMar>
        <w:top w:w="100.0" w:type="dxa"/>
        <w:left w:w="0.0" w:type="dxa"/>
        <w:bottom w:w="100.0" w:type="dxa"/>
        <w:right w:w="0.0" w:type="dxa"/>
      </w:tblCellMar>
    </w:tblPr>
  </w:style>
  <w:style w:type="table" w:styleId="affffffffffffffffffffffff7" w:customStyle="1">
    <w:basedOn w:val="TableNormal"/>
    <w:tblPr>
      <w:tblStyleRowBandSize w:val="1"/>
      <w:tblStyleColBandSize w:val="1"/>
      <w:tblCellMar>
        <w:top w:w="100.0" w:type="dxa"/>
        <w:left w:w="0.0" w:type="dxa"/>
        <w:bottom w:w="100.0" w:type="dxa"/>
        <w:right w:w="0.0" w:type="dxa"/>
      </w:tblCellMar>
    </w:tblPr>
  </w:style>
  <w:style w:type="table" w:styleId="affffffffffffffffffffffff8" w:customStyle="1">
    <w:basedOn w:val="TableNormal"/>
    <w:tblPr>
      <w:tblStyleRowBandSize w:val="1"/>
      <w:tblStyleColBandSize w:val="1"/>
      <w:tblCellMar>
        <w:top w:w="100.0" w:type="dxa"/>
        <w:left w:w="0.0" w:type="dxa"/>
        <w:bottom w:w="100.0" w:type="dxa"/>
        <w:right w:w="0.0" w:type="dxa"/>
      </w:tblCellMar>
    </w:tblPr>
  </w:style>
  <w:style w:type="table" w:styleId="affffffffffffffffffffffff9" w:customStyle="1">
    <w:basedOn w:val="TableNormal"/>
    <w:tblPr>
      <w:tblStyleRowBandSize w:val="1"/>
      <w:tblStyleColBandSize w:val="1"/>
      <w:tblCellMar>
        <w:top w:w="100.0" w:type="dxa"/>
        <w:left w:w="0.0" w:type="dxa"/>
        <w:bottom w:w="100.0" w:type="dxa"/>
        <w:right w:w="0.0" w:type="dxa"/>
      </w:tblCellMar>
    </w:tblPr>
  </w:style>
  <w:style w:type="table" w:styleId="affffffffffffffffffffffffa" w:customStyle="1">
    <w:basedOn w:val="TableNormal"/>
    <w:tblPr>
      <w:tblStyleRowBandSize w:val="1"/>
      <w:tblStyleColBandSize w:val="1"/>
      <w:tblCellMar>
        <w:top w:w="100.0" w:type="dxa"/>
        <w:left w:w="0.0" w:type="dxa"/>
        <w:bottom w:w="100.0" w:type="dxa"/>
        <w:right w:w="0.0" w:type="dxa"/>
      </w:tblCellMar>
    </w:tblPr>
  </w:style>
  <w:style w:type="paragraph" w:styleId="Subtitle">
    <w:name w:val="Subtitle"/>
    <w:basedOn w:val="Normal"/>
    <w:next w:val="Normal"/>
    <w:pPr>
      <w:keepNext w:val="1"/>
      <w:keepLines w:val="1"/>
      <w:spacing w:after="80" w:before="360" w:lineRule="auto"/>
    </w:pPr>
    <w:rPr>
      <w:rFonts w:ascii="Georgia" w:cs="Georgia" w:eastAsia="Georgia" w:hAnsi="Georgia"/>
      <w:i w:val="1"/>
      <w:color w:val="666666"/>
      <w:sz w:val="48"/>
      <w:szCs w:val="48"/>
    </w:rPr>
  </w:style>
  <w:style w:type="paragraph" w:styleId="Subtitle">
    <w:name w:val="Subtitle"/>
    <w:basedOn w:val="Normal"/>
    <w:next w:val="Normal"/>
    <w:pPr>
      <w:keepNext w:val="1"/>
      <w:keepLines w:val="1"/>
      <w:spacing w:after="80" w:before="360" w:lineRule="auto"/>
    </w:pPr>
    <w:rPr>
      <w:rFonts w:ascii="Georgia" w:cs="Georgia" w:eastAsia="Georgia" w:hAnsi="Georgia"/>
      <w:i w:val="1"/>
      <w:color w:val="666666"/>
      <w:sz w:val="48"/>
      <w:szCs w:val="48"/>
    </w:rPr>
  </w:style>
  <w:style w:type="table" w:styleId="Table1">
    <w:basedOn w:val="TableNormal"/>
    <w:tblPr>
      <w:tblStyleRowBandSize w:val="1"/>
      <w:tblStyleColBandSize w:val="1"/>
      <w:tblCellMar>
        <w:top w:w="100.0" w:type="dxa"/>
        <w:left w:w="100.0" w:type="dxa"/>
        <w:bottom w:w="100.0" w:type="dxa"/>
        <w:right w:w="100.0" w:type="dxa"/>
      </w:tblCellMar>
    </w:tbl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footer" Target="footer1.xml"/><Relationship Id="rId5" Type="http://schemas.openxmlformats.org/officeDocument/2006/relationships/styles" Target="styles.xml"/><Relationship Id="rId6" Type="http://schemas.openxmlformats.org/officeDocument/2006/relationships/customXml" Target="../customXML/item1.xml"/><Relationship Id="rId7" Type="http://schemas.openxmlformats.org/officeDocument/2006/relationships/image" Target="media/image2.png"/><Relationship Id="rId8"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go:docsCustomData xmlns:go="http://customooxmlschemas.google.com/" roundtripDataSignature="AMtx7mheYL+Np5U85mZ0RiJT9DCPJRF6pw==">AMUW2mV78rLhxd6CkYh8ZAx1Sl2JtjBATQHcoiZfkoiSsnM7/ivTVIezM0jK7NmIJFM/1WywD89N+tnq5Zd0o03lvPL/UtyBlr8OtiWCCjCUTwwvVlkBc+qzG9hnr4K++EfnbeWx99du33sRNbv25csS/cR1YJtniTFJDB7ka+cK5Khi+ZnazQXFhm6HKlzgxSzgWUBbVY6jf/2zWWNKIhH9U4Q0uDw8ij4zUHs46sx91g8m9PIGyjFqmf+N9/e9EGI0pL8rer5LM1PaMwNsp8u/1cReALKd67nCtZLsBzS9P9wL1/tnRqq8swsQMTrt7fSV9hbj3SJq</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2022-05-25T09:43:00Z</dcterms:created>
</cp:coreProperties>
</file>