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5C258F" w14:textId="77777777" w:rsidR="00761279" w:rsidRDefault="00761279">
      <w:pPr>
        <w:spacing w:after="160" w:line="259" w:lineRule="auto"/>
        <w:jc w:val="left"/>
        <w:rPr>
          <w:b/>
          <w:bCs/>
          <w:lang w:val="en-US"/>
        </w:rPr>
      </w:pPr>
      <w:r w:rsidRPr="00761279">
        <w:rPr>
          <w:b/>
          <w:bCs/>
          <w:noProof/>
          <w:lang w:val="en-US"/>
        </w:rPr>
        <w:drawing>
          <wp:inline distT="0" distB="0" distL="0" distR="0" wp14:anchorId="5DD719AE" wp14:editId="200121AC">
            <wp:extent cx="1933845" cy="743054"/>
            <wp:effectExtent l="0" t="0" r="0" b="0"/>
            <wp:docPr id="2016200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620025" name=""/>
                    <pic:cNvPicPr/>
                  </pic:nvPicPr>
                  <pic:blipFill>
                    <a:blip r:embed="rId8"/>
                    <a:stretch>
                      <a:fillRect/>
                    </a:stretch>
                  </pic:blipFill>
                  <pic:spPr>
                    <a:xfrm>
                      <a:off x="0" y="0"/>
                      <a:ext cx="1933845" cy="743054"/>
                    </a:xfrm>
                    <a:prstGeom prst="rect">
                      <a:avLst/>
                    </a:prstGeom>
                  </pic:spPr>
                </pic:pic>
              </a:graphicData>
            </a:graphic>
          </wp:inline>
        </w:drawing>
      </w:r>
    </w:p>
    <w:p w14:paraId="4A08DE8F" w14:textId="77777777" w:rsidR="00761279" w:rsidRDefault="00761279">
      <w:pPr>
        <w:spacing w:after="160" w:line="259" w:lineRule="auto"/>
        <w:jc w:val="left"/>
        <w:rPr>
          <w:b/>
          <w:bCs/>
          <w:lang w:val="en-US"/>
        </w:rPr>
      </w:pPr>
    </w:p>
    <w:p w14:paraId="51301670" w14:textId="77777777" w:rsidR="00761279" w:rsidRPr="00761279" w:rsidRDefault="00761279" w:rsidP="00761279">
      <w:pPr>
        <w:spacing w:after="160" w:line="259" w:lineRule="auto"/>
        <w:jc w:val="center"/>
        <w:rPr>
          <w:b/>
          <w:bCs/>
          <w:sz w:val="48"/>
          <w:szCs w:val="48"/>
        </w:rPr>
      </w:pPr>
      <w:r w:rsidRPr="00761279">
        <w:rPr>
          <w:b/>
          <w:bCs/>
          <w:sz w:val="48"/>
          <w:szCs w:val="48"/>
        </w:rPr>
        <w:t>BA (Hons) Business Management</w:t>
      </w:r>
    </w:p>
    <w:p w14:paraId="3AE9C29C" w14:textId="77777777" w:rsidR="00761279" w:rsidRDefault="00761279" w:rsidP="00761279">
      <w:pPr>
        <w:spacing w:after="160" w:line="259" w:lineRule="auto"/>
        <w:jc w:val="center"/>
        <w:rPr>
          <w:b/>
          <w:bCs/>
          <w:sz w:val="48"/>
          <w:szCs w:val="48"/>
        </w:rPr>
      </w:pPr>
      <w:r w:rsidRPr="00761279">
        <w:rPr>
          <w:b/>
          <w:bCs/>
          <w:sz w:val="48"/>
          <w:szCs w:val="48"/>
        </w:rPr>
        <w:t>Project Management</w:t>
      </w:r>
    </w:p>
    <w:p w14:paraId="320B8C0D" w14:textId="77777777" w:rsidR="00761279" w:rsidRPr="00761279" w:rsidRDefault="00761279" w:rsidP="00761279">
      <w:pPr>
        <w:spacing w:after="160" w:line="259" w:lineRule="auto"/>
        <w:jc w:val="center"/>
        <w:rPr>
          <w:b/>
          <w:bCs/>
          <w:sz w:val="48"/>
          <w:szCs w:val="48"/>
        </w:rPr>
      </w:pPr>
    </w:p>
    <w:p w14:paraId="43E53706" w14:textId="77777777" w:rsidR="00761279" w:rsidRDefault="00761279" w:rsidP="00761279">
      <w:pPr>
        <w:spacing w:after="160" w:line="259" w:lineRule="auto"/>
        <w:jc w:val="center"/>
        <w:rPr>
          <w:b/>
          <w:bCs/>
          <w:sz w:val="48"/>
          <w:szCs w:val="48"/>
        </w:rPr>
      </w:pPr>
      <w:r w:rsidRPr="00761279">
        <w:rPr>
          <w:b/>
          <w:bCs/>
          <w:sz w:val="48"/>
          <w:szCs w:val="48"/>
        </w:rPr>
        <w:t>LCBB6006</w:t>
      </w:r>
    </w:p>
    <w:p w14:paraId="66FDF092" w14:textId="77777777" w:rsidR="00761279" w:rsidRPr="00761279" w:rsidRDefault="00761279" w:rsidP="00761279">
      <w:pPr>
        <w:spacing w:after="160" w:line="259" w:lineRule="auto"/>
        <w:jc w:val="center"/>
        <w:rPr>
          <w:b/>
          <w:bCs/>
          <w:sz w:val="48"/>
          <w:szCs w:val="48"/>
        </w:rPr>
      </w:pPr>
    </w:p>
    <w:p w14:paraId="6DE04CBF" w14:textId="042404C4" w:rsidR="00761279" w:rsidRDefault="00761279" w:rsidP="00761279">
      <w:pPr>
        <w:spacing w:after="160" w:line="259" w:lineRule="auto"/>
        <w:jc w:val="center"/>
        <w:rPr>
          <w:b/>
          <w:bCs/>
          <w:sz w:val="48"/>
          <w:szCs w:val="48"/>
        </w:rPr>
      </w:pPr>
      <w:r w:rsidRPr="00761279">
        <w:rPr>
          <w:b/>
          <w:bCs/>
          <w:sz w:val="48"/>
          <w:szCs w:val="48"/>
        </w:rPr>
        <w:t>Component 1</w:t>
      </w:r>
      <w:r w:rsidR="00AF4541">
        <w:rPr>
          <w:b/>
          <w:bCs/>
          <w:sz w:val="48"/>
          <w:szCs w:val="48"/>
        </w:rPr>
        <w:t xml:space="preserve"> </w:t>
      </w:r>
    </w:p>
    <w:p w14:paraId="06C2D000" w14:textId="77777777" w:rsidR="00761279" w:rsidRPr="00761279" w:rsidRDefault="00761279" w:rsidP="00761279">
      <w:pPr>
        <w:spacing w:after="160" w:line="259" w:lineRule="auto"/>
        <w:jc w:val="center"/>
        <w:rPr>
          <w:b/>
          <w:bCs/>
          <w:sz w:val="48"/>
          <w:szCs w:val="48"/>
        </w:rPr>
      </w:pPr>
    </w:p>
    <w:p w14:paraId="211BD04B" w14:textId="77777777" w:rsidR="00761279" w:rsidRDefault="00761279" w:rsidP="00761279">
      <w:pPr>
        <w:spacing w:after="160" w:line="259" w:lineRule="auto"/>
        <w:jc w:val="center"/>
        <w:rPr>
          <w:b/>
          <w:bCs/>
        </w:rPr>
      </w:pPr>
      <w:r w:rsidRPr="00761279">
        <w:rPr>
          <w:b/>
          <w:bCs/>
          <w:sz w:val="48"/>
          <w:szCs w:val="48"/>
        </w:rPr>
        <w:t>Coursework: Essay</w:t>
      </w:r>
      <w:r w:rsidRPr="00761279">
        <w:rPr>
          <w:b/>
          <w:bCs/>
        </w:rPr>
        <w:t xml:space="preserve"> </w:t>
      </w:r>
    </w:p>
    <w:p w14:paraId="37CA0BEA" w14:textId="77777777" w:rsidR="00761279" w:rsidRDefault="00761279" w:rsidP="00761279">
      <w:pPr>
        <w:spacing w:after="160" w:line="259" w:lineRule="auto"/>
        <w:jc w:val="center"/>
        <w:rPr>
          <w:b/>
          <w:bCs/>
        </w:rPr>
      </w:pPr>
    </w:p>
    <w:p w14:paraId="4432C597" w14:textId="77777777" w:rsidR="00761279" w:rsidRDefault="00761279" w:rsidP="00761279">
      <w:pPr>
        <w:spacing w:after="160" w:line="259" w:lineRule="auto"/>
        <w:jc w:val="center"/>
        <w:rPr>
          <w:b/>
          <w:bCs/>
        </w:rPr>
      </w:pPr>
    </w:p>
    <w:p w14:paraId="3F90E506" w14:textId="77777777" w:rsidR="00761279" w:rsidRDefault="00761279" w:rsidP="00761279">
      <w:pPr>
        <w:spacing w:after="160" w:line="259" w:lineRule="auto"/>
        <w:jc w:val="center"/>
        <w:rPr>
          <w:b/>
          <w:bCs/>
        </w:rPr>
      </w:pPr>
    </w:p>
    <w:p w14:paraId="35362BF0" w14:textId="77777777" w:rsidR="00761279" w:rsidRPr="00DC591F" w:rsidRDefault="00761279" w:rsidP="00761279">
      <w:pPr>
        <w:spacing w:after="160" w:line="259" w:lineRule="auto"/>
        <w:jc w:val="center"/>
        <w:rPr>
          <w:b/>
          <w:bCs/>
          <w:sz w:val="36"/>
          <w:szCs w:val="36"/>
        </w:rPr>
      </w:pPr>
    </w:p>
    <w:p w14:paraId="70DF733B" w14:textId="6CF4FC96" w:rsidR="00761279" w:rsidRPr="00DC591F" w:rsidRDefault="00761279" w:rsidP="00761279">
      <w:pPr>
        <w:spacing w:after="160" w:line="259" w:lineRule="auto"/>
        <w:jc w:val="center"/>
        <w:rPr>
          <w:b/>
          <w:bCs/>
          <w:sz w:val="36"/>
          <w:szCs w:val="36"/>
        </w:rPr>
      </w:pPr>
      <w:r w:rsidRPr="00DC591F">
        <w:rPr>
          <w:b/>
          <w:bCs/>
          <w:sz w:val="36"/>
          <w:szCs w:val="36"/>
        </w:rPr>
        <w:t>Student ID:</w:t>
      </w:r>
      <w:r w:rsidR="00DC591F" w:rsidRPr="00DC591F">
        <w:rPr>
          <w:b/>
          <w:bCs/>
          <w:sz w:val="36"/>
          <w:szCs w:val="36"/>
        </w:rPr>
        <w:t>2130698</w:t>
      </w:r>
    </w:p>
    <w:p w14:paraId="6C8EC7B9" w14:textId="2FC2CFD3" w:rsidR="00761279" w:rsidRPr="00DC591F" w:rsidRDefault="00761279" w:rsidP="00761279">
      <w:pPr>
        <w:spacing w:after="160" w:line="259" w:lineRule="auto"/>
        <w:jc w:val="center"/>
        <w:rPr>
          <w:b/>
          <w:bCs/>
          <w:sz w:val="36"/>
          <w:szCs w:val="36"/>
        </w:rPr>
      </w:pPr>
      <w:r w:rsidRPr="00DC591F">
        <w:rPr>
          <w:b/>
          <w:bCs/>
          <w:sz w:val="36"/>
          <w:szCs w:val="36"/>
        </w:rPr>
        <w:t xml:space="preserve">Student </w:t>
      </w:r>
      <w:proofErr w:type="spellStart"/>
      <w:proofErr w:type="gramStart"/>
      <w:r w:rsidRPr="00DC591F">
        <w:rPr>
          <w:b/>
          <w:bCs/>
          <w:sz w:val="36"/>
          <w:szCs w:val="36"/>
        </w:rPr>
        <w:t>Name:</w:t>
      </w:r>
      <w:r w:rsidR="00DC591F" w:rsidRPr="00DC591F">
        <w:rPr>
          <w:b/>
          <w:bCs/>
          <w:sz w:val="36"/>
          <w:szCs w:val="36"/>
        </w:rPr>
        <w:t>Andreea</w:t>
      </w:r>
      <w:proofErr w:type="spellEnd"/>
      <w:proofErr w:type="gramEnd"/>
      <w:r w:rsidR="00DC591F" w:rsidRPr="00DC591F">
        <w:rPr>
          <w:b/>
          <w:bCs/>
          <w:sz w:val="36"/>
          <w:szCs w:val="36"/>
        </w:rPr>
        <w:t xml:space="preserve"> Tudorache</w:t>
      </w:r>
    </w:p>
    <w:p w14:paraId="44210645" w14:textId="087128B6" w:rsidR="00B5677C" w:rsidRDefault="00B5677C" w:rsidP="00761279">
      <w:pPr>
        <w:spacing w:after="160" w:line="259" w:lineRule="auto"/>
        <w:jc w:val="center"/>
        <w:rPr>
          <w:b/>
          <w:bCs/>
          <w:lang w:val="en-US"/>
        </w:rPr>
      </w:pPr>
      <w:r>
        <w:rPr>
          <w:b/>
          <w:bCs/>
          <w:lang w:val="en-US"/>
        </w:rPr>
        <w:br w:type="page"/>
      </w:r>
    </w:p>
    <w:sdt>
      <w:sdtPr>
        <w:rPr>
          <w:rFonts w:ascii="Times New Roman" w:eastAsiaTheme="minorHAnsi" w:hAnsi="Times New Roman" w:cstheme="minorBidi"/>
          <w:color w:val="000000" w:themeColor="text1"/>
          <w:sz w:val="24"/>
          <w:szCs w:val="22"/>
          <w:lang w:val="en-GB" w:bidi="ar-SA"/>
        </w:rPr>
        <w:id w:val="-512683327"/>
        <w:docPartObj>
          <w:docPartGallery w:val="Table of Contents"/>
          <w:docPartUnique/>
        </w:docPartObj>
      </w:sdtPr>
      <w:sdtEndPr>
        <w:rPr>
          <w:b/>
          <w:bCs/>
        </w:rPr>
      </w:sdtEndPr>
      <w:sdtContent>
        <w:p w14:paraId="79F6B3C3" w14:textId="52531A12" w:rsidR="00B5677C" w:rsidRPr="00021E9D" w:rsidRDefault="00B5677C">
          <w:pPr>
            <w:pStyle w:val="TOCHeading"/>
            <w:rPr>
              <w:rFonts w:asciiTheme="majorBidi" w:hAnsiTheme="majorBidi"/>
              <w:b/>
              <w:bCs/>
              <w:color w:val="000000" w:themeColor="text1"/>
            </w:rPr>
          </w:pPr>
          <w:r w:rsidRPr="00021E9D">
            <w:rPr>
              <w:rFonts w:asciiTheme="majorBidi" w:hAnsiTheme="majorBidi"/>
              <w:b/>
              <w:bCs/>
              <w:color w:val="000000" w:themeColor="text1"/>
              <w:lang w:val="en-GB"/>
            </w:rPr>
            <w:t>Table of Contents</w:t>
          </w:r>
        </w:p>
        <w:p w14:paraId="075147A8" w14:textId="163A683B" w:rsidR="00AF4541" w:rsidRDefault="00B5677C">
          <w:pPr>
            <w:pStyle w:val="TOC1"/>
            <w:tabs>
              <w:tab w:val="right" w:leader="dot" w:pos="9016"/>
            </w:tabs>
            <w:rPr>
              <w:rFonts w:asciiTheme="minorHAnsi" w:eastAsiaTheme="minorEastAsia" w:hAnsiTheme="minorHAnsi"/>
              <w:noProof/>
              <w:color w:val="auto"/>
              <w:kern w:val="2"/>
              <w:szCs w:val="24"/>
              <w:lang w:val="en-IN" w:eastAsia="en-IN"/>
              <w14:ligatures w14:val="standardContextual"/>
            </w:rPr>
          </w:pPr>
          <w:r>
            <w:fldChar w:fldCharType="begin"/>
          </w:r>
          <w:r>
            <w:instrText xml:space="preserve"> TOC \o "1-3" \h \z \u </w:instrText>
          </w:r>
          <w:r>
            <w:fldChar w:fldCharType="separate"/>
          </w:r>
          <w:hyperlink w:anchor="_Toc211266539" w:history="1">
            <w:r w:rsidR="00AF4541" w:rsidRPr="00D30B38">
              <w:rPr>
                <w:rStyle w:val="Hyperlink"/>
                <w:noProof/>
              </w:rPr>
              <w:t>Introduction</w:t>
            </w:r>
            <w:r w:rsidR="00AF4541">
              <w:rPr>
                <w:noProof/>
                <w:webHidden/>
              </w:rPr>
              <w:tab/>
            </w:r>
            <w:r w:rsidR="00AF4541">
              <w:rPr>
                <w:noProof/>
                <w:webHidden/>
              </w:rPr>
              <w:fldChar w:fldCharType="begin"/>
            </w:r>
            <w:r w:rsidR="00AF4541">
              <w:rPr>
                <w:noProof/>
                <w:webHidden/>
              </w:rPr>
              <w:instrText xml:space="preserve"> PAGEREF _Toc211266539 \h </w:instrText>
            </w:r>
            <w:r w:rsidR="00AF4541">
              <w:rPr>
                <w:noProof/>
                <w:webHidden/>
              </w:rPr>
            </w:r>
            <w:r w:rsidR="00AF4541">
              <w:rPr>
                <w:noProof/>
                <w:webHidden/>
              </w:rPr>
              <w:fldChar w:fldCharType="separate"/>
            </w:r>
            <w:r w:rsidR="00AF4541">
              <w:rPr>
                <w:noProof/>
                <w:webHidden/>
              </w:rPr>
              <w:t>3</w:t>
            </w:r>
            <w:r w:rsidR="00AF4541">
              <w:rPr>
                <w:noProof/>
                <w:webHidden/>
              </w:rPr>
              <w:fldChar w:fldCharType="end"/>
            </w:r>
          </w:hyperlink>
        </w:p>
        <w:p w14:paraId="5436BA0B" w14:textId="4F92A146" w:rsidR="00AF4541" w:rsidRDefault="00AF4541">
          <w:pPr>
            <w:pStyle w:val="TOC1"/>
            <w:tabs>
              <w:tab w:val="right" w:leader="dot" w:pos="9016"/>
            </w:tabs>
            <w:rPr>
              <w:rFonts w:asciiTheme="minorHAnsi" w:eastAsiaTheme="minorEastAsia" w:hAnsiTheme="minorHAnsi"/>
              <w:noProof/>
              <w:color w:val="auto"/>
              <w:kern w:val="2"/>
              <w:szCs w:val="24"/>
              <w:lang w:val="en-IN" w:eastAsia="en-IN"/>
              <w14:ligatures w14:val="standardContextual"/>
            </w:rPr>
          </w:pPr>
          <w:hyperlink w:anchor="_Toc211266540" w:history="1">
            <w:r w:rsidRPr="00D30B38">
              <w:rPr>
                <w:rStyle w:val="Hyperlink"/>
                <w:noProof/>
              </w:rPr>
              <w:t>Main Body</w:t>
            </w:r>
            <w:r>
              <w:rPr>
                <w:noProof/>
                <w:webHidden/>
              </w:rPr>
              <w:tab/>
            </w:r>
            <w:r>
              <w:rPr>
                <w:noProof/>
                <w:webHidden/>
              </w:rPr>
              <w:fldChar w:fldCharType="begin"/>
            </w:r>
            <w:r>
              <w:rPr>
                <w:noProof/>
                <w:webHidden/>
              </w:rPr>
              <w:instrText xml:space="preserve"> PAGEREF _Toc211266540 \h </w:instrText>
            </w:r>
            <w:r>
              <w:rPr>
                <w:noProof/>
                <w:webHidden/>
              </w:rPr>
            </w:r>
            <w:r>
              <w:rPr>
                <w:noProof/>
                <w:webHidden/>
              </w:rPr>
              <w:fldChar w:fldCharType="separate"/>
            </w:r>
            <w:r>
              <w:rPr>
                <w:noProof/>
                <w:webHidden/>
              </w:rPr>
              <w:t>4</w:t>
            </w:r>
            <w:r>
              <w:rPr>
                <w:noProof/>
                <w:webHidden/>
              </w:rPr>
              <w:fldChar w:fldCharType="end"/>
            </w:r>
          </w:hyperlink>
        </w:p>
        <w:p w14:paraId="528C12CF" w14:textId="42511A0F" w:rsidR="00AF4541" w:rsidRDefault="00AF4541">
          <w:pPr>
            <w:pStyle w:val="TOC1"/>
            <w:tabs>
              <w:tab w:val="right" w:leader="dot" w:pos="9016"/>
            </w:tabs>
            <w:rPr>
              <w:rFonts w:asciiTheme="minorHAnsi" w:eastAsiaTheme="minorEastAsia" w:hAnsiTheme="minorHAnsi"/>
              <w:noProof/>
              <w:color w:val="auto"/>
              <w:kern w:val="2"/>
              <w:szCs w:val="24"/>
              <w:lang w:val="en-IN" w:eastAsia="en-IN"/>
              <w14:ligatures w14:val="standardContextual"/>
            </w:rPr>
          </w:pPr>
          <w:hyperlink w:anchor="_Toc211266541" w:history="1">
            <w:r w:rsidRPr="00D30B38">
              <w:rPr>
                <w:rStyle w:val="Hyperlink"/>
                <w:noProof/>
              </w:rPr>
              <w:t>Conclusion</w:t>
            </w:r>
            <w:r>
              <w:rPr>
                <w:noProof/>
                <w:webHidden/>
              </w:rPr>
              <w:tab/>
            </w:r>
            <w:r>
              <w:rPr>
                <w:noProof/>
                <w:webHidden/>
              </w:rPr>
              <w:fldChar w:fldCharType="begin"/>
            </w:r>
            <w:r>
              <w:rPr>
                <w:noProof/>
                <w:webHidden/>
              </w:rPr>
              <w:instrText xml:space="preserve"> PAGEREF _Toc211266541 \h </w:instrText>
            </w:r>
            <w:r>
              <w:rPr>
                <w:noProof/>
                <w:webHidden/>
              </w:rPr>
            </w:r>
            <w:r>
              <w:rPr>
                <w:noProof/>
                <w:webHidden/>
              </w:rPr>
              <w:fldChar w:fldCharType="separate"/>
            </w:r>
            <w:r>
              <w:rPr>
                <w:noProof/>
                <w:webHidden/>
              </w:rPr>
              <w:t>9</w:t>
            </w:r>
            <w:r>
              <w:rPr>
                <w:noProof/>
                <w:webHidden/>
              </w:rPr>
              <w:fldChar w:fldCharType="end"/>
            </w:r>
          </w:hyperlink>
        </w:p>
        <w:p w14:paraId="62BA6EBB" w14:textId="05770411" w:rsidR="00AF4541" w:rsidRDefault="00AF4541">
          <w:pPr>
            <w:pStyle w:val="TOC1"/>
            <w:tabs>
              <w:tab w:val="right" w:leader="dot" w:pos="9016"/>
            </w:tabs>
            <w:rPr>
              <w:rFonts w:asciiTheme="minorHAnsi" w:eastAsiaTheme="minorEastAsia" w:hAnsiTheme="minorHAnsi"/>
              <w:noProof/>
              <w:color w:val="auto"/>
              <w:kern w:val="2"/>
              <w:szCs w:val="24"/>
              <w:lang w:val="en-IN" w:eastAsia="en-IN"/>
              <w14:ligatures w14:val="standardContextual"/>
            </w:rPr>
          </w:pPr>
          <w:hyperlink w:anchor="_Toc211266542" w:history="1">
            <w:r w:rsidRPr="00D30B38">
              <w:rPr>
                <w:rStyle w:val="Hyperlink"/>
                <w:noProof/>
              </w:rPr>
              <w:t>References</w:t>
            </w:r>
            <w:r>
              <w:rPr>
                <w:noProof/>
                <w:webHidden/>
              </w:rPr>
              <w:tab/>
            </w:r>
            <w:r>
              <w:rPr>
                <w:noProof/>
                <w:webHidden/>
              </w:rPr>
              <w:fldChar w:fldCharType="begin"/>
            </w:r>
            <w:r>
              <w:rPr>
                <w:noProof/>
                <w:webHidden/>
              </w:rPr>
              <w:instrText xml:space="preserve"> PAGEREF _Toc211266542 \h </w:instrText>
            </w:r>
            <w:r>
              <w:rPr>
                <w:noProof/>
                <w:webHidden/>
              </w:rPr>
            </w:r>
            <w:r>
              <w:rPr>
                <w:noProof/>
                <w:webHidden/>
              </w:rPr>
              <w:fldChar w:fldCharType="separate"/>
            </w:r>
            <w:r>
              <w:rPr>
                <w:noProof/>
                <w:webHidden/>
              </w:rPr>
              <w:t>10</w:t>
            </w:r>
            <w:r>
              <w:rPr>
                <w:noProof/>
                <w:webHidden/>
              </w:rPr>
              <w:fldChar w:fldCharType="end"/>
            </w:r>
          </w:hyperlink>
        </w:p>
        <w:p w14:paraId="085B3AA7" w14:textId="2536EC7A" w:rsidR="00B5677C" w:rsidRDefault="00B5677C">
          <w:r>
            <w:rPr>
              <w:b/>
              <w:bCs/>
            </w:rPr>
            <w:fldChar w:fldCharType="end"/>
          </w:r>
        </w:p>
      </w:sdtContent>
    </w:sdt>
    <w:p w14:paraId="3C2366F2" w14:textId="77777777" w:rsidR="00B5677C" w:rsidRDefault="00B5677C">
      <w:pPr>
        <w:spacing w:after="160" w:line="259" w:lineRule="auto"/>
        <w:jc w:val="left"/>
        <w:rPr>
          <w:b/>
          <w:bCs/>
          <w:lang w:val="en-US"/>
        </w:rPr>
      </w:pPr>
      <w:r>
        <w:rPr>
          <w:b/>
          <w:bCs/>
          <w:lang w:val="en-US"/>
        </w:rPr>
        <w:br w:type="page"/>
      </w:r>
    </w:p>
    <w:p w14:paraId="138DFD41" w14:textId="1C9D5BEE" w:rsidR="00B5677C" w:rsidRPr="00B5677C" w:rsidRDefault="00B5677C" w:rsidP="00021E9D">
      <w:pPr>
        <w:pStyle w:val="Heading1"/>
      </w:pPr>
      <w:bookmarkStart w:id="0" w:name="_Toc211266539"/>
      <w:r w:rsidRPr="00B5677C">
        <w:lastRenderedPageBreak/>
        <w:t>Introduction</w:t>
      </w:r>
      <w:bookmarkEnd w:id="0"/>
    </w:p>
    <w:p w14:paraId="41F339E4" w14:textId="40855591" w:rsidR="00B5677C" w:rsidRDefault="00F13EB8" w:rsidP="00F13EB8">
      <w:pPr>
        <w:rPr>
          <w:lang w:val="en-US"/>
        </w:rPr>
      </w:pPr>
      <w:r w:rsidRPr="00F13EB8">
        <w:rPr>
          <w:lang w:val="en-US"/>
        </w:rPr>
        <w:t xml:space="preserve">UK has been enjoying ambitious goals of attaining a net-zero by 2050. One of the pillars of the strategy is the </w:t>
      </w:r>
      <w:proofErr w:type="spellStart"/>
      <w:r w:rsidRPr="00F13EB8">
        <w:rPr>
          <w:lang w:val="en-US"/>
        </w:rPr>
        <w:t>decarbonisation</w:t>
      </w:r>
      <w:proofErr w:type="spellEnd"/>
      <w:r w:rsidRPr="00F13EB8">
        <w:rPr>
          <w:lang w:val="en-US"/>
        </w:rPr>
        <w:t xml:space="preserve"> of the transport, especially in the urban </w:t>
      </w:r>
      <w:proofErr w:type="spellStart"/>
      <w:r w:rsidRPr="00F13EB8">
        <w:rPr>
          <w:lang w:val="en-US"/>
        </w:rPr>
        <w:t>centres</w:t>
      </w:r>
      <w:proofErr w:type="spellEnd"/>
      <w:r w:rsidRPr="00F13EB8">
        <w:rPr>
          <w:lang w:val="en-US"/>
        </w:rPr>
        <w:t>, where road traffic emissions are one of the greatest parts of air pollution and greenhouse gases. Having a high population and economic potential in Europe, it has been noted that London has been in need of increasing the pace of embracing electric vehicles (EVs) in realizing these goals. Access and cost of reliable charging technology is a huge obstacle to high uptake of EVs. The EV Charging Infrastructure Expansion Project -London was designed to fill this gap by suggesting an enormous infrastructural development project on the community level. This venture will include strategic planning, installation and integration of 200 rapid EV charging stations in the Greater London. This shall be implemented after 18 months and the operations should be highly coordinated among the Transport for London (TfL), the local authorities, the contractors and the technology partners. The initiative will become an essential course toward EV ownership sustainability and minimize the range anxiety and preserve individual and business electric mobility. It complies with the Transport Strategy in London, as well as it complies with the national and international provisions of environmental sustainability and climate resiliency.</w:t>
      </w:r>
      <w:r w:rsidR="00B5677C">
        <w:rPr>
          <w:lang w:val="en-US"/>
        </w:rPr>
        <w:br w:type="page"/>
      </w:r>
    </w:p>
    <w:p w14:paraId="6A6BED0E" w14:textId="736FD623" w:rsidR="00B5677C" w:rsidRDefault="00B5677C" w:rsidP="00B5677C">
      <w:pPr>
        <w:pStyle w:val="Heading1"/>
      </w:pPr>
      <w:bookmarkStart w:id="1" w:name="_Toc211266540"/>
      <w:r>
        <w:lastRenderedPageBreak/>
        <w:t>Main Body</w:t>
      </w:r>
      <w:bookmarkEnd w:id="1"/>
    </w:p>
    <w:p w14:paraId="66AC4CD0" w14:textId="11282E0C" w:rsidR="00B5677C" w:rsidRPr="00B5677C" w:rsidRDefault="00B5677C" w:rsidP="00B5677C">
      <w:pPr>
        <w:rPr>
          <w:b/>
          <w:bCs/>
        </w:rPr>
      </w:pPr>
      <w:r w:rsidRPr="00B5677C">
        <w:rPr>
          <w:b/>
          <w:bCs/>
        </w:rPr>
        <w:t>Aim, Objectives and Scope</w:t>
      </w:r>
    </w:p>
    <w:p w14:paraId="7D88BC4C" w14:textId="7228C75F" w:rsidR="00F13EB8" w:rsidRDefault="00F13EB8" w:rsidP="00B5677C">
      <w:r w:rsidRPr="00F13EB8">
        <w:t xml:space="preserve">The EV Charging Infrastructure Expansion Project -London's main purpose is to enhance the electric vehicle charging network in the </w:t>
      </w:r>
      <w:proofErr w:type="gramStart"/>
      <w:r w:rsidRPr="00F13EB8">
        <w:t>City</w:t>
      </w:r>
      <w:proofErr w:type="gramEnd"/>
      <w:r w:rsidRPr="00F13EB8">
        <w:t xml:space="preserve"> through the installation of 200 rapid charge points in convenient locations. The objectives of the project are to make it easier for more people to switch to electric vehicles and support the transition to low-carbon journey (Hopkins, et al., 2023).</w:t>
      </w:r>
    </w:p>
    <w:p w14:paraId="79648073" w14:textId="5B9BA7FF" w:rsidR="00B5677C" w:rsidRDefault="00B5677C" w:rsidP="00B5677C">
      <w:r>
        <w:t>The targeted project objectives include the expansion of EV charging infrastructure accessibility and geographical coverage, minimising carbon emissions related to transportation, increasing the convenience and confidence of owning an EV, and contributing to the national decarbonisation goals. The project also aims at promoting mode changes among individuals who own their own vehicles and commercial vehicles, e.g. taxi and delivery services, to fully electric vehicles</w:t>
      </w:r>
      <w:r w:rsidR="009232D6">
        <w:t xml:space="preserve"> (</w:t>
      </w:r>
      <w:r w:rsidR="009232D6" w:rsidRPr="00D038FF">
        <w:t>Nicholas</w:t>
      </w:r>
      <w:r w:rsidR="009232D6">
        <w:t xml:space="preserve"> </w:t>
      </w:r>
      <w:r w:rsidR="009232D6" w:rsidRPr="00D038FF">
        <w:t>and Lutsey, 2020</w:t>
      </w:r>
      <w:r w:rsidR="009232D6">
        <w:t>)</w:t>
      </w:r>
      <w:r>
        <w:t>.</w:t>
      </w:r>
    </w:p>
    <w:p w14:paraId="58DC7A79" w14:textId="1FA0B7C9" w:rsidR="00B5677C" w:rsidRPr="00B5677C" w:rsidRDefault="00B5677C" w:rsidP="00B5677C">
      <w:pPr>
        <w:rPr>
          <w:lang w:val="en-US"/>
        </w:rPr>
      </w:pPr>
      <w:r>
        <w:t>The project scope encompasses the delivery of charging station installations, both end-to-end, which implies site identification and permitting to construction, electrical work, network integration, and commissioning. Raising awareness among the stakeholders and the acquisition of hardware and software components, testing, maintenance planning, and handover of operations to the infrastructure management teams within TfL will also be part of the project. It will not involve the supply of electric vehicles per se or personal fleet conversion management. The boundaries have been well stipulated to enhance effective implementation, responsibility, and effective implementation of quantifiable results</w:t>
      </w:r>
      <w:r w:rsidRPr="00B5677C">
        <w:rPr>
          <w:lang w:val="en-US"/>
        </w:rPr>
        <w:t>.</w:t>
      </w:r>
    </w:p>
    <w:p w14:paraId="1F0A8639" w14:textId="7E6B40B3" w:rsidR="00B5677C" w:rsidRPr="00B5677C" w:rsidRDefault="00B5677C" w:rsidP="00B5677C">
      <w:pPr>
        <w:rPr>
          <w:b/>
          <w:bCs/>
        </w:rPr>
      </w:pPr>
      <w:r w:rsidRPr="00B5677C">
        <w:rPr>
          <w:b/>
          <w:bCs/>
        </w:rPr>
        <w:t>Project Outputs and Deliverables</w:t>
      </w:r>
    </w:p>
    <w:p w14:paraId="4C77B236" w14:textId="21D960ED" w:rsidR="00B5677C" w:rsidRDefault="00B5677C" w:rsidP="00B5677C">
      <w:r>
        <w:t>The project outputs constitute the actual and physical deliverables that may be anticipated on the completion of the EV Charging Infrastructure Expansion Project. The fundamental product is the successful installation and operation of 200 rapid EV charging stations that are strategically located throughout Greater London</w:t>
      </w:r>
      <w:r w:rsidR="001C74EC">
        <w:t xml:space="preserve"> (</w:t>
      </w:r>
      <w:r w:rsidR="001C74EC" w:rsidRPr="001C74EC">
        <w:t>Chen</w:t>
      </w:r>
      <w:r w:rsidR="001C74EC">
        <w:t xml:space="preserve"> et al</w:t>
      </w:r>
      <w:r w:rsidR="001C74EC" w:rsidRPr="001C74EC">
        <w:t>., 2020</w:t>
      </w:r>
      <w:r w:rsidR="001C74EC">
        <w:t>)</w:t>
      </w:r>
      <w:r>
        <w:t xml:space="preserve">. The charging stations will have a minimum power of 50 kW, and they can charge most electric vehicles to 80 </w:t>
      </w:r>
      <w:r w:rsidR="009232D6">
        <w:t>% in</w:t>
      </w:r>
      <w:r>
        <w:t xml:space="preserve"> about 30 minutes. These stations will be standard connector compatible and will have payment and monitoring systems that will be integrated with the TfL transport app to give real-time availability information to customers.</w:t>
      </w:r>
    </w:p>
    <w:p w14:paraId="26FCA0DA" w14:textId="24D66813" w:rsidR="00B5677C" w:rsidRDefault="00B5677C" w:rsidP="00B5677C">
      <w:r>
        <w:lastRenderedPageBreak/>
        <w:t>Besides installing facilities, the project will also provide extensive digital infrastructure that will be used to facilitate operational monitoring, billing and predictive maintenance of the charging network. This involves information connectivity, network security protocols, and compatibility with the already existing transport information systems at TfL. The online platform will guarantee that the data on the utilisation of the stations can be used in the future to expand and plan the maintenance</w:t>
      </w:r>
      <w:r w:rsidR="001C74EC">
        <w:t xml:space="preserve"> (</w:t>
      </w:r>
      <w:r w:rsidR="001C74EC" w:rsidRPr="001C74EC">
        <w:t>Bryden</w:t>
      </w:r>
      <w:r w:rsidR="001C74EC">
        <w:t xml:space="preserve"> et al</w:t>
      </w:r>
      <w:r w:rsidR="001C74EC" w:rsidRPr="001C74EC">
        <w:t>., 2018</w:t>
      </w:r>
      <w:r w:rsidR="001C74EC">
        <w:t>)</w:t>
      </w:r>
      <w:r>
        <w:t>.</w:t>
      </w:r>
    </w:p>
    <w:p w14:paraId="38B5310A" w14:textId="77777777" w:rsidR="00F13EB8" w:rsidRDefault="00B5677C" w:rsidP="00F13EB8">
      <w:r>
        <w:t xml:space="preserve">The other deliverable is the official training and operational documentation of the TfL personnel who will manage the infrastructure after the implementation. This also comprises maintenance manuals, system administration training and safety procedures. </w:t>
      </w:r>
    </w:p>
    <w:p w14:paraId="500AA2C8" w14:textId="77777777" w:rsidR="00F13EB8" w:rsidRDefault="00F13EB8" w:rsidP="00F13EB8">
      <w:r>
        <w:t>The necessary regulatory and compliance documentation will also be available in the project and the compliance with the UK energy and transport standards will be established. These deliverables can be quantified using some performance metrics, which include availability of charge stations, charging rate of a charger, network coverage and network coverage.</w:t>
      </w:r>
    </w:p>
    <w:p w14:paraId="4313ABE5" w14:textId="77777777" w:rsidR="00F13EB8" w:rsidRDefault="00F13EB8" w:rsidP="00F13EB8">
      <w:r>
        <w:t>The entire deliverable will be in the form of a comprehensive evaluation report which will capture the implementation of the project, the indicators of performance which have remained outstanding, interactions of the stakeholders, and the future scale solutions. These deliverables will be a building block of efficient and scalable EV charging ecosystem in London that is sustainable.</w:t>
      </w:r>
    </w:p>
    <w:p w14:paraId="64B656D7" w14:textId="235FD354" w:rsidR="00F13EB8" w:rsidRPr="00F13EB8" w:rsidRDefault="00F13EB8" w:rsidP="00F13EB8">
      <w:pPr>
        <w:rPr>
          <w:b/>
          <w:bCs/>
        </w:rPr>
      </w:pPr>
      <w:r w:rsidRPr="00F13EB8">
        <w:rPr>
          <w:b/>
          <w:bCs/>
        </w:rPr>
        <w:t>Work Breakdown Structure and Activities</w:t>
      </w:r>
    </w:p>
    <w:p w14:paraId="699D1168" w14:textId="422E7077" w:rsidR="00F13EB8" w:rsidRDefault="00F13EB8" w:rsidP="00F13EB8">
      <w:r>
        <w:t>The undertakings of the project are organized in a logical sequence and it is pertinent according to the conventional project management frameworks i.e. the PMBOK and the PRINCE2 frameworks. They have been completed in a Work Breakdown Structure (WBS) so as to subdivide the project into manageable phases and activities so as to ease easy project planning, execution, monitoring and control.</w:t>
      </w:r>
    </w:p>
    <w:p w14:paraId="6FA40BAA" w14:textId="1A271D55" w:rsidR="00B5677C" w:rsidRDefault="00B5677C" w:rsidP="00F13EB8">
      <w:r>
        <w:t>Project initiation and planning are the first significant stages. The processes involved in this phase are the definition of project governance, the appointment of the project management team, finding partnerships with energy providers and contractors, finding the appropriate sites to achieve charging, and undertaking feasibility studies. The issues considered in site selection will include traffic density, grid capacity, closeness to major roads, and accessibility. This phase will also be used to develop detailed project schedules, risk registers, and plans of stakeholder communication.</w:t>
      </w:r>
    </w:p>
    <w:p w14:paraId="0360675B" w14:textId="77777777" w:rsidR="00B5677C" w:rsidRDefault="00B5677C" w:rsidP="00B5677C">
      <w:r>
        <w:lastRenderedPageBreak/>
        <w:t>The second stage is the permitting and regulatory compliance. It also involves obtaining approval by the local council, environmental impact assessment, negotiating grid connection agreements with utility companies and compliance with UK legislation and safety standards in energy.</w:t>
      </w:r>
    </w:p>
    <w:p w14:paraId="2469C56F" w14:textId="77777777" w:rsidR="00B5677C" w:rsidRDefault="00B5677C" w:rsidP="00B5677C">
      <w:r>
        <w:t>The third stage is the procurement and logistics. This includes procuring fast charging devices, cables, security casings, and electronic parts. The suppliers will receive contracts after transparent procurement practices. Logistics planning will see to it that all equipment is delivered on site in time.</w:t>
      </w:r>
    </w:p>
    <w:p w14:paraId="08C7EFB8" w14:textId="77777777" w:rsidR="00B5677C" w:rsidRDefault="00B5677C" w:rsidP="00B5677C">
      <w:r>
        <w:t>The fourth step entails the preparation and installation of a site. Civil works such as trenching, foundation works, and installation of electrical conduits will be done. Units will then be attached and hooked to the grid. Work will be done in accordance with the health and safety standards.</w:t>
      </w:r>
    </w:p>
    <w:p w14:paraId="794428C0" w14:textId="77777777" w:rsidR="00B5677C" w:rsidRDefault="00B5677C" w:rsidP="00B5677C">
      <w:r>
        <w:t>Testing, commissioning and integration come in the fifth phase. This will involve system testing, safety checks, and the integration with TfL digital platforms and pilot operation in some of the stations before the entire network can be rolled out.</w:t>
      </w:r>
    </w:p>
    <w:p w14:paraId="46DC55D2" w14:textId="6403A708" w:rsidR="00B5677C" w:rsidRDefault="00B5677C" w:rsidP="00B5677C">
      <w:r>
        <w:t>The last stage is handover and project closure. Activities include the accomplishment of documentation on the working process, employee training, final inspection and official handover of resources to the infrastructure management team of TfL. Evaluation of the project will be done after implementation by comparison to key performance indicators</w:t>
      </w:r>
      <w:r w:rsidR="00885DD6">
        <w:t xml:space="preserve"> (</w:t>
      </w:r>
      <w:r w:rsidR="00663833" w:rsidRPr="00885DD6">
        <w:t>Miller, 2023</w:t>
      </w:r>
      <w:r w:rsidR="00885DD6">
        <w:t>)</w:t>
      </w:r>
      <w:r>
        <w:t>.</w:t>
      </w:r>
    </w:p>
    <w:p w14:paraId="6D21131E" w14:textId="0DD52DBD" w:rsidR="00B5677C" w:rsidRPr="00B5677C" w:rsidRDefault="00B5677C" w:rsidP="00B5677C">
      <w:pPr>
        <w:rPr>
          <w:lang w:val="en-US"/>
        </w:rPr>
      </w:pPr>
      <w:r>
        <w:t>This is a systematic method that makes them accountable and less uncertain. The risks are managed more efficiently through breaking down the project into certain work packages and tasks, maintaining timelines, and efficiently allocating resources</w:t>
      </w:r>
      <w:r w:rsidRPr="00B5677C">
        <w:rPr>
          <w:lang w:val="en-US"/>
        </w:rPr>
        <w:t>.</w:t>
      </w:r>
    </w:p>
    <w:p w14:paraId="4B681D44" w14:textId="322B039A" w:rsidR="00B5677C" w:rsidRPr="00B5677C" w:rsidRDefault="00B5677C" w:rsidP="00B5677C">
      <w:pPr>
        <w:rPr>
          <w:b/>
          <w:bCs/>
          <w:lang w:val="en-US"/>
        </w:rPr>
      </w:pPr>
      <w:r w:rsidRPr="00B5677C">
        <w:rPr>
          <w:b/>
          <w:bCs/>
          <w:lang w:val="en-US"/>
        </w:rPr>
        <w:t>Deliverables, Milestones and Timeline</w:t>
      </w:r>
    </w:p>
    <w:p w14:paraId="041E80D6" w14:textId="364EAADA" w:rsidR="00B5677C" w:rsidRDefault="00B5677C" w:rsidP="00B5677C">
      <w:r>
        <w:t>The implementation of the project will be done in a span of 18 months, where the milestones clearly indicate how the project will be done. The initial milestone will be achieved at the close of the third month when the planning and permitting stage is completed. All site evaluations, feasibility tests and risk registers, and stakeholder involvement processes will be completed, and all approvals sought at this stage.</w:t>
      </w:r>
    </w:p>
    <w:p w14:paraId="214153E8" w14:textId="77777777" w:rsidR="00B5677C" w:rsidRDefault="00B5677C" w:rsidP="00B5677C">
      <w:r>
        <w:lastRenderedPageBreak/>
        <w:t>The second milestone will be at the sixth month, which will be the completion of the procurement and logistics arrangements. These involve obtaining equipment contracts, delivery schedules and completion of construction planning.</w:t>
      </w:r>
    </w:p>
    <w:p w14:paraId="623CADAA" w14:textId="4FC07D31" w:rsidR="00B5677C" w:rsidRDefault="00B5677C" w:rsidP="00B5677C">
      <w:r>
        <w:t>The third milestone will be reached by the end of the twelfth month, when 100 charging stations will be installed and commissioned in the priority zones that are supposed to be covered. This mid-project target gives a chance to review the performance of a project, risk management, and make corrections where needed.</w:t>
      </w:r>
    </w:p>
    <w:p w14:paraId="4CDF5069" w14:textId="5F198975" w:rsidR="00B5677C" w:rsidRDefault="00B5677C" w:rsidP="00B5677C">
      <w:r>
        <w:t>The fourth milestone will be the month sixteen when all the 200 stations will be fully installed and commissioned. All the hardware and software will be working, and the network will be completely incorporated here</w:t>
      </w:r>
      <w:r w:rsidR="005A7BE9">
        <w:t xml:space="preserve"> (</w:t>
      </w:r>
      <w:r w:rsidR="005A7BE9" w:rsidRPr="00663833">
        <w:t>Chamberlain</w:t>
      </w:r>
      <w:r w:rsidR="005A7BE9">
        <w:t xml:space="preserve"> </w:t>
      </w:r>
      <w:r w:rsidR="005A7BE9" w:rsidRPr="00663833">
        <w:t>and Al-Majeed, 2021</w:t>
      </w:r>
      <w:r w:rsidR="005A7BE9">
        <w:t>)</w:t>
      </w:r>
      <w:r>
        <w:t>.</w:t>
      </w:r>
    </w:p>
    <w:p w14:paraId="2E1CBD70" w14:textId="0778E90F" w:rsidR="00B5677C" w:rsidRDefault="00B5677C" w:rsidP="00B5677C">
      <w:r>
        <w:t>The last milestone will be the month eighteen, which will be the project closure and handover. This would entail the handing over of the responsibility formally to the operational team in TfL, issuing of all forms, staff training and a full evaluation report.</w:t>
      </w:r>
    </w:p>
    <w:p w14:paraId="585FE858" w14:textId="1AD3D849" w:rsidR="00B5677C" w:rsidRPr="00B5677C" w:rsidRDefault="00B5677C" w:rsidP="00B5677C">
      <w:pPr>
        <w:rPr>
          <w:lang w:val="en-US"/>
        </w:rPr>
      </w:pPr>
      <w:r>
        <w:t>The timeline will be developed in such a way that procurement and civil works may overlap so that resources may be optimised. The final project management plan will rely on a Gantt chart in order to graphically represent the sequencing and interdependence of activities, whereby the critical path activities will be given priority in order to meet project deadlines</w:t>
      </w:r>
      <w:r w:rsidRPr="00B5677C">
        <w:rPr>
          <w:lang w:val="en-US"/>
        </w:rPr>
        <w:t>.</w:t>
      </w:r>
    </w:p>
    <w:p w14:paraId="1EB3D406" w14:textId="6FC13B2B" w:rsidR="00B5677C" w:rsidRPr="00B5677C" w:rsidRDefault="00B5677C" w:rsidP="00B5677C">
      <w:pPr>
        <w:rPr>
          <w:b/>
          <w:bCs/>
          <w:lang w:val="en-US"/>
        </w:rPr>
      </w:pPr>
      <w:r w:rsidRPr="00B5677C">
        <w:rPr>
          <w:b/>
          <w:bCs/>
          <w:lang w:val="en-US"/>
        </w:rPr>
        <w:t xml:space="preserve">Resource Planning (Personnel and Material) </w:t>
      </w:r>
    </w:p>
    <w:p w14:paraId="0D9C00DE" w14:textId="055533DE" w:rsidR="00B5677C" w:rsidRDefault="00B5677C" w:rsidP="00B5677C">
      <w:r>
        <w:t>This project will need to be coordinated properly with human and material resources in order to succeed. The project team will be composed of a project manager, site engineers, electrical engineers, civil contractors, procurement specialists, health and safety officers, IT integration specialists and administrative support. The project manager will monitor each phase, which will be strategically aligned with the TfL requirements and compliant with the regulatory requirements. Physical installation of the charging stations will be done by site engineers and contractors; integration of systems with the digital platforms of TfL will be done by IT experts</w:t>
      </w:r>
      <w:r w:rsidR="00885DD6">
        <w:t xml:space="preserve"> (</w:t>
      </w:r>
      <w:r w:rsidR="00885DD6" w:rsidRPr="001C74EC">
        <w:t>Chen</w:t>
      </w:r>
      <w:r w:rsidR="00885DD6">
        <w:t xml:space="preserve"> et al</w:t>
      </w:r>
      <w:r w:rsidR="00885DD6" w:rsidRPr="001C74EC">
        <w:t>., 2020</w:t>
      </w:r>
      <w:r w:rsidR="00885DD6">
        <w:t>)</w:t>
      </w:r>
      <w:r>
        <w:t>.</w:t>
      </w:r>
    </w:p>
    <w:p w14:paraId="34DA0503" w14:textId="167EEA61" w:rsidR="00B5677C" w:rsidRDefault="00B5677C" w:rsidP="00B5677C">
      <w:r>
        <w:t xml:space="preserve">The material resources will be rapid charging units, protective casings, high-capacity cabling, foundations, signage, and network connectivity equipment. The procurement policy will focus on suppliers that have a successful history of providing durable and reliable hardware that can </w:t>
      </w:r>
      <w:r>
        <w:lastRenderedPageBreak/>
        <w:t>work in urban environments. The materials used will meet the UK safety and energy standards, which will have a long-term operational dependability.</w:t>
      </w:r>
    </w:p>
    <w:p w14:paraId="2AFF1F0E" w14:textId="2DB52CEF" w:rsidR="00B5677C" w:rsidRDefault="00B5677C" w:rsidP="00B5677C">
      <w:r>
        <w:t>The budgetary resources will be distributed at the project phases, and the major funding will be provided for the civil works and hardware acquisition, and system integration. Emergency stocks will be put in place to deal with unexpected events that might arise, like disruption of supply chains or delays in regulatory procedures.</w:t>
      </w:r>
    </w:p>
    <w:p w14:paraId="070D28D8" w14:textId="286B1DD4" w:rsidR="00B5677C" w:rsidRPr="00B5677C" w:rsidRDefault="00B5677C" w:rsidP="00B5677C">
      <w:pPr>
        <w:rPr>
          <w:lang w:val="en-US"/>
        </w:rPr>
      </w:pPr>
      <w:r>
        <w:t>The training and capacity-building of TfL personnel to make the infrastructure capable of being operated and maintained sustainably will also be covered in the resource plan. Resource planning will help directly in the efficiency of all projects, cost management, and meet milestones within the scheduled time</w:t>
      </w:r>
      <w:r w:rsidR="00663833">
        <w:t xml:space="preserve"> (</w:t>
      </w:r>
      <w:r w:rsidR="00663833" w:rsidRPr="00663833">
        <w:t>Drummond, 2021</w:t>
      </w:r>
      <w:r w:rsidR="00663833">
        <w:t>)</w:t>
      </w:r>
      <w:r w:rsidRPr="00B5677C">
        <w:rPr>
          <w:lang w:val="en-US"/>
        </w:rPr>
        <w:t>.</w:t>
      </w:r>
    </w:p>
    <w:p w14:paraId="4431BC3B" w14:textId="7417EB24" w:rsidR="00B5677C" w:rsidRPr="00B5677C" w:rsidRDefault="00B5677C" w:rsidP="00B5677C">
      <w:pPr>
        <w:rPr>
          <w:b/>
          <w:bCs/>
          <w:lang w:val="en-US"/>
        </w:rPr>
      </w:pPr>
      <w:r w:rsidRPr="00B5677C">
        <w:rPr>
          <w:b/>
          <w:bCs/>
          <w:lang w:val="en-US"/>
        </w:rPr>
        <w:t xml:space="preserve">Risk and Stakeholder Overview </w:t>
      </w:r>
    </w:p>
    <w:p w14:paraId="45B0BB35" w14:textId="26D27ED0" w:rsidR="00B5677C" w:rsidRDefault="00B5677C" w:rsidP="00B5677C">
      <w:r>
        <w:t>The project has diverse stakeholders such as Transport for London, local councils, energy companies, contractors, technology suppliers, environmental regulatory agencies and end users. This stakeholder has to be engaged early and continuously to ensure regulatory, social, and operational alignment. Stakeholder communication will be upheld by frequent progress reports, consultation sessions and open reporting</w:t>
      </w:r>
      <w:r w:rsidR="00AB1CA0">
        <w:t xml:space="preserve"> (</w:t>
      </w:r>
      <w:r w:rsidR="00AB1CA0" w:rsidRPr="00AB1CA0">
        <w:t>Barnes</w:t>
      </w:r>
      <w:r w:rsidR="00AB1CA0">
        <w:t xml:space="preserve"> et al</w:t>
      </w:r>
      <w:r w:rsidR="00AB1CA0" w:rsidRPr="00AB1CA0">
        <w:t>., 2024</w:t>
      </w:r>
      <w:r w:rsidR="00AB1CA0">
        <w:t>)</w:t>
      </w:r>
      <w:r>
        <w:t>.</w:t>
      </w:r>
    </w:p>
    <w:p w14:paraId="280AA783" w14:textId="2284CC16" w:rsidR="00B5677C" w:rsidRDefault="00B5677C" w:rsidP="00B5677C">
      <w:r>
        <w:t>The main risks in the project are regulatory approval delays, supply chain interruptions, grid capacity constraints, environmental constraints, and, in some areas, public opposition. In order to deal with these risks, a risk register will be created during the planning process as mitigation measures, which include engagement with regulators early in the project, sourcing from diverse suppliers, and contingency time in the project schedule.</w:t>
      </w:r>
    </w:p>
    <w:p w14:paraId="5E63BA67" w14:textId="77777777" w:rsidR="00F13EB8" w:rsidRDefault="00B5677C" w:rsidP="00F13EB8">
      <w:r>
        <w:t>Technical risks such as equipment breakdown or software system combining will be avoided by strict procurement requirements and pilot testing</w:t>
      </w:r>
      <w:r w:rsidR="00522168">
        <w:t xml:space="preserve"> (</w:t>
      </w:r>
      <w:r w:rsidR="00522168" w:rsidRPr="00522168">
        <w:t>Mildner, Ziller</w:t>
      </w:r>
      <w:r w:rsidR="00522168">
        <w:t xml:space="preserve"> </w:t>
      </w:r>
      <w:r w:rsidR="00522168" w:rsidRPr="00522168">
        <w:t>and Baiocchi, 2025</w:t>
      </w:r>
      <w:r w:rsidR="00522168">
        <w:t>)</w:t>
      </w:r>
      <w:r>
        <w:t xml:space="preserve">. The environmental risks will be controlled by doing the correct impact assessment and ensuring that the sustainability standards are met. </w:t>
      </w:r>
      <w:r w:rsidR="00F13EB8">
        <w:t>Budget monitoring and contingency planning will be used to manage the financial risks. It shall possess proactive risk management process that will help the project to respond effectively and in a timely manner.</w:t>
      </w:r>
    </w:p>
    <w:p w14:paraId="32F2FC87" w14:textId="77777777" w:rsidR="00F13EB8" w:rsidRDefault="00F13EB8" w:rsidP="00F13EB8">
      <w:r>
        <w:t xml:space="preserve"> </w:t>
      </w:r>
    </w:p>
    <w:p w14:paraId="2706656B" w14:textId="77777777" w:rsidR="00F13EB8" w:rsidRDefault="00F13EB8">
      <w:pPr>
        <w:spacing w:after="160" w:line="259" w:lineRule="auto"/>
        <w:jc w:val="left"/>
      </w:pPr>
      <w:r>
        <w:br w:type="page"/>
      </w:r>
    </w:p>
    <w:p w14:paraId="2ECE8B3B" w14:textId="17F82DEC" w:rsidR="00F13EB8" w:rsidRDefault="00F13EB8" w:rsidP="00F13EB8">
      <w:pPr>
        <w:pStyle w:val="Heading1"/>
      </w:pPr>
      <w:bookmarkStart w:id="2" w:name="_Toc211266541"/>
      <w:r>
        <w:lastRenderedPageBreak/>
        <w:t>Conclusion</w:t>
      </w:r>
      <w:bookmarkEnd w:id="2"/>
      <w:r>
        <w:t xml:space="preserve"> </w:t>
      </w:r>
    </w:p>
    <w:p w14:paraId="5690F330" w14:textId="7864A722" w:rsidR="00A70E27" w:rsidRDefault="00F13EB8" w:rsidP="00F13EB8">
      <w:pPr>
        <w:rPr>
          <w:lang w:val="en-US"/>
        </w:rPr>
      </w:pPr>
      <w:r>
        <w:t>EV Charging Infrastructure Expansion Project -London is an important initiative in the infrastructure of the green transport. This project will provide 200 rapid charge points within the city that will make the project responsible towards the climate targets within the UK, practical EV usage and ensure that London is a pioneer in the sphere of green city movement. A proper project management style that will be used will involve the application of the detailed WBS, a timeline that will be used that applies milestone, good resource planning, and active risk management that will make possible an effective and efficient delivery. The project will also act as an example that can be followed by other cities that are willing to hasten the entire process of switching to a low-carbon transportation system.</w:t>
      </w:r>
      <w:r w:rsidR="005D70E5">
        <w:t xml:space="preserve"> </w:t>
      </w:r>
      <w:r w:rsidR="006710A0">
        <w:t xml:space="preserve"> </w:t>
      </w:r>
      <w:r w:rsidR="00A70E27">
        <w:rPr>
          <w:lang w:val="en-US"/>
        </w:rPr>
        <w:br w:type="page"/>
      </w:r>
    </w:p>
    <w:p w14:paraId="4D2ECD3E" w14:textId="7A5EFF17" w:rsidR="00AD70A6" w:rsidRDefault="00A70E27" w:rsidP="00A70E27">
      <w:pPr>
        <w:pStyle w:val="Heading1"/>
      </w:pPr>
      <w:bookmarkStart w:id="3" w:name="_Toc211266542"/>
      <w:r>
        <w:lastRenderedPageBreak/>
        <w:t>References</w:t>
      </w:r>
      <w:bookmarkEnd w:id="3"/>
      <w:r>
        <w:t xml:space="preserve"> </w:t>
      </w:r>
    </w:p>
    <w:p w14:paraId="191E1AAA" w14:textId="3AFCDBBF" w:rsidR="00663833" w:rsidRDefault="00663833" w:rsidP="00602C45">
      <w:r w:rsidRPr="00AB1CA0">
        <w:t xml:space="preserve">Barnes, J., Anable, J., Davoudi, S., Dixon, J., Hawker, G. and Killip, G. </w:t>
      </w:r>
      <w:r>
        <w:t>(</w:t>
      </w:r>
      <w:r w:rsidRPr="00AB1CA0">
        <w:t>2024</w:t>
      </w:r>
      <w:r>
        <w:t>)</w:t>
      </w:r>
      <w:r w:rsidRPr="00AB1CA0">
        <w:t>. EV charging and its implications across transport, power, buildings and planning: insights from stakeholder workshops.</w:t>
      </w:r>
    </w:p>
    <w:p w14:paraId="32F1B1E4" w14:textId="42AFB688" w:rsidR="00663833" w:rsidRDefault="00663833" w:rsidP="00602C45">
      <w:r w:rsidRPr="001C74EC">
        <w:t xml:space="preserve">Bryden, T.S., Hilton, G., Cruden, A. and Holton, T. </w:t>
      </w:r>
      <w:r>
        <w:t>(</w:t>
      </w:r>
      <w:r w:rsidRPr="001C74EC">
        <w:t>2018</w:t>
      </w:r>
      <w:r>
        <w:t>)</w:t>
      </w:r>
      <w:r w:rsidRPr="001C74EC">
        <w:t>. Electric vehicle fast charging station usage and power requirements. </w:t>
      </w:r>
      <w:r w:rsidRPr="001C74EC">
        <w:rPr>
          <w:i/>
          <w:iCs/>
        </w:rPr>
        <w:t>Energy</w:t>
      </w:r>
      <w:r w:rsidRPr="001C74EC">
        <w:t>, </w:t>
      </w:r>
      <w:r w:rsidRPr="001C74EC">
        <w:rPr>
          <w:i/>
          <w:iCs/>
        </w:rPr>
        <w:t>152</w:t>
      </w:r>
      <w:r w:rsidRPr="001C74EC">
        <w:t>, pp.322-332.</w:t>
      </w:r>
    </w:p>
    <w:p w14:paraId="7D425243" w14:textId="587C7CAE" w:rsidR="00663833" w:rsidRDefault="00663833" w:rsidP="009232D6">
      <w:pPr>
        <w:spacing w:after="160"/>
      </w:pPr>
      <w:r w:rsidRPr="00663833">
        <w:t xml:space="preserve">Chamberlain, K. and Al-Majeed, S. </w:t>
      </w:r>
      <w:r>
        <w:t>(</w:t>
      </w:r>
      <w:r w:rsidRPr="00663833">
        <w:t>2021</w:t>
      </w:r>
      <w:r>
        <w:t>)</w:t>
      </w:r>
      <w:r w:rsidRPr="00663833">
        <w:t>. Standardisation of UK electric vehicle charging protocol, payment and charge point connection. </w:t>
      </w:r>
      <w:r w:rsidRPr="00663833">
        <w:rPr>
          <w:i/>
          <w:iCs/>
        </w:rPr>
        <w:t>World Electric Vehicle Journal</w:t>
      </w:r>
      <w:r w:rsidRPr="00663833">
        <w:t>, </w:t>
      </w:r>
      <w:r w:rsidRPr="00663833">
        <w:rPr>
          <w:i/>
          <w:iCs/>
        </w:rPr>
        <w:t>12</w:t>
      </w:r>
      <w:r w:rsidRPr="00663833">
        <w:t>(2), p.63.</w:t>
      </w:r>
    </w:p>
    <w:p w14:paraId="745ADDC1" w14:textId="4593280C" w:rsidR="00663833" w:rsidRDefault="00663833" w:rsidP="00602C45">
      <w:r w:rsidRPr="001C74EC">
        <w:t xml:space="preserve">Chen, T., Zhang, X.P., Wang, J., Li, J., Wu, C., Hu, M. and Bian, H. </w:t>
      </w:r>
      <w:r>
        <w:t>(</w:t>
      </w:r>
      <w:r w:rsidRPr="001C74EC">
        <w:t>2020</w:t>
      </w:r>
      <w:r>
        <w:t>)</w:t>
      </w:r>
      <w:r w:rsidRPr="001C74EC">
        <w:t xml:space="preserve">. A review </w:t>
      </w:r>
      <w:r w:rsidR="009C0031">
        <w:t>of</w:t>
      </w:r>
      <w:r w:rsidRPr="001C74EC">
        <w:t xml:space="preserve"> electric vehicle charging infrastructure development in the UK. </w:t>
      </w:r>
      <w:r w:rsidRPr="001C74EC">
        <w:rPr>
          <w:i/>
          <w:iCs/>
        </w:rPr>
        <w:t>Journal of Modern Power Systems and Clean Energy</w:t>
      </w:r>
      <w:r w:rsidRPr="001C74EC">
        <w:t>, </w:t>
      </w:r>
      <w:r w:rsidRPr="001C74EC">
        <w:rPr>
          <w:i/>
          <w:iCs/>
        </w:rPr>
        <w:t>8</w:t>
      </w:r>
      <w:r w:rsidRPr="001C74EC">
        <w:t>(2), pp.193-205.</w:t>
      </w:r>
    </w:p>
    <w:p w14:paraId="5CFA3A69" w14:textId="34B07C27" w:rsidR="00663833" w:rsidRPr="00602C45" w:rsidRDefault="00663833" w:rsidP="00602C45">
      <w:pPr>
        <w:rPr>
          <w:lang w:val="en-US"/>
        </w:rPr>
      </w:pPr>
      <w:r w:rsidRPr="00663833">
        <w:t xml:space="preserve">Drummond, P. </w:t>
      </w:r>
      <w:r>
        <w:t>(</w:t>
      </w:r>
      <w:r w:rsidRPr="00663833">
        <w:t>2021</w:t>
      </w:r>
      <w:r>
        <w:t>)</w:t>
      </w:r>
      <w:r w:rsidRPr="00663833">
        <w:t>. Assessing City governance for low-carbon mobility in London. </w:t>
      </w:r>
      <w:r w:rsidRPr="00663833">
        <w:rPr>
          <w:i/>
          <w:iCs/>
        </w:rPr>
        <w:t>Sustainability</w:t>
      </w:r>
      <w:r w:rsidRPr="00663833">
        <w:t>, </w:t>
      </w:r>
      <w:r w:rsidRPr="00663833">
        <w:rPr>
          <w:i/>
          <w:iCs/>
        </w:rPr>
        <w:t>13</w:t>
      </w:r>
      <w:r w:rsidRPr="00663833">
        <w:t>(5), p.2480.</w:t>
      </w:r>
    </w:p>
    <w:p w14:paraId="069FAD62" w14:textId="12C5ABE5" w:rsidR="00663833" w:rsidRPr="00691E01" w:rsidRDefault="00663833" w:rsidP="009232D6">
      <w:pPr>
        <w:spacing w:after="160"/>
      </w:pPr>
      <w:r w:rsidRPr="003D34D2">
        <w:t xml:space="preserve">Hopkins, E., </w:t>
      </w:r>
      <w:proofErr w:type="spellStart"/>
      <w:r w:rsidRPr="003D34D2">
        <w:t>Potoglou</w:t>
      </w:r>
      <w:proofErr w:type="spellEnd"/>
      <w:r w:rsidRPr="003D34D2">
        <w:t xml:space="preserve">, D., Orford, S. and </w:t>
      </w:r>
      <w:proofErr w:type="spellStart"/>
      <w:r w:rsidRPr="003D34D2">
        <w:t>Cipcigan</w:t>
      </w:r>
      <w:proofErr w:type="spellEnd"/>
      <w:r w:rsidRPr="003D34D2">
        <w:t xml:space="preserve">, L. </w:t>
      </w:r>
      <w:r>
        <w:t>(</w:t>
      </w:r>
      <w:r w:rsidRPr="003D34D2">
        <w:t>2023</w:t>
      </w:r>
      <w:r>
        <w:t>)</w:t>
      </w:r>
      <w:r w:rsidRPr="003D34D2">
        <w:t xml:space="preserve">. Can the equitable </w:t>
      </w:r>
      <w:r w:rsidR="009C0031">
        <w:t>rollout</w:t>
      </w:r>
      <w:r w:rsidRPr="003D34D2">
        <w:t xml:space="preserve"> of electric vehicle charging infrastructure be </w:t>
      </w:r>
      <w:proofErr w:type="gramStart"/>
      <w:r w:rsidRPr="003D34D2">
        <w:t>achieved?.</w:t>
      </w:r>
      <w:proofErr w:type="gramEnd"/>
      <w:r w:rsidRPr="003D34D2">
        <w:t> </w:t>
      </w:r>
      <w:r w:rsidRPr="003D34D2">
        <w:rPr>
          <w:i/>
          <w:iCs/>
        </w:rPr>
        <w:t>Renewable and Sustainable Energy Reviews</w:t>
      </w:r>
      <w:r w:rsidRPr="003D34D2">
        <w:t>, </w:t>
      </w:r>
      <w:r w:rsidRPr="003D34D2">
        <w:rPr>
          <w:i/>
          <w:iCs/>
        </w:rPr>
        <w:t>182</w:t>
      </w:r>
      <w:r w:rsidRPr="003D34D2">
        <w:t>, p.113398.</w:t>
      </w:r>
    </w:p>
    <w:p w14:paraId="36CB36E8" w14:textId="6E16AA85" w:rsidR="00663833" w:rsidRDefault="00663833" w:rsidP="00602C45">
      <w:r w:rsidRPr="00522168">
        <w:t xml:space="preserve">Mildner, R., Ziller, T. and Baiocchi, F. </w:t>
      </w:r>
      <w:r>
        <w:t>(</w:t>
      </w:r>
      <w:r w:rsidRPr="00522168">
        <w:t>2025</w:t>
      </w:r>
      <w:r>
        <w:t>)</w:t>
      </w:r>
      <w:r w:rsidRPr="00522168">
        <w:t>. Know the Risks: Mastering Automotive Project Management. In </w:t>
      </w:r>
      <w:r w:rsidRPr="00522168">
        <w:rPr>
          <w:i/>
          <w:iCs/>
        </w:rPr>
        <w:t>Car IT Reloaded: Disruption in the Car Industry</w:t>
      </w:r>
      <w:r w:rsidRPr="00522168">
        <w:t xml:space="preserve"> (pp. 265-299). Wiesbaden: Springer </w:t>
      </w:r>
      <w:proofErr w:type="spellStart"/>
      <w:r w:rsidRPr="00522168">
        <w:t>Fachmedien</w:t>
      </w:r>
      <w:proofErr w:type="spellEnd"/>
      <w:r w:rsidRPr="00522168">
        <w:t xml:space="preserve"> Wiesbaden.</w:t>
      </w:r>
    </w:p>
    <w:p w14:paraId="2D0645DD" w14:textId="0EFF382C" w:rsidR="00663833" w:rsidRDefault="00663833" w:rsidP="00602C45">
      <w:r w:rsidRPr="00885DD6">
        <w:t xml:space="preserve">Miller, A.L. </w:t>
      </w:r>
      <w:r>
        <w:t>(</w:t>
      </w:r>
      <w:r w:rsidRPr="00885DD6">
        <w:t>2023</w:t>
      </w:r>
      <w:r>
        <w:t>)</w:t>
      </w:r>
      <w:r w:rsidRPr="00885DD6">
        <w:t>. The Effects of Congestion Charging on Automobility in Outer London: An Analysis. </w:t>
      </w:r>
      <w:r w:rsidRPr="00885DD6">
        <w:rPr>
          <w:i/>
          <w:iCs/>
        </w:rPr>
        <w:t>Geography</w:t>
      </w:r>
      <w:r w:rsidRPr="00885DD6">
        <w:t>.</w:t>
      </w:r>
    </w:p>
    <w:p w14:paraId="64B2F21F" w14:textId="17E1231C" w:rsidR="00663833" w:rsidRDefault="00663833" w:rsidP="009232D6">
      <w:pPr>
        <w:spacing w:after="160"/>
      </w:pPr>
      <w:r w:rsidRPr="00D038FF">
        <w:t xml:space="preserve">Nicholas, M. and </w:t>
      </w:r>
      <w:proofErr w:type="spellStart"/>
      <w:r w:rsidRPr="00D038FF">
        <w:t>Lutsey</w:t>
      </w:r>
      <w:proofErr w:type="spellEnd"/>
      <w:r w:rsidRPr="00D038FF">
        <w:t xml:space="preserve">, N. </w:t>
      </w:r>
      <w:r>
        <w:t>(</w:t>
      </w:r>
      <w:r w:rsidRPr="00D038FF">
        <w:t>2020</w:t>
      </w:r>
      <w:r>
        <w:t>)</w:t>
      </w:r>
      <w:r w:rsidRPr="00D038FF">
        <w:t>. Quantifying the electric vehicle charging infrastructure gap in the United Kingdom. </w:t>
      </w:r>
      <w:r w:rsidRPr="00D038FF">
        <w:rPr>
          <w:i/>
          <w:iCs/>
        </w:rPr>
        <w:t>ICCT: London, UK</w:t>
      </w:r>
      <w:r w:rsidRPr="00D038FF">
        <w:t>.</w:t>
      </w:r>
      <w:r w:rsidR="009C0031">
        <w:t xml:space="preserve"> </w:t>
      </w:r>
      <w:r w:rsidR="005B7499">
        <w:t xml:space="preserve"> </w:t>
      </w:r>
    </w:p>
    <w:p w14:paraId="6803AC96" w14:textId="77777777" w:rsidR="00602C45" w:rsidRPr="00602C45" w:rsidRDefault="00602C45" w:rsidP="00602C45">
      <w:pPr>
        <w:rPr>
          <w:lang w:val="en-US"/>
        </w:rPr>
      </w:pPr>
    </w:p>
    <w:sectPr w:rsidR="00602C45" w:rsidRPr="00602C45" w:rsidSect="004F600B">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EADF99" w14:textId="77777777" w:rsidR="00941AE3" w:rsidRDefault="00941AE3" w:rsidP="0000434E">
      <w:pPr>
        <w:spacing w:after="0" w:line="240" w:lineRule="auto"/>
      </w:pPr>
      <w:r>
        <w:separator/>
      </w:r>
    </w:p>
  </w:endnote>
  <w:endnote w:type="continuationSeparator" w:id="0">
    <w:p w14:paraId="18141E83" w14:textId="77777777" w:rsidR="00941AE3" w:rsidRDefault="00941AE3" w:rsidP="000043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54180694"/>
      <w:docPartObj>
        <w:docPartGallery w:val="Page Numbers (Bottom of Page)"/>
        <w:docPartUnique/>
      </w:docPartObj>
    </w:sdtPr>
    <w:sdtEndPr>
      <w:rPr>
        <w:noProof/>
      </w:rPr>
    </w:sdtEndPr>
    <w:sdtContent>
      <w:p w14:paraId="095893D3" w14:textId="7973B24B" w:rsidR="0000434E" w:rsidRDefault="0000434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59C8595" w14:textId="77777777" w:rsidR="0000434E" w:rsidRDefault="0000434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DCCAB6" w14:textId="77777777" w:rsidR="00941AE3" w:rsidRDefault="00941AE3" w:rsidP="0000434E">
      <w:pPr>
        <w:spacing w:after="0" w:line="240" w:lineRule="auto"/>
      </w:pPr>
      <w:r>
        <w:separator/>
      </w:r>
    </w:p>
  </w:footnote>
  <w:footnote w:type="continuationSeparator" w:id="0">
    <w:p w14:paraId="6E8B9756" w14:textId="77777777" w:rsidR="00941AE3" w:rsidRDefault="00941AE3" w:rsidP="0000434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BDB34E9"/>
    <w:multiLevelType w:val="hybridMultilevel"/>
    <w:tmpl w:val="36DE43D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18371155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677C"/>
    <w:rsid w:val="0000434E"/>
    <w:rsid w:val="00021E9D"/>
    <w:rsid w:val="00030CD6"/>
    <w:rsid w:val="00035372"/>
    <w:rsid w:val="00056292"/>
    <w:rsid w:val="00091804"/>
    <w:rsid w:val="000D3AD7"/>
    <w:rsid w:val="000D3DE5"/>
    <w:rsid w:val="000E0A1B"/>
    <w:rsid w:val="0010235B"/>
    <w:rsid w:val="00166918"/>
    <w:rsid w:val="001C476E"/>
    <w:rsid w:val="001C74EC"/>
    <w:rsid w:val="001E290F"/>
    <w:rsid w:val="001F1167"/>
    <w:rsid w:val="001F1B13"/>
    <w:rsid w:val="001F1D2C"/>
    <w:rsid w:val="00225792"/>
    <w:rsid w:val="00243ED5"/>
    <w:rsid w:val="002563FE"/>
    <w:rsid w:val="00276806"/>
    <w:rsid w:val="002B4E16"/>
    <w:rsid w:val="002D411F"/>
    <w:rsid w:val="002D7055"/>
    <w:rsid w:val="002E1FF9"/>
    <w:rsid w:val="002E5865"/>
    <w:rsid w:val="002F7C7F"/>
    <w:rsid w:val="00312564"/>
    <w:rsid w:val="00337F9E"/>
    <w:rsid w:val="00393932"/>
    <w:rsid w:val="003D34D2"/>
    <w:rsid w:val="00425DF3"/>
    <w:rsid w:val="0042620C"/>
    <w:rsid w:val="0043220E"/>
    <w:rsid w:val="004346A2"/>
    <w:rsid w:val="00435508"/>
    <w:rsid w:val="0046124B"/>
    <w:rsid w:val="00466C33"/>
    <w:rsid w:val="00476775"/>
    <w:rsid w:val="0049221B"/>
    <w:rsid w:val="004D2024"/>
    <w:rsid w:val="004D3A34"/>
    <w:rsid w:val="004F600B"/>
    <w:rsid w:val="00522168"/>
    <w:rsid w:val="005A7BE9"/>
    <w:rsid w:val="005B7499"/>
    <w:rsid w:val="005D47FE"/>
    <w:rsid w:val="005D548A"/>
    <w:rsid w:val="005D70E5"/>
    <w:rsid w:val="005E5DF6"/>
    <w:rsid w:val="005E77EA"/>
    <w:rsid w:val="005F4AE2"/>
    <w:rsid w:val="00602C45"/>
    <w:rsid w:val="006038ED"/>
    <w:rsid w:val="00637407"/>
    <w:rsid w:val="00661E9F"/>
    <w:rsid w:val="00663833"/>
    <w:rsid w:val="006710A0"/>
    <w:rsid w:val="00671713"/>
    <w:rsid w:val="00682108"/>
    <w:rsid w:val="0069665D"/>
    <w:rsid w:val="006C5708"/>
    <w:rsid w:val="006C7387"/>
    <w:rsid w:val="006D2B9F"/>
    <w:rsid w:val="006E7C63"/>
    <w:rsid w:val="007529E4"/>
    <w:rsid w:val="00756791"/>
    <w:rsid w:val="00761279"/>
    <w:rsid w:val="00782FDA"/>
    <w:rsid w:val="007A476E"/>
    <w:rsid w:val="007E0D79"/>
    <w:rsid w:val="007E51D8"/>
    <w:rsid w:val="007F6C7D"/>
    <w:rsid w:val="00854339"/>
    <w:rsid w:val="00885DD6"/>
    <w:rsid w:val="008867A1"/>
    <w:rsid w:val="008D1441"/>
    <w:rsid w:val="008D468F"/>
    <w:rsid w:val="008E2525"/>
    <w:rsid w:val="00922B62"/>
    <w:rsid w:val="009232D6"/>
    <w:rsid w:val="009267E2"/>
    <w:rsid w:val="00941AE3"/>
    <w:rsid w:val="00943D6A"/>
    <w:rsid w:val="00946C87"/>
    <w:rsid w:val="009716B3"/>
    <w:rsid w:val="00971CF7"/>
    <w:rsid w:val="00975DF2"/>
    <w:rsid w:val="009776DD"/>
    <w:rsid w:val="0099479D"/>
    <w:rsid w:val="009B67AF"/>
    <w:rsid w:val="009C0031"/>
    <w:rsid w:val="00A03AB3"/>
    <w:rsid w:val="00A56D71"/>
    <w:rsid w:val="00A70E27"/>
    <w:rsid w:val="00A9560E"/>
    <w:rsid w:val="00AB1527"/>
    <w:rsid w:val="00AB1CA0"/>
    <w:rsid w:val="00AB7E4F"/>
    <w:rsid w:val="00AC687E"/>
    <w:rsid w:val="00AD48A4"/>
    <w:rsid w:val="00AD70A6"/>
    <w:rsid w:val="00AE154B"/>
    <w:rsid w:val="00AE6BC9"/>
    <w:rsid w:val="00AF3506"/>
    <w:rsid w:val="00AF4541"/>
    <w:rsid w:val="00B4269A"/>
    <w:rsid w:val="00B502A8"/>
    <w:rsid w:val="00B5677C"/>
    <w:rsid w:val="00B62F0B"/>
    <w:rsid w:val="00B72ABA"/>
    <w:rsid w:val="00B76A8D"/>
    <w:rsid w:val="00B92E00"/>
    <w:rsid w:val="00BA1FDF"/>
    <w:rsid w:val="00BB3841"/>
    <w:rsid w:val="00BD1C36"/>
    <w:rsid w:val="00BE2FCB"/>
    <w:rsid w:val="00BF4858"/>
    <w:rsid w:val="00C302BF"/>
    <w:rsid w:val="00C63DD2"/>
    <w:rsid w:val="00C72DB1"/>
    <w:rsid w:val="00C93E69"/>
    <w:rsid w:val="00CB5B2F"/>
    <w:rsid w:val="00CD1E59"/>
    <w:rsid w:val="00CE2DE5"/>
    <w:rsid w:val="00D0052D"/>
    <w:rsid w:val="00D06968"/>
    <w:rsid w:val="00D11DA5"/>
    <w:rsid w:val="00D26575"/>
    <w:rsid w:val="00D415C6"/>
    <w:rsid w:val="00D512F0"/>
    <w:rsid w:val="00D62EC4"/>
    <w:rsid w:val="00DC591F"/>
    <w:rsid w:val="00DD7313"/>
    <w:rsid w:val="00DE3FFB"/>
    <w:rsid w:val="00E24B28"/>
    <w:rsid w:val="00EC13F8"/>
    <w:rsid w:val="00EC76AA"/>
    <w:rsid w:val="00ED1F62"/>
    <w:rsid w:val="00EF3B38"/>
    <w:rsid w:val="00F01FBA"/>
    <w:rsid w:val="00F04874"/>
    <w:rsid w:val="00F1325E"/>
    <w:rsid w:val="00F13EB8"/>
    <w:rsid w:val="00F34E4F"/>
    <w:rsid w:val="00F51659"/>
    <w:rsid w:val="00F65FB4"/>
    <w:rsid w:val="00F74783"/>
    <w:rsid w:val="00FC059A"/>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39DD319"/>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7C63"/>
    <w:pPr>
      <w:spacing w:after="200" w:line="360" w:lineRule="auto"/>
      <w:jc w:val="both"/>
    </w:pPr>
    <w:rPr>
      <w:rFonts w:ascii="Times New Roman" w:hAnsi="Times New Roman"/>
      <w:color w:val="000000" w:themeColor="text1"/>
      <w:sz w:val="24"/>
      <w:lang w:val="en-GB"/>
      <w14:ligatures w14:val="none"/>
    </w:rPr>
  </w:style>
  <w:style w:type="paragraph" w:styleId="Heading1">
    <w:name w:val="heading 1"/>
    <w:basedOn w:val="Normal"/>
    <w:next w:val="Normal"/>
    <w:link w:val="Heading1Char"/>
    <w:autoRedefine/>
    <w:uiPriority w:val="9"/>
    <w:qFormat/>
    <w:rsid w:val="00F34E4F"/>
    <w:pPr>
      <w:keepNext/>
      <w:keepLines/>
      <w:spacing w:before="240" w:after="0"/>
      <w:outlineLvl w:val="0"/>
    </w:pPr>
    <w:rPr>
      <w:rFonts w:eastAsiaTheme="majorEastAsia" w:cstheme="majorBidi"/>
      <w:b/>
      <w:sz w:val="36"/>
      <w:szCs w:val="32"/>
      <w:lang w:val="en-IN"/>
    </w:rPr>
  </w:style>
  <w:style w:type="paragraph" w:styleId="Heading2">
    <w:name w:val="heading 2"/>
    <w:basedOn w:val="Normal"/>
    <w:next w:val="Normal"/>
    <w:link w:val="Heading2Char"/>
    <w:autoRedefine/>
    <w:uiPriority w:val="9"/>
    <w:unhideWhenUsed/>
    <w:qFormat/>
    <w:rsid w:val="00F34E4F"/>
    <w:pPr>
      <w:keepNext/>
      <w:keepLines/>
      <w:spacing w:before="40" w:after="0"/>
      <w:outlineLvl w:val="1"/>
    </w:pPr>
    <w:rPr>
      <w:rFonts w:eastAsiaTheme="majorEastAsia" w:cstheme="majorBidi"/>
      <w:b/>
      <w:kern w:val="2"/>
      <w:sz w:val="32"/>
      <w:szCs w:val="26"/>
      <w:lang w:val="en-IN"/>
      <w14:ligatures w14:val="standardContextual"/>
    </w:rPr>
  </w:style>
  <w:style w:type="paragraph" w:styleId="Heading3">
    <w:name w:val="heading 3"/>
    <w:basedOn w:val="Normal"/>
    <w:next w:val="Normal"/>
    <w:link w:val="Heading3Char"/>
    <w:uiPriority w:val="9"/>
    <w:unhideWhenUsed/>
    <w:qFormat/>
    <w:rsid w:val="00B72ABA"/>
    <w:pPr>
      <w:keepNext/>
      <w:keepLines/>
      <w:suppressAutoHyphens/>
      <w:autoSpaceDN w:val="0"/>
      <w:spacing w:before="40" w:after="0"/>
      <w:outlineLvl w:val="2"/>
    </w:pPr>
    <w:rPr>
      <w:rFonts w:eastAsiaTheme="majorEastAsia" w:cstheme="majorBidi"/>
      <w:b/>
      <w:szCs w:val="24"/>
    </w:rPr>
  </w:style>
  <w:style w:type="paragraph" w:styleId="Heading4">
    <w:name w:val="heading 4"/>
    <w:basedOn w:val="Normal"/>
    <w:next w:val="Normal"/>
    <w:link w:val="Heading4Char"/>
    <w:uiPriority w:val="9"/>
    <w:semiHidden/>
    <w:unhideWhenUsed/>
    <w:qFormat/>
    <w:rsid w:val="00B5677C"/>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B5677C"/>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B5677C"/>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B5677C"/>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B5677C"/>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B5677C"/>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34E4F"/>
    <w:rPr>
      <w:rFonts w:ascii="Times New Roman" w:eastAsiaTheme="majorEastAsia" w:hAnsi="Times New Roman" w:cstheme="majorBidi"/>
      <w:b/>
      <w:color w:val="000000" w:themeColor="text1"/>
      <w:sz w:val="36"/>
      <w:szCs w:val="32"/>
      <w:lang w:val="en-IN"/>
      <w14:ligatures w14:val="none"/>
    </w:rPr>
  </w:style>
  <w:style w:type="character" w:customStyle="1" w:styleId="Heading2Char">
    <w:name w:val="Heading 2 Char"/>
    <w:basedOn w:val="DefaultParagraphFont"/>
    <w:link w:val="Heading2"/>
    <w:uiPriority w:val="9"/>
    <w:rsid w:val="00F34E4F"/>
    <w:rPr>
      <w:rFonts w:ascii="Times New Roman" w:eastAsiaTheme="majorEastAsia" w:hAnsi="Times New Roman" w:cstheme="majorBidi"/>
      <w:b/>
      <w:color w:val="000000" w:themeColor="text1"/>
      <w:kern w:val="2"/>
      <w:sz w:val="32"/>
      <w:szCs w:val="26"/>
      <w:lang w:val="en-IN"/>
    </w:rPr>
  </w:style>
  <w:style w:type="character" w:customStyle="1" w:styleId="Heading3Char">
    <w:name w:val="Heading 3 Char"/>
    <w:basedOn w:val="DefaultParagraphFont"/>
    <w:link w:val="Heading3"/>
    <w:uiPriority w:val="9"/>
    <w:rsid w:val="00B72ABA"/>
    <w:rPr>
      <w:rFonts w:ascii="Times New Roman" w:eastAsiaTheme="majorEastAsia" w:hAnsi="Times New Roman" w:cstheme="majorBidi"/>
      <w:b/>
      <w:color w:val="000000" w:themeColor="text1"/>
      <w:kern w:val="0"/>
      <w:sz w:val="24"/>
      <w:szCs w:val="24"/>
      <w:lang w:val="en-GB"/>
    </w:rPr>
  </w:style>
  <w:style w:type="character" w:customStyle="1" w:styleId="Heading4Char">
    <w:name w:val="Heading 4 Char"/>
    <w:basedOn w:val="DefaultParagraphFont"/>
    <w:link w:val="Heading4"/>
    <w:uiPriority w:val="9"/>
    <w:semiHidden/>
    <w:rsid w:val="00B5677C"/>
    <w:rPr>
      <w:rFonts w:eastAsiaTheme="majorEastAsia" w:cstheme="majorBidi"/>
      <w:i/>
      <w:iCs/>
      <w:color w:val="2F5496" w:themeColor="accent1" w:themeShade="BF"/>
      <w:sz w:val="24"/>
      <w:lang w:val="en-GB"/>
      <w14:ligatures w14:val="none"/>
    </w:rPr>
  </w:style>
  <w:style w:type="character" w:customStyle="1" w:styleId="Heading5Char">
    <w:name w:val="Heading 5 Char"/>
    <w:basedOn w:val="DefaultParagraphFont"/>
    <w:link w:val="Heading5"/>
    <w:uiPriority w:val="9"/>
    <w:semiHidden/>
    <w:rsid w:val="00B5677C"/>
    <w:rPr>
      <w:rFonts w:eastAsiaTheme="majorEastAsia" w:cstheme="majorBidi"/>
      <w:color w:val="2F5496" w:themeColor="accent1" w:themeShade="BF"/>
      <w:sz w:val="24"/>
      <w:lang w:val="en-GB"/>
      <w14:ligatures w14:val="none"/>
    </w:rPr>
  </w:style>
  <w:style w:type="character" w:customStyle="1" w:styleId="Heading6Char">
    <w:name w:val="Heading 6 Char"/>
    <w:basedOn w:val="DefaultParagraphFont"/>
    <w:link w:val="Heading6"/>
    <w:uiPriority w:val="9"/>
    <w:semiHidden/>
    <w:rsid w:val="00B5677C"/>
    <w:rPr>
      <w:rFonts w:eastAsiaTheme="majorEastAsia" w:cstheme="majorBidi"/>
      <w:i/>
      <w:iCs/>
      <w:color w:val="595959" w:themeColor="text1" w:themeTint="A6"/>
      <w:sz w:val="24"/>
      <w:lang w:val="en-GB"/>
      <w14:ligatures w14:val="none"/>
    </w:rPr>
  </w:style>
  <w:style w:type="character" w:customStyle="1" w:styleId="Heading7Char">
    <w:name w:val="Heading 7 Char"/>
    <w:basedOn w:val="DefaultParagraphFont"/>
    <w:link w:val="Heading7"/>
    <w:uiPriority w:val="9"/>
    <w:semiHidden/>
    <w:rsid w:val="00B5677C"/>
    <w:rPr>
      <w:rFonts w:eastAsiaTheme="majorEastAsia" w:cstheme="majorBidi"/>
      <w:color w:val="595959" w:themeColor="text1" w:themeTint="A6"/>
      <w:sz w:val="24"/>
      <w:lang w:val="en-GB"/>
      <w14:ligatures w14:val="none"/>
    </w:rPr>
  </w:style>
  <w:style w:type="character" w:customStyle="1" w:styleId="Heading8Char">
    <w:name w:val="Heading 8 Char"/>
    <w:basedOn w:val="DefaultParagraphFont"/>
    <w:link w:val="Heading8"/>
    <w:uiPriority w:val="9"/>
    <w:semiHidden/>
    <w:rsid w:val="00B5677C"/>
    <w:rPr>
      <w:rFonts w:eastAsiaTheme="majorEastAsia" w:cstheme="majorBidi"/>
      <w:i/>
      <w:iCs/>
      <w:color w:val="272727" w:themeColor="text1" w:themeTint="D8"/>
      <w:sz w:val="24"/>
      <w:lang w:val="en-GB"/>
      <w14:ligatures w14:val="none"/>
    </w:rPr>
  </w:style>
  <w:style w:type="character" w:customStyle="1" w:styleId="Heading9Char">
    <w:name w:val="Heading 9 Char"/>
    <w:basedOn w:val="DefaultParagraphFont"/>
    <w:link w:val="Heading9"/>
    <w:uiPriority w:val="9"/>
    <w:semiHidden/>
    <w:rsid w:val="00B5677C"/>
    <w:rPr>
      <w:rFonts w:eastAsiaTheme="majorEastAsia" w:cstheme="majorBidi"/>
      <w:color w:val="272727" w:themeColor="text1" w:themeTint="D8"/>
      <w:sz w:val="24"/>
      <w:lang w:val="en-GB"/>
      <w14:ligatures w14:val="none"/>
    </w:rPr>
  </w:style>
  <w:style w:type="paragraph" w:styleId="Title">
    <w:name w:val="Title"/>
    <w:basedOn w:val="Normal"/>
    <w:next w:val="Normal"/>
    <w:link w:val="TitleChar"/>
    <w:uiPriority w:val="10"/>
    <w:qFormat/>
    <w:rsid w:val="00B5677C"/>
    <w:pPr>
      <w:spacing w:after="8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B5677C"/>
    <w:rPr>
      <w:rFonts w:asciiTheme="majorHAnsi" w:eastAsiaTheme="majorEastAsia" w:hAnsiTheme="majorHAnsi" w:cstheme="majorBidi"/>
      <w:spacing w:val="-10"/>
      <w:kern w:val="28"/>
      <w:sz w:val="56"/>
      <w:szCs w:val="56"/>
      <w:lang w:val="en-GB"/>
      <w14:ligatures w14:val="none"/>
    </w:rPr>
  </w:style>
  <w:style w:type="paragraph" w:styleId="Subtitle">
    <w:name w:val="Subtitle"/>
    <w:basedOn w:val="Normal"/>
    <w:next w:val="Normal"/>
    <w:link w:val="SubtitleChar"/>
    <w:uiPriority w:val="11"/>
    <w:qFormat/>
    <w:rsid w:val="00B5677C"/>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5677C"/>
    <w:rPr>
      <w:rFonts w:eastAsiaTheme="majorEastAsia" w:cstheme="majorBidi"/>
      <w:color w:val="595959" w:themeColor="text1" w:themeTint="A6"/>
      <w:spacing w:val="15"/>
      <w:sz w:val="28"/>
      <w:szCs w:val="28"/>
      <w:lang w:val="en-GB"/>
      <w14:ligatures w14:val="none"/>
    </w:rPr>
  </w:style>
  <w:style w:type="paragraph" w:styleId="Quote">
    <w:name w:val="Quote"/>
    <w:basedOn w:val="Normal"/>
    <w:next w:val="Normal"/>
    <w:link w:val="QuoteChar"/>
    <w:uiPriority w:val="29"/>
    <w:qFormat/>
    <w:rsid w:val="00B5677C"/>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B5677C"/>
    <w:rPr>
      <w:rFonts w:ascii="Times New Roman" w:hAnsi="Times New Roman"/>
      <w:i/>
      <w:iCs/>
      <w:color w:val="404040" w:themeColor="text1" w:themeTint="BF"/>
      <w:sz w:val="24"/>
      <w:lang w:val="en-GB"/>
      <w14:ligatures w14:val="none"/>
    </w:rPr>
  </w:style>
  <w:style w:type="paragraph" w:styleId="ListParagraph">
    <w:name w:val="List Paragraph"/>
    <w:basedOn w:val="Normal"/>
    <w:uiPriority w:val="34"/>
    <w:qFormat/>
    <w:rsid w:val="00B5677C"/>
    <w:pPr>
      <w:ind w:left="720"/>
      <w:contextualSpacing/>
    </w:pPr>
  </w:style>
  <w:style w:type="character" w:styleId="IntenseEmphasis">
    <w:name w:val="Intense Emphasis"/>
    <w:basedOn w:val="DefaultParagraphFont"/>
    <w:uiPriority w:val="21"/>
    <w:qFormat/>
    <w:rsid w:val="00B5677C"/>
    <w:rPr>
      <w:i/>
      <w:iCs/>
      <w:color w:val="2F5496" w:themeColor="accent1" w:themeShade="BF"/>
    </w:rPr>
  </w:style>
  <w:style w:type="paragraph" w:styleId="IntenseQuote">
    <w:name w:val="Intense Quote"/>
    <w:basedOn w:val="Normal"/>
    <w:next w:val="Normal"/>
    <w:link w:val="IntenseQuoteChar"/>
    <w:uiPriority w:val="30"/>
    <w:qFormat/>
    <w:rsid w:val="00B5677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5677C"/>
    <w:rPr>
      <w:rFonts w:ascii="Times New Roman" w:hAnsi="Times New Roman"/>
      <w:i/>
      <w:iCs/>
      <w:color w:val="2F5496" w:themeColor="accent1" w:themeShade="BF"/>
      <w:sz w:val="24"/>
      <w:lang w:val="en-GB"/>
      <w14:ligatures w14:val="none"/>
    </w:rPr>
  </w:style>
  <w:style w:type="character" w:styleId="IntenseReference">
    <w:name w:val="Intense Reference"/>
    <w:basedOn w:val="DefaultParagraphFont"/>
    <w:uiPriority w:val="32"/>
    <w:qFormat/>
    <w:rsid w:val="00B5677C"/>
    <w:rPr>
      <w:b/>
      <w:bCs/>
      <w:smallCaps/>
      <w:color w:val="2F5496" w:themeColor="accent1" w:themeShade="BF"/>
      <w:spacing w:val="5"/>
    </w:rPr>
  </w:style>
  <w:style w:type="paragraph" w:styleId="TOCHeading">
    <w:name w:val="TOC Heading"/>
    <w:basedOn w:val="Heading1"/>
    <w:next w:val="Normal"/>
    <w:uiPriority w:val="39"/>
    <w:unhideWhenUsed/>
    <w:qFormat/>
    <w:rsid w:val="00B5677C"/>
    <w:pPr>
      <w:spacing w:line="259" w:lineRule="auto"/>
      <w:jc w:val="left"/>
      <w:outlineLvl w:val="9"/>
    </w:pPr>
    <w:rPr>
      <w:rFonts w:asciiTheme="majorHAnsi" w:hAnsiTheme="majorHAnsi"/>
      <w:b w:val="0"/>
      <w:color w:val="2F5496" w:themeColor="accent1" w:themeShade="BF"/>
      <w:sz w:val="32"/>
      <w:lang w:val="en-US" w:bidi="hi-IN"/>
    </w:rPr>
  </w:style>
  <w:style w:type="paragraph" w:styleId="TOC1">
    <w:name w:val="toc 1"/>
    <w:basedOn w:val="Normal"/>
    <w:next w:val="Normal"/>
    <w:autoRedefine/>
    <w:uiPriority w:val="39"/>
    <w:unhideWhenUsed/>
    <w:rsid w:val="00B5677C"/>
    <w:pPr>
      <w:spacing w:after="100"/>
    </w:pPr>
  </w:style>
  <w:style w:type="character" w:styleId="Hyperlink">
    <w:name w:val="Hyperlink"/>
    <w:basedOn w:val="DefaultParagraphFont"/>
    <w:uiPriority w:val="99"/>
    <w:unhideWhenUsed/>
    <w:rsid w:val="00B5677C"/>
    <w:rPr>
      <w:color w:val="0563C1" w:themeColor="hyperlink"/>
      <w:u w:val="single"/>
    </w:rPr>
  </w:style>
  <w:style w:type="paragraph" w:styleId="Header">
    <w:name w:val="header"/>
    <w:basedOn w:val="Normal"/>
    <w:link w:val="HeaderChar"/>
    <w:uiPriority w:val="99"/>
    <w:unhideWhenUsed/>
    <w:rsid w:val="0000434E"/>
    <w:pPr>
      <w:tabs>
        <w:tab w:val="center" w:pos="4680"/>
        <w:tab w:val="right" w:pos="9360"/>
      </w:tabs>
      <w:spacing w:after="0" w:line="240" w:lineRule="auto"/>
    </w:pPr>
  </w:style>
  <w:style w:type="character" w:customStyle="1" w:styleId="HeaderChar">
    <w:name w:val="Header Char"/>
    <w:basedOn w:val="DefaultParagraphFont"/>
    <w:link w:val="Header"/>
    <w:uiPriority w:val="99"/>
    <w:rsid w:val="0000434E"/>
    <w:rPr>
      <w:rFonts w:ascii="Times New Roman" w:hAnsi="Times New Roman"/>
      <w:color w:val="000000" w:themeColor="text1"/>
      <w:sz w:val="24"/>
      <w:lang w:val="en-GB"/>
      <w14:ligatures w14:val="none"/>
    </w:rPr>
  </w:style>
  <w:style w:type="paragraph" w:styleId="Footer">
    <w:name w:val="footer"/>
    <w:basedOn w:val="Normal"/>
    <w:link w:val="FooterChar"/>
    <w:uiPriority w:val="99"/>
    <w:unhideWhenUsed/>
    <w:rsid w:val="0000434E"/>
    <w:pPr>
      <w:tabs>
        <w:tab w:val="center" w:pos="4680"/>
        <w:tab w:val="right" w:pos="9360"/>
      </w:tabs>
      <w:spacing w:after="0" w:line="240" w:lineRule="auto"/>
    </w:pPr>
  </w:style>
  <w:style w:type="character" w:customStyle="1" w:styleId="FooterChar">
    <w:name w:val="Footer Char"/>
    <w:basedOn w:val="DefaultParagraphFont"/>
    <w:link w:val="Footer"/>
    <w:uiPriority w:val="99"/>
    <w:rsid w:val="0000434E"/>
    <w:rPr>
      <w:rFonts w:ascii="Times New Roman" w:hAnsi="Times New Roman"/>
      <w:color w:val="000000" w:themeColor="text1"/>
      <w:sz w:val="24"/>
      <w:lang w:val="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05B485-F475-4E74-8543-C0107E497B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2400</Words>
  <Characters>13685</Characters>
  <Application>Microsoft Office Word</Application>
  <DocSecurity>0</DocSecurity>
  <Lines>114</Lines>
  <Paragraphs>32</Paragraphs>
  <ScaleCrop>false</ScaleCrop>
  <Company/>
  <LinksUpToDate>false</LinksUpToDate>
  <CharactersWithSpaces>16053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2025-10-13T09:39:00Z</dcterms:created>
  <dcterms:modified xsi:type="dcterms:W3CDTF">2025-10-17T06:00:00Z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12ccc15e-3db7-4d9d-84fc-de138f0c4266</vt:lpwstr>
  </property>
</Properties>
</file>