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23EE" w14:textId="77777777" w:rsidR="00625FC7" w:rsidRDefault="00625FC7" w:rsidP="00625FC7">
      <w:pPr>
        <w:spacing w:line="360" w:lineRule="auto"/>
        <w:jc w:val="center"/>
        <w:rPr>
          <w:rFonts w:ascii="Arial" w:hAnsi="Arial" w:cs="Arial"/>
          <w:sz w:val="22"/>
          <w:szCs w:val="22"/>
        </w:rPr>
      </w:pPr>
    </w:p>
    <w:p w14:paraId="3CFD8623" w14:textId="77777777" w:rsidR="00625FC7" w:rsidRDefault="00625FC7" w:rsidP="00625FC7">
      <w:pPr>
        <w:spacing w:line="360" w:lineRule="auto"/>
        <w:jc w:val="center"/>
        <w:rPr>
          <w:rFonts w:ascii="Arial" w:hAnsi="Arial" w:cs="Arial"/>
          <w:sz w:val="22"/>
          <w:szCs w:val="22"/>
        </w:rPr>
      </w:pPr>
    </w:p>
    <w:p w14:paraId="241CCCA5" w14:textId="439818D5" w:rsidR="00625FC7" w:rsidRPr="009E1AB5" w:rsidRDefault="00625FC7" w:rsidP="00625FC7">
      <w:pPr>
        <w:spacing w:line="360" w:lineRule="auto"/>
        <w:jc w:val="center"/>
        <w:rPr>
          <w:rFonts w:ascii="Arial" w:hAnsi="Arial" w:cs="Arial"/>
          <w:sz w:val="22"/>
          <w:szCs w:val="22"/>
        </w:rPr>
      </w:pPr>
      <w:r w:rsidRPr="009E1AB5">
        <w:rPr>
          <w:rFonts w:ascii="Arial" w:hAnsi="Arial" w:cs="Arial"/>
          <w:noProof/>
          <w:sz w:val="22"/>
          <w:szCs w:val="22"/>
        </w:rPr>
        <w:drawing>
          <wp:inline distT="0" distB="0" distL="0" distR="0" wp14:anchorId="15579CD0" wp14:editId="5D27A3FD">
            <wp:extent cx="1917700" cy="768350"/>
            <wp:effectExtent l="0" t="0" r="635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pic:nvPicPr>
                  <pic:blipFill>
                    <a:blip r:embed="rId4"/>
                    <a:srcRect/>
                    <a:stretch>
                      <a:fillRect/>
                    </a:stretch>
                  </pic:blipFill>
                  <pic:spPr>
                    <a:xfrm>
                      <a:off x="0" y="0"/>
                      <a:ext cx="1917700" cy="768350"/>
                    </a:xfrm>
                    <a:prstGeom prst="rect">
                      <a:avLst/>
                    </a:prstGeom>
                    <a:ln/>
                  </pic:spPr>
                </pic:pic>
              </a:graphicData>
            </a:graphic>
          </wp:inline>
        </w:drawing>
      </w:r>
    </w:p>
    <w:p w14:paraId="7FE3A536" w14:textId="77777777" w:rsidR="00625FC7" w:rsidRDefault="00625FC7" w:rsidP="00625FC7">
      <w:pPr>
        <w:spacing w:line="360" w:lineRule="auto"/>
        <w:jc w:val="center"/>
        <w:rPr>
          <w:rFonts w:ascii="Arial" w:hAnsi="Arial" w:cs="Arial"/>
          <w:b/>
          <w:bCs/>
          <w:sz w:val="22"/>
          <w:szCs w:val="22"/>
        </w:rPr>
      </w:pPr>
    </w:p>
    <w:p w14:paraId="5B460F90" w14:textId="77777777" w:rsidR="00625FC7" w:rsidRPr="009E1AB5" w:rsidRDefault="00625FC7" w:rsidP="00625FC7">
      <w:pPr>
        <w:spacing w:line="360" w:lineRule="auto"/>
        <w:rPr>
          <w:rFonts w:ascii="Arial" w:hAnsi="Arial" w:cs="Arial"/>
          <w:b/>
          <w:bCs/>
          <w:sz w:val="22"/>
          <w:szCs w:val="22"/>
        </w:rPr>
      </w:pPr>
    </w:p>
    <w:p w14:paraId="29CFE666" w14:textId="77777777" w:rsidR="00625FC7" w:rsidRDefault="00625FC7" w:rsidP="00625FC7">
      <w:pPr>
        <w:spacing w:line="360" w:lineRule="auto"/>
        <w:jc w:val="center"/>
        <w:rPr>
          <w:rFonts w:ascii="Arial" w:hAnsi="Arial" w:cs="Arial"/>
          <w:b/>
          <w:bCs/>
          <w:sz w:val="22"/>
          <w:szCs w:val="22"/>
        </w:rPr>
      </w:pPr>
    </w:p>
    <w:p w14:paraId="27C69DCA" w14:textId="77777777" w:rsidR="00625FC7" w:rsidRPr="009E1AB5" w:rsidRDefault="00625FC7" w:rsidP="00625FC7">
      <w:pPr>
        <w:spacing w:line="360" w:lineRule="auto"/>
        <w:jc w:val="center"/>
        <w:rPr>
          <w:rFonts w:ascii="Arial" w:hAnsi="Arial" w:cs="Arial"/>
          <w:b/>
          <w:bCs/>
          <w:sz w:val="22"/>
          <w:szCs w:val="22"/>
        </w:rPr>
      </w:pPr>
      <w:r w:rsidRPr="009E1AB5">
        <w:rPr>
          <w:rFonts w:ascii="Arial" w:hAnsi="Arial" w:cs="Arial"/>
          <w:b/>
          <w:bCs/>
          <w:sz w:val="22"/>
          <w:szCs w:val="22"/>
        </w:rPr>
        <w:t xml:space="preserve">Student Name: </w:t>
      </w:r>
      <w:r w:rsidRPr="00F355E2">
        <w:rPr>
          <w:rFonts w:ascii="Arial" w:hAnsi="Arial" w:cs="Arial"/>
          <w:sz w:val="22"/>
          <w:szCs w:val="22"/>
        </w:rPr>
        <w:t>Ahlam Bchini</w:t>
      </w:r>
    </w:p>
    <w:p w14:paraId="09A013D8" w14:textId="77777777" w:rsidR="00625FC7" w:rsidRPr="00F355E2" w:rsidRDefault="00625FC7" w:rsidP="00625FC7">
      <w:pPr>
        <w:spacing w:line="360" w:lineRule="auto"/>
        <w:jc w:val="center"/>
        <w:rPr>
          <w:rFonts w:ascii="Arial" w:hAnsi="Arial" w:cs="Arial"/>
          <w:sz w:val="22"/>
          <w:szCs w:val="22"/>
        </w:rPr>
      </w:pPr>
      <w:r w:rsidRPr="009E1AB5">
        <w:rPr>
          <w:rFonts w:ascii="Arial" w:hAnsi="Arial" w:cs="Arial"/>
          <w:b/>
          <w:bCs/>
          <w:sz w:val="22"/>
          <w:szCs w:val="22"/>
        </w:rPr>
        <w:t xml:space="preserve">Student Number: </w:t>
      </w:r>
      <w:r w:rsidRPr="00F355E2">
        <w:rPr>
          <w:rFonts w:ascii="Arial" w:hAnsi="Arial" w:cs="Arial"/>
          <w:sz w:val="22"/>
          <w:szCs w:val="22"/>
        </w:rPr>
        <w:t>2439423</w:t>
      </w:r>
    </w:p>
    <w:p w14:paraId="5D26078E" w14:textId="77777777" w:rsidR="00625FC7" w:rsidRPr="009E1AB5" w:rsidRDefault="00625FC7" w:rsidP="00625FC7">
      <w:pPr>
        <w:spacing w:line="360" w:lineRule="auto"/>
        <w:jc w:val="center"/>
        <w:rPr>
          <w:rFonts w:ascii="Arial" w:hAnsi="Arial" w:cs="Arial"/>
          <w:b/>
          <w:bCs/>
          <w:sz w:val="22"/>
          <w:szCs w:val="22"/>
        </w:rPr>
      </w:pPr>
      <w:r w:rsidRPr="009E1AB5">
        <w:rPr>
          <w:rFonts w:ascii="Arial" w:hAnsi="Arial" w:cs="Arial"/>
          <w:b/>
          <w:bCs/>
          <w:sz w:val="22"/>
          <w:szCs w:val="22"/>
        </w:rPr>
        <w:t xml:space="preserve">Module: </w:t>
      </w:r>
      <w:r w:rsidRPr="00F355E2">
        <w:rPr>
          <w:rFonts w:ascii="Arial" w:hAnsi="Arial" w:cs="Arial"/>
          <w:sz w:val="22"/>
          <w:szCs w:val="22"/>
        </w:rPr>
        <w:t>Principles of Health and Social Care Practice</w:t>
      </w:r>
    </w:p>
    <w:p w14:paraId="16FCB45F" w14:textId="77777777" w:rsidR="00625FC7" w:rsidRPr="00F355E2" w:rsidRDefault="00625FC7" w:rsidP="00625FC7">
      <w:pPr>
        <w:spacing w:line="360" w:lineRule="auto"/>
        <w:jc w:val="center"/>
        <w:rPr>
          <w:rFonts w:ascii="Arial" w:hAnsi="Arial" w:cs="Arial"/>
          <w:sz w:val="22"/>
          <w:szCs w:val="22"/>
        </w:rPr>
      </w:pPr>
      <w:r w:rsidRPr="009E1AB5">
        <w:rPr>
          <w:rFonts w:ascii="Arial" w:hAnsi="Arial" w:cs="Arial"/>
          <w:b/>
          <w:bCs/>
          <w:sz w:val="22"/>
          <w:szCs w:val="22"/>
        </w:rPr>
        <w:t xml:space="preserve">Module Code: </w:t>
      </w:r>
      <w:r w:rsidRPr="00F355E2">
        <w:rPr>
          <w:rFonts w:ascii="Arial" w:hAnsi="Arial" w:cs="Arial"/>
          <w:sz w:val="22"/>
          <w:szCs w:val="22"/>
        </w:rPr>
        <w:t>BMHP5016</w:t>
      </w:r>
    </w:p>
    <w:p w14:paraId="77A0558F" w14:textId="77777777" w:rsidR="00625FC7" w:rsidRPr="009E1AB5" w:rsidRDefault="00625FC7" w:rsidP="00625FC7">
      <w:pPr>
        <w:spacing w:line="360" w:lineRule="auto"/>
        <w:jc w:val="center"/>
        <w:rPr>
          <w:rFonts w:ascii="Arial" w:hAnsi="Arial" w:cs="Arial"/>
          <w:b/>
          <w:bCs/>
          <w:sz w:val="22"/>
          <w:szCs w:val="22"/>
        </w:rPr>
      </w:pPr>
      <w:r w:rsidRPr="009E1AB5">
        <w:rPr>
          <w:rFonts w:ascii="Arial" w:hAnsi="Arial" w:cs="Arial"/>
          <w:b/>
          <w:bCs/>
          <w:sz w:val="22"/>
          <w:szCs w:val="22"/>
        </w:rPr>
        <w:t xml:space="preserve">Assignment </w:t>
      </w:r>
      <w:r>
        <w:rPr>
          <w:rFonts w:ascii="Arial" w:hAnsi="Arial" w:cs="Arial"/>
          <w:b/>
          <w:bCs/>
          <w:sz w:val="22"/>
          <w:szCs w:val="22"/>
        </w:rPr>
        <w:t>1</w:t>
      </w:r>
      <w:r w:rsidRPr="009E1AB5">
        <w:rPr>
          <w:rFonts w:ascii="Arial" w:hAnsi="Arial" w:cs="Arial"/>
          <w:b/>
          <w:bCs/>
          <w:sz w:val="22"/>
          <w:szCs w:val="22"/>
        </w:rPr>
        <w:t>:</w:t>
      </w:r>
      <w:r>
        <w:rPr>
          <w:rFonts w:ascii="Arial" w:hAnsi="Arial" w:cs="Arial"/>
          <w:b/>
          <w:bCs/>
          <w:sz w:val="22"/>
          <w:szCs w:val="22"/>
        </w:rPr>
        <w:t xml:space="preserve"> </w:t>
      </w:r>
      <w:r w:rsidRPr="00F355E2">
        <w:rPr>
          <w:rFonts w:ascii="Arial" w:hAnsi="Arial" w:cs="Arial"/>
          <w:sz w:val="22"/>
          <w:szCs w:val="22"/>
        </w:rPr>
        <w:t>Reflective report</w:t>
      </w:r>
    </w:p>
    <w:p w14:paraId="5CFF3FDD" w14:textId="77777777" w:rsidR="00625FC7" w:rsidRPr="00F355E2" w:rsidRDefault="00625FC7" w:rsidP="00625FC7">
      <w:pPr>
        <w:spacing w:line="360" w:lineRule="auto"/>
        <w:jc w:val="center"/>
        <w:rPr>
          <w:rFonts w:ascii="Arial" w:hAnsi="Arial" w:cs="Arial"/>
          <w:sz w:val="22"/>
          <w:szCs w:val="22"/>
        </w:rPr>
      </w:pPr>
      <w:r>
        <w:rPr>
          <w:rFonts w:ascii="Arial" w:hAnsi="Arial" w:cs="Arial"/>
          <w:b/>
          <w:bCs/>
          <w:sz w:val="22"/>
          <w:szCs w:val="22"/>
        </w:rPr>
        <w:t xml:space="preserve">Lecture: </w:t>
      </w:r>
      <w:r w:rsidRPr="00F355E2">
        <w:rPr>
          <w:rFonts w:ascii="Arial" w:hAnsi="Arial" w:cs="Arial"/>
          <w:sz w:val="22"/>
          <w:szCs w:val="22"/>
        </w:rPr>
        <w:t xml:space="preserve">Kennedy </w:t>
      </w:r>
      <w:proofErr w:type="spellStart"/>
      <w:r w:rsidRPr="00F355E2">
        <w:rPr>
          <w:rFonts w:ascii="Arial" w:hAnsi="Arial" w:cs="Arial"/>
          <w:sz w:val="22"/>
          <w:szCs w:val="22"/>
        </w:rPr>
        <w:t>Obohwemu</w:t>
      </w:r>
      <w:proofErr w:type="spellEnd"/>
    </w:p>
    <w:p w14:paraId="4741F74C" w14:textId="77777777" w:rsidR="00625FC7" w:rsidRPr="009E1AB5" w:rsidRDefault="00625FC7" w:rsidP="00625FC7">
      <w:pPr>
        <w:spacing w:line="360" w:lineRule="auto"/>
        <w:jc w:val="both"/>
        <w:rPr>
          <w:rFonts w:ascii="Arial" w:hAnsi="Arial" w:cs="Arial"/>
          <w:sz w:val="22"/>
          <w:szCs w:val="22"/>
        </w:rPr>
      </w:pPr>
    </w:p>
    <w:p w14:paraId="48B8FBAC" w14:textId="77777777" w:rsidR="00625FC7" w:rsidRPr="009E1AB5" w:rsidRDefault="00625FC7" w:rsidP="00625FC7">
      <w:pPr>
        <w:spacing w:line="360" w:lineRule="auto"/>
        <w:jc w:val="both"/>
        <w:rPr>
          <w:rFonts w:ascii="Arial" w:hAnsi="Arial" w:cs="Arial"/>
          <w:sz w:val="22"/>
          <w:szCs w:val="22"/>
        </w:rPr>
      </w:pPr>
    </w:p>
    <w:p w14:paraId="7B9BBFE3" w14:textId="77777777" w:rsidR="00625FC7" w:rsidRPr="009E1AB5" w:rsidRDefault="00625FC7" w:rsidP="00625FC7">
      <w:pPr>
        <w:spacing w:line="360" w:lineRule="auto"/>
        <w:jc w:val="both"/>
        <w:rPr>
          <w:rFonts w:ascii="Arial" w:hAnsi="Arial" w:cs="Arial"/>
          <w:sz w:val="22"/>
          <w:szCs w:val="22"/>
        </w:rPr>
      </w:pPr>
    </w:p>
    <w:p w14:paraId="211D4F78" w14:textId="77777777" w:rsidR="00625FC7" w:rsidRPr="009E1AB5" w:rsidRDefault="00625FC7" w:rsidP="00625FC7">
      <w:pPr>
        <w:spacing w:line="360" w:lineRule="auto"/>
        <w:jc w:val="both"/>
        <w:rPr>
          <w:rFonts w:ascii="Arial" w:hAnsi="Arial" w:cs="Arial"/>
          <w:sz w:val="22"/>
          <w:szCs w:val="22"/>
        </w:rPr>
      </w:pPr>
    </w:p>
    <w:p w14:paraId="7C7E6690" w14:textId="77777777" w:rsidR="00625FC7" w:rsidRPr="009E1AB5" w:rsidRDefault="00625FC7" w:rsidP="00625FC7">
      <w:pPr>
        <w:spacing w:line="360" w:lineRule="auto"/>
        <w:jc w:val="both"/>
        <w:rPr>
          <w:rFonts w:ascii="Arial" w:hAnsi="Arial" w:cs="Arial"/>
          <w:sz w:val="22"/>
          <w:szCs w:val="22"/>
        </w:rPr>
      </w:pPr>
    </w:p>
    <w:p w14:paraId="18319674" w14:textId="77777777" w:rsidR="00625FC7" w:rsidRPr="009E1AB5" w:rsidRDefault="00625FC7" w:rsidP="00625FC7">
      <w:pPr>
        <w:spacing w:line="360" w:lineRule="auto"/>
        <w:jc w:val="both"/>
        <w:rPr>
          <w:rFonts w:ascii="Arial" w:hAnsi="Arial" w:cs="Arial"/>
          <w:sz w:val="22"/>
          <w:szCs w:val="22"/>
        </w:rPr>
      </w:pPr>
    </w:p>
    <w:p w14:paraId="4165A899" w14:textId="77777777" w:rsidR="00625FC7" w:rsidRPr="00150514" w:rsidRDefault="00625FC7" w:rsidP="00625FC7">
      <w:pPr>
        <w:spacing w:line="360" w:lineRule="auto"/>
        <w:jc w:val="both"/>
        <w:rPr>
          <w:rFonts w:ascii="Arial" w:hAnsi="Arial" w:cs="Arial"/>
          <w:sz w:val="22"/>
          <w:szCs w:val="22"/>
        </w:rPr>
      </w:pPr>
    </w:p>
    <w:p w14:paraId="7401C1DB" w14:textId="77777777" w:rsidR="00625FC7" w:rsidRPr="009E1AB5" w:rsidRDefault="00625FC7" w:rsidP="00625FC7">
      <w:pPr>
        <w:spacing w:line="360" w:lineRule="auto"/>
        <w:jc w:val="both"/>
        <w:rPr>
          <w:rFonts w:ascii="Arial" w:hAnsi="Arial" w:cs="Arial"/>
          <w:sz w:val="22"/>
          <w:szCs w:val="22"/>
        </w:rPr>
      </w:pPr>
    </w:p>
    <w:p w14:paraId="0276EB51" w14:textId="77777777" w:rsidR="00625FC7" w:rsidRPr="009E1AB5" w:rsidRDefault="00625FC7" w:rsidP="00625FC7">
      <w:pPr>
        <w:spacing w:line="360" w:lineRule="auto"/>
        <w:jc w:val="both"/>
        <w:rPr>
          <w:rFonts w:ascii="Arial" w:hAnsi="Arial" w:cs="Arial"/>
          <w:sz w:val="22"/>
          <w:szCs w:val="22"/>
        </w:rPr>
      </w:pPr>
    </w:p>
    <w:p w14:paraId="272E468A" w14:textId="77777777" w:rsidR="00625FC7" w:rsidRPr="009E1AB5" w:rsidRDefault="00625FC7" w:rsidP="00625FC7">
      <w:pPr>
        <w:spacing w:line="360" w:lineRule="auto"/>
        <w:jc w:val="both"/>
        <w:rPr>
          <w:rFonts w:ascii="Arial" w:hAnsi="Arial" w:cs="Arial"/>
          <w:sz w:val="22"/>
          <w:szCs w:val="22"/>
        </w:rPr>
      </w:pPr>
    </w:p>
    <w:sdt>
      <w:sdtPr>
        <w:rPr>
          <w:rFonts w:ascii="Arial" w:eastAsiaTheme="minorHAnsi" w:hAnsi="Arial" w:cs="Arial"/>
          <w:color w:val="auto"/>
          <w:kern w:val="2"/>
          <w:sz w:val="22"/>
          <w:szCs w:val="22"/>
          <w14:ligatures w14:val="standardContextual"/>
        </w:rPr>
        <w:id w:val="-816872183"/>
        <w:docPartObj>
          <w:docPartGallery w:val="Table of Contents"/>
          <w:docPartUnique/>
        </w:docPartObj>
      </w:sdtPr>
      <w:sdtEndPr>
        <w:rPr>
          <w:b/>
          <w:bCs/>
          <w:noProof/>
        </w:rPr>
      </w:sdtEndPr>
      <w:sdtContent>
        <w:p w14:paraId="5480C3BF" w14:textId="77777777" w:rsidR="00625FC7" w:rsidRDefault="00625FC7" w:rsidP="00625FC7">
          <w:pPr>
            <w:pStyle w:val="TOCHeading"/>
            <w:spacing w:line="360" w:lineRule="auto"/>
            <w:jc w:val="both"/>
            <w:rPr>
              <w:rFonts w:ascii="Arial" w:eastAsiaTheme="minorHAnsi" w:hAnsi="Arial" w:cs="Arial"/>
              <w:color w:val="auto"/>
              <w:kern w:val="2"/>
              <w:sz w:val="22"/>
              <w:szCs w:val="22"/>
              <w14:ligatures w14:val="standardContextual"/>
            </w:rPr>
          </w:pPr>
        </w:p>
        <w:p w14:paraId="3554D3E2" w14:textId="0BEE6AB8" w:rsidR="00625FC7" w:rsidRPr="009E1AB5" w:rsidRDefault="00625FC7" w:rsidP="00625FC7">
          <w:pPr>
            <w:pStyle w:val="TOCHeading"/>
            <w:spacing w:line="360" w:lineRule="auto"/>
            <w:jc w:val="both"/>
            <w:rPr>
              <w:rFonts w:ascii="Arial" w:hAnsi="Arial" w:cs="Arial"/>
              <w:b/>
              <w:bCs/>
              <w:color w:val="auto"/>
              <w:sz w:val="28"/>
              <w:szCs w:val="28"/>
            </w:rPr>
          </w:pPr>
          <w:r w:rsidRPr="009E1AB5">
            <w:rPr>
              <w:rFonts w:ascii="Arial" w:hAnsi="Arial" w:cs="Arial"/>
              <w:b/>
              <w:bCs/>
              <w:color w:val="auto"/>
              <w:sz w:val="28"/>
              <w:szCs w:val="28"/>
            </w:rPr>
            <w:t>Contents</w:t>
          </w:r>
        </w:p>
        <w:p w14:paraId="125154FA" w14:textId="5C8B5599" w:rsidR="00625FC7" w:rsidRPr="00625FC7" w:rsidRDefault="00625FC7" w:rsidP="00625FC7">
          <w:pPr>
            <w:pStyle w:val="TOC1"/>
            <w:rPr>
              <w:rFonts w:eastAsiaTheme="minorEastAsia"/>
            </w:rPr>
          </w:pPr>
          <w:r w:rsidRPr="009E1AB5">
            <w:rPr>
              <w:noProof w:val="0"/>
              <w:sz w:val="22"/>
              <w:szCs w:val="22"/>
            </w:rPr>
            <w:fldChar w:fldCharType="begin"/>
          </w:r>
          <w:r w:rsidRPr="009E1AB5">
            <w:rPr>
              <w:sz w:val="22"/>
              <w:szCs w:val="22"/>
            </w:rPr>
            <w:instrText xml:space="preserve"> TOC \o "1-3" \h \z \u </w:instrText>
          </w:r>
          <w:r w:rsidRPr="009E1AB5">
            <w:rPr>
              <w:noProof w:val="0"/>
              <w:sz w:val="22"/>
              <w:szCs w:val="22"/>
            </w:rPr>
            <w:fldChar w:fldCharType="separate"/>
          </w:r>
          <w:r>
            <w:rPr>
              <w:noProof w:val="0"/>
              <w:sz w:val="22"/>
              <w:szCs w:val="22"/>
            </w:rPr>
            <w:t>Component 1: REFLECTIVE REPORT……………………………………………………………….3</w:t>
          </w:r>
        </w:p>
        <w:p w14:paraId="5535C66C" w14:textId="77777777" w:rsidR="00625FC7" w:rsidRPr="009E1AB5" w:rsidRDefault="00625FC7" w:rsidP="00625FC7">
          <w:pPr>
            <w:pStyle w:val="TOC2"/>
            <w:rPr>
              <w:rFonts w:eastAsiaTheme="minorEastAsia"/>
            </w:rPr>
          </w:pPr>
          <w:r>
            <w:fldChar w:fldCharType="begin"/>
          </w:r>
          <w:r>
            <w:instrText>HYPERLINK \l "_Toc242484081"</w:instrText>
          </w:r>
          <w:r>
            <w:fldChar w:fldCharType="separate"/>
          </w:r>
          <w:r w:rsidRPr="00150514">
            <w:rPr>
              <w:rStyle w:val="Hyperlink"/>
              <w:b/>
              <w:bCs/>
            </w:rPr>
            <w:t>Introduction</w:t>
          </w:r>
          <w:r w:rsidRPr="00150514">
            <w:rPr>
              <w:webHidden/>
            </w:rPr>
            <w:tab/>
          </w:r>
          <w:r w:rsidRPr="00150514">
            <w:rPr>
              <w:webHidden/>
            </w:rPr>
            <w:fldChar w:fldCharType="begin"/>
          </w:r>
          <w:r w:rsidRPr="00150514">
            <w:rPr>
              <w:webHidden/>
            </w:rPr>
            <w:instrText xml:space="preserve"> PAGEREF _Toc242484081 \h </w:instrText>
          </w:r>
          <w:r w:rsidRPr="00150514">
            <w:rPr>
              <w:webHidden/>
            </w:rPr>
          </w:r>
          <w:r w:rsidRPr="00150514">
            <w:rPr>
              <w:webHidden/>
            </w:rPr>
            <w:fldChar w:fldCharType="separate"/>
          </w:r>
          <w:r w:rsidRPr="00150514">
            <w:rPr>
              <w:webHidden/>
            </w:rPr>
            <w:t>3</w:t>
          </w:r>
          <w:r w:rsidRPr="00150514">
            <w:rPr>
              <w:webHidden/>
            </w:rPr>
            <w:fldChar w:fldCharType="end"/>
          </w:r>
          <w:r>
            <w:fldChar w:fldCharType="end"/>
          </w:r>
        </w:p>
        <w:p w14:paraId="0B0A01A4" w14:textId="77777777" w:rsidR="00625FC7" w:rsidRPr="00150514" w:rsidRDefault="00625FC7" w:rsidP="00625FC7">
          <w:pPr>
            <w:pStyle w:val="TOC2"/>
            <w:rPr>
              <w:rFonts w:eastAsiaTheme="minorEastAsia"/>
            </w:rPr>
          </w:pPr>
          <w:hyperlink w:anchor="_Toc242484082" w:history="1">
            <w:r w:rsidRPr="00150514">
              <w:rPr>
                <w:rStyle w:val="Hyperlink"/>
              </w:rPr>
              <w:t>Task 1: Reflection on the Importance of Principles of Health and Social Care</w:t>
            </w:r>
            <w:r w:rsidRPr="00150514">
              <w:rPr>
                <w:webHidden/>
              </w:rPr>
              <w:tab/>
            </w:r>
            <w:r w:rsidRPr="00150514">
              <w:rPr>
                <w:webHidden/>
              </w:rPr>
              <w:fldChar w:fldCharType="begin"/>
            </w:r>
            <w:r w:rsidRPr="00150514">
              <w:rPr>
                <w:webHidden/>
              </w:rPr>
              <w:instrText xml:space="preserve"> PAGEREF _Toc242484082 \h </w:instrText>
            </w:r>
            <w:r w:rsidRPr="00150514">
              <w:rPr>
                <w:webHidden/>
              </w:rPr>
            </w:r>
            <w:r w:rsidRPr="00150514">
              <w:rPr>
                <w:webHidden/>
              </w:rPr>
              <w:fldChar w:fldCharType="separate"/>
            </w:r>
            <w:r w:rsidRPr="00150514">
              <w:rPr>
                <w:webHidden/>
              </w:rPr>
              <w:t>3</w:t>
            </w:r>
            <w:r w:rsidRPr="00150514">
              <w:rPr>
                <w:webHidden/>
              </w:rPr>
              <w:fldChar w:fldCharType="end"/>
            </w:r>
          </w:hyperlink>
        </w:p>
        <w:p w14:paraId="19EDB358" w14:textId="77777777" w:rsidR="00625FC7" w:rsidRPr="00150514" w:rsidRDefault="00625FC7" w:rsidP="00625FC7">
          <w:pPr>
            <w:pStyle w:val="TOC2"/>
            <w:rPr>
              <w:rFonts w:eastAsiaTheme="minorEastAsia"/>
            </w:rPr>
          </w:pPr>
          <w:hyperlink w:anchor="_Toc242484083" w:history="1">
            <w:r w:rsidRPr="00150514">
              <w:rPr>
                <w:rStyle w:val="Hyperlink"/>
              </w:rPr>
              <w:t>Task 2: Practical Example in Practice: Joan’s story</w:t>
            </w:r>
            <w:r w:rsidRPr="00150514">
              <w:rPr>
                <w:webHidden/>
              </w:rPr>
              <w:tab/>
            </w:r>
            <w:r w:rsidRPr="00150514">
              <w:rPr>
                <w:webHidden/>
              </w:rPr>
              <w:fldChar w:fldCharType="begin"/>
            </w:r>
            <w:r w:rsidRPr="00150514">
              <w:rPr>
                <w:webHidden/>
              </w:rPr>
              <w:instrText xml:space="preserve"> PAGEREF _Toc242484083 \h </w:instrText>
            </w:r>
            <w:r w:rsidRPr="00150514">
              <w:rPr>
                <w:webHidden/>
              </w:rPr>
            </w:r>
            <w:r w:rsidRPr="00150514">
              <w:rPr>
                <w:webHidden/>
              </w:rPr>
              <w:fldChar w:fldCharType="separate"/>
            </w:r>
            <w:r w:rsidRPr="00150514">
              <w:rPr>
                <w:webHidden/>
              </w:rPr>
              <w:t>5</w:t>
            </w:r>
            <w:r w:rsidRPr="00150514">
              <w:rPr>
                <w:webHidden/>
              </w:rPr>
              <w:fldChar w:fldCharType="end"/>
            </w:r>
          </w:hyperlink>
        </w:p>
        <w:p w14:paraId="4F05E460" w14:textId="77777777" w:rsidR="00625FC7" w:rsidRPr="00150514" w:rsidRDefault="00625FC7" w:rsidP="00625FC7">
          <w:pPr>
            <w:pStyle w:val="TOC2"/>
            <w:rPr>
              <w:rFonts w:eastAsiaTheme="minorEastAsia"/>
            </w:rPr>
          </w:pPr>
          <w:hyperlink w:anchor="_Toc242484084" w:history="1">
            <w:r w:rsidRPr="00150514">
              <w:rPr>
                <w:rStyle w:val="Hyperlink"/>
              </w:rPr>
              <w:t>Task 3: Self-Reflection as a Health and Social Care Professional</w:t>
            </w:r>
            <w:r w:rsidRPr="00150514">
              <w:rPr>
                <w:webHidden/>
              </w:rPr>
              <w:tab/>
            </w:r>
            <w:r w:rsidRPr="00150514">
              <w:rPr>
                <w:webHidden/>
              </w:rPr>
              <w:fldChar w:fldCharType="begin"/>
            </w:r>
            <w:r w:rsidRPr="00150514">
              <w:rPr>
                <w:webHidden/>
              </w:rPr>
              <w:instrText xml:space="preserve"> PAGEREF _Toc242484084 \h </w:instrText>
            </w:r>
            <w:r w:rsidRPr="00150514">
              <w:rPr>
                <w:webHidden/>
              </w:rPr>
            </w:r>
            <w:r w:rsidRPr="00150514">
              <w:rPr>
                <w:webHidden/>
              </w:rPr>
              <w:fldChar w:fldCharType="separate"/>
            </w:r>
            <w:r w:rsidRPr="00150514">
              <w:rPr>
                <w:webHidden/>
              </w:rPr>
              <w:t>6</w:t>
            </w:r>
            <w:r w:rsidRPr="00150514">
              <w:rPr>
                <w:webHidden/>
              </w:rPr>
              <w:fldChar w:fldCharType="end"/>
            </w:r>
          </w:hyperlink>
        </w:p>
        <w:p w14:paraId="30171390"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85" w:history="1">
            <w:r w:rsidRPr="00150514">
              <w:rPr>
                <w:rStyle w:val="Hyperlink"/>
                <w:rFonts w:ascii="Arial" w:hAnsi="Arial" w:cs="Arial"/>
                <w:noProof/>
              </w:rPr>
              <w:t>Introduction</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_Toc242484085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6</w:t>
            </w:r>
            <w:r w:rsidRPr="00150514">
              <w:rPr>
                <w:rFonts w:ascii="Arial" w:hAnsi="Arial" w:cs="Arial"/>
                <w:noProof/>
                <w:webHidden/>
              </w:rPr>
              <w:fldChar w:fldCharType="end"/>
            </w:r>
          </w:hyperlink>
        </w:p>
        <w:p w14:paraId="0056493E" w14:textId="77777777" w:rsidR="00625FC7" w:rsidRPr="00150514" w:rsidRDefault="00625FC7" w:rsidP="00625FC7">
          <w:pPr>
            <w:pStyle w:val="TOC3"/>
            <w:tabs>
              <w:tab w:val="right" w:leader="dot" w:pos="9350"/>
            </w:tabs>
            <w:spacing w:line="360" w:lineRule="auto"/>
            <w:rPr>
              <w:rFonts w:ascii="Arial" w:hAnsi="Arial" w:cs="Arial"/>
              <w:b/>
              <w:bCs/>
              <w:noProof/>
            </w:rPr>
          </w:pPr>
          <w:hyperlink w:anchor="_Toc242484086" w:history="1">
            <w:r w:rsidRPr="00150514">
              <w:rPr>
                <w:rStyle w:val="Hyperlink"/>
                <w:rFonts w:ascii="Arial" w:hAnsi="Arial" w:cs="Arial"/>
                <w:noProof/>
              </w:rPr>
              <w:t>Description</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_Toc242484086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7</w:t>
            </w:r>
            <w:r w:rsidRPr="00150514">
              <w:rPr>
                <w:rFonts w:ascii="Arial" w:hAnsi="Arial" w:cs="Arial"/>
                <w:noProof/>
                <w:webHidden/>
              </w:rPr>
              <w:fldChar w:fldCharType="end"/>
            </w:r>
          </w:hyperlink>
        </w:p>
        <w:p w14:paraId="09447F68"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87" w:history="1">
            <w:r w:rsidRPr="00150514">
              <w:rPr>
                <w:rStyle w:val="Hyperlink"/>
                <w:rFonts w:ascii="Arial" w:hAnsi="Arial" w:cs="Arial"/>
                <w:noProof/>
              </w:rPr>
              <w:t>Feelings</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_Toc242484087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7</w:t>
            </w:r>
            <w:r w:rsidRPr="00150514">
              <w:rPr>
                <w:rFonts w:ascii="Arial" w:hAnsi="Arial" w:cs="Arial"/>
                <w:noProof/>
                <w:webHidden/>
              </w:rPr>
              <w:fldChar w:fldCharType="end"/>
            </w:r>
          </w:hyperlink>
        </w:p>
        <w:p w14:paraId="23D86EE2"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88" w:history="1">
            <w:r w:rsidRPr="00150514">
              <w:rPr>
                <w:rStyle w:val="Hyperlink"/>
                <w:rFonts w:ascii="Arial" w:hAnsi="Arial" w:cs="Arial"/>
                <w:noProof/>
              </w:rPr>
              <w:t>Evaluation</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_Toc242484088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7</w:t>
            </w:r>
            <w:r w:rsidRPr="00150514">
              <w:rPr>
                <w:rFonts w:ascii="Arial" w:hAnsi="Arial" w:cs="Arial"/>
                <w:noProof/>
                <w:webHidden/>
              </w:rPr>
              <w:fldChar w:fldCharType="end"/>
            </w:r>
          </w:hyperlink>
        </w:p>
        <w:p w14:paraId="41229B80"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89" w:history="1">
            <w:r w:rsidRPr="00150514">
              <w:rPr>
                <w:rStyle w:val="Hyperlink"/>
                <w:rFonts w:ascii="Arial" w:hAnsi="Arial" w:cs="Arial"/>
                <w:noProof/>
              </w:rPr>
              <w:t>Analysis</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_Toc242484089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7</w:t>
            </w:r>
            <w:r w:rsidRPr="00150514">
              <w:rPr>
                <w:rFonts w:ascii="Arial" w:hAnsi="Arial" w:cs="Arial"/>
                <w:noProof/>
                <w:webHidden/>
              </w:rPr>
              <w:fldChar w:fldCharType="end"/>
            </w:r>
          </w:hyperlink>
        </w:p>
        <w:p w14:paraId="67B44C0F"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90" w:history="1">
            <w:r w:rsidRPr="00150514">
              <w:rPr>
                <w:rStyle w:val="Hyperlink"/>
                <w:rFonts w:ascii="Arial" w:hAnsi="Arial" w:cs="Arial"/>
                <w:noProof/>
              </w:rPr>
              <w:t>Conclusion</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_Toc242484090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8</w:t>
            </w:r>
            <w:r w:rsidRPr="00150514">
              <w:rPr>
                <w:rFonts w:ascii="Arial" w:hAnsi="Arial" w:cs="Arial"/>
                <w:noProof/>
                <w:webHidden/>
              </w:rPr>
              <w:fldChar w:fldCharType="end"/>
            </w:r>
          </w:hyperlink>
        </w:p>
        <w:p w14:paraId="0AD6D9C8"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91" w:history="1">
            <w:r w:rsidRPr="00150514">
              <w:rPr>
                <w:rStyle w:val="Hyperlink"/>
                <w:rFonts w:ascii="Arial" w:hAnsi="Arial" w:cs="Arial"/>
                <w:noProof/>
              </w:rPr>
              <w:t>Action plan</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_Toc242484091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8</w:t>
            </w:r>
            <w:r w:rsidRPr="00150514">
              <w:rPr>
                <w:rFonts w:ascii="Arial" w:hAnsi="Arial" w:cs="Arial"/>
                <w:noProof/>
                <w:webHidden/>
              </w:rPr>
              <w:fldChar w:fldCharType="end"/>
            </w:r>
          </w:hyperlink>
        </w:p>
        <w:p w14:paraId="6F6D8A92" w14:textId="77777777" w:rsidR="00625FC7" w:rsidRPr="00150514" w:rsidRDefault="00625FC7" w:rsidP="00625FC7">
          <w:pPr>
            <w:pStyle w:val="TOC3"/>
            <w:tabs>
              <w:tab w:val="right" w:leader="dot" w:pos="9350"/>
            </w:tabs>
            <w:spacing w:line="360" w:lineRule="auto"/>
            <w:rPr>
              <w:rFonts w:ascii="Arial" w:hAnsi="Arial" w:cs="Arial"/>
              <w:noProof/>
            </w:rPr>
          </w:pPr>
          <w:hyperlink w:anchor="_Toc242484092" w:history="1">
            <w:r w:rsidRPr="00150514">
              <w:rPr>
                <w:rStyle w:val="Hyperlink"/>
                <w:rFonts w:ascii="Arial" w:hAnsi="Arial" w:cs="Arial"/>
                <w:noProof/>
              </w:rPr>
              <w:t xml:space="preserve">Overall reflective </w:t>
            </w:r>
            <w:r w:rsidRPr="00150514">
              <w:rPr>
                <w:rFonts w:ascii="Arial" w:hAnsi="Arial" w:cs="Arial"/>
                <w:noProof/>
                <w:webHidden/>
              </w:rPr>
              <w:tab/>
            </w:r>
            <w:r w:rsidRPr="00150514">
              <w:rPr>
                <w:rFonts w:ascii="Arial" w:hAnsi="Arial" w:cs="Arial"/>
                <w:noProof/>
                <w:webHidden/>
              </w:rPr>
              <w:fldChar w:fldCharType="begin"/>
            </w:r>
            <w:r w:rsidRPr="00150514">
              <w:rPr>
                <w:rFonts w:ascii="Arial" w:hAnsi="Arial" w:cs="Arial"/>
                <w:noProof/>
                <w:webHidden/>
              </w:rPr>
              <w:instrText xml:space="preserve"> PAGEREF _Toc242484092 \h </w:instrText>
            </w:r>
            <w:r w:rsidRPr="00150514">
              <w:rPr>
                <w:rFonts w:ascii="Arial" w:hAnsi="Arial" w:cs="Arial"/>
                <w:noProof/>
                <w:webHidden/>
              </w:rPr>
            </w:r>
            <w:r w:rsidRPr="00150514">
              <w:rPr>
                <w:rFonts w:ascii="Arial" w:hAnsi="Arial" w:cs="Arial"/>
                <w:noProof/>
                <w:webHidden/>
              </w:rPr>
              <w:fldChar w:fldCharType="separate"/>
            </w:r>
            <w:r w:rsidRPr="00150514">
              <w:rPr>
                <w:rFonts w:ascii="Arial" w:hAnsi="Arial" w:cs="Arial"/>
                <w:noProof/>
                <w:webHidden/>
              </w:rPr>
              <w:t>8</w:t>
            </w:r>
            <w:r w:rsidRPr="00150514">
              <w:rPr>
                <w:rFonts w:ascii="Arial" w:hAnsi="Arial" w:cs="Arial"/>
                <w:noProof/>
                <w:webHidden/>
              </w:rPr>
              <w:fldChar w:fldCharType="end"/>
            </w:r>
          </w:hyperlink>
        </w:p>
        <w:p w14:paraId="5869F6BA" w14:textId="77777777" w:rsidR="00625FC7" w:rsidRPr="00150514" w:rsidRDefault="00625FC7" w:rsidP="00625FC7">
          <w:pPr>
            <w:pStyle w:val="TOC2"/>
            <w:rPr>
              <w:rFonts w:eastAsiaTheme="minorEastAsia"/>
            </w:rPr>
          </w:pPr>
          <w:hyperlink w:anchor="_Toc242484093" w:history="1">
            <w:r w:rsidRPr="00150514">
              <w:rPr>
                <w:rStyle w:val="Hyperlink"/>
              </w:rPr>
              <w:t>Conclusion</w:t>
            </w:r>
            <w:r w:rsidRPr="00150514">
              <w:rPr>
                <w:webHidden/>
              </w:rPr>
              <w:tab/>
            </w:r>
            <w:r w:rsidRPr="00150514">
              <w:rPr>
                <w:webHidden/>
              </w:rPr>
              <w:fldChar w:fldCharType="begin"/>
            </w:r>
            <w:r w:rsidRPr="00150514">
              <w:rPr>
                <w:webHidden/>
              </w:rPr>
              <w:instrText xml:space="preserve"> PAGEREF _Toc242484093 \h </w:instrText>
            </w:r>
            <w:r w:rsidRPr="00150514">
              <w:rPr>
                <w:webHidden/>
              </w:rPr>
            </w:r>
            <w:r w:rsidRPr="00150514">
              <w:rPr>
                <w:webHidden/>
              </w:rPr>
              <w:fldChar w:fldCharType="separate"/>
            </w:r>
            <w:r w:rsidRPr="00150514">
              <w:rPr>
                <w:webHidden/>
              </w:rPr>
              <w:t>8</w:t>
            </w:r>
            <w:r w:rsidRPr="00150514">
              <w:rPr>
                <w:webHidden/>
              </w:rPr>
              <w:fldChar w:fldCharType="end"/>
            </w:r>
          </w:hyperlink>
        </w:p>
        <w:p w14:paraId="742B28CA" w14:textId="77777777" w:rsidR="00625FC7" w:rsidRPr="00150514" w:rsidRDefault="00625FC7" w:rsidP="00625FC7">
          <w:pPr>
            <w:pStyle w:val="TOC2"/>
            <w:rPr>
              <w:rFonts w:eastAsiaTheme="minorEastAsia"/>
            </w:rPr>
          </w:pPr>
          <w:hyperlink w:anchor="_Toc242484094" w:history="1">
            <w:r w:rsidRPr="00150514">
              <w:rPr>
                <w:rStyle w:val="Hyperlink"/>
                <w:b/>
                <w:bCs/>
              </w:rPr>
              <w:t>References</w:t>
            </w:r>
            <w:r w:rsidRPr="00150514">
              <w:rPr>
                <w:webHidden/>
              </w:rPr>
              <w:tab/>
            </w:r>
            <w:r w:rsidRPr="00150514">
              <w:rPr>
                <w:webHidden/>
              </w:rPr>
              <w:fldChar w:fldCharType="begin"/>
            </w:r>
            <w:r w:rsidRPr="00150514">
              <w:rPr>
                <w:webHidden/>
              </w:rPr>
              <w:instrText xml:space="preserve"> PAGEREF _Toc242484094 \h </w:instrText>
            </w:r>
            <w:r w:rsidRPr="00150514">
              <w:rPr>
                <w:webHidden/>
              </w:rPr>
            </w:r>
            <w:r w:rsidRPr="00150514">
              <w:rPr>
                <w:webHidden/>
              </w:rPr>
              <w:fldChar w:fldCharType="separate"/>
            </w:r>
            <w:r w:rsidRPr="00150514">
              <w:rPr>
                <w:webHidden/>
              </w:rPr>
              <w:t>9</w:t>
            </w:r>
            <w:r w:rsidRPr="00150514">
              <w:rPr>
                <w:webHidden/>
              </w:rPr>
              <w:fldChar w:fldCharType="end"/>
            </w:r>
          </w:hyperlink>
        </w:p>
        <w:p w14:paraId="36C8CAD0"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b/>
              <w:bCs/>
              <w:noProof/>
              <w:sz w:val="22"/>
              <w:szCs w:val="22"/>
            </w:rPr>
            <w:fldChar w:fldCharType="end"/>
          </w:r>
        </w:p>
      </w:sdtContent>
    </w:sdt>
    <w:p w14:paraId="50196A19" w14:textId="77777777" w:rsidR="00625FC7" w:rsidRPr="009E1AB5" w:rsidRDefault="00625FC7" w:rsidP="00625FC7">
      <w:pPr>
        <w:spacing w:line="360" w:lineRule="auto"/>
        <w:jc w:val="both"/>
        <w:rPr>
          <w:rFonts w:ascii="Arial" w:hAnsi="Arial" w:cs="Arial"/>
          <w:sz w:val="22"/>
          <w:szCs w:val="22"/>
        </w:rPr>
      </w:pPr>
    </w:p>
    <w:p w14:paraId="7A08276E" w14:textId="77777777" w:rsidR="00625FC7" w:rsidRPr="009E1AB5" w:rsidRDefault="00625FC7" w:rsidP="00625FC7">
      <w:pPr>
        <w:spacing w:line="360" w:lineRule="auto"/>
        <w:jc w:val="both"/>
        <w:rPr>
          <w:rFonts w:ascii="Arial" w:hAnsi="Arial" w:cs="Arial"/>
          <w:sz w:val="22"/>
          <w:szCs w:val="22"/>
        </w:rPr>
      </w:pPr>
    </w:p>
    <w:p w14:paraId="25DDABD0" w14:textId="77777777" w:rsidR="00625FC7" w:rsidRPr="009E1AB5" w:rsidRDefault="00625FC7" w:rsidP="00625FC7">
      <w:pPr>
        <w:spacing w:line="360" w:lineRule="auto"/>
        <w:jc w:val="both"/>
        <w:rPr>
          <w:rFonts w:ascii="Arial" w:hAnsi="Arial" w:cs="Arial"/>
          <w:sz w:val="22"/>
          <w:szCs w:val="22"/>
        </w:rPr>
      </w:pPr>
    </w:p>
    <w:p w14:paraId="4414FFFD" w14:textId="77777777" w:rsidR="00625FC7" w:rsidRPr="009E1AB5" w:rsidRDefault="00625FC7" w:rsidP="00625FC7">
      <w:pPr>
        <w:spacing w:line="360" w:lineRule="auto"/>
        <w:jc w:val="both"/>
        <w:rPr>
          <w:rFonts w:ascii="Arial" w:hAnsi="Arial" w:cs="Arial"/>
          <w:sz w:val="22"/>
          <w:szCs w:val="22"/>
        </w:rPr>
      </w:pPr>
    </w:p>
    <w:p w14:paraId="74AD53F0" w14:textId="77777777" w:rsidR="00625FC7" w:rsidRPr="009E1AB5" w:rsidRDefault="00625FC7" w:rsidP="00625FC7">
      <w:pPr>
        <w:spacing w:line="360" w:lineRule="auto"/>
        <w:jc w:val="both"/>
        <w:rPr>
          <w:rFonts w:ascii="Arial" w:hAnsi="Arial" w:cs="Arial"/>
          <w:sz w:val="22"/>
          <w:szCs w:val="22"/>
        </w:rPr>
      </w:pPr>
    </w:p>
    <w:p w14:paraId="387A25E2" w14:textId="77777777" w:rsidR="00625FC7" w:rsidRPr="009E1AB5" w:rsidRDefault="00625FC7" w:rsidP="00625FC7">
      <w:pPr>
        <w:spacing w:line="360" w:lineRule="auto"/>
        <w:jc w:val="both"/>
        <w:rPr>
          <w:rFonts w:ascii="Arial" w:hAnsi="Arial" w:cs="Arial"/>
          <w:sz w:val="22"/>
          <w:szCs w:val="22"/>
        </w:rPr>
      </w:pPr>
    </w:p>
    <w:p w14:paraId="23F84FF4" w14:textId="77777777" w:rsidR="00625FC7" w:rsidRDefault="00625FC7" w:rsidP="00625FC7">
      <w:pPr>
        <w:pStyle w:val="Heading1"/>
        <w:spacing w:line="360" w:lineRule="auto"/>
        <w:jc w:val="center"/>
        <w:rPr>
          <w:rFonts w:ascii="Arial" w:hAnsi="Arial" w:cs="Arial"/>
          <w:b/>
          <w:bCs/>
          <w:color w:val="auto"/>
          <w:sz w:val="32"/>
          <w:szCs w:val="32"/>
        </w:rPr>
      </w:pPr>
      <w:bookmarkStart w:id="0" w:name="_Toc242484080"/>
    </w:p>
    <w:p w14:paraId="4EAE332F" w14:textId="77777777" w:rsidR="00625FC7" w:rsidRDefault="00625FC7" w:rsidP="00625FC7">
      <w:pPr>
        <w:pStyle w:val="Heading1"/>
        <w:spacing w:line="360" w:lineRule="auto"/>
        <w:jc w:val="center"/>
        <w:rPr>
          <w:rFonts w:ascii="Arial" w:hAnsi="Arial" w:cs="Arial"/>
          <w:b/>
          <w:bCs/>
          <w:color w:val="auto"/>
          <w:sz w:val="32"/>
          <w:szCs w:val="32"/>
        </w:rPr>
      </w:pPr>
    </w:p>
    <w:p w14:paraId="410C2724" w14:textId="0820000A" w:rsidR="00625FC7" w:rsidRDefault="00625FC7" w:rsidP="00625FC7">
      <w:pPr>
        <w:pStyle w:val="Heading1"/>
        <w:spacing w:line="360" w:lineRule="auto"/>
        <w:jc w:val="center"/>
        <w:rPr>
          <w:rFonts w:ascii="Arial" w:hAnsi="Arial" w:cs="Arial"/>
          <w:b/>
          <w:bCs/>
          <w:color w:val="auto"/>
          <w:sz w:val="32"/>
          <w:szCs w:val="32"/>
        </w:rPr>
      </w:pPr>
      <w:r w:rsidRPr="009E1AB5">
        <w:rPr>
          <w:rFonts w:ascii="Arial" w:hAnsi="Arial" w:cs="Arial"/>
          <w:b/>
          <w:bCs/>
          <w:color w:val="auto"/>
          <w:sz w:val="32"/>
          <w:szCs w:val="32"/>
        </w:rPr>
        <w:t>COMPONENT 1: REFLECTIVE REPORT</w:t>
      </w:r>
      <w:bookmarkStart w:id="1" w:name="_Toc242484081"/>
      <w:bookmarkEnd w:id="0"/>
    </w:p>
    <w:p w14:paraId="0A467A54" w14:textId="77777777" w:rsidR="00625FC7" w:rsidRPr="009E1AB5" w:rsidRDefault="00625FC7" w:rsidP="00625FC7"/>
    <w:p w14:paraId="4CCFB1B8" w14:textId="77777777" w:rsidR="00625FC7" w:rsidRPr="009E1AB5" w:rsidRDefault="00625FC7" w:rsidP="00625FC7">
      <w:pPr>
        <w:pStyle w:val="Heading2"/>
        <w:spacing w:line="360" w:lineRule="auto"/>
        <w:jc w:val="both"/>
        <w:rPr>
          <w:rFonts w:ascii="Arial" w:hAnsi="Arial" w:cs="Arial"/>
          <w:b/>
          <w:bCs/>
          <w:color w:val="auto"/>
          <w:sz w:val="28"/>
          <w:szCs w:val="28"/>
        </w:rPr>
      </w:pPr>
      <w:r w:rsidRPr="009E1AB5">
        <w:rPr>
          <w:rFonts w:ascii="Arial" w:hAnsi="Arial" w:cs="Arial"/>
          <w:b/>
          <w:bCs/>
          <w:color w:val="auto"/>
          <w:sz w:val="28"/>
          <w:szCs w:val="28"/>
        </w:rPr>
        <w:t>INTRODUCTION</w:t>
      </w:r>
      <w:bookmarkEnd w:id="1"/>
    </w:p>
    <w:p w14:paraId="56E1CB71"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The principles underpinning good health and social care include valuing people as individuals, </w:t>
      </w:r>
      <w:r>
        <w:rPr>
          <w:rFonts w:ascii="Arial" w:hAnsi="Arial" w:cs="Arial"/>
          <w:sz w:val="22"/>
          <w:szCs w:val="22"/>
        </w:rPr>
        <w:t>partnership working</w:t>
      </w:r>
      <w:r w:rsidRPr="009E1AB5">
        <w:rPr>
          <w:rFonts w:ascii="Arial" w:hAnsi="Arial" w:cs="Arial"/>
          <w:sz w:val="22"/>
          <w:szCs w:val="22"/>
        </w:rPr>
        <w:t xml:space="preserve"> towards common outcomes and making decisions based on ethical principles.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care acknowledges each person’s values, preferences and relationships (McCormack </w:t>
      </w:r>
      <w:r w:rsidRPr="009E1AB5">
        <w:rPr>
          <w:rFonts w:ascii="Arial" w:hAnsi="Arial" w:cs="Arial"/>
          <w:i/>
          <w:iCs/>
          <w:sz w:val="22"/>
          <w:szCs w:val="22"/>
        </w:rPr>
        <w:t>et al</w:t>
      </w:r>
      <w:r w:rsidRPr="009E1AB5">
        <w:rPr>
          <w:rFonts w:ascii="Arial" w:hAnsi="Arial" w:cs="Arial"/>
          <w:sz w:val="22"/>
          <w:szCs w:val="22"/>
        </w:rPr>
        <w:t xml:space="preserve">., 2012). </w:t>
      </w:r>
      <w:proofErr w:type="spellStart"/>
      <w:r w:rsidRPr="009E1AB5">
        <w:rPr>
          <w:rFonts w:ascii="Arial" w:hAnsi="Arial" w:cs="Arial"/>
          <w:sz w:val="22"/>
          <w:szCs w:val="22"/>
        </w:rPr>
        <w:t>Personali</w:t>
      </w:r>
      <w:r>
        <w:rPr>
          <w:rFonts w:ascii="Arial" w:hAnsi="Arial" w:cs="Arial"/>
          <w:sz w:val="22"/>
          <w:szCs w:val="22"/>
        </w:rPr>
        <w:t>s</w:t>
      </w:r>
      <w:r w:rsidRPr="009E1AB5">
        <w:rPr>
          <w:rFonts w:ascii="Arial" w:hAnsi="Arial" w:cs="Arial"/>
          <w:sz w:val="22"/>
          <w:szCs w:val="22"/>
        </w:rPr>
        <w:t>ed</w:t>
      </w:r>
      <w:proofErr w:type="spellEnd"/>
      <w:r w:rsidRPr="009E1AB5">
        <w:rPr>
          <w:rFonts w:ascii="Arial" w:hAnsi="Arial" w:cs="Arial"/>
          <w:sz w:val="22"/>
          <w:szCs w:val="22"/>
        </w:rPr>
        <w:t xml:space="preserve"> care focuses on individual needs, while coordinated care involves professionals, services, service users and families working together to </w:t>
      </w:r>
      <w:proofErr w:type="spellStart"/>
      <w:r w:rsidRPr="009E1AB5">
        <w:rPr>
          <w:rFonts w:ascii="Arial" w:hAnsi="Arial" w:cs="Arial"/>
          <w:sz w:val="22"/>
          <w:szCs w:val="22"/>
        </w:rPr>
        <w:t>minimise</w:t>
      </w:r>
      <w:proofErr w:type="spellEnd"/>
      <w:r w:rsidRPr="009E1AB5">
        <w:rPr>
          <w:rFonts w:ascii="Arial" w:hAnsi="Arial" w:cs="Arial"/>
          <w:sz w:val="22"/>
          <w:szCs w:val="22"/>
        </w:rPr>
        <w:t xml:space="preserve"> fragmented care (Cameron </w:t>
      </w:r>
      <w:r w:rsidRPr="009E1AB5">
        <w:rPr>
          <w:rFonts w:ascii="Arial" w:hAnsi="Arial" w:cs="Arial"/>
          <w:i/>
          <w:iCs/>
          <w:sz w:val="22"/>
          <w:szCs w:val="22"/>
        </w:rPr>
        <w:t>et al</w:t>
      </w:r>
      <w:r w:rsidRPr="009E1AB5">
        <w:rPr>
          <w:rFonts w:ascii="Arial" w:hAnsi="Arial" w:cs="Arial"/>
          <w:sz w:val="22"/>
          <w:szCs w:val="22"/>
        </w:rPr>
        <w:t>., 2013).</w:t>
      </w:r>
    </w:p>
    <w:p w14:paraId="2F468199"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Ethical practice helps to ensure that there is respectful decision making when there is a conflict in autonomy, wellbeing, and professional responsibilities. There may be ethical issues if a service user's preferences contradict professional views or the requirements of an </w:t>
      </w:r>
      <w:proofErr w:type="spellStart"/>
      <w:r w:rsidRPr="009E1AB5">
        <w:rPr>
          <w:rFonts w:ascii="Arial" w:hAnsi="Arial" w:cs="Arial"/>
          <w:sz w:val="22"/>
          <w:szCs w:val="22"/>
        </w:rPr>
        <w:t>organisation</w:t>
      </w:r>
      <w:proofErr w:type="spellEnd"/>
      <w:r w:rsidRPr="009E1AB5">
        <w:rPr>
          <w:rFonts w:ascii="Arial" w:hAnsi="Arial" w:cs="Arial"/>
          <w:sz w:val="22"/>
          <w:szCs w:val="22"/>
        </w:rPr>
        <w:t xml:space="preserve"> (Boulton et al., 2023). Joan's case illustrates the need to be aware of specific barriers and not make judgements about </w:t>
      </w:r>
      <w:proofErr w:type="spellStart"/>
      <w:r w:rsidRPr="009E1AB5">
        <w:rPr>
          <w:rFonts w:ascii="Arial" w:hAnsi="Arial" w:cs="Arial"/>
          <w:sz w:val="22"/>
          <w:szCs w:val="22"/>
        </w:rPr>
        <w:t>behaviour</w:t>
      </w:r>
      <w:proofErr w:type="spellEnd"/>
      <w:r w:rsidRPr="009E1AB5">
        <w:rPr>
          <w:rFonts w:ascii="Arial" w:hAnsi="Arial" w:cs="Arial"/>
          <w:sz w:val="22"/>
          <w:szCs w:val="22"/>
        </w:rPr>
        <w:t>. She attended more appointments (from 6 to 9) and emergency admissions (from 2 to 1). She also achieved a more than 40% increase in her Patient Activation Measure (PAM) score. This report explores these principles</w:t>
      </w:r>
      <w:r>
        <w:rPr>
          <w:rFonts w:ascii="Arial" w:hAnsi="Arial" w:cs="Arial"/>
          <w:sz w:val="22"/>
          <w:szCs w:val="22"/>
        </w:rPr>
        <w:t xml:space="preserve">, including person </w:t>
      </w:r>
      <w:proofErr w:type="spellStart"/>
      <w:r>
        <w:rPr>
          <w:rFonts w:ascii="Arial" w:hAnsi="Arial" w:cs="Arial"/>
          <w:sz w:val="22"/>
          <w:szCs w:val="22"/>
        </w:rPr>
        <w:t>centred</w:t>
      </w:r>
      <w:proofErr w:type="spellEnd"/>
      <w:r>
        <w:rPr>
          <w:rFonts w:ascii="Arial" w:hAnsi="Arial" w:cs="Arial"/>
          <w:sz w:val="22"/>
          <w:szCs w:val="22"/>
        </w:rPr>
        <w:t xml:space="preserve"> care, partnership working and ethical practice,</w:t>
      </w:r>
      <w:r w:rsidRPr="009E1AB5">
        <w:rPr>
          <w:rFonts w:ascii="Arial" w:hAnsi="Arial" w:cs="Arial"/>
          <w:sz w:val="22"/>
          <w:szCs w:val="22"/>
        </w:rPr>
        <w:t xml:space="preserve"> and how they relate to Joan's situation and to practice.</w:t>
      </w:r>
      <w:bookmarkStart w:id="2" w:name="_Toc242484082"/>
    </w:p>
    <w:p w14:paraId="3EE6925D" w14:textId="77777777" w:rsidR="00625FC7" w:rsidRPr="009E1AB5" w:rsidRDefault="00625FC7" w:rsidP="00625FC7">
      <w:pPr>
        <w:pStyle w:val="Heading2"/>
        <w:spacing w:line="360" w:lineRule="auto"/>
        <w:jc w:val="both"/>
        <w:rPr>
          <w:rFonts w:ascii="Arial" w:hAnsi="Arial" w:cs="Arial"/>
          <w:b/>
          <w:bCs/>
          <w:color w:val="auto"/>
          <w:sz w:val="28"/>
          <w:szCs w:val="28"/>
        </w:rPr>
      </w:pPr>
      <w:r w:rsidRPr="009E1AB5">
        <w:rPr>
          <w:rFonts w:ascii="Arial" w:hAnsi="Arial" w:cs="Arial"/>
          <w:b/>
          <w:bCs/>
          <w:color w:val="auto"/>
          <w:sz w:val="28"/>
          <w:szCs w:val="28"/>
        </w:rPr>
        <w:t>TASK 1: REFLECTION ON THE IMPORTANCE OF PRINCIPLES OF HEALTH AND SOCIAL CARE</w:t>
      </w:r>
      <w:bookmarkEnd w:id="2"/>
    </w:p>
    <w:p w14:paraId="2E89D413"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care (PCC) involves a focus on the individual person, with values, preferences, relationships and abilities being considered, rather than just a diagnosis and care tasks. The concept of personhood and relationships is crucial to good care, as stressed by McCormack </w:t>
      </w:r>
      <w:r w:rsidRPr="009E1AB5">
        <w:rPr>
          <w:rFonts w:ascii="Arial" w:hAnsi="Arial" w:cs="Arial"/>
          <w:i/>
          <w:iCs/>
          <w:sz w:val="22"/>
          <w:szCs w:val="22"/>
        </w:rPr>
        <w:t>et al.</w:t>
      </w:r>
      <w:r w:rsidRPr="009E1AB5">
        <w:rPr>
          <w:rFonts w:ascii="Arial" w:hAnsi="Arial" w:cs="Arial"/>
          <w:sz w:val="22"/>
          <w:szCs w:val="22"/>
        </w:rPr>
        <w:t xml:space="preserve"> (2012). Damant </w:t>
      </w:r>
      <w:r w:rsidRPr="009E1AB5">
        <w:rPr>
          <w:rFonts w:ascii="Arial" w:hAnsi="Arial" w:cs="Arial"/>
          <w:i/>
          <w:iCs/>
          <w:sz w:val="22"/>
          <w:szCs w:val="22"/>
        </w:rPr>
        <w:t>et al.</w:t>
      </w:r>
      <w:r w:rsidRPr="009E1AB5">
        <w:rPr>
          <w:rFonts w:ascii="Arial" w:hAnsi="Arial" w:cs="Arial"/>
          <w:sz w:val="22"/>
          <w:szCs w:val="22"/>
        </w:rPr>
        <w:t xml:space="preserve"> (2026) also </w:t>
      </w:r>
      <w:proofErr w:type="spellStart"/>
      <w:r w:rsidRPr="009E1AB5">
        <w:rPr>
          <w:rFonts w:ascii="Arial" w:hAnsi="Arial" w:cs="Arial"/>
          <w:sz w:val="22"/>
          <w:szCs w:val="22"/>
        </w:rPr>
        <w:t>emphasise</w:t>
      </w:r>
      <w:proofErr w:type="spellEnd"/>
      <w:r w:rsidRPr="009E1AB5">
        <w:rPr>
          <w:rFonts w:ascii="Arial" w:hAnsi="Arial" w:cs="Arial"/>
          <w:sz w:val="22"/>
          <w:szCs w:val="22"/>
        </w:rPr>
        <w:t xml:space="preserve"> the importance of personal factors, preferences and involvement in decisions. PCC will be beneficial to greater involvement, better engagement and support according to individual needs. But staffing levels, time constraints and a lack of resources may make it challenging to provide </w:t>
      </w:r>
      <w:proofErr w:type="spellStart"/>
      <w:r w:rsidRPr="009E1AB5">
        <w:rPr>
          <w:rFonts w:ascii="Arial" w:hAnsi="Arial" w:cs="Arial"/>
          <w:sz w:val="22"/>
          <w:szCs w:val="22"/>
        </w:rPr>
        <w:t>personalised</w:t>
      </w:r>
      <w:proofErr w:type="spellEnd"/>
      <w:r w:rsidRPr="009E1AB5">
        <w:rPr>
          <w:rFonts w:ascii="Arial" w:hAnsi="Arial" w:cs="Arial"/>
          <w:sz w:val="22"/>
          <w:szCs w:val="22"/>
        </w:rPr>
        <w:t xml:space="preserve"> care. Maslow’s hierarchy of needs </w:t>
      </w:r>
      <w:r w:rsidRPr="009E1AB5">
        <w:rPr>
          <w:rFonts w:ascii="Arial" w:hAnsi="Arial" w:cs="Arial"/>
          <w:sz w:val="22"/>
          <w:szCs w:val="22"/>
        </w:rPr>
        <w:lastRenderedPageBreak/>
        <w:t>also indicates that confidence and participation can be affected when basic physical and safety needs are unmet.</w:t>
      </w:r>
    </w:p>
    <w:p w14:paraId="7899B205"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Targeted interventions have the potential to influence staff’s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w:t>
      </w:r>
      <w:proofErr w:type="spellStart"/>
      <w:r w:rsidRPr="009E1AB5">
        <w:rPr>
          <w:rFonts w:ascii="Arial" w:hAnsi="Arial" w:cs="Arial"/>
          <w:sz w:val="22"/>
          <w:szCs w:val="22"/>
        </w:rPr>
        <w:t>behaviour</w:t>
      </w:r>
      <w:proofErr w:type="spellEnd"/>
      <w:r w:rsidRPr="009E1AB5">
        <w:rPr>
          <w:rFonts w:ascii="Arial" w:hAnsi="Arial" w:cs="Arial"/>
          <w:sz w:val="22"/>
          <w:szCs w:val="22"/>
        </w:rPr>
        <w:t xml:space="preserve">, as suggested by Blake </w:t>
      </w:r>
      <w:r w:rsidRPr="009E1AB5">
        <w:rPr>
          <w:rFonts w:ascii="Arial" w:hAnsi="Arial" w:cs="Arial"/>
          <w:i/>
          <w:iCs/>
          <w:sz w:val="22"/>
          <w:szCs w:val="22"/>
        </w:rPr>
        <w:t>et al.</w:t>
      </w:r>
      <w:r w:rsidRPr="009E1AB5">
        <w:rPr>
          <w:rFonts w:ascii="Arial" w:hAnsi="Arial" w:cs="Arial"/>
          <w:sz w:val="22"/>
          <w:szCs w:val="22"/>
        </w:rPr>
        <w:t xml:space="preserve"> (2019). Therefore, professional development and supportive </w:t>
      </w:r>
      <w:proofErr w:type="spellStart"/>
      <w:r w:rsidRPr="009E1AB5">
        <w:rPr>
          <w:rFonts w:ascii="Arial" w:hAnsi="Arial" w:cs="Arial"/>
          <w:sz w:val="22"/>
          <w:szCs w:val="22"/>
        </w:rPr>
        <w:t>organisational</w:t>
      </w:r>
      <w:proofErr w:type="spellEnd"/>
      <w:r w:rsidRPr="009E1AB5">
        <w:rPr>
          <w:rFonts w:ascii="Arial" w:hAnsi="Arial" w:cs="Arial"/>
          <w:sz w:val="22"/>
          <w:szCs w:val="22"/>
        </w:rPr>
        <w:t xml:space="preserve"> conditions are important. The Care Act 2014 focuses on individual wellbeing in adult social care and expects people receiving care to be listened to regarding their wishes, circumstances and involvement in decisions (Care Act 2014, s. 1).</w:t>
      </w:r>
    </w:p>
    <w:p w14:paraId="3B4F50D8"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Another useful perspective on people’s needs is the social model of health. Rather than considering health only in terms of sickness or diagnosis, it focuses on how social, economic and environmental factors affect wellbeing and access to services. Joan’s bowel problems hindered her from attending appointments. This shows why workers should identify obstacles and adapt support rather than assume that someone who misses an appointment is uncooperative. This can help to make access easier and to ensure fairer care but may take longer and more resources to identify and resolve practical barriers. A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assessment should therefore consider practical barriers, personal priorities and the support needed to help the individual participate.</w:t>
      </w:r>
    </w:p>
    <w:p w14:paraId="6CDD3F04"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Partnership Work involves service users, families (where appropriate) and professionals working towards a common goal. Cameron </w:t>
      </w:r>
      <w:r w:rsidRPr="009E1AB5">
        <w:rPr>
          <w:rFonts w:ascii="Arial" w:hAnsi="Arial" w:cs="Arial"/>
          <w:i/>
          <w:iCs/>
          <w:sz w:val="22"/>
          <w:szCs w:val="22"/>
        </w:rPr>
        <w:t>et al.</w:t>
      </w:r>
      <w:r w:rsidRPr="009E1AB5">
        <w:rPr>
          <w:rFonts w:ascii="Arial" w:hAnsi="Arial" w:cs="Arial"/>
          <w:sz w:val="22"/>
          <w:szCs w:val="22"/>
        </w:rPr>
        <w:t xml:space="preserve"> (2013) concluded that joint working can positively affect service users and carers, although conflicting objectives and </w:t>
      </w:r>
      <w:proofErr w:type="spellStart"/>
      <w:r w:rsidRPr="009E1AB5">
        <w:rPr>
          <w:rFonts w:ascii="Arial" w:hAnsi="Arial" w:cs="Arial"/>
          <w:sz w:val="22"/>
          <w:szCs w:val="22"/>
        </w:rPr>
        <w:t>organisational</w:t>
      </w:r>
      <w:proofErr w:type="spellEnd"/>
      <w:r w:rsidRPr="009E1AB5">
        <w:rPr>
          <w:rFonts w:ascii="Arial" w:hAnsi="Arial" w:cs="Arial"/>
          <w:sz w:val="22"/>
          <w:szCs w:val="22"/>
        </w:rPr>
        <w:t xml:space="preserve"> fragmentation may create barriers. Communication, leadership, capacity and </w:t>
      </w:r>
      <w:proofErr w:type="spellStart"/>
      <w:r w:rsidRPr="009E1AB5">
        <w:rPr>
          <w:rFonts w:ascii="Arial" w:hAnsi="Arial" w:cs="Arial"/>
          <w:sz w:val="22"/>
          <w:szCs w:val="22"/>
        </w:rPr>
        <w:t>organisational</w:t>
      </w:r>
      <w:proofErr w:type="spellEnd"/>
      <w:r w:rsidRPr="009E1AB5">
        <w:rPr>
          <w:rFonts w:ascii="Arial" w:hAnsi="Arial" w:cs="Arial"/>
          <w:sz w:val="22"/>
          <w:szCs w:val="22"/>
        </w:rPr>
        <w:t xml:space="preserve"> support are important facilitators identified by Mackie and Darvill (2016). Continuity and appropriate support are also </w:t>
      </w:r>
      <w:proofErr w:type="spellStart"/>
      <w:r w:rsidRPr="009E1AB5">
        <w:rPr>
          <w:rFonts w:ascii="Arial" w:hAnsi="Arial" w:cs="Arial"/>
          <w:sz w:val="22"/>
          <w:szCs w:val="22"/>
        </w:rPr>
        <w:t>emphasised</w:t>
      </w:r>
      <w:proofErr w:type="spellEnd"/>
      <w:r w:rsidRPr="009E1AB5">
        <w:rPr>
          <w:rFonts w:ascii="Arial" w:hAnsi="Arial" w:cs="Arial"/>
          <w:sz w:val="22"/>
          <w:szCs w:val="22"/>
        </w:rPr>
        <w:t xml:space="preserve"> by Petch </w:t>
      </w:r>
      <w:r w:rsidRPr="009E1AB5">
        <w:rPr>
          <w:rFonts w:ascii="Arial" w:hAnsi="Arial" w:cs="Arial"/>
          <w:i/>
          <w:iCs/>
          <w:sz w:val="22"/>
          <w:szCs w:val="22"/>
        </w:rPr>
        <w:t>et al.</w:t>
      </w:r>
      <w:r w:rsidRPr="009E1AB5">
        <w:rPr>
          <w:rFonts w:ascii="Arial" w:hAnsi="Arial" w:cs="Arial"/>
          <w:sz w:val="22"/>
          <w:szCs w:val="22"/>
        </w:rPr>
        <w:t xml:space="preserve"> (2013). Advantages are that support is </w:t>
      </w:r>
      <w:proofErr w:type="spellStart"/>
      <w:r w:rsidRPr="009E1AB5">
        <w:rPr>
          <w:rFonts w:ascii="Arial" w:hAnsi="Arial" w:cs="Arial"/>
          <w:sz w:val="22"/>
          <w:szCs w:val="22"/>
        </w:rPr>
        <w:t>co-ordinated</w:t>
      </w:r>
      <w:proofErr w:type="spellEnd"/>
      <w:r w:rsidRPr="009E1AB5">
        <w:rPr>
          <w:rFonts w:ascii="Arial" w:hAnsi="Arial" w:cs="Arial"/>
          <w:sz w:val="22"/>
          <w:szCs w:val="22"/>
        </w:rPr>
        <w:t>, communication is improved and there is less fragmentation in support. But lack of information sharing, role clarity and capacity can hamper collaboration. Partnership work requires clear roles, appropriate information-sharing and coordinated support; otherwise, individuals may be left to navigate services alone.</w:t>
      </w:r>
    </w:p>
    <w:p w14:paraId="7EC76067"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Ethical practice ensures that decisions respect autonomy, promote wellbeing and consider potential harm. Boulton </w:t>
      </w:r>
      <w:r w:rsidRPr="009E1AB5">
        <w:rPr>
          <w:rFonts w:ascii="Arial" w:hAnsi="Arial" w:cs="Arial"/>
          <w:i/>
          <w:iCs/>
          <w:sz w:val="22"/>
          <w:szCs w:val="22"/>
        </w:rPr>
        <w:t>et al.</w:t>
      </w:r>
      <w:r w:rsidRPr="009E1AB5">
        <w:rPr>
          <w:rFonts w:ascii="Arial" w:hAnsi="Arial" w:cs="Arial"/>
          <w:sz w:val="22"/>
          <w:szCs w:val="22"/>
        </w:rPr>
        <w:t xml:space="preserve"> (2023) discusses moral distress when professional judgement conflicts with service users’ wishes or available resources. Bow </w:t>
      </w:r>
      <w:r w:rsidRPr="009E1AB5">
        <w:rPr>
          <w:rFonts w:ascii="Arial" w:hAnsi="Arial" w:cs="Arial"/>
          <w:i/>
          <w:iCs/>
          <w:sz w:val="22"/>
          <w:szCs w:val="22"/>
        </w:rPr>
        <w:t>et al.</w:t>
      </w:r>
      <w:r w:rsidRPr="009E1AB5">
        <w:rPr>
          <w:rFonts w:ascii="Arial" w:hAnsi="Arial" w:cs="Arial"/>
          <w:sz w:val="22"/>
          <w:szCs w:val="22"/>
        </w:rPr>
        <w:t xml:space="preserve"> (2023) also highlights moral conflicts relating to </w:t>
      </w:r>
      <w:proofErr w:type="spellStart"/>
      <w:r w:rsidRPr="009E1AB5">
        <w:rPr>
          <w:rFonts w:ascii="Arial" w:hAnsi="Arial" w:cs="Arial"/>
          <w:sz w:val="22"/>
          <w:szCs w:val="22"/>
        </w:rPr>
        <w:t>organisational</w:t>
      </w:r>
      <w:proofErr w:type="spellEnd"/>
      <w:r w:rsidRPr="009E1AB5">
        <w:rPr>
          <w:rFonts w:ascii="Arial" w:hAnsi="Arial" w:cs="Arial"/>
          <w:sz w:val="22"/>
          <w:szCs w:val="22"/>
        </w:rPr>
        <w:t xml:space="preserve"> decisions, communication and priorities. Good practice involves listening, explaining decisions, maintaining dignity, raising concerns and taking responsibility. Asking Joan why she missed her appointment, rather than </w:t>
      </w:r>
      <w:proofErr w:type="spellStart"/>
      <w:r w:rsidRPr="009E1AB5">
        <w:rPr>
          <w:rFonts w:ascii="Arial" w:hAnsi="Arial" w:cs="Arial"/>
          <w:sz w:val="22"/>
          <w:szCs w:val="22"/>
        </w:rPr>
        <w:t>criticising</w:t>
      </w:r>
      <w:proofErr w:type="spellEnd"/>
      <w:r w:rsidRPr="009E1AB5">
        <w:rPr>
          <w:rFonts w:ascii="Arial" w:hAnsi="Arial" w:cs="Arial"/>
          <w:sz w:val="22"/>
          <w:szCs w:val="22"/>
        </w:rPr>
        <w:t xml:space="preserve"> her, supports dignity, choice and meaningful involvement in care. </w:t>
      </w:r>
      <w:bookmarkStart w:id="3" w:name="_Toc242484083"/>
      <w:r w:rsidRPr="009E1AB5">
        <w:rPr>
          <w:rFonts w:ascii="Arial" w:hAnsi="Arial" w:cs="Arial"/>
          <w:sz w:val="22"/>
          <w:szCs w:val="22"/>
        </w:rPr>
        <w:t xml:space="preserve">While ethical practice fosters trust and decisions based on </w:t>
      </w:r>
      <w:r w:rsidRPr="009E1AB5">
        <w:rPr>
          <w:rFonts w:ascii="Arial" w:hAnsi="Arial" w:cs="Arial"/>
          <w:sz w:val="22"/>
          <w:szCs w:val="22"/>
        </w:rPr>
        <w:lastRenderedPageBreak/>
        <w:t xml:space="preserve">respect, practitioners can sometimes be confronted with </w:t>
      </w:r>
      <w:proofErr w:type="spellStart"/>
      <w:r w:rsidRPr="009E1AB5">
        <w:rPr>
          <w:rFonts w:ascii="Arial" w:hAnsi="Arial" w:cs="Arial"/>
          <w:sz w:val="22"/>
          <w:szCs w:val="22"/>
        </w:rPr>
        <w:t>dilemmata</w:t>
      </w:r>
      <w:proofErr w:type="spellEnd"/>
      <w:r w:rsidRPr="009E1AB5">
        <w:rPr>
          <w:rFonts w:ascii="Arial" w:hAnsi="Arial" w:cs="Arial"/>
          <w:sz w:val="22"/>
          <w:szCs w:val="22"/>
        </w:rPr>
        <w:t xml:space="preserve"> as they try to consider their own preferences, their duty to safeguard, and their </w:t>
      </w:r>
      <w:proofErr w:type="spellStart"/>
      <w:r w:rsidRPr="009E1AB5">
        <w:rPr>
          <w:rFonts w:ascii="Arial" w:hAnsi="Arial" w:cs="Arial"/>
          <w:sz w:val="22"/>
          <w:szCs w:val="22"/>
        </w:rPr>
        <w:t>organisation's</w:t>
      </w:r>
      <w:proofErr w:type="spellEnd"/>
      <w:r w:rsidRPr="009E1AB5">
        <w:rPr>
          <w:rFonts w:ascii="Arial" w:hAnsi="Arial" w:cs="Arial"/>
          <w:sz w:val="22"/>
          <w:szCs w:val="22"/>
        </w:rPr>
        <w:t xml:space="preserve"> constraints.</w:t>
      </w:r>
    </w:p>
    <w:p w14:paraId="41CA5B9C" w14:textId="77777777" w:rsidR="00625FC7" w:rsidRPr="009E1AB5" w:rsidRDefault="00625FC7" w:rsidP="00625FC7">
      <w:pPr>
        <w:pStyle w:val="Heading2"/>
        <w:spacing w:line="360" w:lineRule="auto"/>
        <w:jc w:val="both"/>
        <w:rPr>
          <w:rFonts w:ascii="Arial" w:hAnsi="Arial" w:cs="Arial"/>
          <w:b/>
          <w:bCs/>
          <w:color w:val="auto"/>
          <w:sz w:val="28"/>
          <w:szCs w:val="28"/>
        </w:rPr>
      </w:pPr>
      <w:r w:rsidRPr="009E1AB5">
        <w:rPr>
          <w:rFonts w:ascii="Arial" w:hAnsi="Arial" w:cs="Arial"/>
          <w:b/>
          <w:bCs/>
          <w:color w:val="auto"/>
          <w:sz w:val="28"/>
          <w:szCs w:val="28"/>
        </w:rPr>
        <w:t>TASK 2: PRACTICAL EXAMPLE IN PRACTICE: JOAN’S STOR</w:t>
      </w:r>
      <w:bookmarkEnd w:id="3"/>
      <w:r w:rsidRPr="009E1AB5">
        <w:rPr>
          <w:rFonts w:ascii="Arial" w:hAnsi="Arial" w:cs="Arial"/>
          <w:b/>
          <w:bCs/>
          <w:color w:val="auto"/>
          <w:sz w:val="28"/>
          <w:szCs w:val="28"/>
        </w:rPr>
        <w:t>Y</w:t>
      </w:r>
    </w:p>
    <w:p w14:paraId="0B2943D2"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Joan's story highlights the importance of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care, partnership working and ethical practice in overcoming difficulties in managing a long-term condition. Joan has COPD and suffers from Crohn's disease. She didn't have a lot of faith in taking care of her health; she didn't always follow doctor's orders and didn't always show up. The therapy team met with her weekly, including at home, and did not label her as non-compliant, aiming to better understand her challenges. They identified that travelling outside was difficult due to bowel issues. Joan and the team drew up an action plan, and her GP treated her Crohn's disease. This is a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response as Joan's situation and needs were considered in the support provided (Damant </w:t>
      </w:r>
      <w:r w:rsidRPr="009E1AB5">
        <w:rPr>
          <w:rFonts w:ascii="Arial" w:hAnsi="Arial" w:cs="Arial"/>
          <w:i/>
          <w:iCs/>
          <w:sz w:val="22"/>
          <w:szCs w:val="22"/>
        </w:rPr>
        <w:t>et al</w:t>
      </w:r>
      <w:r w:rsidRPr="009E1AB5">
        <w:rPr>
          <w:rFonts w:ascii="Arial" w:hAnsi="Arial" w:cs="Arial"/>
          <w:sz w:val="22"/>
          <w:szCs w:val="22"/>
        </w:rPr>
        <w:t xml:space="preserve">., 2026). Likewise, McCormack </w:t>
      </w:r>
      <w:r w:rsidRPr="009E1AB5">
        <w:rPr>
          <w:rFonts w:ascii="Arial" w:hAnsi="Arial" w:cs="Arial"/>
          <w:i/>
          <w:iCs/>
          <w:sz w:val="22"/>
          <w:szCs w:val="22"/>
        </w:rPr>
        <w:t>et al.</w:t>
      </w:r>
      <w:r w:rsidRPr="009E1AB5">
        <w:rPr>
          <w:rFonts w:ascii="Arial" w:hAnsi="Arial" w:cs="Arial"/>
          <w:sz w:val="22"/>
          <w:szCs w:val="22"/>
        </w:rPr>
        <w:t xml:space="preserve"> (2012) note the importance of treating the person rather than diagnosis.</w:t>
      </w:r>
    </w:p>
    <w:p w14:paraId="491B8217"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This is also an example of partnership working between Joan, the therapy team, her GP and community pulmonary rehabilitation services. Good communication and working relationships are central to integration, but unclear responsibilities and fragmented services can create barriers (Cameron </w:t>
      </w:r>
      <w:r w:rsidRPr="009E1AB5">
        <w:rPr>
          <w:rFonts w:ascii="Arial" w:hAnsi="Arial" w:cs="Arial"/>
          <w:i/>
          <w:iCs/>
          <w:sz w:val="22"/>
          <w:szCs w:val="22"/>
        </w:rPr>
        <w:t>et al</w:t>
      </w:r>
      <w:r w:rsidRPr="009E1AB5">
        <w:rPr>
          <w:rFonts w:ascii="Arial" w:hAnsi="Arial" w:cs="Arial"/>
          <w:sz w:val="22"/>
          <w:szCs w:val="22"/>
        </w:rPr>
        <w:t xml:space="preserve">., 2013). Communication and </w:t>
      </w:r>
      <w:proofErr w:type="spellStart"/>
      <w:r w:rsidRPr="009E1AB5">
        <w:rPr>
          <w:rFonts w:ascii="Arial" w:hAnsi="Arial" w:cs="Arial"/>
          <w:sz w:val="22"/>
          <w:szCs w:val="22"/>
        </w:rPr>
        <w:t>organisational</w:t>
      </w:r>
      <w:proofErr w:type="spellEnd"/>
      <w:r w:rsidRPr="009E1AB5">
        <w:rPr>
          <w:rFonts w:ascii="Arial" w:hAnsi="Arial" w:cs="Arial"/>
          <w:sz w:val="22"/>
          <w:szCs w:val="22"/>
        </w:rPr>
        <w:t xml:space="preserve"> support are identified as factors that support integrated care by Mackie and Darvill (2016). For Joan, professionals explored why the existing approach was not working and adapted their support. Professionals provided clinical expertise, while Joan contributed knowledge of her own experiences. This supported continuity, trust and a more realistic care plan.</w:t>
      </w:r>
    </w:p>
    <w:p w14:paraId="3F5A8C0A"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In England, the Health and Care Act 2022 provides a policy framework supporting integrated working between health and care services. Section 19 provides for the establishment of integrated care boards, while section 25 sets out their general functions (Health and Care Act 2022, ss. 19, 25). This legislation is relevant to Joan because her care required coordination between the therapy team, her GP and community pulmonary rehabilitation services. However, legislation alone cannot guarantee effective collaboration. Clear communication, defined responsibilities and regular follow-up are also necessary to ensure that support responds to Joan’s individual needs.</w:t>
      </w:r>
    </w:p>
    <w:p w14:paraId="0FBB33C0" w14:textId="77777777" w:rsidR="00625FC7" w:rsidRPr="00C518F6" w:rsidRDefault="00625FC7" w:rsidP="00625FC7">
      <w:pPr>
        <w:spacing w:line="360" w:lineRule="auto"/>
        <w:jc w:val="both"/>
        <w:rPr>
          <w:rFonts w:ascii="Arial" w:hAnsi="Arial" w:cs="Arial"/>
          <w:sz w:val="22"/>
          <w:szCs w:val="22"/>
        </w:rPr>
      </w:pPr>
      <w:r w:rsidRPr="005178DB">
        <w:rPr>
          <w:rFonts w:ascii="Arial" w:hAnsi="Arial" w:cs="Arial"/>
          <w:sz w:val="22"/>
          <w:szCs w:val="22"/>
        </w:rPr>
        <w:t xml:space="preserve">Joan’s care reflects the Care Quality Commission’s (CQC, n.d.) fundamental standards, which </w:t>
      </w:r>
      <w:proofErr w:type="spellStart"/>
      <w:r w:rsidRPr="005178DB">
        <w:rPr>
          <w:rFonts w:ascii="Arial" w:hAnsi="Arial" w:cs="Arial"/>
          <w:sz w:val="22"/>
          <w:szCs w:val="22"/>
        </w:rPr>
        <w:t>emphasise</w:t>
      </w:r>
      <w:proofErr w:type="spellEnd"/>
      <w:r w:rsidRPr="005178DB">
        <w:rPr>
          <w:rFonts w:ascii="Arial" w:hAnsi="Arial" w:cs="Arial"/>
          <w:sz w:val="22"/>
          <w:szCs w:val="22"/>
        </w:rPr>
        <w:t xml:space="preserve"> person-</w:t>
      </w:r>
      <w:proofErr w:type="spellStart"/>
      <w:r w:rsidRPr="005178DB">
        <w:rPr>
          <w:rFonts w:ascii="Arial" w:hAnsi="Arial" w:cs="Arial"/>
          <w:sz w:val="22"/>
          <w:szCs w:val="22"/>
        </w:rPr>
        <w:t>centred</w:t>
      </w:r>
      <w:proofErr w:type="spellEnd"/>
      <w:r w:rsidRPr="005178DB">
        <w:rPr>
          <w:rFonts w:ascii="Arial" w:hAnsi="Arial" w:cs="Arial"/>
          <w:sz w:val="22"/>
          <w:szCs w:val="22"/>
        </w:rPr>
        <w:t xml:space="preserve"> care, dignity, respect and safety</w:t>
      </w:r>
      <w:r w:rsidRPr="009E1AB5">
        <w:rPr>
          <w:rFonts w:ascii="Arial" w:hAnsi="Arial" w:cs="Arial"/>
          <w:sz w:val="22"/>
          <w:szCs w:val="22"/>
        </w:rPr>
        <w:t>. These six Cs: care, compassion, competence, communication, courage and commitment (NHS England, 2013) are relevant to her experience. The team was sensitive to Joan's challenges, accepting them without judgment, and communicating and shared goals to provide a coordinated care and follow-up process.</w:t>
      </w:r>
    </w:p>
    <w:p w14:paraId="1BBD179B" w14:textId="072DDAA8" w:rsidR="00625FC7" w:rsidRPr="00C72D52" w:rsidRDefault="00625FC7" w:rsidP="00625FC7">
      <w:pPr>
        <w:spacing w:line="360" w:lineRule="auto"/>
        <w:jc w:val="both"/>
        <w:rPr>
          <w:rFonts w:ascii="Arial" w:hAnsi="Arial" w:cs="Arial"/>
          <w:sz w:val="22"/>
          <w:szCs w:val="22"/>
        </w:rPr>
      </w:pPr>
      <w:r w:rsidRPr="009E1AB5">
        <w:rPr>
          <w:rFonts w:ascii="Arial" w:hAnsi="Arial" w:cs="Arial"/>
          <w:sz w:val="22"/>
          <w:szCs w:val="22"/>
        </w:rPr>
        <w:lastRenderedPageBreak/>
        <w:t xml:space="preserve">Based on Joan's results, her adapted support appears to have had a positive impact. Her PAM score rose by over 40%. </w:t>
      </w:r>
      <w:r w:rsidRPr="00625FC7">
        <w:rPr>
          <w:rFonts w:ascii="Arial" w:hAnsi="Arial" w:cs="Arial"/>
          <w:sz w:val="22"/>
          <w:szCs w:val="22"/>
        </w:rPr>
        <w:t>She subsequently attended 9</w:t>
      </w:r>
      <w:r w:rsidRPr="00625FC7">
        <w:rPr>
          <w:rFonts w:ascii="Arial" w:hAnsi="Arial" w:cs="Arial"/>
          <w:sz w:val="22"/>
          <w:szCs w:val="22"/>
        </w:rPr>
        <w:t xml:space="preserve"> </w:t>
      </w:r>
      <w:r w:rsidRPr="00625FC7">
        <w:rPr>
          <w:rFonts w:ascii="Arial" w:hAnsi="Arial" w:cs="Arial"/>
          <w:sz w:val="22"/>
          <w:szCs w:val="22"/>
        </w:rPr>
        <w:t>out</w:t>
      </w:r>
      <w:r w:rsidRPr="00625FC7">
        <w:rPr>
          <w:rFonts w:ascii="Arial" w:hAnsi="Arial" w:cs="Arial"/>
          <w:sz w:val="22"/>
          <w:szCs w:val="22"/>
        </w:rPr>
        <w:t xml:space="preserve"> of 10 </w:t>
      </w:r>
      <w:r w:rsidRPr="00625FC7">
        <w:rPr>
          <w:rFonts w:ascii="Arial" w:hAnsi="Arial" w:cs="Arial"/>
          <w:sz w:val="22"/>
          <w:szCs w:val="22"/>
        </w:rPr>
        <w:t>patient appointments, compared with 6 out of 9 previously, and had 1 emergency admission instead of 2</w:t>
      </w:r>
      <w:r w:rsidRPr="00243207">
        <w:rPr>
          <w:rFonts w:ascii="Arial" w:hAnsi="Arial" w:cs="Arial"/>
          <w:b/>
          <w:bCs/>
          <w:sz w:val="22"/>
          <w:szCs w:val="22"/>
        </w:rPr>
        <w:t>.</w:t>
      </w:r>
      <w:r w:rsidRPr="009E1AB5">
        <w:rPr>
          <w:rFonts w:ascii="Arial" w:hAnsi="Arial" w:cs="Arial"/>
          <w:sz w:val="22"/>
          <w:szCs w:val="22"/>
        </w:rPr>
        <w:t xml:space="preserve"> She also took her daughter shopping and attended pulmonary rehabilitation independently. </w:t>
      </w:r>
      <w:proofErr w:type="spellStart"/>
      <w:r w:rsidRPr="009E1AB5">
        <w:rPr>
          <w:rFonts w:ascii="Arial" w:hAnsi="Arial" w:cs="Arial"/>
          <w:sz w:val="22"/>
          <w:szCs w:val="22"/>
        </w:rPr>
        <w:t>Although</w:t>
      </w:r>
      <w:r>
        <w:rPr>
          <w:rFonts w:ascii="Arial" w:hAnsi="Arial" w:cs="Arial"/>
          <w:sz w:val="22"/>
          <w:szCs w:val="22"/>
        </w:rPr>
        <w:t>t</w:t>
      </w:r>
      <w:proofErr w:type="spellEnd"/>
      <w:r w:rsidRPr="009E1AB5">
        <w:rPr>
          <w:rFonts w:ascii="Arial" w:hAnsi="Arial" w:cs="Arial"/>
          <w:i/>
          <w:iCs/>
          <w:sz w:val="22"/>
          <w:szCs w:val="22"/>
        </w:rPr>
        <w:t xml:space="preserve"> </w:t>
      </w:r>
      <w:proofErr w:type="gramStart"/>
      <w:r w:rsidRPr="009E1AB5">
        <w:rPr>
          <w:rFonts w:ascii="Arial" w:hAnsi="Arial" w:cs="Arial"/>
          <w:i/>
          <w:iCs/>
          <w:sz w:val="22"/>
          <w:szCs w:val="22"/>
        </w:rPr>
        <w:t>al</w:t>
      </w:r>
      <w:proofErr w:type="gramEnd"/>
      <w:r w:rsidRPr="009E1AB5">
        <w:rPr>
          <w:rFonts w:ascii="Arial" w:hAnsi="Arial" w:cs="Arial"/>
          <w:i/>
          <w:iCs/>
          <w:sz w:val="22"/>
          <w:szCs w:val="22"/>
        </w:rPr>
        <w:t>.</w:t>
      </w:r>
      <w:r>
        <w:rPr>
          <w:rFonts w:ascii="Arial" w:hAnsi="Arial" w:cs="Arial"/>
          <w:sz w:val="22"/>
          <w:szCs w:val="22"/>
        </w:rPr>
        <w:t xml:space="preserve"> </w:t>
      </w:r>
      <w:r w:rsidRPr="009E1AB5">
        <w:rPr>
          <w:rFonts w:ascii="Arial" w:hAnsi="Arial" w:cs="Arial"/>
          <w:sz w:val="22"/>
          <w:szCs w:val="22"/>
        </w:rPr>
        <w:t>(2018) found that integrated care can improve perceived quality of care, satisfaction and access, although its wider effects on health systems can vary. Joan’s improvement may therefore be linked to coordinated support that addressed her practical barriers, although it cannot necessarily be attributed to one intervention alone. Ethically, professionals should involve Joan in decision-making and respect her autonomy.</w:t>
      </w:r>
      <w:bookmarkStart w:id="4" w:name="_Toc242484084"/>
    </w:p>
    <w:p w14:paraId="403F5A65" w14:textId="77777777" w:rsidR="00625FC7" w:rsidRPr="009E1AB5" w:rsidRDefault="00625FC7" w:rsidP="00625FC7">
      <w:pPr>
        <w:pStyle w:val="Heading2"/>
        <w:spacing w:line="360" w:lineRule="auto"/>
        <w:jc w:val="both"/>
        <w:rPr>
          <w:rFonts w:ascii="Arial" w:hAnsi="Arial" w:cs="Arial"/>
          <w:b/>
          <w:bCs/>
          <w:color w:val="auto"/>
          <w:sz w:val="28"/>
          <w:szCs w:val="28"/>
        </w:rPr>
      </w:pPr>
      <w:r w:rsidRPr="009E1AB5">
        <w:rPr>
          <w:rFonts w:ascii="Arial" w:hAnsi="Arial" w:cs="Arial"/>
          <w:b/>
          <w:bCs/>
          <w:color w:val="auto"/>
          <w:sz w:val="28"/>
          <w:szCs w:val="28"/>
        </w:rPr>
        <w:t xml:space="preserve">TASK 3: SELF-REFLECTION </w:t>
      </w:r>
      <w:bookmarkStart w:id="5" w:name="_Toc242484085"/>
      <w:bookmarkEnd w:id="4"/>
    </w:p>
    <w:p w14:paraId="597B9A4C" w14:textId="77777777" w:rsidR="00625FC7" w:rsidRPr="009E1AB5" w:rsidRDefault="00625FC7" w:rsidP="00625FC7">
      <w:pPr>
        <w:pStyle w:val="Heading3"/>
        <w:spacing w:line="360" w:lineRule="auto"/>
        <w:rPr>
          <w:rFonts w:ascii="Arial" w:hAnsi="Arial" w:cs="Arial"/>
          <w:b/>
          <w:bCs/>
          <w:color w:val="auto"/>
          <w:sz w:val="24"/>
          <w:szCs w:val="24"/>
        </w:rPr>
      </w:pPr>
      <w:r w:rsidRPr="009E1AB5">
        <w:rPr>
          <w:rFonts w:ascii="Arial" w:hAnsi="Arial" w:cs="Arial"/>
          <w:b/>
          <w:bCs/>
          <w:color w:val="auto"/>
          <w:sz w:val="24"/>
          <w:szCs w:val="24"/>
        </w:rPr>
        <w:t>Introduction</w:t>
      </w:r>
      <w:bookmarkEnd w:id="5"/>
    </w:p>
    <w:p w14:paraId="75DB4BFE"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This reflection uses Gibbs' Reflective Cycle to a school-based incident involving Sam (pseudonym to protect confidentiality). As a support worker, the incident caused me to question my beliefs and the idea that distress can be an indicator of an unmet need. Gibbs’ (1988) six stages are a structured approach to </w:t>
      </w:r>
      <w:proofErr w:type="spellStart"/>
      <w:r w:rsidRPr="009E1AB5">
        <w:rPr>
          <w:rFonts w:ascii="Arial" w:hAnsi="Arial" w:cs="Arial"/>
          <w:sz w:val="22"/>
          <w:szCs w:val="22"/>
        </w:rPr>
        <w:t>analysing</w:t>
      </w:r>
      <w:proofErr w:type="spellEnd"/>
      <w:r w:rsidRPr="009E1AB5">
        <w:rPr>
          <w:rFonts w:ascii="Arial" w:hAnsi="Arial" w:cs="Arial"/>
          <w:sz w:val="22"/>
          <w:szCs w:val="22"/>
        </w:rPr>
        <w:t xml:space="preserve"> decisions, thinking about the consequences and making suggestions for how things might be improved for future practice (Figure 1).</w:t>
      </w:r>
    </w:p>
    <w:p w14:paraId="78FF4F2C"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noProof/>
          <w:sz w:val="22"/>
          <w:szCs w:val="22"/>
        </w:rPr>
        <w:drawing>
          <wp:inline distT="0" distB="0" distL="0" distR="0" wp14:anchorId="54CB053D" wp14:editId="0B94D752">
            <wp:extent cx="5486400" cy="3200400"/>
            <wp:effectExtent l="0" t="0" r="0" b="19050"/>
            <wp:docPr id="211435285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58D4D95" w14:textId="77777777" w:rsidR="00625FC7" w:rsidRPr="009E1AB5" w:rsidRDefault="00625FC7" w:rsidP="00625FC7">
      <w:pPr>
        <w:spacing w:line="360" w:lineRule="auto"/>
        <w:jc w:val="both"/>
        <w:rPr>
          <w:rFonts w:ascii="Arial" w:hAnsi="Arial" w:cs="Arial"/>
          <w:sz w:val="22"/>
          <w:szCs w:val="22"/>
        </w:rPr>
      </w:pPr>
    </w:p>
    <w:p w14:paraId="48E63E0C" w14:textId="77777777" w:rsidR="00625FC7" w:rsidRPr="009E1AB5" w:rsidRDefault="00625FC7" w:rsidP="00625FC7">
      <w:pPr>
        <w:spacing w:line="360" w:lineRule="auto"/>
        <w:jc w:val="center"/>
        <w:rPr>
          <w:rFonts w:ascii="Arial" w:hAnsi="Arial" w:cs="Arial"/>
          <w:i/>
          <w:sz w:val="22"/>
          <w:szCs w:val="22"/>
        </w:rPr>
      </w:pPr>
      <w:r w:rsidRPr="009E1AB5">
        <w:rPr>
          <w:rFonts w:ascii="Arial" w:hAnsi="Arial" w:cs="Arial"/>
          <w:i/>
          <w:sz w:val="22"/>
          <w:szCs w:val="22"/>
        </w:rPr>
        <w:t>Figure 1: Gibbs’ Reflective Cycle</w:t>
      </w:r>
    </w:p>
    <w:p w14:paraId="43E72202" w14:textId="77777777" w:rsidR="00625FC7" w:rsidRPr="009E1AB5" w:rsidRDefault="00625FC7" w:rsidP="00625FC7">
      <w:pPr>
        <w:pStyle w:val="Heading3"/>
        <w:spacing w:line="360" w:lineRule="auto"/>
        <w:rPr>
          <w:rFonts w:ascii="Arial" w:hAnsi="Arial" w:cs="Arial"/>
          <w:b/>
          <w:bCs/>
          <w:color w:val="auto"/>
          <w:sz w:val="24"/>
          <w:szCs w:val="24"/>
        </w:rPr>
      </w:pPr>
      <w:bookmarkStart w:id="6" w:name="_Toc242484086"/>
    </w:p>
    <w:p w14:paraId="151083CA" w14:textId="77777777" w:rsidR="00625FC7" w:rsidRPr="009E1AB5" w:rsidRDefault="00625FC7" w:rsidP="00625FC7">
      <w:pPr>
        <w:pStyle w:val="Heading3"/>
        <w:spacing w:line="360" w:lineRule="auto"/>
        <w:rPr>
          <w:rFonts w:ascii="Arial" w:hAnsi="Arial" w:cs="Arial"/>
          <w:b/>
          <w:bCs/>
          <w:color w:val="auto"/>
          <w:sz w:val="24"/>
          <w:szCs w:val="24"/>
        </w:rPr>
      </w:pPr>
      <w:r w:rsidRPr="009E1AB5">
        <w:rPr>
          <w:rFonts w:ascii="Arial" w:hAnsi="Arial" w:cs="Arial"/>
          <w:b/>
          <w:bCs/>
          <w:color w:val="auto"/>
          <w:sz w:val="24"/>
          <w:szCs w:val="24"/>
        </w:rPr>
        <w:t>Description</w:t>
      </w:r>
      <w:bookmarkEnd w:id="6"/>
    </w:p>
    <w:p w14:paraId="359CA6CA"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I was requested to support a pupil who became upset and was not keen to participate in a classroom activity during a school day. Sam got away from the crowd. I didn't feel the need to force participation as that might add to the distress. I was nearby, was calm and provided a quiet space. I told the teacher, followed school procedures and after Sam calmed down, talked with the teacher about what could help him get back on track to learning.</w:t>
      </w:r>
    </w:p>
    <w:p w14:paraId="55B75505" w14:textId="77777777" w:rsidR="00625FC7" w:rsidRPr="009E1AB5" w:rsidRDefault="00625FC7" w:rsidP="00625FC7">
      <w:pPr>
        <w:pStyle w:val="Heading3"/>
        <w:spacing w:line="360" w:lineRule="auto"/>
        <w:rPr>
          <w:rFonts w:ascii="Arial" w:hAnsi="Arial" w:cs="Arial"/>
          <w:b/>
          <w:bCs/>
          <w:color w:val="auto"/>
          <w:sz w:val="24"/>
          <w:szCs w:val="24"/>
        </w:rPr>
      </w:pPr>
      <w:bookmarkStart w:id="7" w:name="_Toc242484087"/>
      <w:r w:rsidRPr="009E1AB5">
        <w:rPr>
          <w:rFonts w:ascii="Arial" w:hAnsi="Arial" w:cs="Arial"/>
          <w:b/>
          <w:bCs/>
          <w:color w:val="auto"/>
          <w:sz w:val="24"/>
          <w:szCs w:val="24"/>
        </w:rPr>
        <w:t>Feelings</w:t>
      </w:r>
      <w:bookmarkEnd w:id="7"/>
    </w:p>
    <w:p w14:paraId="75457F26"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I thought that Sam would be more upset and that the class would get disturbed. I was feeling a sense of urgency to do routine. I felt I was calm, but I knew that this would be a pressure for me to focus on class order rather than Sam's needs. I wondered whether I could have done enough and whether I should have taken Sam's needs into greater account before taking this action.</w:t>
      </w:r>
    </w:p>
    <w:p w14:paraId="062BC8F3" w14:textId="77777777" w:rsidR="00625FC7" w:rsidRPr="002E2D6D" w:rsidRDefault="00625FC7" w:rsidP="00625FC7">
      <w:pPr>
        <w:pStyle w:val="Heading3"/>
        <w:spacing w:line="360" w:lineRule="auto"/>
        <w:rPr>
          <w:rFonts w:ascii="Arial" w:hAnsi="Arial" w:cs="Arial"/>
          <w:b/>
          <w:bCs/>
          <w:color w:val="auto"/>
          <w:sz w:val="24"/>
          <w:szCs w:val="24"/>
        </w:rPr>
      </w:pPr>
      <w:bookmarkStart w:id="8" w:name="_Toc242484088"/>
      <w:r w:rsidRPr="009E1AB5">
        <w:rPr>
          <w:rFonts w:ascii="Arial" w:hAnsi="Arial" w:cs="Arial"/>
          <w:b/>
          <w:bCs/>
          <w:color w:val="auto"/>
          <w:sz w:val="24"/>
          <w:szCs w:val="24"/>
        </w:rPr>
        <w:t>Evaluation</w:t>
      </w:r>
      <w:bookmarkEnd w:id="8"/>
    </w:p>
    <w:p w14:paraId="58C8B45E"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My personal view of strengths is communication and cooperation well,</w:t>
      </w:r>
      <w:r w:rsidRPr="0039743D">
        <w:rPr>
          <w:rFonts w:ascii="Arial" w:hAnsi="Arial" w:cs="Arial"/>
          <w:sz w:val="22"/>
          <w:szCs w:val="22"/>
        </w:rPr>
        <w:t xml:space="preserve"> </w:t>
      </w:r>
      <w:r w:rsidRPr="009E1AB5">
        <w:rPr>
          <w:rFonts w:ascii="Arial" w:hAnsi="Arial" w:cs="Arial"/>
          <w:sz w:val="22"/>
          <w:szCs w:val="22"/>
        </w:rPr>
        <w:t>I bring to the team patience, communicating calmly, empathy and teamwork. Respecting Sam's needs, I was calm and gave him room and didn't push him to participate</w:t>
      </w:r>
      <w:r>
        <w:rPr>
          <w:rFonts w:ascii="Arial" w:hAnsi="Arial" w:cs="Arial"/>
          <w:sz w:val="22"/>
          <w:szCs w:val="22"/>
        </w:rPr>
        <w:t>,</w:t>
      </w:r>
      <w:r w:rsidRPr="009E1AB5">
        <w:rPr>
          <w:rFonts w:ascii="Arial" w:hAnsi="Arial" w:cs="Arial"/>
          <w:sz w:val="22"/>
          <w:szCs w:val="22"/>
        </w:rPr>
        <w:t xml:space="preserve"> but ethical thinking and reflection must be nurtured.</w:t>
      </w:r>
      <w:r>
        <w:rPr>
          <w:rFonts w:ascii="Arial" w:hAnsi="Arial" w:cs="Arial"/>
          <w:sz w:val="22"/>
          <w:szCs w:val="22"/>
        </w:rPr>
        <w:t xml:space="preserve"> A g</w:t>
      </w:r>
      <w:r w:rsidRPr="009E1AB5">
        <w:rPr>
          <w:rFonts w:ascii="Arial" w:hAnsi="Arial" w:cs="Arial"/>
          <w:sz w:val="22"/>
          <w:szCs w:val="22"/>
        </w:rPr>
        <w:t>ood thing was that I did not get angry and I did not confront Sam and I gave him space and time. The teacher was informed, which helped to ensure safety and teamwork. I could have asked myself, though, if the quiet space prepared Sam to return and if I had gotten my facts together quicker.</w:t>
      </w:r>
    </w:p>
    <w:p w14:paraId="26BC6CCA" w14:textId="77777777" w:rsidR="00625FC7" w:rsidRPr="009E1AB5" w:rsidRDefault="00625FC7" w:rsidP="00625FC7">
      <w:pPr>
        <w:pStyle w:val="Heading3"/>
        <w:spacing w:line="360" w:lineRule="auto"/>
        <w:rPr>
          <w:rFonts w:ascii="Arial" w:hAnsi="Arial" w:cs="Arial"/>
          <w:b/>
          <w:bCs/>
          <w:color w:val="auto"/>
          <w:sz w:val="24"/>
          <w:szCs w:val="24"/>
        </w:rPr>
      </w:pPr>
      <w:bookmarkStart w:id="9" w:name="_Toc242484089"/>
      <w:r w:rsidRPr="009E1AB5">
        <w:rPr>
          <w:rFonts w:ascii="Arial" w:hAnsi="Arial" w:cs="Arial"/>
          <w:b/>
          <w:bCs/>
          <w:color w:val="auto"/>
          <w:sz w:val="24"/>
          <w:szCs w:val="24"/>
        </w:rPr>
        <w:t>Analysis</w:t>
      </w:r>
      <w:bookmarkEnd w:id="9"/>
    </w:p>
    <w:p w14:paraId="25A657C7"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The Department for Education (2026) statutory guidance Keeping Children Safe in Education requires school staff to take several actions including following safeguarding procedures, reporting concerns to the designated safeguarding lead (DSL) and accurately recording actions. I should have also had a quick look at Sam's support plan and made sure of any other reporting needs that might have arisen. Open questions and advice from appropriate staff would assist in avoiding assumptions about Sam's </w:t>
      </w:r>
      <w:proofErr w:type="spellStart"/>
      <w:r w:rsidRPr="009E1AB5">
        <w:rPr>
          <w:rFonts w:ascii="Arial" w:hAnsi="Arial" w:cs="Arial"/>
          <w:sz w:val="22"/>
          <w:szCs w:val="22"/>
        </w:rPr>
        <w:t>behaviour</w:t>
      </w:r>
      <w:proofErr w:type="spellEnd"/>
      <w:r w:rsidRPr="009E1AB5">
        <w:rPr>
          <w:rFonts w:ascii="Arial" w:hAnsi="Arial" w:cs="Arial"/>
          <w:sz w:val="22"/>
          <w:szCs w:val="22"/>
        </w:rPr>
        <w:t xml:space="preserve">. The Care Act 2014 is not the main </w:t>
      </w:r>
      <w:proofErr w:type="spellStart"/>
      <w:r w:rsidRPr="009E1AB5">
        <w:rPr>
          <w:rFonts w:ascii="Arial" w:hAnsi="Arial" w:cs="Arial"/>
          <w:sz w:val="22"/>
          <w:szCs w:val="22"/>
        </w:rPr>
        <w:t>legalisation</w:t>
      </w:r>
      <w:proofErr w:type="spellEnd"/>
      <w:r w:rsidRPr="009E1AB5">
        <w:rPr>
          <w:rFonts w:ascii="Arial" w:hAnsi="Arial" w:cs="Arial"/>
          <w:sz w:val="22"/>
          <w:szCs w:val="22"/>
        </w:rPr>
        <w:t xml:space="preserve"> for this school-based incident.</w:t>
      </w:r>
    </w:p>
    <w:p w14:paraId="79823153"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Accountability, </w:t>
      </w:r>
      <w:r>
        <w:rPr>
          <w:rFonts w:ascii="Arial" w:hAnsi="Arial" w:cs="Arial"/>
          <w:sz w:val="22"/>
          <w:szCs w:val="22"/>
        </w:rPr>
        <w:t>d</w:t>
      </w:r>
      <w:r w:rsidRPr="009E1AB5">
        <w:rPr>
          <w:rFonts w:ascii="Arial" w:hAnsi="Arial" w:cs="Arial"/>
          <w:sz w:val="22"/>
          <w:szCs w:val="22"/>
        </w:rPr>
        <w:t xml:space="preserve">ignity, </w:t>
      </w:r>
      <w:r>
        <w:rPr>
          <w:rFonts w:ascii="Arial" w:hAnsi="Arial" w:cs="Arial"/>
          <w:sz w:val="22"/>
          <w:szCs w:val="22"/>
        </w:rPr>
        <w:t>c</w:t>
      </w:r>
      <w:r w:rsidRPr="009E1AB5">
        <w:rPr>
          <w:rFonts w:ascii="Arial" w:hAnsi="Arial" w:cs="Arial"/>
          <w:sz w:val="22"/>
          <w:szCs w:val="22"/>
        </w:rPr>
        <w:t xml:space="preserve">ommunication and </w:t>
      </w:r>
      <w:r>
        <w:rPr>
          <w:rFonts w:ascii="Arial" w:hAnsi="Arial" w:cs="Arial"/>
          <w:sz w:val="22"/>
          <w:szCs w:val="22"/>
        </w:rPr>
        <w:t>c</w:t>
      </w:r>
      <w:r w:rsidRPr="009E1AB5">
        <w:rPr>
          <w:rFonts w:ascii="Arial" w:hAnsi="Arial" w:cs="Arial"/>
          <w:sz w:val="22"/>
          <w:szCs w:val="22"/>
        </w:rPr>
        <w:t xml:space="preserve">onfidentiality (Skills for Care and Skills for Health, 2013) are highlighted in the Code of Conduct. It is essential that school safeguarding policies and </w:t>
      </w:r>
      <w:r w:rsidRPr="009E1AB5">
        <w:rPr>
          <w:rFonts w:ascii="Arial" w:hAnsi="Arial" w:cs="Arial"/>
          <w:sz w:val="22"/>
          <w:szCs w:val="22"/>
        </w:rPr>
        <w:lastRenderedPageBreak/>
        <w:t>procedures are in place, but their direct relevance will vary depending on my role. Professional boundaries are essential and reporting is necessary to complement good intentions.</w:t>
      </w:r>
    </w:p>
    <w:p w14:paraId="12AB3AA9" w14:textId="77777777" w:rsidR="00625FC7" w:rsidRPr="009E1AB5" w:rsidRDefault="00625FC7" w:rsidP="00625FC7">
      <w:pPr>
        <w:pStyle w:val="Heading3"/>
        <w:spacing w:line="360" w:lineRule="auto"/>
        <w:rPr>
          <w:rFonts w:ascii="Arial" w:hAnsi="Arial" w:cs="Arial"/>
          <w:b/>
          <w:bCs/>
          <w:color w:val="auto"/>
          <w:sz w:val="24"/>
          <w:szCs w:val="24"/>
        </w:rPr>
      </w:pPr>
      <w:bookmarkStart w:id="10" w:name="_Toc242484090"/>
      <w:r w:rsidRPr="009E1AB5">
        <w:rPr>
          <w:rFonts w:ascii="Arial" w:hAnsi="Arial" w:cs="Arial"/>
          <w:b/>
          <w:bCs/>
          <w:color w:val="auto"/>
          <w:sz w:val="24"/>
          <w:szCs w:val="24"/>
        </w:rPr>
        <w:t>Conclusion</w:t>
      </w:r>
      <w:bookmarkEnd w:id="10"/>
    </w:p>
    <w:p w14:paraId="4DF62276"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This incident told me that success is not just about getting back to the classroom but is more about the pupil's wellbeing. I should think about Sam's opinion and refer to the support plan; I should ask for advice when needed.</w:t>
      </w:r>
    </w:p>
    <w:p w14:paraId="7694E420" w14:textId="77777777" w:rsidR="00625FC7" w:rsidRPr="009E1AB5" w:rsidRDefault="00625FC7" w:rsidP="00625FC7">
      <w:pPr>
        <w:pStyle w:val="Heading3"/>
        <w:spacing w:line="360" w:lineRule="auto"/>
        <w:rPr>
          <w:rFonts w:ascii="Arial" w:hAnsi="Arial" w:cs="Arial"/>
          <w:b/>
          <w:bCs/>
          <w:color w:val="auto"/>
          <w:sz w:val="24"/>
          <w:szCs w:val="24"/>
        </w:rPr>
      </w:pPr>
      <w:bookmarkStart w:id="11" w:name="_Toc242484091"/>
      <w:r w:rsidRPr="009E1AB5">
        <w:rPr>
          <w:rFonts w:ascii="Arial" w:hAnsi="Arial" w:cs="Arial"/>
          <w:b/>
          <w:bCs/>
          <w:color w:val="auto"/>
          <w:sz w:val="24"/>
          <w:szCs w:val="24"/>
        </w:rPr>
        <w:t>Action plan</w:t>
      </w:r>
      <w:bookmarkEnd w:id="11"/>
    </w:p>
    <w:p w14:paraId="4900A8F8"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For the future I will make sure to be safe, stay calm, listen and ask open questions. I will review the pupils’ support plan, notify the teacher or DSL and accurately document appropriate interventions, ensuring that information is only shared with </w:t>
      </w:r>
      <w:proofErr w:type="spellStart"/>
      <w:r w:rsidRPr="009E1AB5">
        <w:rPr>
          <w:rFonts w:ascii="Arial" w:hAnsi="Arial" w:cs="Arial"/>
          <w:sz w:val="22"/>
          <w:szCs w:val="22"/>
        </w:rPr>
        <w:t>authorised</w:t>
      </w:r>
      <w:proofErr w:type="spellEnd"/>
      <w:r w:rsidRPr="009E1AB5">
        <w:rPr>
          <w:rFonts w:ascii="Arial" w:hAnsi="Arial" w:cs="Arial"/>
          <w:sz w:val="22"/>
          <w:szCs w:val="22"/>
        </w:rPr>
        <w:t xml:space="preserve"> staff. I will not keep safety concerns to myself. I aim to ask for help and guidance to enhance my practice and evaluate my progress against pupil wellbeing and re-engagement rather than compliance in the classroom.</w:t>
      </w:r>
    </w:p>
    <w:p w14:paraId="395F09FC" w14:textId="77777777" w:rsidR="00625FC7" w:rsidRPr="009E1AB5" w:rsidRDefault="00625FC7" w:rsidP="00625FC7">
      <w:pPr>
        <w:pStyle w:val="Heading3"/>
        <w:spacing w:line="360" w:lineRule="auto"/>
        <w:rPr>
          <w:rFonts w:ascii="Arial" w:hAnsi="Arial" w:cs="Arial"/>
          <w:b/>
          <w:bCs/>
          <w:color w:val="auto"/>
          <w:sz w:val="24"/>
          <w:szCs w:val="24"/>
        </w:rPr>
      </w:pPr>
      <w:bookmarkStart w:id="12" w:name="_Toc242484092"/>
      <w:r w:rsidRPr="009E1AB5">
        <w:rPr>
          <w:rFonts w:ascii="Arial" w:hAnsi="Arial" w:cs="Arial"/>
          <w:b/>
          <w:bCs/>
          <w:color w:val="auto"/>
          <w:sz w:val="24"/>
          <w:szCs w:val="24"/>
        </w:rPr>
        <w:t>Overall Reflecti</w:t>
      </w:r>
      <w:bookmarkEnd w:id="12"/>
      <w:r w:rsidRPr="009E1AB5">
        <w:rPr>
          <w:rFonts w:ascii="Arial" w:hAnsi="Arial" w:cs="Arial"/>
          <w:b/>
          <w:bCs/>
          <w:color w:val="auto"/>
          <w:sz w:val="24"/>
          <w:szCs w:val="24"/>
        </w:rPr>
        <w:t>on</w:t>
      </w:r>
    </w:p>
    <w:p w14:paraId="0E0EE4DD" w14:textId="77777777" w:rsidR="00625FC7" w:rsidRPr="009E1AB5" w:rsidRDefault="00625FC7" w:rsidP="00625FC7">
      <w:pPr>
        <w:spacing w:line="360" w:lineRule="auto"/>
        <w:jc w:val="both"/>
        <w:rPr>
          <w:rFonts w:ascii="Arial" w:hAnsi="Arial" w:cs="Arial"/>
          <w:sz w:val="22"/>
          <w:szCs w:val="22"/>
        </w:rPr>
      </w:pPr>
      <w:r w:rsidRPr="009E1AB5">
        <w:rPr>
          <w:rFonts w:ascii="Arial" w:hAnsi="Arial" w:cs="Arial"/>
          <w:sz w:val="22"/>
          <w:szCs w:val="22"/>
        </w:rPr>
        <w:t>In all, this incident becomes professional learning for Gibbs. Will verify assumptions, adhere to safeguarding requirements and will be using feedback to enhance support. It should be good practice in the future to have a pupil's experience strengthened by reflection on this to improve accountability, continuity and child-</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practice in the school and I would like to see this in my own practice as well. </w:t>
      </w:r>
    </w:p>
    <w:p w14:paraId="6C6E9D5E" w14:textId="77777777" w:rsidR="00625FC7" w:rsidRPr="009E1AB5" w:rsidRDefault="00625FC7" w:rsidP="00625FC7">
      <w:pPr>
        <w:pStyle w:val="Heading2"/>
        <w:spacing w:line="360" w:lineRule="auto"/>
        <w:jc w:val="both"/>
        <w:rPr>
          <w:rFonts w:ascii="Arial" w:hAnsi="Arial" w:cs="Arial"/>
          <w:b/>
          <w:bCs/>
          <w:color w:val="auto"/>
          <w:sz w:val="28"/>
          <w:szCs w:val="28"/>
        </w:rPr>
      </w:pPr>
      <w:bookmarkStart w:id="13" w:name="_Toc242484093"/>
      <w:r w:rsidRPr="009E1AB5">
        <w:rPr>
          <w:rFonts w:ascii="Arial" w:hAnsi="Arial" w:cs="Arial"/>
          <w:b/>
          <w:bCs/>
          <w:color w:val="auto"/>
          <w:sz w:val="28"/>
          <w:szCs w:val="28"/>
        </w:rPr>
        <w:t>CONCLUSION</w:t>
      </w:r>
      <w:bookmarkEnd w:id="13"/>
    </w:p>
    <w:p w14:paraId="6A9809FE" w14:textId="77777777" w:rsidR="00625FC7" w:rsidRDefault="00625FC7" w:rsidP="00625FC7">
      <w:pPr>
        <w:spacing w:line="360" w:lineRule="auto"/>
        <w:jc w:val="both"/>
        <w:rPr>
          <w:rFonts w:ascii="Arial" w:hAnsi="Arial" w:cs="Arial"/>
          <w:sz w:val="22"/>
          <w:szCs w:val="22"/>
        </w:rPr>
      </w:pPr>
      <w:r w:rsidRPr="009E1AB5">
        <w:rPr>
          <w:rFonts w:ascii="Arial" w:hAnsi="Arial" w:cs="Arial"/>
          <w:sz w:val="22"/>
          <w:szCs w:val="22"/>
        </w:rPr>
        <w:t xml:space="preserve">Person </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care, partnership working and ethical practice are combined to create best practice. The case study of Joan demonstrates that insight into individual factors that hinder engagement, effective support from professionals and respect for choice can have a positive impact on engagement and outcomes. Other elements of good practice include communication, continuity and </w:t>
      </w:r>
      <w:proofErr w:type="spellStart"/>
      <w:r w:rsidRPr="009E1AB5">
        <w:rPr>
          <w:rFonts w:ascii="Arial" w:hAnsi="Arial" w:cs="Arial"/>
          <w:sz w:val="22"/>
          <w:szCs w:val="22"/>
        </w:rPr>
        <w:t>organisation</w:t>
      </w:r>
      <w:proofErr w:type="spellEnd"/>
      <w:r w:rsidRPr="009E1AB5">
        <w:rPr>
          <w:rFonts w:ascii="Arial" w:hAnsi="Arial" w:cs="Arial"/>
          <w:sz w:val="22"/>
          <w:szCs w:val="22"/>
        </w:rPr>
        <w:t xml:space="preserve"> and reflection. Learning can support the provision of responsive rather than routine care. This will be best achieved through effective reflection.</w:t>
      </w:r>
      <w:bookmarkStart w:id="14" w:name="_Toc242484094"/>
    </w:p>
    <w:p w14:paraId="65C4565F" w14:textId="77777777" w:rsidR="00625FC7" w:rsidRDefault="00625FC7" w:rsidP="00625FC7">
      <w:pPr>
        <w:spacing w:line="360" w:lineRule="auto"/>
        <w:jc w:val="both"/>
        <w:rPr>
          <w:rFonts w:ascii="Arial" w:hAnsi="Arial" w:cs="Arial"/>
          <w:b/>
          <w:bCs/>
          <w:sz w:val="28"/>
          <w:szCs w:val="28"/>
        </w:rPr>
      </w:pPr>
    </w:p>
    <w:p w14:paraId="38327971" w14:textId="77777777" w:rsidR="00625FC7" w:rsidRDefault="00625FC7" w:rsidP="00625FC7">
      <w:pPr>
        <w:spacing w:line="360" w:lineRule="auto"/>
        <w:jc w:val="both"/>
        <w:rPr>
          <w:rFonts w:ascii="Arial" w:hAnsi="Arial" w:cs="Arial"/>
          <w:b/>
          <w:bCs/>
          <w:sz w:val="28"/>
          <w:szCs w:val="28"/>
        </w:rPr>
      </w:pPr>
    </w:p>
    <w:p w14:paraId="0369B25B" w14:textId="77777777" w:rsidR="00625FC7" w:rsidRDefault="00625FC7" w:rsidP="00625FC7">
      <w:pPr>
        <w:spacing w:line="360" w:lineRule="auto"/>
        <w:jc w:val="both"/>
        <w:rPr>
          <w:rFonts w:ascii="Arial" w:hAnsi="Arial" w:cs="Arial"/>
          <w:b/>
          <w:bCs/>
          <w:sz w:val="28"/>
          <w:szCs w:val="28"/>
        </w:rPr>
      </w:pPr>
    </w:p>
    <w:p w14:paraId="08EBF96B" w14:textId="77777777" w:rsidR="00625FC7" w:rsidRPr="006558A9" w:rsidRDefault="00625FC7" w:rsidP="00625FC7">
      <w:pPr>
        <w:spacing w:line="360" w:lineRule="auto"/>
        <w:jc w:val="both"/>
        <w:rPr>
          <w:rFonts w:ascii="Arial" w:hAnsi="Arial" w:cs="Arial"/>
          <w:sz w:val="22"/>
          <w:szCs w:val="22"/>
        </w:rPr>
      </w:pPr>
      <w:r w:rsidRPr="009E1AB5">
        <w:rPr>
          <w:rFonts w:ascii="Arial" w:hAnsi="Arial" w:cs="Arial"/>
          <w:b/>
          <w:bCs/>
          <w:sz w:val="28"/>
          <w:szCs w:val="28"/>
        </w:rPr>
        <w:lastRenderedPageBreak/>
        <w:t>REFERENCES</w:t>
      </w:r>
      <w:bookmarkEnd w:id="14"/>
    </w:p>
    <w:p w14:paraId="5FCC45BA" w14:textId="77777777" w:rsidR="00625FC7" w:rsidRPr="009E1AB5" w:rsidRDefault="00625FC7" w:rsidP="00625FC7">
      <w:pPr>
        <w:spacing w:after="40" w:line="360" w:lineRule="auto"/>
        <w:jc w:val="both"/>
        <w:rPr>
          <w:rFonts w:ascii="Arial" w:hAnsi="Arial" w:cs="Arial"/>
          <w:sz w:val="22"/>
          <w:szCs w:val="22"/>
        </w:rPr>
      </w:pPr>
    </w:p>
    <w:p w14:paraId="3A9BD1D4"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Baxter, S., Johnson, M., Chambers, D., Sutton, A., Goyder, E. and Booth, A. (2018) 'The effects of integrated care: a systematic review of UK and international evidence', </w:t>
      </w:r>
      <w:r w:rsidRPr="009E1AB5">
        <w:rPr>
          <w:rFonts w:ascii="Arial" w:hAnsi="Arial" w:cs="Arial"/>
          <w:i/>
          <w:sz w:val="22"/>
          <w:szCs w:val="22"/>
        </w:rPr>
        <w:t>BMC Health Services Research</w:t>
      </w:r>
      <w:r w:rsidRPr="009E1AB5">
        <w:rPr>
          <w:rFonts w:ascii="Arial" w:hAnsi="Arial" w:cs="Arial"/>
          <w:sz w:val="22"/>
          <w:szCs w:val="22"/>
        </w:rPr>
        <w:t>, 18(1), article 350.</w:t>
      </w:r>
      <w:hyperlink r:id="rId10" w:history="1">
        <w:r w:rsidRPr="009E1AB5">
          <w:rPr>
            <w:rStyle w:val="Hyperlink"/>
            <w:rFonts w:ascii="Arial" w:hAnsi="Arial" w:cs="Arial"/>
            <w:sz w:val="22"/>
            <w:szCs w:val="22"/>
          </w:rPr>
          <w:t>https://doi.org/10.1186/s12913-018-3161-3</w:t>
        </w:r>
      </w:hyperlink>
      <w:r w:rsidRPr="009E1AB5">
        <w:rPr>
          <w:rFonts w:ascii="Arial" w:hAnsi="Arial" w:cs="Arial"/>
          <w:sz w:val="22"/>
          <w:szCs w:val="22"/>
        </w:rPr>
        <w:t xml:space="preserve">. </w:t>
      </w:r>
    </w:p>
    <w:p w14:paraId="06CD8304" w14:textId="77777777" w:rsidR="00625FC7" w:rsidRPr="009E1AB5" w:rsidRDefault="00625FC7" w:rsidP="00625FC7">
      <w:pPr>
        <w:spacing w:after="40" w:line="360" w:lineRule="auto"/>
        <w:jc w:val="both"/>
        <w:rPr>
          <w:rFonts w:ascii="Arial" w:hAnsi="Arial" w:cs="Arial"/>
          <w:sz w:val="22"/>
          <w:szCs w:val="22"/>
        </w:rPr>
      </w:pPr>
    </w:p>
    <w:p w14:paraId="1527F17E"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Blake, D., Berry, K. and Brown, L.J.E. (2019) 'A systematic review of the impact of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care interventions on the </w:t>
      </w:r>
      <w:proofErr w:type="spellStart"/>
      <w:r w:rsidRPr="009E1AB5">
        <w:rPr>
          <w:rFonts w:ascii="Arial" w:hAnsi="Arial" w:cs="Arial"/>
          <w:sz w:val="22"/>
          <w:szCs w:val="22"/>
        </w:rPr>
        <w:t>behaviour</w:t>
      </w:r>
      <w:proofErr w:type="spellEnd"/>
      <w:r w:rsidRPr="009E1AB5">
        <w:rPr>
          <w:rFonts w:ascii="Arial" w:hAnsi="Arial" w:cs="Arial"/>
          <w:sz w:val="22"/>
          <w:szCs w:val="22"/>
        </w:rPr>
        <w:t xml:space="preserve"> of staff working in dementia care', </w:t>
      </w:r>
      <w:r w:rsidRPr="009E1AB5">
        <w:rPr>
          <w:rFonts w:ascii="Arial" w:hAnsi="Arial" w:cs="Arial"/>
          <w:i/>
          <w:sz w:val="22"/>
          <w:szCs w:val="22"/>
        </w:rPr>
        <w:t>Journal of Advanced Nursing</w:t>
      </w:r>
      <w:r w:rsidRPr="009E1AB5">
        <w:rPr>
          <w:rFonts w:ascii="Arial" w:hAnsi="Arial" w:cs="Arial"/>
          <w:sz w:val="22"/>
          <w:szCs w:val="22"/>
        </w:rPr>
        <w:t xml:space="preserve">, 76(2), pp. 426–444. </w:t>
      </w:r>
      <w:hyperlink r:id="rId11" w:history="1">
        <w:r w:rsidRPr="009E1AB5">
          <w:rPr>
            <w:rStyle w:val="Hyperlink"/>
            <w:rFonts w:ascii="Arial" w:hAnsi="Arial" w:cs="Arial"/>
            <w:sz w:val="22"/>
            <w:szCs w:val="22"/>
          </w:rPr>
          <w:t>https://doi.org/10.1111/jan.14251</w:t>
        </w:r>
      </w:hyperlink>
      <w:r w:rsidRPr="009E1AB5">
        <w:rPr>
          <w:rFonts w:ascii="Arial" w:hAnsi="Arial" w:cs="Arial"/>
          <w:sz w:val="22"/>
          <w:szCs w:val="22"/>
        </w:rPr>
        <w:t xml:space="preserve">. </w:t>
      </w:r>
    </w:p>
    <w:p w14:paraId="38683BBA" w14:textId="77777777" w:rsidR="00625FC7" w:rsidRPr="009E1AB5" w:rsidRDefault="00625FC7" w:rsidP="00625FC7">
      <w:pPr>
        <w:spacing w:after="40" w:line="360" w:lineRule="auto"/>
        <w:jc w:val="both"/>
        <w:rPr>
          <w:rFonts w:ascii="Arial" w:hAnsi="Arial" w:cs="Arial"/>
          <w:sz w:val="22"/>
          <w:szCs w:val="22"/>
        </w:rPr>
      </w:pPr>
    </w:p>
    <w:p w14:paraId="11C816F4"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Boulton, A.J., </w:t>
      </w:r>
      <w:proofErr w:type="spellStart"/>
      <w:r w:rsidRPr="009E1AB5">
        <w:rPr>
          <w:rFonts w:ascii="Arial" w:hAnsi="Arial" w:cs="Arial"/>
          <w:sz w:val="22"/>
          <w:szCs w:val="22"/>
        </w:rPr>
        <w:t>Slowther</w:t>
      </w:r>
      <w:proofErr w:type="spellEnd"/>
      <w:r w:rsidRPr="009E1AB5">
        <w:rPr>
          <w:rFonts w:ascii="Arial" w:hAnsi="Arial" w:cs="Arial"/>
          <w:sz w:val="22"/>
          <w:szCs w:val="22"/>
        </w:rPr>
        <w:t xml:space="preserve">, A., Yeung, J. and Bassford, C. (2023) 'Moral distress among intensive care unit professions in the UK: a mixed-methods study', </w:t>
      </w:r>
      <w:r w:rsidRPr="009E1AB5">
        <w:rPr>
          <w:rFonts w:ascii="Arial" w:hAnsi="Arial" w:cs="Arial"/>
          <w:i/>
          <w:sz w:val="22"/>
          <w:szCs w:val="22"/>
        </w:rPr>
        <w:t>BMJ Open</w:t>
      </w:r>
      <w:r w:rsidRPr="009E1AB5">
        <w:rPr>
          <w:rFonts w:ascii="Arial" w:hAnsi="Arial" w:cs="Arial"/>
          <w:sz w:val="22"/>
          <w:szCs w:val="22"/>
        </w:rPr>
        <w:t xml:space="preserve">, 13(4), article e068918. </w:t>
      </w:r>
      <w:hyperlink r:id="rId12" w:history="1">
        <w:r w:rsidRPr="009E1AB5">
          <w:rPr>
            <w:rStyle w:val="Hyperlink"/>
            <w:rFonts w:ascii="Arial" w:hAnsi="Arial" w:cs="Arial"/>
            <w:sz w:val="22"/>
            <w:szCs w:val="22"/>
          </w:rPr>
          <w:t>https://doi.org/10.1136/bmjopen-2022-068918</w:t>
        </w:r>
      </w:hyperlink>
      <w:r w:rsidRPr="009E1AB5">
        <w:rPr>
          <w:rFonts w:ascii="Arial" w:hAnsi="Arial" w:cs="Arial"/>
          <w:sz w:val="22"/>
          <w:szCs w:val="22"/>
        </w:rPr>
        <w:t xml:space="preserve">. </w:t>
      </w:r>
    </w:p>
    <w:p w14:paraId="442553F3" w14:textId="77777777" w:rsidR="00625FC7" w:rsidRPr="009E1AB5" w:rsidRDefault="00625FC7" w:rsidP="00625FC7">
      <w:pPr>
        <w:pStyle w:val="ListParagraph"/>
        <w:spacing w:after="40" w:line="360" w:lineRule="auto"/>
        <w:jc w:val="both"/>
        <w:rPr>
          <w:rFonts w:ascii="Arial" w:hAnsi="Arial" w:cs="Arial"/>
        </w:rPr>
      </w:pPr>
    </w:p>
    <w:p w14:paraId="67126BCA"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Bow, S.M.A., Schröder-Bäck, P., Norcliffe-Brown, D., Wilson, J. and Tahzib, F. (2023) 'Telling them “That’s what it says in the guidance” didn’t feel good enough’: moral distress during the pandemic in UK public health professionals', </w:t>
      </w:r>
      <w:r w:rsidRPr="009E1AB5">
        <w:rPr>
          <w:rFonts w:ascii="Arial" w:hAnsi="Arial" w:cs="Arial"/>
          <w:i/>
          <w:sz w:val="22"/>
          <w:szCs w:val="22"/>
        </w:rPr>
        <w:t>Journal of Public Health</w:t>
      </w:r>
      <w:r w:rsidRPr="009E1AB5">
        <w:rPr>
          <w:rFonts w:ascii="Arial" w:hAnsi="Arial" w:cs="Arial"/>
          <w:sz w:val="22"/>
          <w:szCs w:val="22"/>
        </w:rPr>
        <w:t xml:space="preserve">, 46(1), pp. 194–201. </w:t>
      </w:r>
      <w:hyperlink r:id="rId13" w:history="1">
        <w:r w:rsidRPr="009E1AB5">
          <w:rPr>
            <w:rStyle w:val="Hyperlink"/>
            <w:rFonts w:ascii="Arial" w:hAnsi="Arial" w:cs="Arial"/>
            <w:sz w:val="22"/>
            <w:szCs w:val="22"/>
          </w:rPr>
          <w:t>https://doi.org/10.1093/pubmed/fdad220</w:t>
        </w:r>
      </w:hyperlink>
      <w:r w:rsidRPr="009E1AB5">
        <w:rPr>
          <w:rFonts w:ascii="Arial" w:hAnsi="Arial" w:cs="Arial"/>
          <w:sz w:val="22"/>
          <w:szCs w:val="22"/>
        </w:rPr>
        <w:t xml:space="preserve">. </w:t>
      </w:r>
    </w:p>
    <w:p w14:paraId="48BE0E68" w14:textId="77777777" w:rsidR="00625FC7" w:rsidRPr="009E1AB5" w:rsidRDefault="00625FC7" w:rsidP="00625FC7">
      <w:pPr>
        <w:pStyle w:val="ListParagraph"/>
        <w:spacing w:after="40" w:line="360" w:lineRule="auto"/>
        <w:jc w:val="both"/>
        <w:rPr>
          <w:rFonts w:ascii="Arial" w:hAnsi="Arial" w:cs="Arial"/>
        </w:rPr>
      </w:pPr>
    </w:p>
    <w:p w14:paraId="3E3B8672"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Cameron, A., Lart, R., Bostock, L. and Coomber, C. (2013) 'Factors that promote and hinder joint and integrated working between health and social care services: a review of research literature', </w:t>
      </w:r>
      <w:r w:rsidRPr="009E1AB5">
        <w:rPr>
          <w:rFonts w:ascii="Arial" w:hAnsi="Arial" w:cs="Arial"/>
          <w:i/>
          <w:sz w:val="22"/>
          <w:szCs w:val="22"/>
        </w:rPr>
        <w:t>Health &amp; Social Care in the Community</w:t>
      </w:r>
      <w:r w:rsidRPr="009E1AB5">
        <w:rPr>
          <w:rFonts w:ascii="Arial" w:hAnsi="Arial" w:cs="Arial"/>
          <w:sz w:val="22"/>
          <w:szCs w:val="22"/>
        </w:rPr>
        <w:t xml:space="preserve">, 22(3), pp. 225–233. </w:t>
      </w:r>
      <w:hyperlink r:id="rId14" w:history="1">
        <w:r w:rsidRPr="009E1AB5">
          <w:rPr>
            <w:rStyle w:val="Hyperlink"/>
            <w:rFonts w:ascii="Arial" w:hAnsi="Arial" w:cs="Arial"/>
            <w:sz w:val="22"/>
            <w:szCs w:val="22"/>
          </w:rPr>
          <w:t>https://doi.org/10.1111/hsc.12057</w:t>
        </w:r>
      </w:hyperlink>
      <w:r w:rsidRPr="009E1AB5">
        <w:rPr>
          <w:rFonts w:ascii="Arial" w:hAnsi="Arial" w:cs="Arial"/>
          <w:sz w:val="22"/>
          <w:szCs w:val="22"/>
        </w:rPr>
        <w:t xml:space="preserve">. </w:t>
      </w:r>
    </w:p>
    <w:p w14:paraId="0CA19504" w14:textId="77777777" w:rsidR="00625FC7" w:rsidRPr="009E1AB5" w:rsidRDefault="00625FC7" w:rsidP="00625FC7">
      <w:pPr>
        <w:pStyle w:val="ListParagraph"/>
        <w:spacing w:after="40" w:line="360" w:lineRule="auto"/>
        <w:jc w:val="both"/>
        <w:rPr>
          <w:rFonts w:ascii="Arial" w:hAnsi="Arial" w:cs="Arial"/>
        </w:rPr>
      </w:pPr>
    </w:p>
    <w:p w14:paraId="2DDE6683"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i/>
          <w:sz w:val="22"/>
          <w:szCs w:val="22"/>
        </w:rPr>
        <w:t xml:space="preserve">Care Act 2014 </w:t>
      </w:r>
      <w:r w:rsidRPr="009E1AB5">
        <w:rPr>
          <w:rFonts w:ascii="Arial" w:hAnsi="Arial" w:cs="Arial"/>
          <w:sz w:val="22"/>
          <w:szCs w:val="22"/>
        </w:rPr>
        <w:t xml:space="preserve">(2014), c. 23. Available at: </w:t>
      </w:r>
      <w:hyperlink r:id="rId15" w:history="1">
        <w:r w:rsidRPr="009E1AB5">
          <w:rPr>
            <w:rStyle w:val="Hyperlink"/>
            <w:rFonts w:ascii="Arial" w:hAnsi="Arial" w:cs="Arial"/>
            <w:sz w:val="22"/>
            <w:szCs w:val="22"/>
          </w:rPr>
          <w:t>https://www.legislation.gov.uk/ukpga/2014/23/part/1/enacted</w:t>
        </w:r>
      </w:hyperlink>
      <w:r w:rsidRPr="009E1AB5">
        <w:rPr>
          <w:rFonts w:ascii="Arial" w:hAnsi="Arial" w:cs="Arial"/>
          <w:sz w:val="22"/>
          <w:szCs w:val="22"/>
        </w:rPr>
        <w:t xml:space="preserve">  (Accessed: 9 October 2026).</w:t>
      </w:r>
    </w:p>
    <w:p w14:paraId="480F81F0" w14:textId="77777777" w:rsidR="00625FC7" w:rsidRPr="009E1AB5" w:rsidRDefault="00625FC7" w:rsidP="00625FC7">
      <w:pPr>
        <w:spacing w:after="40" w:line="360" w:lineRule="auto"/>
        <w:jc w:val="both"/>
        <w:rPr>
          <w:rFonts w:ascii="Arial" w:hAnsi="Arial" w:cs="Arial"/>
          <w:sz w:val="22"/>
          <w:szCs w:val="22"/>
        </w:rPr>
      </w:pPr>
    </w:p>
    <w:p w14:paraId="15F89F91"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Care Quality Commission (CQC) (n.d.) The fundamental standards of care. Available at: </w:t>
      </w:r>
      <w:hyperlink r:id="rId16" w:history="1">
        <w:r w:rsidRPr="009E1AB5">
          <w:rPr>
            <w:rStyle w:val="Hyperlink"/>
            <w:rFonts w:ascii="Arial" w:hAnsi="Arial" w:cs="Arial"/>
            <w:sz w:val="22"/>
            <w:szCs w:val="22"/>
          </w:rPr>
          <w:t>https://www.cqc.org.uk/about-us/fundamental-standards</w:t>
        </w:r>
      </w:hyperlink>
      <w:r w:rsidRPr="009E1AB5">
        <w:rPr>
          <w:rFonts w:ascii="Arial" w:hAnsi="Arial" w:cs="Arial"/>
          <w:sz w:val="22"/>
          <w:szCs w:val="22"/>
        </w:rPr>
        <w:t xml:space="preserve"> (Accessed: 15 October 2026).</w:t>
      </w:r>
    </w:p>
    <w:p w14:paraId="7E0E4D2C" w14:textId="77777777" w:rsidR="00625FC7" w:rsidRPr="009E1AB5" w:rsidRDefault="00625FC7" w:rsidP="00625FC7">
      <w:pPr>
        <w:spacing w:after="40" w:line="360" w:lineRule="auto"/>
        <w:ind w:left="360"/>
        <w:jc w:val="both"/>
        <w:rPr>
          <w:rFonts w:ascii="Arial" w:hAnsi="Arial" w:cs="Arial"/>
          <w:sz w:val="22"/>
          <w:szCs w:val="22"/>
        </w:rPr>
      </w:pPr>
    </w:p>
    <w:p w14:paraId="05B3867A"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Damant, J., </w:t>
      </w:r>
      <w:proofErr w:type="spellStart"/>
      <w:r w:rsidRPr="009E1AB5">
        <w:rPr>
          <w:rFonts w:ascii="Arial" w:hAnsi="Arial" w:cs="Arial"/>
          <w:sz w:val="22"/>
          <w:szCs w:val="22"/>
        </w:rPr>
        <w:t>Hamashima</w:t>
      </w:r>
      <w:proofErr w:type="spellEnd"/>
      <w:r w:rsidRPr="009E1AB5">
        <w:rPr>
          <w:rFonts w:ascii="Arial" w:hAnsi="Arial" w:cs="Arial"/>
          <w:sz w:val="22"/>
          <w:szCs w:val="22"/>
        </w:rPr>
        <w:t xml:space="preserve">, Y., Toma, M., Smith, N., Taylor, J., Caprioli, T., Jasim, S., Prato, L., McLeod, H., Giebel, C., Peters, M., Montague, A.F., Wright, L., Knapp, M. and Towers, A. </w:t>
      </w:r>
      <w:r w:rsidRPr="009E1AB5">
        <w:rPr>
          <w:rFonts w:ascii="Arial" w:hAnsi="Arial" w:cs="Arial"/>
          <w:sz w:val="22"/>
          <w:szCs w:val="22"/>
        </w:rPr>
        <w:lastRenderedPageBreak/>
        <w:t>(2026) 'Investigating person-</w:t>
      </w:r>
      <w:proofErr w:type="spellStart"/>
      <w:r w:rsidRPr="009E1AB5">
        <w:rPr>
          <w:rFonts w:ascii="Arial" w:hAnsi="Arial" w:cs="Arial"/>
          <w:sz w:val="22"/>
          <w:szCs w:val="22"/>
        </w:rPr>
        <w:t>centred</w:t>
      </w:r>
      <w:proofErr w:type="spellEnd"/>
      <w:r w:rsidRPr="009E1AB5">
        <w:rPr>
          <w:rFonts w:ascii="Arial" w:hAnsi="Arial" w:cs="Arial"/>
          <w:sz w:val="22"/>
          <w:szCs w:val="22"/>
        </w:rPr>
        <w:t xml:space="preserve"> care planning in care homes across England: an exploratory study of practices and contextual factors', </w:t>
      </w:r>
      <w:r w:rsidRPr="009E1AB5">
        <w:rPr>
          <w:rFonts w:ascii="Arial" w:hAnsi="Arial" w:cs="Arial"/>
          <w:i/>
          <w:sz w:val="22"/>
          <w:szCs w:val="22"/>
        </w:rPr>
        <w:t>Journal of Advanced Nursing</w:t>
      </w:r>
      <w:r w:rsidRPr="009E1AB5">
        <w:rPr>
          <w:rFonts w:ascii="Arial" w:hAnsi="Arial" w:cs="Arial"/>
          <w:sz w:val="22"/>
          <w:szCs w:val="22"/>
        </w:rPr>
        <w:t xml:space="preserve">, 82(1), pp. 617–631. </w:t>
      </w:r>
      <w:hyperlink r:id="rId17" w:history="1">
        <w:r w:rsidRPr="009E1AB5">
          <w:rPr>
            <w:rStyle w:val="Hyperlink"/>
            <w:rFonts w:ascii="Arial" w:hAnsi="Arial" w:cs="Arial"/>
            <w:sz w:val="22"/>
            <w:szCs w:val="22"/>
          </w:rPr>
          <w:t>https://doi.org/10.1111/jan.16965</w:t>
        </w:r>
      </w:hyperlink>
      <w:r w:rsidRPr="009E1AB5">
        <w:rPr>
          <w:rFonts w:ascii="Arial" w:hAnsi="Arial" w:cs="Arial"/>
          <w:sz w:val="22"/>
          <w:szCs w:val="22"/>
        </w:rPr>
        <w:t xml:space="preserve">. </w:t>
      </w:r>
    </w:p>
    <w:p w14:paraId="533AA29A" w14:textId="77777777" w:rsidR="00625FC7" w:rsidRPr="009E1AB5" w:rsidRDefault="00625FC7" w:rsidP="00625FC7">
      <w:pPr>
        <w:pStyle w:val="ListParagraph"/>
        <w:spacing w:after="40" w:line="360" w:lineRule="auto"/>
        <w:jc w:val="both"/>
        <w:rPr>
          <w:rFonts w:ascii="Arial" w:hAnsi="Arial" w:cs="Arial"/>
        </w:rPr>
      </w:pPr>
    </w:p>
    <w:p w14:paraId="0B7CD533"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Department for Education (2026) </w:t>
      </w:r>
      <w:r w:rsidRPr="009E1AB5">
        <w:rPr>
          <w:rFonts w:ascii="Arial" w:hAnsi="Arial" w:cs="Arial"/>
          <w:i/>
          <w:sz w:val="22"/>
          <w:szCs w:val="22"/>
        </w:rPr>
        <w:t>Keeping children safe in education 2026: statutory guidance for schools and colleges</w:t>
      </w:r>
      <w:r w:rsidRPr="009E1AB5">
        <w:rPr>
          <w:rFonts w:ascii="Arial" w:hAnsi="Arial" w:cs="Arial"/>
          <w:sz w:val="22"/>
          <w:szCs w:val="22"/>
        </w:rPr>
        <w:t xml:space="preserve">. Available at: </w:t>
      </w:r>
      <w:hyperlink r:id="rId18" w:history="1">
        <w:r w:rsidRPr="009E1AB5">
          <w:rPr>
            <w:rStyle w:val="Hyperlink"/>
            <w:rFonts w:ascii="Arial" w:hAnsi="Arial" w:cs="Arial"/>
            <w:sz w:val="22"/>
            <w:szCs w:val="22"/>
          </w:rPr>
          <w:t>https://www.gov.uk/government/publications/keeping-children-safe-in-education--2</w:t>
        </w:r>
      </w:hyperlink>
      <w:r w:rsidRPr="009E1AB5">
        <w:rPr>
          <w:rFonts w:ascii="Arial" w:hAnsi="Arial" w:cs="Arial"/>
          <w:sz w:val="22"/>
          <w:szCs w:val="22"/>
        </w:rPr>
        <w:t xml:space="preserve">  (Accessed: 9 October 2026). </w:t>
      </w:r>
    </w:p>
    <w:p w14:paraId="4F0BC48B" w14:textId="77777777" w:rsidR="00625FC7" w:rsidRPr="009E1AB5" w:rsidRDefault="00625FC7" w:rsidP="00625FC7">
      <w:pPr>
        <w:spacing w:after="40" w:line="360" w:lineRule="auto"/>
        <w:ind w:left="360"/>
        <w:jc w:val="both"/>
        <w:rPr>
          <w:rFonts w:ascii="Arial" w:hAnsi="Arial" w:cs="Arial"/>
          <w:sz w:val="22"/>
          <w:szCs w:val="22"/>
        </w:rPr>
      </w:pPr>
    </w:p>
    <w:p w14:paraId="117FD91F"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Gibbs, G. (1988) </w:t>
      </w:r>
      <w:r w:rsidRPr="009E1AB5">
        <w:rPr>
          <w:rFonts w:ascii="Arial" w:hAnsi="Arial" w:cs="Arial"/>
          <w:i/>
          <w:sz w:val="22"/>
          <w:szCs w:val="22"/>
        </w:rPr>
        <w:t>Learning by Doing: A Guide to Teaching and Learning Methods</w:t>
      </w:r>
      <w:r w:rsidRPr="009E1AB5">
        <w:rPr>
          <w:rFonts w:ascii="Arial" w:hAnsi="Arial" w:cs="Arial"/>
          <w:sz w:val="22"/>
          <w:szCs w:val="22"/>
        </w:rPr>
        <w:t>. Oxford: Further Education Unit, Oxford Polytechnic.</w:t>
      </w:r>
    </w:p>
    <w:p w14:paraId="70B93ED2" w14:textId="77777777" w:rsidR="00625FC7" w:rsidRPr="009E1AB5" w:rsidRDefault="00625FC7" w:rsidP="00625FC7">
      <w:pPr>
        <w:spacing w:after="40" w:line="360" w:lineRule="auto"/>
        <w:ind w:left="360"/>
        <w:jc w:val="both"/>
        <w:rPr>
          <w:rFonts w:ascii="Arial" w:hAnsi="Arial" w:cs="Arial"/>
          <w:sz w:val="22"/>
          <w:szCs w:val="22"/>
        </w:rPr>
      </w:pPr>
    </w:p>
    <w:p w14:paraId="0DABDFD9"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i/>
          <w:sz w:val="22"/>
          <w:szCs w:val="22"/>
        </w:rPr>
        <w:t xml:space="preserve">Health and Care Act 2022 </w:t>
      </w:r>
      <w:r w:rsidRPr="009E1AB5">
        <w:rPr>
          <w:rFonts w:ascii="Arial" w:hAnsi="Arial" w:cs="Arial"/>
          <w:sz w:val="22"/>
          <w:szCs w:val="22"/>
        </w:rPr>
        <w:t xml:space="preserve">(2022), c. 31. Available at: </w:t>
      </w:r>
      <w:hyperlink r:id="rId19" w:history="1">
        <w:r w:rsidRPr="009E1AB5">
          <w:rPr>
            <w:rStyle w:val="Hyperlink"/>
            <w:rFonts w:ascii="Arial" w:hAnsi="Arial" w:cs="Arial"/>
            <w:sz w:val="22"/>
            <w:szCs w:val="22"/>
          </w:rPr>
          <w:t>https://www.legislation.gov.uk/ukpga/2022/31/contents</w:t>
        </w:r>
      </w:hyperlink>
      <w:r w:rsidRPr="009E1AB5">
        <w:rPr>
          <w:rFonts w:ascii="Arial" w:hAnsi="Arial" w:cs="Arial"/>
          <w:sz w:val="22"/>
          <w:szCs w:val="22"/>
        </w:rPr>
        <w:t xml:space="preserve">  (Accessed: 9 October 2026).</w:t>
      </w:r>
    </w:p>
    <w:p w14:paraId="15B74E7E" w14:textId="77777777" w:rsidR="00625FC7" w:rsidRPr="009E1AB5" w:rsidRDefault="00625FC7" w:rsidP="00625FC7">
      <w:pPr>
        <w:spacing w:after="40" w:line="360" w:lineRule="auto"/>
        <w:ind w:left="360"/>
        <w:jc w:val="both"/>
        <w:rPr>
          <w:rFonts w:ascii="Arial" w:hAnsi="Arial" w:cs="Arial"/>
          <w:sz w:val="22"/>
          <w:szCs w:val="22"/>
        </w:rPr>
      </w:pPr>
    </w:p>
    <w:p w14:paraId="344AF644"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Mackie, S. and Darvill, A. (2016) 'Factors enabling implementation of integrated health and social care: a systematic review', </w:t>
      </w:r>
      <w:r w:rsidRPr="009E1AB5">
        <w:rPr>
          <w:rFonts w:ascii="Arial" w:hAnsi="Arial" w:cs="Arial"/>
          <w:i/>
          <w:sz w:val="22"/>
          <w:szCs w:val="22"/>
        </w:rPr>
        <w:t>British Journal of Community Nursing</w:t>
      </w:r>
      <w:r w:rsidRPr="009E1AB5">
        <w:rPr>
          <w:rFonts w:ascii="Arial" w:hAnsi="Arial" w:cs="Arial"/>
          <w:sz w:val="22"/>
          <w:szCs w:val="22"/>
        </w:rPr>
        <w:t xml:space="preserve">, 21(2), pp. 82–87. </w:t>
      </w:r>
      <w:hyperlink r:id="rId20" w:history="1">
        <w:r w:rsidRPr="009E1AB5">
          <w:rPr>
            <w:rStyle w:val="Hyperlink"/>
            <w:rFonts w:ascii="Arial" w:hAnsi="Arial" w:cs="Arial"/>
            <w:sz w:val="22"/>
            <w:szCs w:val="22"/>
          </w:rPr>
          <w:t>https://doi.org/10.12968/bjcn.2016.21.2.82</w:t>
        </w:r>
      </w:hyperlink>
      <w:r w:rsidRPr="009E1AB5">
        <w:rPr>
          <w:rFonts w:ascii="Arial" w:hAnsi="Arial" w:cs="Arial"/>
          <w:sz w:val="22"/>
          <w:szCs w:val="22"/>
        </w:rPr>
        <w:t xml:space="preserve">. </w:t>
      </w:r>
    </w:p>
    <w:p w14:paraId="3AD654E9" w14:textId="77777777" w:rsidR="00625FC7" w:rsidRPr="009E1AB5" w:rsidRDefault="00625FC7" w:rsidP="00625FC7">
      <w:pPr>
        <w:pStyle w:val="ListParagraph"/>
        <w:spacing w:after="40" w:line="360" w:lineRule="auto"/>
        <w:jc w:val="both"/>
        <w:rPr>
          <w:rFonts w:ascii="Arial" w:hAnsi="Arial" w:cs="Arial"/>
        </w:rPr>
      </w:pPr>
    </w:p>
    <w:p w14:paraId="4B84500D"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McCormack, B., Roberts, T., Meyer, J., Morgan, D. and </w:t>
      </w:r>
      <w:proofErr w:type="spellStart"/>
      <w:r w:rsidRPr="009E1AB5">
        <w:rPr>
          <w:rFonts w:ascii="Arial" w:hAnsi="Arial" w:cs="Arial"/>
          <w:sz w:val="22"/>
          <w:szCs w:val="22"/>
        </w:rPr>
        <w:t>Boscart</w:t>
      </w:r>
      <w:proofErr w:type="spellEnd"/>
      <w:r w:rsidRPr="009E1AB5">
        <w:rPr>
          <w:rFonts w:ascii="Arial" w:hAnsi="Arial" w:cs="Arial"/>
          <w:sz w:val="22"/>
          <w:szCs w:val="22"/>
        </w:rPr>
        <w:t xml:space="preserve">, V. (2012) 'Appreciating the “person” in long-term care', </w:t>
      </w:r>
      <w:r w:rsidRPr="009E1AB5">
        <w:rPr>
          <w:rFonts w:ascii="Arial" w:hAnsi="Arial" w:cs="Arial"/>
          <w:i/>
          <w:sz w:val="22"/>
          <w:szCs w:val="22"/>
        </w:rPr>
        <w:t>International Journal of Older People Nursing</w:t>
      </w:r>
      <w:r w:rsidRPr="009E1AB5">
        <w:rPr>
          <w:rFonts w:ascii="Arial" w:hAnsi="Arial" w:cs="Arial"/>
          <w:sz w:val="22"/>
          <w:szCs w:val="22"/>
        </w:rPr>
        <w:t xml:space="preserve">, 7(4), pp. 284–294. </w:t>
      </w:r>
      <w:hyperlink r:id="rId21" w:history="1">
        <w:r w:rsidRPr="009E1AB5">
          <w:rPr>
            <w:rStyle w:val="Hyperlink"/>
            <w:rFonts w:ascii="Arial" w:hAnsi="Arial" w:cs="Arial"/>
            <w:sz w:val="22"/>
            <w:szCs w:val="22"/>
          </w:rPr>
          <w:t>https://doi.org/10.1111/j.1748-3743.2012.00342.x</w:t>
        </w:r>
      </w:hyperlink>
      <w:r w:rsidRPr="009E1AB5">
        <w:rPr>
          <w:rFonts w:ascii="Arial" w:hAnsi="Arial" w:cs="Arial"/>
          <w:sz w:val="22"/>
          <w:szCs w:val="22"/>
        </w:rPr>
        <w:t xml:space="preserve">. </w:t>
      </w:r>
    </w:p>
    <w:p w14:paraId="2DFFE1A9" w14:textId="77777777" w:rsidR="00625FC7" w:rsidRPr="009E1AB5" w:rsidRDefault="00625FC7" w:rsidP="00625FC7">
      <w:pPr>
        <w:spacing w:after="40" w:line="360" w:lineRule="auto"/>
        <w:jc w:val="both"/>
        <w:rPr>
          <w:rFonts w:ascii="Arial" w:hAnsi="Arial" w:cs="Arial"/>
          <w:sz w:val="22"/>
          <w:szCs w:val="22"/>
        </w:rPr>
      </w:pPr>
    </w:p>
    <w:p w14:paraId="4C80C931"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NHS England (2013) The 6Cs: a set of values essential to compassionate care. Available at: </w:t>
      </w:r>
      <w:hyperlink r:id="rId22" w:history="1">
        <w:r w:rsidRPr="009E1AB5">
          <w:rPr>
            <w:rStyle w:val="Hyperlink"/>
            <w:rFonts w:ascii="Arial" w:hAnsi="Arial" w:cs="Arial"/>
            <w:sz w:val="22"/>
            <w:szCs w:val="22"/>
          </w:rPr>
          <w:t>https://www.england.nhs.uk/6cs/wp-content/uploads/sites/25/2015/03/cip-6cs.pdf</w:t>
        </w:r>
      </w:hyperlink>
      <w:r w:rsidRPr="009E1AB5">
        <w:rPr>
          <w:rFonts w:ascii="Arial" w:hAnsi="Arial" w:cs="Arial"/>
          <w:sz w:val="22"/>
          <w:szCs w:val="22"/>
        </w:rPr>
        <w:t xml:space="preserve"> (Accessed: 15 October 2026).</w:t>
      </w:r>
    </w:p>
    <w:p w14:paraId="03B32A81" w14:textId="77777777" w:rsidR="00625FC7" w:rsidRPr="009E1AB5" w:rsidRDefault="00625FC7" w:rsidP="00625FC7">
      <w:pPr>
        <w:pStyle w:val="ListParagraph"/>
        <w:spacing w:after="40" w:line="360" w:lineRule="auto"/>
        <w:jc w:val="both"/>
        <w:rPr>
          <w:rFonts w:ascii="Arial" w:hAnsi="Arial" w:cs="Arial"/>
        </w:rPr>
      </w:pPr>
    </w:p>
    <w:p w14:paraId="0B725834"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Petch, A., Cook, A. and Miller, E. (2013) 'Partnership working and outcomes: do health and social care partnerships deliver for users and carers?', </w:t>
      </w:r>
      <w:r w:rsidRPr="009E1AB5">
        <w:rPr>
          <w:rFonts w:ascii="Arial" w:hAnsi="Arial" w:cs="Arial"/>
          <w:i/>
          <w:sz w:val="22"/>
          <w:szCs w:val="22"/>
        </w:rPr>
        <w:t>Health &amp; Social Care in the Community</w:t>
      </w:r>
      <w:r w:rsidRPr="009E1AB5">
        <w:rPr>
          <w:rFonts w:ascii="Arial" w:hAnsi="Arial" w:cs="Arial"/>
          <w:sz w:val="22"/>
          <w:szCs w:val="22"/>
        </w:rPr>
        <w:t xml:space="preserve">, 21(6). </w:t>
      </w:r>
      <w:hyperlink r:id="rId23" w:history="1">
        <w:r w:rsidRPr="009E1AB5">
          <w:rPr>
            <w:rStyle w:val="Hyperlink"/>
            <w:rFonts w:ascii="Arial" w:hAnsi="Arial" w:cs="Arial"/>
            <w:sz w:val="22"/>
            <w:szCs w:val="22"/>
          </w:rPr>
          <w:t>https://doi.org/10.1111/hsc.12050</w:t>
        </w:r>
      </w:hyperlink>
      <w:r w:rsidRPr="009E1AB5">
        <w:rPr>
          <w:rFonts w:ascii="Arial" w:hAnsi="Arial" w:cs="Arial"/>
          <w:sz w:val="22"/>
          <w:szCs w:val="22"/>
        </w:rPr>
        <w:t xml:space="preserve">. </w:t>
      </w:r>
    </w:p>
    <w:p w14:paraId="3CAE855A" w14:textId="77777777" w:rsidR="00625FC7" w:rsidRPr="009E1AB5" w:rsidRDefault="00625FC7" w:rsidP="00625FC7">
      <w:pPr>
        <w:pStyle w:val="ListParagraph"/>
        <w:spacing w:after="40" w:line="360" w:lineRule="auto"/>
        <w:jc w:val="both"/>
        <w:rPr>
          <w:rFonts w:ascii="Arial" w:hAnsi="Arial" w:cs="Arial"/>
        </w:rPr>
      </w:pPr>
    </w:p>
    <w:p w14:paraId="0E3EABF5" w14:textId="77777777" w:rsidR="00625FC7" w:rsidRPr="009E1AB5" w:rsidRDefault="00625FC7" w:rsidP="00625FC7">
      <w:pPr>
        <w:spacing w:after="40" w:line="360" w:lineRule="auto"/>
        <w:ind w:left="360"/>
        <w:jc w:val="both"/>
        <w:rPr>
          <w:rFonts w:ascii="Arial" w:hAnsi="Arial" w:cs="Arial"/>
          <w:sz w:val="22"/>
          <w:szCs w:val="22"/>
        </w:rPr>
      </w:pPr>
      <w:r w:rsidRPr="009E1AB5">
        <w:rPr>
          <w:rFonts w:ascii="Arial" w:hAnsi="Arial" w:cs="Arial"/>
          <w:sz w:val="22"/>
          <w:szCs w:val="22"/>
        </w:rPr>
        <w:t xml:space="preserve">Skills for Care and Skills for Health (2013) </w:t>
      </w:r>
      <w:r w:rsidRPr="009E1AB5">
        <w:rPr>
          <w:rFonts w:ascii="Arial" w:hAnsi="Arial" w:cs="Arial"/>
          <w:i/>
          <w:sz w:val="22"/>
          <w:szCs w:val="22"/>
        </w:rPr>
        <w:t>Code of Conduct for Healthcare Support Workers and Adult Social Care Workers in England</w:t>
      </w:r>
      <w:r w:rsidRPr="009E1AB5">
        <w:rPr>
          <w:rFonts w:ascii="Arial" w:hAnsi="Arial" w:cs="Arial"/>
          <w:sz w:val="22"/>
          <w:szCs w:val="22"/>
        </w:rPr>
        <w:t xml:space="preserve">. Available at: </w:t>
      </w:r>
      <w:hyperlink r:id="rId24" w:history="1">
        <w:r w:rsidRPr="009E1AB5">
          <w:rPr>
            <w:rStyle w:val="Hyperlink"/>
            <w:rFonts w:ascii="Arial" w:hAnsi="Arial" w:cs="Arial"/>
            <w:sz w:val="22"/>
            <w:szCs w:val="22"/>
          </w:rPr>
          <w:t>https://www.skillsforcare.org.uk/resources/documents/Support-for-leaders-and-managers/Managing-people/Code-of-conduct/Code-of-Conduct.pdf</w:t>
        </w:r>
      </w:hyperlink>
      <w:r w:rsidRPr="009E1AB5">
        <w:rPr>
          <w:rFonts w:ascii="Arial" w:hAnsi="Arial" w:cs="Arial"/>
          <w:sz w:val="22"/>
          <w:szCs w:val="22"/>
        </w:rPr>
        <w:t xml:space="preserve">  (Accessed: 9 October 2026). </w:t>
      </w:r>
    </w:p>
    <w:p w14:paraId="54ACDCA9" w14:textId="77777777" w:rsidR="00D029D8" w:rsidRDefault="00D029D8"/>
    <w:sectPr w:rsidR="00D029D8" w:rsidSect="00625FC7">
      <w:footerReference w:type="default" r:id="rId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222040"/>
      <w:docPartObj>
        <w:docPartGallery w:val="Page Numbers (Bottom of Page)"/>
        <w:docPartUnique/>
      </w:docPartObj>
    </w:sdtPr>
    <w:sdtEndPr>
      <w:rPr>
        <w:noProof/>
      </w:rPr>
    </w:sdtEndPr>
    <w:sdtContent>
      <w:p w14:paraId="68151651" w14:textId="77777777" w:rsidR="00625FC7" w:rsidRDefault="00625F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05FDBE" w14:textId="77777777" w:rsidR="00625FC7" w:rsidRDefault="00625FC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FC7"/>
    <w:rsid w:val="00625FC7"/>
    <w:rsid w:val="00B11FFA"/>
    <w:rsid w:val="00D02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2A161"/>
  <w15:chartTrackingRefBased/>
  <w15:docId w15:val="{DB5AE0DF-2BDD-464B-B1E8-89AC07F43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FC7"/>
    <w:pPr>
      <w:spacing w:line="278" w:lineRule="auto"/>
    </w:pPr>
    <w:rPr>
      <w:sz w:val="24"/>
      <w:szCs w:val="24"/>
      <w:lang w:val="en-US"/>
    </w:rPr>
  </w:style>
  <w:style w:type="paragraph" w:styleId="Heading1">
    <w:name w:val="heading 1"/>
    <w:basedOn w:val="Normal"/>
    <w:next w:val="Normal"/>
    <w:link w:val="Heading1Char"/>
    <w:uiPriority w:val="9"/>
    <w:qFormat/>
    <w:rsid w:val="00625FC7"/>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unhideWhenUsed/>
    <w:qFormat/>
    <w:rsid w:val="00625FC7"/>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unhideWhenUsed/>
    <w:qFormat/>
    <w:rsid w:val="00625FC7"/>
    <w:pPr>
      <w:keepNext/>
      <w:keepLines/>
      <w:spacing w:before="160" w:after="80" w:line="259"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625FC7"/>
    <w:pPr>
      <w:keepNext/>
      <w:keepLines/>
      <w:spacing w:before="80" w:after="40" w:line="259" w:lineRule="auto"/>
      <w:outlineLvl w:val="3"/>
    </w:pPr>
    <w:rPr>
      <w:rFonts w:eastAsiaTheme="majorEastAsia"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625FC7"/>
    <w:pPr>
      <w:keepNext/>
      <w:keepLines/>
      <w:spacing w:before="80" w:after="40" w:line="259" w:lineRule="auto"/>
      <w:outlineLvl w:val="4"/>
    </w:pPr>
    <w:rPr>
      <w:rFonts w:eastAsiaTheme="majorEastAsia"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625FC7"/>
    <w:pPr>
      <w:keepNext/>
      <w:keepLines/>
      <w:spacing w:before="40" w:after="0" w:line="259" w:lineRule="auto"/>
      <w:outlineLvl w:val="5"/>
    </w:pPr>
    <w:rPr>
      <w:rFonts w:eastAsiaTheme="majorEastAsia"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625FC7"/>
    <w:pPr>
      <w:keepNext/>
      <w:keepLines/>
      <w:spacing w:before="40" w:after="0" w:line="259" w:lineRule="auto"/>
      <w:outlineLvl w:val="6"/>
    </w:pPr>
    <w:rPr>
      <w:rFonts w:eastAsiaTheme="majorEastAsia"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625FC7"/>
    <w:pPr>
      <w:keepNext/>
      <w:keepLines/>
      <w:spacing w:after="0" w:line="259" w:lineRule="auto"/>
      <w:outlineLvl w:val="7"/>
    </w:pPr>
    <w:rPr>
      <w:rFonts w:eastAsiaTheme="majorEastAsia"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625FC7"/>
    <w:pPr>
      <w:keepNext/>
      <w:keepLines/>
      <w:spacing w:after="0" w:line="259" w:lineRule="auto"/>
      <w:outlineLvl w:val="8"/>
    </w:pPr>
    <w:rPr>
      <w:rFonts w:eastAsiaTheme="majorEastAsia"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F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5F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5F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F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F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F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F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F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FC7"/>
    <w:rPr>
      <w:rFonts w:eastAsiaTheme="majorEastAsia" w:cstheme="majorBidi"/>
      <w:color w:val="272727" w:themeColor="text1" w:themeTint="D8"/>
    </w:rPr>
  </w:style>
  <w:style w:type="paragraph" w:styleId="Title">
    <w:name w:val="Title"/>
    <w:basedOn w:val="Normal"/>
    <w:next w:val="Normal"/>
    <w:link w:val="TitleChar"/>
    <w:uiPriority w:val="10"/>
    <w:qFormat/>
    <w:rsid w:val="00625FC7"/>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625F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FC7"/>
    <w:pPr>
      <w:numPr>
        <w:ilvl w:val="1"/>
      </w:numPr>
      <w:spacing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625F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FC7"/>
    <w:pPr>
      <w:spacing w:before="160" w:line="259" w:lineRule="auto"/>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625FC7"/>
    <w:rPr>
      <w:i/>
      <w:iCs/>
      <w:color w:val="404040" w:themeColor="text1" w:themeTint="BF"/>
    </w:rPr>
  </w:style>
  <w:style w:type="paragraph" w:styleId="ListParagraph">
    <w:name w:val="List Paragraph"/>
    <w:basedOn w:val="Normal"/>
    <w:uiPriority w:val="34"/>
    <w:qFormat/>
    <w:rsid w:val="00625FC7"/>
    <w:pPr>
      <w:spacing w:line="259" w:lineRule="auto"/>
      <w:ind w:left="720"/>
      <w:contextualSpacing/>
    </w:pPr>
    <w:rPr>
      <w:sz w:val="22"/>
      <w:szCs w:val="22"/>
      <w:lang w:val="en-GB"/>
    </w:rPr>
  </w:style>
  <w:style w:type="character" w:styleId="IntenseEmphasis">
    <w:name w:val="Intense Emphasis"/>
    <w:basedOn w:val="DefaultParagraphFont"/>
    <w:uiPriority w:val="21"/>
    <w:qFormat/>
    <w:rsid w:val="00625FC7"/>
    <w:rPr>
      <w:i/>
      <w:iCs/>
      <w:color w:val="0F4761" w:themeColor="accent1" w:themeShade="BF"/>
    </w:rPr>
  </w:style>
  <w:style w:type="paragraph" w:styleId="IntenseQuote">
    <w:name w:val="Intense Quote"/>
    <w:basedOn w:val="Normal"/>
    <w:next w:val="Normal"/>
    <w:link w:val="IntenseQuoteChar"/>
    <w:uiPriority w:val="30"/>
    <w:qFormat/>
    <w:rsid w:val="00625FC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625FC7"/>
    <w:rPr>
      <w:i/>
      <w:iCs/>
      <w:color w:val="0F4761" w:themeColor="accent1" w:themeShade="BF"/>
    </w:rPr>
  </w:style>
  <w:style w:type="character" w:styleId="IntenseReference">
    <w:name w:val="Intense Reference"/>
    <w:basedOn w:val="DefaultParagraphFont"/>
    <w:uiPriority w:val="32"/>
    <w:qFormat/>
    <w:rsid w:val="00625FC7"/>
    <w:rPr>
      <w:b/>
      <w:bCs/>
      <w:smallCaps/>
      <w:color w:val="0F4761" w:themeColor="accent1" w:themeShade="BF"/>
      <w:spacing w:val="5"/>
    </w:rPr>
  </w:style>
  <w:style w:type="character" w:styleId="Hyperlink">
    <w:name w:val="Hyperlink"/>
    <w:basedOn w:val="DefaultParagraphFont"/>
    <w:uiPriority w:val="99"/>
    <w:unhideWhenUsed/>
    <w:rsid w:val="00625FC7"/>
    <w:rPr>
      <w:color w:val="467886" w:themeColor="hyperlink"/>
      <w:u w:val="single"/>
    </w:rPr>
  </w:style>
  <w:style w:type="paragraph" w:styleId="TOCHeading">
    <w:name w:val="TOC Heading"/>
    <w:basedOn w:val="Heading1"/>
    <w:next w:val="Normal"/>
    <w:uiPriority w:val="39"/>
    <w:unhideWhenUsed/>
    <w:qFormat/>
    <w:rsid w:val="00625FC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25FC7"/>
    <w:pPr>
      <w:tabs>
        <w:tab w:val="right" w:leader="dot" w:pos="9350"/>
      </w:tabs>
      <w:spacing w:after="100" w:line="360" w:lineRule="auto"/>
    </w:pPr>
    <w:rPr>
      <w:rFonts w:ascii="Arial" w:hAnsi="Arial" w:cs="Arial"/>
      <w:b/>
      <w:bCs/>
      <w:noProof/>
    </w:rPr>
  </w:style>
  <w:style w:type="paragraph" w:styleId="TOC2">
    <w:name w:val="toc 2"/>
    <w:basedOn w:val="Normal"/>
    <w:next w:val="Normal"/>
    <w:autoRedefine/>
    <w:uiPriority w:val="39"/>
    <w:unhideWhenUsed/>
    <w:rsid w:val="00625FC7"/>
    <w:pPr>
      <w:tabs>
        <w:tab w:val="right" w:leader="dot" w:pos="9350"/>
      </w:tabs>
      <w:spacing w:after="100" w:line="360" w:lineRule="auto"/>
      <w:ind w:left="240"/>
    </w:pPr>
    <w:rPr>
      <w:rFonts w:ascii="Arial" w:hAnsi="Arial" w:cs="Arial"/>
      <w:noProof/>
      <w:sz w:val="22"/>
      <w:szCs w:val="22"/>
    </w:rPr>
  </w:style>
  <w:style w:type="paragraph" w:styleId="Footer">
    <w:name w:val="footer"/>
    <w:basedOn w:val="Normal"/>
    <w:link w:val="FooterChar"/>
    <w:uiPriority w:val="99"/>
    <w:unhideWhenUsed/>
    <w:rsid w:val="00625F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FC7"/>
    <w:rPr>
      <w:sz w:val="24"/>
      <w:szCs w:val="24"/>
      <w:lang w:val="en-US"/>
    </w:rPr>
  </w:style>
  <w:style w:type="paragraph" w:styleId="TOC3">
    <w:name w:val="toc 3"/>
    <w:basedOn w:val="Normal"/>
    <w:next w:val="Normal"/>
    <w:autoRedefine/>
    <w:uiPriority w:val="39"/>
    <w:unhideWhenUsed/>
    <w:rsid w:val="00625FC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doi.org/10.1093/pubmed/fdad220"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111/j.1748-3743.2012.00342.x" TargetMode="External"/><Relationship Id="rId7" Type="http://schemas.openxmlformats.org/officeDocument/2006/relationships/diagramQuickStyle" Target="diagrams/quickStyle1.xml"/><Relationship Id="rId12" Type="http://schemas.openxmlformats.org/officeDocument/2006/relationships/hyperlink" Target="https://doi.org/10.1136/bmjopen-2022-068918" TargetMode="External"/><Relationship Id="rId17" Type="http://schemas.openxmlformats.org/officeDocument/2006/relationships/hyperlink" Target="https://doi.org/10.1111/jan.16965"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cqc.org.uk/about-us/fundamental-standards" TargetMode="External"/><Relationship Id="rId20" Type="http://schemas.openxmlformats.org/officeDocument/2006/relationships/hyperlink" Target="https://doi.org/10.12968/bjcn.2016.21.2.82" TargetMode="Externa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hyperlink" Target="https://doi.org/10.1111/jan.14251" TargetMode="External"/><Relationship Id="rId24" Type="http://schemas.openxmlformats.org/officeDocument/2006/relationships/hyperlink" Target="https://www.skillsforcare.org.uk/resources/documents/Support-for-leaders-and-managers/Managing-people/Code-of-conduct/Code-of-Conduct.pdf" TargetMode="External"/><Relationship Id="rId5" Type="http://schemas.openxmlformats.org/officeDocument/2006/relationships/diagramData" Target="diagrams/data1.xml"/><Relationship Id="rId15" Type="http://schemas.openxmlformats.org/officeDocument/2006/relationships/hyperlink" Target="https://www.legislation.gov.uk/ukpga/2014/23/part/1/enacted" TargetMode="External"/><Relationship Id="rId23" Type="http://schemas.openxmlformats.org/officeDocument/2006/relationships/hyperlink" Target="https://doi.org/10.1111/hsc.12050" TargetMode="External"/><Relationship Id="rId10" Type="http://schemas.openxmlformats.org/officeDocument/2006/relationships/hyperlink" Target="https://doi.org/10.1186/s12913-018-3161-3" TargetMode="External"/><Relationship Id="rId19" Type="http://schemas.openxmlformats.org/officeDocument/2006/relationships/hyperlink" Target="https://www.legislation.gov.uk/ukpga/2022/31/contents" TargetMode="External"/><Relationship Id="rId4" Type="http://schemas.openxmlformats.org/officeDocument/2006/relationships/image" Target="media/image1.png"/><Relationship Id="rId9" Type="http://schemas.microsoft.com/office/2007/relationships/diagramDrawing" Target="diagrams/drawing1.xml"/><Relationship Id="rId14" Type="http://schemas.openxmlformats.org/officeDocument/2006/relationships/hyperlink" Target="https://doi.org/10.1111/hsc.12057" TargetMode="External"/><Relationship Id="rId22" Type="http://schemas.openxmlformats.org/officeDocument/2006/relationships/hyperlink" Target="https://www.england.nhs.uk/6cs/wp-content/uploads/sites/25/2015/03/cip-6cs.pdf"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8138F6-99E7-423B-8032-77683DDC3A5B}" type="doc">
      <dgm:prSet loTypeId="urn:microsoft.com/office/officeart/2011/layout/HexagonRadial" loCatId="cycle" qsTypeId="urn:microsoft.com/office/officeart/2005/8/quickstyle/simple1" qsCatId="simple" csTypeId="urn:microsoft.com/office/officeart/2005/8/colors/accent0_3" csCatId="mainScheme" phldr="1"/>
      <dgm:spPr/>
      <dgm:t>
        <a:bodyPr/>
        <a:lstStyle/>
        <a:p>
          <a:endParaRPr lang="en-US"/>
        </a:p>
      </dgm:t>
    </dgm:pt>
    <dgm:pt modelId="{7F786F33-0323-414F-BF36-A795EC74A511}">
      <dgm:prSet phldrT="[Text]"/>
      <dgm:spPr/>
      <dgm:t>
        <a:bodyPr/>
        <a:lstStyle/>
        <a:p>
          <a:r>
            <a:rPr lang="en-US"/>
            <a:t>Gibbs' Reflective Cycle</a:t>
          </a:r>
        </a:p>
      </dgm:t>
    </dgm:pt>
    <dgm:pt modelId="{3EE10E39-D573-4F35-A769-41E920AFA52C}" type="parTrans" cxnId="{73BE985D-BC6F-453D-91C0-D5E035CDAF3E}">
      <dgm:prSet/>
      <dgm:spPr/>
      <dgm:t>
        <a:bodyPr/>
        <a:lstStyle/>
        <a:p>
          <a:endParaRPr lang="en-US"/>
        </a:p>
      </dgm:t>
    </dgm:pt>
    <dgm:pt modelId="{163522A5-BA4A-4B3D-AB35-881F7C62DEDC}" type="sibTrans" cxnId="{73BE985D-BC6F-453D-91C0-D5E035CDAF3E}">
      <dgm:prSet/>
      <dgm:spPr/>
      <dgm:t>
        <a:bodyPr/>
        <a:lstStyle/>
        <a:p>
          <a:endParaRPr lang="en-US"/>
        </a:p>
      </dgm:t>
    </dgm:pt>
    <dgm:pt modelId="{3200155A-0716-41F1-9CDD-02503BE763ED}">
      <dgm:prSet phldrT="[Text]"/>
      <dgm:spPr/>
      <dgm:t>
        <a:bodyPr/>
        <a:lstStyle/>
        <a:p>
          <a:r>
            <a:rPr lang="en-US"/>
            <a:t>Description</a:t>
          </a:r>
        </a:p>
      </dgm:t>
    </dgm:pt>
    <dgm:pt modelId="{8E389DE0-EE0D-4FA9-9938-66D9A3366CA3}" type="parTrans" cxnId="{5FD846EF-03BF-48EE-B71F-390ED0CC9AE8}">
      <dgm:prSet/>
      <dgm:spPr/>
      <dgm:t>
        <a:bodyPr/>
        <a:lstStyle/>
        <a:p>
          <a:endParaRPr lang="en-US"/>
        </a:p>
      </dgm:t>
    </dgm:pt>
    <dgm:pt modelId="{9C7E04EB-0345-4BB8-8D89-5524A611D8C7}" type="sibTrans" cxnId="{5FD846EF-03BF-48EE-B71F-390ED0CC9AE8}">
      <dgm:prSet/>
      <dgm:spPr/>
      <dgm:t>
        <a:bodyPr/>
        <a:lstStyle/>
        <a:p>
          <a:endParaRPr lang="en-US"/>
        </a:p>
      </dgm:t>
    </dgm:pt>
    <dgm:pt modelId="{88B51CD0-C18F-48FA-8D26-E2649464D7C0}">
      <dgm:prSet phldrT="[Text]"/>
      <dgm:spPr/>
      <dgm:t>
        <a:bodyPr/>
        <a:lstStyle/>
        <a:p>
          <a:r>
            <a:rPr lang="en-US"/>
            <a:t>Feelings</a:t>
          </a:r>
        </a:p>
      </dgm:t>
    </dgm:pt>
    <dgm:pt modelId="{05F8C173-0744-4FD3-BD2F-BD3F9434C7B5}" type="parTrans" cxnId="{D67FBD52-E0EE-445B-AC77-824E288A1026}">
      <dgm:prSet/>
      <dgm:spPr/>
      <dgm:t>
        <a:bodyPr/>
        <a:lstStyle/>
        <a:p>
          <a:endParaRPr lang="en-US"/>
        </a:p>
      </dgm:t>
    </dgm:pt>
    <dgm:pt modelId="{F63C927F-A14F-4306-B7BE-E9DFC31CB714}" type="sibTrans" cxnId="{D67FBD52-E0EE-445B-AC77-824E288A1026}">
      <dgm:prSet/>
      <dgm:spPr/>
      <dgm:t>
        <a:bodyPr/>
        <a:lstStyle/>
        <a:p>
          <a:endParaRPr lang="en-US"/>
        </a:p>
      </dgm:t>
    </dgm:pt>
    <dgm:pt modelId="{0A39D08C-3C19-46DD-A5A9-00577A1250AE}">
      <dgm:prSet phldrT="[Text]"/>
      <dgm:spPr/>
      <dgm:t>
        <a:bodyPr/>
        <a:lstStyle/>
        <a:p>
          <a:r>
            <a:rPr lang="en-US"/>
            <a:t>Conclusion</a:t>
          </a:r>
        </a:p>
      </dgm:t>
    </dgm:pt>
    <dgm:pt modelId="{E23743E4-7FE0-41E1-9F65-5DFCA21F4CAA}" type="parTrans" cxnId="{C0338D79-4B9B-4511-A9B7-70BDFB0EA004}">
      <dgm:prSet/>
      <dgm:spPr/>
      <dgm:t>
        <a:bodyPr/>
        <a:lstStyle/>
        <a:p>
          <a:endParaRPr lang="en-US"/>
        </a:p>
      </dgm:t>
    </dgm:pt>
    <dgm:pt modelId="{054B6A79-322C-4818-AA30-4AAB790C4101}" type="sibTrans" cxnId="{C0338D79-4B9B-4511-A9B7-70BDFB0EA004}">
      <dgm:prSet/>
      <dgm:spPr/>
      <dgm:t>
        <a:bodyPr/>
        <a:lstStyle/>
        <a:p>
          <a:endParaRPr lang="en-US"/>
        </a:p>
      </dgm:t>
    </dgm:pt>
    <dgm:pt modelId="{515A2B58-67C4-44E7-93F5-276F0EA9823C}">
      <dgm:prSet phldrT="[Text]"/>
      <dgm:spPr/>
      <dgm:t>
        <a:bodyPr/>
        <a:lstStyle/>
        <a:p>
          <a:r>
            <a:rPr lang="en-US"/>
            <a:t>Action Plan</a:t>
          </a:r>
        </a:p>
      </dgm:t>
    </dgm:pt>
    <dgm:pt modelId="{04ECFD76-02AE-4DDD-BCCF-294323F957BF}" type="parTrans" cxnId="{ABF98D92-6B1B-4437-BA0A-CD9EC0392725}">
      <dgm:prSet/>
      <dgm:spPr/>
      <dgm:t>
        <a:bodyPr/>
        <a:lstStyle/>
        <a:p>
          <a:endParaRPr lang="en-US"/>
        </a:p>
      </dgm:t>
    </dgm:pt>
    <dgm:pt modelId="{54A47A81-FAA5-4870-A330-FF165C9C3BFB}" type="sibTrans" cxnId="{ABF98D92-6B1B-4437-BA0A-CD9EC0392725}">
      <dgm:prSet/>
      <dgm:spPr/>
      <dgm:t>
        <a:bodyPr/>
        <a:lstStyle/>
        <a:p>
          <a:endParaRPr lang="en-US"/>
        </a:p>
      </dgm:t>
    </dgm:pt>
    <dgm:pt modelId="{AD880AD8-76EB-4FC8-8789-1B7EA60E9162}">
      <dgm:prSet phldrT="[Text]"/>
      <dgm:spPr/>
      <dgm:t>
        <a:bodyPr/>
        <a:lstStyle/>
        <a:p>
          <a:r>
            <a:rPr lang="en-US"/>
            <a:t>Evaluation</a:t>
          </a:r>
        </a:p>
      </dgm:t>
    </dgm:pt>
    <dgm:pt modelId="{3ADF4E38-241D-4C83-97A2-C1AB7E7FF2C7}" type="parTrans" cxnId="{96C12A8C-ADE6-46AE-ADBB-182EE2181FF1}">
      <dgm:prSet/>
      <dgm:spPr/>
      <dgm:t>
        <a:bodyPr/>
        <a:lstStyle/>
        <a:p>
          <a:endParaRPr lang="en-US"/>
        </a:p>
      </dgm:t>
    </dgm:pt>
    <dgm:pt modelId="{B213EF94-B4E5-482D-BBFE-F66E3F020B77}" type="sibTrans" cxnId="{96C12A8C-ADE6-46AE-ADBB-182EE2181FF1}">
      <dgm:prSet/>
      <dgm:spPr/>
      <dgm:t>
        <a:bodyPr/>
        <a:lstStyle/>
        <a:p>
          <a:endParaRPr lang="en-US"/>
        </a:p>
      </dgm:t>
    </dgm:pt>
    <dgm:pt modelId="{2F834D6C-DC25-43D7-BE40-B627116D23D8}">
      <dgm:prSet phldrT="[Text]"/>
      <dgm:spPr/>
      <dgm:t>
        <a:bodyPr/>
        <a:lstStyle/>
        <a:p>
          <a:r>
            <a:rPr lang="en-US"/>
            <a:t>Analysis</a:t>
          </a:r>
        </a:p>
      </dgm:t>
    </dgm:pt>
    <dgm:pt modelId="{BA55B545-3338-4DB5-9F82-E1F1080CFE16}" type="parTrans" cxnId="{EFF17480-25A7-43C6-815B-88C15E7FB10B}">
      <dgm:prSet/>
      <dgm:spPr/>
      <dgm:t>
        <a:bodyPr/>
        <a:lstStyle/>
        <a:p>
          <a:endParaRPr lang="en-US"/>
        </a:p>
      </dgm:t>
    </dgm:pt>
    <dgm:pt modelId="{7CDD63DD-2718-4DF8-85FD-A4AC51B58BD1}" type="sibTrans" cxnId="{EFF17480-25A7-43C6-815B-88C15E7FB10B}">
      <dgm:prSet/>
      <dgm:spPr/>
      <dgm:t>
        <a:bodyPr/>
        <a:lstStyle/>
        <a:p>
          <a:endParaRPr lang="en-US"/>
        </a:p>
      </dgm:t>
    </dgm:pt>
    <dgm:pt modelId="{0F794F1C-FED1-4640-A86A-5D9B61E4CB77}" type="pres">
      <dgm:prSet presAssocID="{5F8138F6-99E7-423B-8032-77683DDC3A5B}" presName="Name0" presStyleCnt="0">
        <dgm:presLayoutVars>
          <dgm:chMax val="1"/>
          <dgm:chPref val="1"/>
          <dgm:dir/>
          <dgm:animOne val="branch"/>
          <dgm:animLvl val="lvl"/>
        </dgm:presLayoutVars>
      </dgm:prSet>
      <dgm:spPr/>
    </dgm:pt>
    <dgm:pt modelId="{56DA3540-307C-4A9A-80B5-A0029CF4C916}" type="pres">
      <dgm:prSet presAssocID="{7F786F33-0323-414F-BF36-A795EC74A511}" presName="Parent" presStyleLbl="node0" presStyleIdx="0" presStyleCnt="1">
        <dgm:presLayoutVars>
          <dgm:chMax val="6"/>
          <dgm:chPref val="6"/>
        </dgm:presLayoutVars>
      </dgm:prSet>
      <dgm:spPr/>
    </dgm:pt>
    <dgm:pt modelId="{1064CA35-F676-484E-BB3F-D9000C01F6B8}" type="pres">
      <dgm:prSet presAssocID="{3200155A-0716-41F1-9CDD-02503BE763ED}" presName="Accent1" presStyleCnt="0"/>
      <dgm:spPr/>
    </dgm:pt>
    <dgm:pt modelId="{FB725B05-3B45-42EB-92A4-96ADA0EE1036}" type="pres">
      <dgm:prSet presAssocID="{3200155A-0716-41F1-9CDD-02503BE763ED}" presName="Accent" presStyleLbl="bgShp" presStyleIdx="0" presStyleCnt="6"/>
      <dgm:spPr/>
    </dgm:pt>
    <dgm:pt modelId="{404ECC0B-ECFC-4B7F-88AD-D94B4EB72137}" type="pres">
      <dgm:prSet presAssocID="{3200155A-0716-41F1-9CDD-02503BE763ED}" presName="Child1" presStyleLbl="node1" presStyleIdx="0" presStyleCnt="6">
        <dgm:presLayoutVars>
          <dgm:chMax val="0"/>
          <dgm:chPref val="0"/>
          <dgm:bulletEnabled val="1"/>
        </dgm:presLayoutVars>
      </dgm:prSet>
      <dgm:spPr/>
    </dgm:pt>
    <dgm:pt modelId="{6CFC7D6A-108D-4BB4-99FD-C36BC6F9D9D3}" type="pres">
      <dgm:prSet presAssocID="{88B51CD0-C18F-48FA-8D26-E2649464D7C0}" presName="Accent2" presStyleCnt="0"/>
      <dgm:spPr/>
    </dgm:pt>
    <dgm:pt modelId="{F901AD61-8524-460B-B0BF-31D3DE916851}" type="pres">
      <dgm:prSet presAssocID="{88B51CD0-C18F-48FA-8D26-E2649464D7C0}" presName="Accent" presStyleLbl="bgShp" presStyleIdx="1" presStyleCnt="6"/>
      <dgm:spPr/>
    </dgm:pt>
    <dgm:pt modelId="{21478E77-2135-4A03-9180-5CCF26E45079}" type="pres">
      <dgm:prSet presAssocID="{88B51CD0-C18F-48FA-8D26-E2649464D7C0}" presName="Child2" presStyleLbl="node1" presStyleIdx="1" presStyleCnt="6">
        <dgm:presLayoutVars>
          <dgm:chMax val="0"/>
          <dgm:chPref val="0"/>
          <dgm:bulletEnabled val="1"/>
        </dgm:presLayoutVars>
      </dgm:prSet>
      <dgm:spPr/>
    </dgm:pt>
    <dgm:pt modelId="{C49B0E7B-87AC-4A40-870E-4630A0664834}" type="pres">
      <dgm:prSet presAssocID="{AD880AD8-76EB-4FC8-8789-1B7EA60E9162}" presName="Accent3" presStyleCnt="0"/>
      <dgm:spPr/>
    </dgm:pt>
    <dgm:pt modelId="{66D8B3B6-64A0-4B9C-8B04-0CDECDCEC937}" type="pres">
      <dgm:prSet presAssocID="{AD880AD8-76EB-4FC8-8789-1B7EA60E9162}" presName="Accent" presStyleLbl="bgShp" presStyleIdx="2" presStyleCnt="6"/>
      <dgm:spPr/>
    </dgm:pt>
    <dgm:pt modelId="{5A6FCD86-D920-4AC9-8601-AE5CF1FD141B}" type="pres">
      <dgm:prSet presAssocID="{AD880AD8-76EB-4FC8-8789-1B7EA60E9162}" presName="Child3" presStyleLbl="node1" presStyleIdx="2" presStyleCnt="6">
        <dgm:presLayoutVars>
          <dgm:chMax val="0"/>
          <dgm:chPref val="0"/>
          <dgm:bulletEnabled val="1"/>
        </dgm:presLayoutVars>
      </dgm:prSet>
      <dgm:spPr/>
    </dgm:pt>
    <dgm:pt modelId="{2FD255D4-6611-4E36-B54C-18E4CD0F577F}" type="pres">
      <dgm:prSet presAssocID="{2F834D6C-DC25-43D7-BE40-B627116D23D8}" presName="Accent4" presStyleCnt="0"/>
      <dgm:spPr/>
    </dgm:pt>
    <dgm:pt modelId="{1B2857A4-2F9A-420B-AF4B-20733E627BEE}" type="pres">
      <dgm:prSet presAssocID="{2F834D6C-DC25-43D7-BE40-B627116D23D8}" presName="Accent" presStyleLbl="bgShp" presStyleIdx="3" presStyleCnt="6"/>
      <dgm:spPr/>
    </dgm:pt>
    <dgm:pt modelId="{46BE8940-F5AD-4783-A5D0-32552EBA6B37}" type="pres">
      <dgm:prSet presAssocID="{2F834D6C-DC25-43D7-BE40-B627116D23D8}" presName="Child4" presStyleLbl="node1" presStyleIdx="3" presStyleCnt="6">
        <dgm:presLayoutVars>
          <dgm:chMax val="0"/>
          <dgm:chPref val="0"/>
          <dgm:bulletEnabled val="1"/>
        </dgm:presLayoutVars>
      </dgm:prSet>
      <dgm:spPr/>
    </dgm:pt>
    <dgm:pt modelId="{C513494B-8944-4C4F-B3AE-B699E66F7B49}" type="pres">
      <dgm:prSet presAssocID="{0A39D08C-3C19-46DD-A5A9-00577A1250AE}" presName="Accent5" presStyleCnt="0"/>
      <dgm:spPr/>
    </dgm:pt>
    <dgm:pt modelId="{1F3CA84B-2E92-461C-A5DC-C459D8EC8F81}" type="pres">
      <dgm:prSet presAssocID="{0A39D08C-3C19-46DD-A5A9-00577A1250AE}" presName="Accent" presStyleLbl="bgShp" presStyleIdx="4" presStyleCnt="6"/>
      <dgm:spPr/>
    </dgm:pt>
    <dgm:pt modelId="{30273936-F6FF-42F2-8248-CA3A62BD8CF4}" type="pres">
      <dgm:prSet presAssocID="{0A39D08C-3C19-46DD-A5A9-00577A1250AE}" presName="Child5" presStyleLbl="node1" presStyleIdx="4" presStyleCnt="6">
        <dgm:presLayoutVars>
          <dgm:chMax val="0"/>
          <dgm:chPref val="0"/>
          <dgm:bulletEnabled val="1"/>
        </dgm:presLayoutVars>
      </dgm:prSet>
      <dgm:spPr/>
    </dgm:pt>
    <dgm:pt modelId="{442B4C71-DFAD-4160-817C-9D18CD080DEF}" type="pres">
      <dgm:prSet presAssocID="{515A2B58-67C4-44E7-93F5-276F0EA9823C}" presName="Accent6" presStyleCnt="0"/>
      <dgm:spPr/>
    </dgm:pt>
    <dgm:pt modelId="{6443D722-AA33-45D1-8AD8-F59F96DA9218}" type="pres">
      <dgm:prSet presAssocID="{515A2B58-67C4-44E7-93F5-276F0EA9823C}" presName="Accent" presStyleLbl="bgShp" presStyleIdx="5" presStyleCnt="6"/>
      <dgm:spPr/>
    </dgm:pt>
    <dgm:pt modelId="{2B1CF166-EB75-4C5B-9BD5-663761D97E58}" type="pres">
      <dgm:prSet presAssocID="{515A2B58-67C4-44E7-93F5-276F0EA9823C}" presName="Child6" presStyleLbl="node1" presStyleIdx="5" presStyleCnt="6">
        <dgm:presLayoutVars>
          <dgm:chMax val="0"/>
          <dgm:chPref val="0"/>
          <dgm:bulletEnabled val="1"/>
        </dgm:presLayoutVars>
      </dgm:prSet>
      <dgm:spPr/>
    </dgm:pt>
  </dgm:ptLst>
  <dgm:cxnLst>
    <dgm:cxn modelId="{7D4F682C-9D6C-4ABD-8F90-76A5EBA2F5C5}" type="presOf" srcId="{7F786F33-0323-414F-BF36-A795EC74A511}" destId="{56DA3540-307C-4A9A-80B5-A0029CF4C916}" srcOrd="0" destOrd="0" presId="urn:microsoft.com/office/officeart/2011/layout/HexagonRadial"/>
    <dgm:cxn modelId="{1609F233-055C-4F55-8B1C-DEB0947C6411}" type="presOf" srcId="{AD880AD8-76EB-4FC8-8789-1B7EA60E9162}" destId="{5A6FCD86-D920-4AC9-8601-AE5CF1FD141B}" srcOrd="0" destOrd="0" presId="urn:microsoft.com/office/officeart/2011/layout/HexagonRadial"/>
    <dgm:cxn modelId="{7C023236-B94D-4947-A450-2A91CD7BC952}" type="presOf" srcId="{515A2B58-67C4-44E7-93F5-276F0EA9823C}" destId="{2B1CF166-EB75-4C5B-9BD5-663761D97E58}" srcOrd="0" destOrd="0" presId="urn:microsoft.com/office/officeart/2011/layout/HexagonRadial"/>
    <dgm:cxn modelId="{73BE985D-BC6F-453D-91C0-D5E035CDAF3E}" srcId="{5F8138F6-99E7-423B-8032-77683DDC3A5B}" destId="{7F786F33-0323-414F-BF36-A795EC74A511}" srcOrd="0" destOrd="0" parTransId="{3EE10E39-D573-4F35-A769-41E920AFA52C}" sibTransId="{163522A5-BA4A-4B3D-AB35-881F7C62DEDC}"/>
    <dgm:cxn modelId="{D6829243-A8B8-41B7-84FA-3756922DD59B}" type="presOf" srcId="{3200155A-0716-41F1-9CDD-02503BE763ED}" destId="{404ECC0B-ECFC-4B7F-88AD-D94B4EB72137}" srcOrd="0" destOrd="0" presId="urn:microsoft.com/office/officeart/2011/layout/HexagonRadial"/>
    <dgm:cxn modelId="{D67FBD52-E0EE-445B-AC77-824E288A1026}" srcId="{7F786F33-0323-414F-BF36-A795EC74A511}" destId="{88B51CD0-C18F-48FA-8D26-E2649464D7C0}" srcOrd="1" destOrd="0" parTransId="{05F8C173-0744-4FD3-BD2F-BD3F9434C7B5}" sibTransId="{F63C927F-A14F-4306-B7BE-E9DFC31CB714}"/>
    <dgm:cxn modelId="{05DC4676-FF3E-4B29-BB8C-68D0AB4E312E}" type="presOf" srcId="{2F834D6C-DC25-43D7-BE40-B627116D23D8}" destId="{46BE8940-F5AD-4783-A5D0-32552EBA6B37}" srcOrd="0" destOrd="0" presId="urn:microsoft.com/office/officeart/2011/layout/HexagonRadial"/>
    <dgm:cxn modelId="{C0338D79-4B9B-4511-A9B7-70BDFB0EA004}" srcId="{7F786F33-0323-414F-BF36-A795EC74A511}" destId="{0A39D08C-3C19-46DD-A5A9-00577A1250AE}" srcOrd="4" destOrd="0" parTransId="{E23743E4-7FE0-41E1-9F65-5DFCA21F4CAA}" sibTransId="{054B6A79-322C-4818-AA30-4AAB790C4101}"/>
    <dgm:cxn modelId="{EFF17480-25A7-43C6-815B-88C15E7FB10B}" srcId="{7F786F33-0323-414F-BF36-A795EC74A511}" destId="{2F834D6C-DC25-43D7-BE40-B627116D23D8}" srcOrd="3" destOrd="0" parTransId="{BA55B545-3338-4DB5-9F82-E1F1080CFE16}" sibTransId="{7CDD63DD-2718-4DF8-85FD-A4AC51B58BD1}"/>
    <dgm:cxn modelId="{96C12A8C-ADE6-46AE-ADBB-182EE2181FF1}" srcId="{7F786F33-0323-414F-BF36-A795EC74A511}" destId="{AD880AD8-76EB-4FC8-8789-1B7EA60E9162}" srcOrd="2" destOrd="0" parTransId="{3ADF4E38-241D-4C83-97A2-C1AB7E7FF2C7}" sibTransId="{B213EF94-B4E5-482D-BBFE-F66E3F020B77}"/>
    <dgm:cxn modelId="{ABF98D92-6B1B-4437-BA0A-CD9EC0392725}" srcId="{7F786F33-0323-414F-BF36-A795EC74A511}" destId="{515A2B58-67C4-44E7-93F5-276F0EA9823C}" srcOrd="5" destOrd="0" parTransId="{04ECFD76-02AE-4DDD-BCCF-294323F957BF}" sibTransId="{54A47A81-FAA5-4870-A330-FF165C9C3BFB}"/>
    <dgm:cxn modelId="{3E0EC5B0-FA5F-49B3-B599-EEB4AEC994AE}" type="presOf" srcId="{5F8138F6-99E7-423B-8032-77683DDC3A5B}" destId="{0F794F1C-FED1-4640-A86A-5D9B61E4CB77}" srcOrd="0" destOrd="0" presId="urn:microsoft.com/office/officeart/2011/layout/HexagonRadial"/>
    <dgm:cxn modelId="{8D2389D7-4D7F-4856-BB11-E82828D0F368}" type="presOf" srcId="{0A39D08C-3C19-46DD-A5A9-00577A1250AE}" destId="{30273936-F6FF-42F2-8248-CA3A62BD8CF4}" srcOrd="0" destOrd="0" presId="urn:microsoft.com/office/officeart/2011/layout/HexagonRadial"/>
    <dgm:cxn modelId="{DE6E79E2-0778-45E0-A770-16BC2381E4E9}" type="presOf" srcId="{88B51CD0-C18F-48FA-8D26-E2649464D7C0}" destId="{21478E77-2135-4A03-9180-5CCF26E45079}" srcOrd="0" destOrd="0" presId="urn:microsoft.com/office/officeart/2011/layout/HexagonRadial"/>
    <dgm:cxn modelId="{5FD846EF-03BF-48EE-B71F-390ED0CC9AE8}" srcId="{7F786F33-0323-414F-BF36-A795EC74A511}" destId="{3200155A-0716-41F1-9CDD-02503BE763ED}" srcOrd="0" destOrd="0" parTransId="{8E389DE0-EE0D-4FA9-9938-66D9A3366CA3}" sibTransId="{9C7E04EB-0345-4BB8-8D89-5524A611D8C7}"/>
    <dgm:cxn modelId="{142710A7-2A0B-4C8C-AA7C-AD1FBA83ECE1}" type="presParOf" srcId="{0F794F1C-FED1-4640-A86A-5D9B61E4CB77}" destId="{56DA3540-307C-4A9A-80B5-A0029CF4C916}" srcOrd="0" destOrd="0" presId="urn:microsoft.com/office/officeart/2011/layout/HexagonRadial"/>
    <dgm:cxn modelId="{933E7379-DB95-4E35-A8D7-F7EED3E6722B}" type="presParOf" srcId="{0F794F1C-FED1-4640-A86A-5D9B61E4CB77}" destId="{1064CA35-F676-484E-BB3F-D9000C01F6B8}" srcOrd="1" destOrd="0" presId="urn:microsoft.com/office/officeart/2011/layout/HexagonRadial"/>
    <dgm:cxn modelId="{4767DAE1-9489-4FC8-9B9D-87C33C803D48}" type="presParOf" srcId="{1064CA35-F676-484E-BB3F-D9000C01F6B8}" destId="{FB725B05-3B45-42EB-92A4-96ADA0EE1036}" srcOrd="0" destOrd="0" presId="urn:microsoft.com/office/officeart/2011/layout/HexagonRadial"/>
    <dgm:cxn modelId="{360270E1-8DF9-439F-B64A-E55C0495B794}" type="presParOf" srcId="{0F794F1C-FED1-4640-A86A-5D9B61E4CB77}" destId="{404ECC0B-ECFC-4B7F-88AD-D94B4EB72137}" srcOrd="2" destOrd="0" presId="urn:microsoft.com/office/officeart/2011/layout/HexagonRadial"/>
    <dgm:cxn modelId="{54448D75-5DDB-48D1-8CD5-D3FF23C68424}" type="presParOf" srcId="{0F794F1C-FED1-4640-A86A-5D9B61E4CB77}" destId="{6CFC7D6A-108D-4BB4-99FD-C36BC6F9D9D3}" srcOrd="3" destOrd="0" presId="urn:microsoft.com/office/officeart/2011/layout/HexagonRadial"/>
    <dgm:cxn modelId="{B8AD3549-BAF3-4DD7-94B2-C870A618C8F8}" type="presParOf" srcId="{6CFC7D6A-108D-4BB4-99FD-C36BC6F9D9D3}" destId="{F901AD61-8524-460B-B0BF-31D3DE916851}" srcOrd="0" destOrd="0" presId="urn:microsoft.com/office/officeart/2011/layout/HexagonRadial"/>
    <dgm:cxn modelId="{08ABEA21-AA56-4BAC-A431-3109DCEDE541}" type="presParOf" srcId="{0F794F1C-FED1-4640-A86A-5D9B61E4CB77}" destId="{21478E77-2135-4A03-9180-5CCF26E45079}" srcOrd="4" destOrd="0" presId="urn:microsoft.com/office/officeart/2011/layout/HexagonRadial"/>
    <dgm:cxn modelId="{5441103E-5105-4E89-AC1A-A41DE69AA4A3}" type="presParOf" srcId="{0F794F1C-FED1-4640-A86A-5D9B61E4CB77}" destId="{C49B0E7B-87AC-4A40-870E-4630A0664834}" srcOrd="5" destOrd="0" presId="urn:microsoft.com/office/officeart/2011/layout/HexagonRadial"/>
    <dgm:cxn modelId="{A2BB47B0-B943-45FF-B60B-E0CE88F99CD3}" type="presParOf" srcId="{C49B0E7B-87AC-4A40-870E-4630A0664834}" destId="{66D8B3B6-64A0-4B9C-8B04-0CDECDCEC937}" srcOrd="0" destOrd="0" presId="urn:microsoft.com/office/officeart/2011/layout/HexagonRadial"/>
    <dgm:cxn modelId="{7CCEFA50-7F8E-4231-B9F2-13AE2B1B3DF5}" type="presParOf" srcId="{0F794F1C-FED1-4640-A86A-5D9B61E4CB77}" destId="{5A6FCD86-D920-4AC9-8601-AE5CF1FD141B}" srcOrd="6" destOrd="0" presId="urn:microsoft.com/office/officeart/2011/layout/HexagonRadial"/>
    <dgm:cxn modelId="{135591EF-6F5B-4DD4-9FD7-E2C54A41163D}" type="presParOf" srcId="{0F794F1C-FED1-4640-A86A-5D9B61E4CB77}" destId="{2FD255D4-6611-4E36-B54C-18E4CD0F577F}" srcOrd="7" destOrd="0" presId="urn:microsoft.com/office/officeart/2011/layout/HexagonRadial"/>
    <dgm:cxn modelId="{336C1154-3D0D-4CAE-A6B5-E13C23916878}" type="presParOf" srcId="{2FD255D4-6611-4E36-B54C-18E4CD0F577F}" destId="{1B2857A4-2F9A-420B-AF4B-20733E627BEE}" srcOrd="0" destOrd="0" presId="urn:microsoft.com/office/officeart/2011/layout/HexagonRadial"/>
    <dgm:cxn modelId="{65B63B18-B2DA-437B-AD7F-075D6751109D}" type="presParOf" srcId="{0F794F1C-FED1-4640-A86A-5D9B61E4CB77}" destId="{46BE8940-F5AD-4783-A5D0-32552EBA6B37}" srcOrd="8" destOrd="0" presId="urn:microsoft.com/office/officeart/2011/layout/HexagonRadial"/>
    <dgm:cxn modelId="{CA9AE381-3033-4F63-A8A1-56F802A14912}" type="presParOf" srcId="{0F794F1C-FED1-4640-A86A-5D9B61E4CB77}" destId="{C513494B-8944-4C4F-B3AE-B699E66F7B49}" srcOrd="9" destOrd="0" presId="urn:microsoft.com/office/officeart/2011/layout/HexagonRadial"/>
    <dgm:cxn modelId="{FE245D1F-787A-4AF9-9E65-D263DBDAEB9E}" type="presParOf" srcId="{C513494B-8944-4C4F-B3AE-B699E66F7B49}" destId="{1F3CA84B-2E92-461C-A5DC-C459D8EC8F81}" srcOrd="0" destOrd="0" presId="urn:microsoft.com/office/officeart/2011/layout/HexagonRadial"/>
    <dgm:cxn modelId="{F9E9A80B-1F08-47CE-BC34-6A40DDE9487B}" type="presParOf" srcId="{0F794F1C-FED1-4640-A86A-5D9B61E4CB77}" destId="{30273936-F6FF-42F2-8248-CA3A62BD8CF4}" srcOrd="10" destOrd="0" presId="urn:microsoft.com/office/officeart/2011/layout/HexagonRadial"/>
    <dgm:cxn modelId="{72E9E07B-622B-4C4B-9492-F3E0099BC1F9}" type="presParOf" srcId="{0F794F1C-FED1-4640-A86A-5D9B61E4CB77}" destId="{442B4C71-DFAD-4160-817C-9D18CD080DEF}" srcOrd="11" destOrd="0" presId="urn:microsoft.com/office/officeart/2011/layout/HexagonRadial"/>
    <dgm:cxn modelId="{FFE33EEB-BD18-446C-AE95-53F21B7D3122}" type="presParOf" srcId="{442B4C71-DFAD-4160-817C-9D18CD080DEF}" destId="{6443D722-AA33-45D1-8AD8-F59F96DA9218}" srcOrd="0" destOrd="0" presId="urn:microsoft.com/office/officeart/2011/layout/HexagonRadial"/>
    <dgm:cxn modelId="{ABDC212C-D799-46D1-A380-BAD074C559BE}" type="presParOf" srcId="{0F794F1C-FED1-4640-A86A-5D9B61E4CB77}" destId="{2B1CF166-EB75-4C5B-9BD5-663761D97E58}" srcOrd="12" destOrd="0" presId="urn:microsoft.com/office/officeart/2011/layout/HexagonRadial"/>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DA3540-307C-4A9A-80B5-A0029CF4C916}">
      <dsp:nvSpPr>
        <dsp:cNvPr id="0" name=""/>
        <dsp:cNvSpPr/>
      </dsp:nvSpPr>
      <dsp:spPr>
        <a:xfrm>
          <a:off x="2086903" y="1032449"/>
          <a:ext cx="1312287" cy="1135181"/>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Gibbs' Reflective Cycle</a:t>
          </a:r>
        </a:p>
      </dsp:txBody>
      <dsp:txXfrm>
        <a:off x="2304367" y="1220564"/>
        <a:ext cx="877359" cy="758951"/>
      </dsp:txXfrm>
    </dsp:sp>
    <dsp:sp modelId="{F901AD61-8524-460B-B0BF-31D3DE916851}">
      <dsp:nvSpPr>
        <dsp:cNvPr id="0" name=""/>
        <dsp:cNvSpPr/>
      </dsp:nvSpPr>
      <dsp:spPr>
        <a:xfrm>
          <a:off x="2908647" y="489341"/>
          <a:ext cx="495122" cy="426613"/>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04ECC0B-ECFC-4B7F-88AD-D94B4EB72137}">
      <dsp:nvSpPr>
        <dsp:cNvPr id="0" name=""/>
        <dsp:cNvSpPr/>
      </dsp:nvSpPr>
      <dsp:spPr>
        <a:xfrm>
          <a:off x="2207784" y="0"/>
          <a:ext cx="1075410" cy="930356"/>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Description</a:t>
          </a:r>
        </a:p>
      </dsp:txBody>
      <dsp:txXfrm>
        <a:off x="2386002" y="154180"/>
        <a:ext cx="718974" cy="621996"/>
      </dsp:txXfrm>
    </dsp:sp>
    <dsp:sp modelId="{66D8B3B6-64A0-4B9C-8B04-0CDECDCEC937}">
      <dsp:nvSpPr>
        <dsp:cNvPr id="0" name=""/>
        <dsp:cNvSpPr/>
      </dsp:nvSpPr>
      <dsp:spPr>
        <a:xfrm>
          <a:off x="3486493" y="1286880"/>
          <a:ext cx="495122" cy="426613"/>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1478E77-2135-4A03-9180-5CCF26E45079}">
      <dsp:nvSpPr>
        <dsp:cNvPr id="0" name=""/>
        <dsp:cNvSpPr/>
      </dsp:nvSpPr>
      <dsp:spPr>
        <a:xfrm>
          <a:off x="3194060" y="572231"/>
          <a:ext cx="1075410" cy="930356"/>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Feelings</a:t>
          </a:r>
        </a:p>
      </dsp:txBody>
      <dsp:txXfrm>
        <a:off x="3372278" y="726411"/>
        <a:ext cx="718974" cy="621996"/>
      </dsp:txXfrm>
    </dsp:sp>
    <dsp:sp modelId="{1B2857A4-2F9A-420B-AF4B-20733E627BEE}">
      <dsp:nvSpPr>
        <dsp:cNvPr id="0" name=""/>
        <dsp:cNvSpPr/>
      </dsp:nvSpPr>
      <dsp:spPr>
        <a:xfrm>
          <a:off x="3085084" y="2187153"/>
          <a:ext cx="495122" cy="426613"/>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A6FCD86-D920-4AC9-8601-AE5CF1FD141B}">
      <dsp:nvSpPr>
        <dsp:cNvPr id="0" name=""/>
        <dsp:cNvSpPr/>
      </dsp:nvSpPr>
      <dsp:spPr>
        <a:xfrm>
          <a:off x="3194060" y="1697172"/>
          <a:ext cx="1075410" cy="930356"/>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Evaluation</a:t>
          </a:r>
        </a:p>
      </dsp:txBody>
      <dsp:txXfrm>
        <a:off x="3372278" y="1851352"/>
        <a:ext cx="718974" cy="621996"/>
      </dsp:txXfrm>
    </dsp:sp>
    <dsp:sp modelId="{1F3CA84B-2E92-461C-A5DC-C459D8EC8F81}">
      <dsp:nvSpPr>
        <dsp:cNvPr id="0" name=""/>
        <dsp:cNvSpPr/>
      </dsp:nvSpPr>
      <dsp:spPr>
        <a:xfrm>
          <a:off x="2089345" y="2280605"/>
          <a:ext cx="495122" cy="426613"/>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BE8940-F5AD-4783-A5D0-32552EBA6B37}">
      <dsp:nvSpPr>
        <dsp:cNvPr id="0" name=""/>
        <dsp:cNvSpPr/>
      </dsp:nvSpPr>
      <dsp:spPr>
        <a:xfrm>
          <a:off x="2207784" y="2270043"/>
          <a:ext cx="1075410" cy="930356"/>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Analysis</a:t>
          </a:r>
        </a:p>
      </dsp:txBody>
      <dsp:txXfrm>
        <a:off x="2386002" y="2424223"/>
        <a:ext cx="718974" cy="621996"/>
      </dsp:txXfrm>
    </dsp:sp>
    <dsp:sp modelId="{6443D722-AA33-45D1-8AD8-F59F96DA9218}">
      <dsp:nvSpPr>
        <dsp:cNvPr id="0" name=""/>
        <dsp:cNvSpPr/>
      </dsp:nvSpPr>
      <dsp:spPr>
        <a:xfrm>
          <a:off x="1502036" y="1483385"/>
          <a:ext cx="495122" cy="426613"/>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0273936-F6FF-42F2-8248-CA3A62BD8CF4}">
      <dsp:nvSpPr>
        <dsp:cNvPr id="0" name=""/>
        <dsp:cNvSpPr/>
      </dsp:nvSpPr>
      <dsp:spPr>
        <a:xfrm>
          <a:off x="1216929" y="1697812"/>
          <a:ext cx="1075410" cy="930356"/>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Conclusion</a:t>
          </a:r>
        </a:p>
      </dsp:txBody>
      <dsp:txXfrm>
        <a:off x="1395147" y="1851992"/>
        <a:ext cx="718974" cy="621996"/>
      </dsp:txXfrm>
    </dsp:sp>
    <dsp:sp modelId="{2B1CF166-EB75-4C5B-9BD5-663761D97E58}">
      <dsp:nvSpPr>
        <dsp:cNvPr id="0" name=""/>
        <dsp:cNvSpPr/>
      </dsp:nvSpPr>
      <dsp:spPr>
        <a:xfrm>
          <a:off x="1216929" y="570951"/>
          <a:ext cx="1075410" cy="930356"/>
        </a:xfrm>
        <a:prstGeom prst="hexagon">
          <a:avLst>
            <a:gd name="adj" fmla="val 28570"/>
            <a:gd name="vf" fmla="val 11547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Action Plan</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2930</Words>
  <Characters>16704</Characters>
  <Application>Microsoft Office Word</Application>
  <DocSecurity>0</DocSecurity>
  <Lines>139</Lines>
  <Paragraphs>39</Paragraphs>
  <ScaleCrop>false</ScaleCrop>
  <Company/>
  <LinksUpToDate>false</LinksUpToDate>
  <CharactersWithSpaces>19595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 Bchini (2439423)</dc:creator>
  <cp:keywords/>
  <dc:description/>
  <cp:lastModifiedBy>Ahlam Bchini (2439423)</cp:lastModifiedBy>
  <cp:revision>1</cp:revision>
  <dcterms:created xsi:type="dcterms:W3CDTF">2026-10-22T16:31:00Z</dcterms:created>
  <dcterms:modified xsi:type="dcterms:W3CDTF">2026-10-22T16:42:00Z</dcterms:modified>
</cp:coreProperties>
</file>