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pStyle w:val="Heading2"/>
        <w:pBdr>
          <w:top w:space="0" w:sz="0" w:val="nil"/>
          <w:left w:space="0" w:sz="0" w:val="nil"/>
          <w:bottom w:space="0" w:sz="0" w:val="nil"/>
          <w:right w:space="0" w:sz="0" w:val="nil"/>
          <w:between w:space="0" w:sz="0" w:val="nil"/>
        </w:pBdr>
        <w:shd w:fill="auto" w:val="clear"/>
        <w:spacing w:after="0" w:before="0" w:line="288" w:lineRule="auto"/>
        <w:rPr>
          <w:rFonts w:ascii="Open Sans" w:cs="Open Sans" w:eastAsia="Open Sans" w:hAnsi="Open Sans"/>
          <w:color w:val="695d46"/>
          <w:sz w:val="24"/>
          <w:szCs w:val="24"/>
        </w:rPr>
      </w:pPr>
      <w:bookmarkStart w:colFirst="0" w:colLast="0" w:name="_z6ne0og04bp5" w:id="0"/>
      <w:bookmarkEnd w:id="0"/>
      <w:r w:rsidDel="00000000" w:rsidR="00000000" w:rsidRPr="00000000">
        <w:rPr>
          <w:rFonts w:ascii="Open Sans" w:cs="Open Sans" w:eastAsia="Open Sans" w:hAnsi="Open Sans"/>
          <w:color w:val="695d46"/>
          <w:sz w:val="24"/>
          <w:szCs w:val="24"/>
        </w:rPr>
        <w:drawing>
          <wp:inline distB="114300" distT="114300" distL="114300" distR="114300">
            <wp:extent cx="5916349" cy="104775"/>
            <wp:effectExtent b="0" l="0" r="0" t="0"/>
            <wp:docPr descr="horizontal line" id="2" name="image2.png"/>
            <a:graphic>
              <a:graphicData uri="http://schemas.openxmlformats.org/drawingml/2006/picture">
                <pic:pic>
                  <pic:nvPicPr>
                    <pic:cNvPr descr="horizontal line" id="0" name="image2.png"/>
                    <pic:cNvPicPr preferRelativeResize="0"/>
                  </pic:nvPicPr>
                  <pic:blipFill>
                    <a:blip r:embed="rId6"/>
                    <a:srcRect b="-35184" l="0" r="0" t="0"/>
                    <a:stretch>
                      <a:fillRect/>
                    </a:stretch>
                  </pic:blipFill>
                  <pic:spPr>
                    <a:xfrm>
                      <a:off x="0" y="0"/>
                      <a:ext cx="5916349" cy="104775"/>
                    </a:xfrm>
                    <a:prstGeom prst="rect"/>
                    <a:ln/>
                  </pic:spPr>
                </pic:pic>
              </a:graphicData>
            </a:graphic>
          </wp:inline>
        </w:drawing>
      </w:r>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rPr/>
      </w:pPr>
      <w:r w:rsidDel="00000000" w:rsidR="00000000" w:rsidRPr="00000000">
        <w:rPr/>
        <w:drawing>
          <wp:inline distB="114300" distT="114300" distL="114300" distR="114300">
            <wp:extent cx="5910263" cy="3940175"/>
            <wp:effectExtent b="0" l="0" r="0" t="0"/>
            <wp:docPr descr="Placeholder image" id="3" name="image3.jpg"/>
            <a:graphic>
              <a:graphicData uri="http://schemas.openxmlformats.org/drawingml/2006/picture">
                <pic:pic>
                  <pic:nvPicPr>
                    <pic:cNvPr descr="Placeholder image" id="0" name="image3.jpg"/>
                    <pic:cNvPicPr preferRelativeResize="0"/>
                  </pic:nvPicPr>
                  <pic:blipFill>
                    <a:blip r:embed="rId7"/>
                    <a:srcRect b="0" l="0" r="0" t="0"/>
                    <a:stretch>
                      <a:fillRect/>
                    </a:stretch>
                  </pic:blipFill>
                  <pic:spPr>
                    <a:xfrm>
                      <a:off x="0" y="0"/>
                      <a:ext cx="5910263" cy="3940175"/>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rFonts w:ascii="Arial" w:cs="Arial" w:eastAsia="Arial" w:hAnsi="Arial"/>
          <w:sz w:val="36"/>
          <w:szCs w:val="36"/>
        </w:rPr>
      </w:pPr>
      <w:r w:rsidDel="00000000" w:rsidR="00000000" w:rsidRPr="00000000">
        <w:rPr>
          <w:rFonts w:ascii="Arial" w:cs="Arial" w:eastAsia="Arial" w:hAnsi="Arial"/>
          <w:sz w:val="36"/>
          <w:szCs w:val="36"/>
          <w:rtl w:val="0"/>
        </w:rPr>
        <w:t xml:space="preserve">Understanding Policing</w:t>
      </w:r>
    </w:p>
    <w:p w:rsidR="00000000" w:rsidDel="00000000" w:rsidP="00000000" w:rsidRDefault="00000000" w:rsidRPr="00000000" w14:paraId="00000004">
      <w:pPr>
        <w:jc w:val="cente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after="1440" w:before="0" w:line="288" w:lineRule="auto"/>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Review and discuss the effectiveness of Community-based and Neighbourhood policing.</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line="240" w:lineRule="auto"/>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Cassie Johnson</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spacing w:before="0" w:lineRule="auto"/>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BA Law and Criminology</w:t>
      </w:r>
      <w:r w:rsidDel="00000000" w:rsidR="00000000" w:rsidRPr="00000000">
        <w:rPr>
          <w:rtl w:val="0"/>
        </w:rPr>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spacing w:before="0" w:lineRule="auto"/>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University of Wales Trinity Saint David</w:t>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spacing w:before="0" w:lineRule="auto"/>
        <w:jc w:val="center"/>
        <w:rPr>
          <w:rFonts w:ascii="Arial" w:cs="Arial" w:eastAsia="Arial" w:hAnsi="Arial"/>
          <w:sz w:val="28"/>
          <w:szCs w:val="28"/>
        </w:rPr>
      </w:pPr>
      <w:r w:rsidDel="00000000" w:rsidR="00000000" w:rsidRPr="00000000">
        <w:rPr>
          <w:rFonts w:ascii="Arial" w:cs="Arial" w:eastAsia="Arial" w:hAnsi="Arial"/>
          <w:sz w:val="28"/>
          <w:szCs w:val="28"/>
          <w:rtl w:val="0"/>
        </w:rPr>
        <w:t xml:space="preserve">Student: 1812437</w:t>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ind w:left="720"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B">
      <w:pPr>
        <w:pBdr>
          <w:top w:space="0" w:sz="0" w:val="nil"/>
          <w:left w:space="0" w:sz="0" w:val="nil"/>
          <w:bottom w:space="0" w:sz="0" w:val="nil"/>
          <w:right w:space="0" w:sz="0" w:val="nil"/>
          <w:between w:space="0" w:sz="0" w:val="nil"/>
        </w:pBdr>
        <w:shd w:fill="auto" w:val="clear"/>
        <w:ind w:left="720"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C">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0D">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“Community-based policing is a philosophy of full service personalised policing, where the same officer patrols and works in the same area on a permanent basis, from a decentralised place, working in a proactive partnership with citizens to identify and solve problems” </w:t>
      </w:r>
      <w:hyperlink r:id="rId8">
        <w:r w:rsidDel="00000000" w:rsidR="00000000" w:rsidRPr="00000000">
          <w:rPr>
            <w:rFonts w:ascii="Arial" w:cs="Arial" w:eastAsia="Arial" w:hAnsi="Arial"/>
            <w:sz w:val="28"/>
            <w:szCs w:val="28"/>
            <w:rtl w:val="0"/>
          </w:rPr>
          <w:t xml:space="preserve">(Ferreira 1996)</w:t>
        </w:r>
      </w:hyperlink>
      <w:r w:rsidDel="00000000" w:rsidR="00000000" w:rsidRPr="00000000">
        <w:rPr>
          <w:rFonts w:ascii="Arial" w:cs="Arial" w:eastAsia="Arial" w:hAnsi="Arial"/>
          <w:sz w:val="28"/>
          <w:szCs w:val="28"/>
          <w:rtl w:val="0"/>
        </w:rPr>
        <w:t xml:space="preserve">.</w:t>
      </w:r>
      <w:r w:rsidDel="00000000" w:rsidR="00000000" w:rsidRPr="00000000">
        <w:rPr>
          <w:rtl w:val="0"/>
        </w:rPr>
      </w:r>
    </w:p>
    <w:p w:rsidR="00000000" w:rsidDel="00000000" w:rsidP="00000000" w:rsidRDefault="00000000" w:rsidRPr="00000000" w14:paraId="0000000E">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The purpose of community-based policing is to establish a neutral ground between the police and the community through fundamental interaction with local agencies and members of the public, creating partnerships and systematic plans of action in an attempt to prevent crime and disorder, the broken windows theory suggests that this can cut back more serious crime as well </w:t>
      </w:r>
      <w:hyperlink r:id="rId9">
        <w:r w:rsidDel="00000000" w:rsidR="00000000" w:rsidRPr="00000000">
          <w:rPr>
            <w:rFonts w:ascii="Arial" w:cs="Arial" w:eastAsia="Arial" w:hAnsi="Arial"/>
            <w:sz w:val="28"/>
            <w:szCs w:val="28"/>
            <w:rtl w:val="0"/>
          </w:rPr>
          <w:t xml:space="preserve">(Bratton and Kelling 2015)</w:t>
        </w:r>
      </w:hyperlink>
      <w:r w:rsidDel="00000000" w:rsidR="00000000" w:rsidRPr="00000000">
        <w:rPr>
          <w:rFonts w:ascii="Arial" w:cs="Arial" w:eastAsia="Arial" w:hAnsi="Arial"/>
          <w:sz w:val="28"/>
          <w:szCs w:val="28"/>
          <w:rtl w:val="0"/>
        </w:rPr>
        <w:t xml:space="preserve">. The broken windows theory is an academic theory advised by James Q Wilson and George Kelling in 1982, using broken windows as a metaphor for disorder in neighbourhoods. It suggests where there are visible signs of anti-social behaviour further crime and disorder is encouraged. </w:t>
      </w:r>
    </w:p>
    <w:p w:rsidR="00000000" w:rsidDel="00000000" w:rsidP="00000000" w:rsidRDefault="00000000" w:rsidRPr="00000000" w14:paraId="0000000F">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Community-based policing’s core values have been traced back as far as Peelian Principles, in particular, John Alderson, the former chief constable of Devon and Cornwall police, ideas such as the police needing to seek the publics cooperation and the prioritising of crime prevention were included. The 20th century transformed how the police operated, police forces moved to use a reactive strategy versus a proactive approach focusing an answering emergency calls as quickly as possible and relying on vehicle patrols to deter crime </w:t>
      </w:r>
      <w:hyperlink r:id="rId10">
        <w:r w:rsidDel="00000000" w:rsidR="00000000" w:rsidRPr="00000000">
          <w:rPr>
            <w:rFonts w:ascii="Arial" w:cs="Arial" w:eastAsia="Arial" w:hAnsi="Arial"/>
            <w:sz w:val="28"/>
            <w:szCs w:val="28"/>
            <w:rtl w:val="0"/>
          </w:rPr>
          <w:t xml:space="preserve">(Cullen and Wilcox 2010)</w:t>
        </w:r>
      </w:hyperlink>
      <w:r w:rsidDel="00000000" w:rsidR="00000000" w:rsidRPr="00000000">
        <w:rPr>
          <w:rFonts w:ascii="Arial" w:cs="Arial" w:eastAsia="Arial" w:hAnsi="Arial"/>
          <w:sz w:val="28"/>
          <w:szCs w:val="28"/>
          <w:rtl w:val="0"/>
        </w:rPr>
        <w:t xml:space="preserve">.</w:t>
      </w:r>
    </w:p>
    <w:p w:rsidR="00000000" w:rsidDel="00000000" w:rsidP="00000000" w:rsidRDefault="00000000" w:rsidRPr="00000000" w14:paraId="00000010">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The method in structured orientated policing focuses on assigning officers to specific communities, where they familiarise themselves and become recognised in the community, the officers are taught how to implement strategies in order to deal with the types of crime the community is faced with. This is enabled through using a variety of ideas including the broadening of officer duties and collating these to the community, the sharpening of officers efforts with emphasis on preventing crime rather than responding to it, solving issues using the help of the community they are policing and finally making progress in the way of positive interaction with those residents </w:t>
      </w:r>
      <w:hyperlink r:id="rId11">
        <w:r w:rsidDel="00000000" w:rsidR="00000000" w:rsidRPr="00000000">
          <w:rPr>
            <w:rFonts w:ascii="Arial" w:cs="Arial" w:eastAsia="Arial" w:hAnsi="Arial"/>
            <w:sz w:val="28"/>
            <w:szCs w:val="28"/>
            <w:rtl w:val="0"/>
          </w:rPr>
          <w:t xml:space="preserve">(Dunham and Alpert 2015, 432–449)</w:t>
        </w:r>
      </w:hyperlink>
      <w:r w:rsidDel="00000000" w:rsidR="00000000" w:rsidRPr="00000000">
        <w:rPr>
          <w:rFonts w:ascii="Arial" w:cs="Arial" w:eastAsia="Arial" w:hAnsi="Arial"/>
          <w:sz w:val="28"/>
          <w:szCs w:val="28"/>
          <w:rtl w:val="0"/>
        </w:rPr>
        <w:t xml:space="preserve">. Other common strategies include providing advice to the community on helping in the prevention of crime and giving clearer information on the objectivities, giving talks to schools,  encouraging neighbourhood watch groups and last but not least an increase in foot patrols, and partnering with other organisations such as government agencies and nonprofit organisations.</w:t>
      </w:r>
    </w:p>
    <w:p w:rsidR="00000000" w:rsidDel="00000000" w:rsidP="00000000" w:rsidRDefault="00000000" w:rsidRPr="00000000" w14:paraId="00000011">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Community Policing has been misunderstood and is often an abused topic, however recent years have seen it grow in popularity. The system allows the police to work with individual groups and neighbourhoods to tackle issues which can affect livability conditions in their areas. Police forces recognise that they can not face these challenges alone, they need the respect and trust of the community in order to share responsibilities. The goal is to prevent, identify early and intervene where necessary in order to stop issues becoming more serious. Officers spend valuable time and effort to establish positive relationships with community organisations, individuals, schools and local businesses. Officers in the community recognise that crime-fighting is not their only role, an important aspect is livability within the neighbourhood, things such as those who consume alcohol in a public place, those who are truant from school and anything that can affect the conditions of livability for the residents having to live in the area </w:t>
      </w:r>
      <w:hyperlink r:id="rId12">
        <w:r w:rsidDel="00000000" w:rsidR="00000000" w:rsidRPr="00000000">
          <w:rPr>
            <w:rFonts w:ascii="Arial" w:cs="Arial" w:eastAsia="Arial" w:hAnsi="Arial"/>
            <w:sz w:val="28"/>
            <w:szCs w:val="28"/>
            <w:rtl w:val="0"/>
          </w:rPr>
          <w:t xml:space="preserve">(Great Britain: Home Office 2010)</w:t>
        </w:r>
      </w:hyperlink>
      <w:r w:rsidDel="00000000" w:rsidR="00000000" w:rsidRPr="00000000">
        <w:rPr>
          <w:rtl w:val="0"/>
        </w:rPr>
      </w:r>
    </w:p>
    <w:p w:rsidR="00000000" w:rsidDel="00000000" w:rsidP="00000000" w:rsidRDefault="00000000" w:rsidRPr="00000000" w14:paraId="00000012">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There are 3 main concepts of community policing, namely the 3 ps which are as follows, community partnerships, engaging in problem-solving and implementing a community policing organisational feature. The use of the community resources in effect reduces the need to use the police recourses and while citizens are able to have their voices heard their respect and satisfaction for the police increases </w:t>
      </w:r>
      <w:hyperlink r:id="rId13">
        <w:r w:rsidDel="00000000" w:rsidR="00000000" w:rsidRPr="00000000">
          <w:rPr>
            <w:rFonts w:ascii="Arial" w:cs="Arial" w:eastAsia="Arial" w:hAnsi="Arial"/>
            <w:sz w:val="28"/>
            <w:szCs w:val="28"/>
            <w:rtl w:val="0"/>
          </w:rPr>
          <w:t xml:space="preserve">(“What Is Community Policing? – Discover Policing” n.d.)</w:t>
        </w:r>
      </w:hyperlink>
      <w:r w:rsidDel="00000000" w:rsidR="00000000" w:rsidRPr="00000000">
        <w:rPr>
          <w:rFonts w:ascii="Arial" w:cs="Arial" w:eastAsia="Arial" w:hAnsi="Arial"/>
          <w:sz w:val="28"/>
          <w:szCs w:val="28"/>
          <w:rtl w:val="0"/>
        </w:rPr>
        <w:t xml:space="preserve">.  The concept of policing has been in existence for many years, the police are expected to perform community duties which were once the responsibility of the community such as keeping the peace, handling emergency services and dealing with family problems, however, over the years with more and more citizens now causing issues police have been called in to solve the social issues. As a result of this, police forces have adopted new models of policing to coincide with society’s adjustments. Community policing is a working relationship between the police and local residents of a community, each community having their own group of officers who attend and cover their area regularly in order to create this bond and keep faces familiar. The goal of this is to gain mutual respect and confidence which then allows for communication and the shared responsibility in attempting to make the community a safer place through reducing fear, reducing crime and improving livability </w:t>
      </w:r>
    </w:p>
    <w:p w:rsidR="00000000" w:rsidDel="00000000" w:rsidP="00000000" w:rsidRDefault="00000000" w:rsidRPr="00000000" w14:paraId="00000013">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Community based policing goes far beyond that of the traditional policing, the police are not the sole protectors of law and social order anymore, the community have been able to have a more active approach in supporting the safety of their neighbourhood and also have more input in the running of their neighbourhood and their own interests. The police role is still the fundamental base of community policing and the officers endeavour to educate the public about its local police. It is suggested that by the police taking an active interest in the community as a whole the response becomes better with citizens seeing them as allies instead of enemies. </w:t>
      </w:r>
    </w:p>
    <w:p w:rsidR="00000000" w:rsidDel="00000000" w:rsidP="00000000" w:rsidRDefault="00000000" w:rsidRPr="00000000" w14:paraId="00000014">
      <w:pPr>
        <w:rPr>
          <w:rFonts w:ascii="Arial" w:cs="Arial" w:eastAsia="Arial" w:hAnsi="Arial"/>
          <w:sz w:val="28"/>
          <w:szCs w:val="28"/>
        </w:rPr>
      </w:pPr>
      <w:r w:rsidDel="00000000" w:rsidR="00000000" w:rsidRPr="00000000">
        <w:rPr>
          <w:rFonts w:ascii="Arial" w:cs="Arial" w:eastAsia="Arial" w:hAnsi="Arial"/>
          <w:sz w:val="28"/>
          <w:szCs w:val="28"/>
          <w:rtl w:val="0"/>
        </w:rPr>
        <w:t xml:space="preserve">Traditionally determining whether police or policies are effective or not can be done by evaluating the crime route for a geographical area, community policing is more complicated than simply comparing crime rates and there are no universally accepted criteria for evaluating community policing. nevertheless, there are some structures that are commonly used one possible way to determine whether or not community policing is effective in an area is for officers and key members of the community to set a specific mission and goals when starting out. Once specific goals are set participating at every level is essential in obtaining commitment and achieving goals. Street-level officers, supervisors, executives and the entire community should feel the goals represent what they want their police force to accomplish. </w:t>
      </w:r>
    </w:p>
    <w:p w:rsidR="00000000" w:rsidDel="00000000" w:rsidP="00000000" w:rsidRDefault="00000000" w:rsidRPr="00000000" w14:paraId="00000015">
      <w:pPr>
        <w:pBdr>
          <w:top w:space="0" w:sz="0" w:val="nil"/>
          <w:left w:space="0" w:sz="0" w:val="nil"/>
          <w:bottom w:space="0" w:sz="0" w:val="nil"/>
          <w:right w:space="0" w:sz="0" w:val="nil"/>
          <w:between w:space="0" w:sz="0" w:val="nil"/>
        </w:pBdr>
        <w:shd w:fill="auto" w:val="clear"/>
        <w:rPr>
          <w:rFonts w:ascii="Arial" w:cs="Arial" w:eastAsia="Arial" w:hAnsi="Arial"/>
          <w:sz w:val="28"/>
          <w:szCs w:val="28"/>
        </w:rPr>
      </w:pPr>
      <w:r w:rsidDel="00000000" w:rsidR="00000000" w:rsidRPr="00000000">
        <w:rPr>
          <w:rFonts w:ascii="Arial" w:cs="Arial" w:eastAsia="Arial" w:hAnsi="Arial"/>
          <w:sz w:val="28"/>
          <w:szCs w:val="28"/>
          <w:rtl w:val="0"/>
        </w:rPr>
        <w:t xml:space="preserve">In order for Community based policing to be effective, it must work efficiently in its tactics. Routine Patrol can be done through foot, vehicle or even horseback and is part of the community outreach strategy to increase visibility which in turn reduces the fear of crime amongst the community also serving as a preventative of crime to those who consider committing it. This strategy also allows for the police to become familiar with the community and measure its needs in regards to crime deterrence. The ongoing flow of communication between the police and community enables the police to be proactive and develop long term solutions fitting to the citizen’s concerns which prevents a problem rather than being reactive and attempting to rectify a known problem. Another of their tactics is a crime prevention plan, its goal is to be proactive, bringing awareness to the community which may be a potential target for crime as well as opening the paths of communication. Crime prevention plans are facilitated by the police with the need of the communities support and participation for it to be successful. Social control, a collaboration between the police and community to maintain, enhance, and restore social control in the community. Where there are citizens who are attached to their community and are devoted to making it a better place people would be less inclined to commit a crime. These programs are tailored to the citizen’s needs and their thoughts on local problems. These strategies will only remain relevant while the community assist and cooperate.</w:t>
      </w:r>
    </w:p>
    <w:p w:rsidR="00000000" w:rsidDel="00000000" w:rsidP="00000000" w:rsidRDefault="00000000" w:rsidRPr="00000000" w14:paraId="00000016">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 defining features of neighbourhood policing are making sure the police officers, staff and volunteers are accessible to, responsible for and accountable to the communities, it involves community engagement which builds a relationship of trust and understanding of the communities needs and collaborates problem-solving with communities alongside working with sectors such as private, public and voluntary. It is with this combination which distinguishes neighbourhood policing from other policing models. Neighbourhood policing has become an essential approach in the UK policing which aims to work with the communities directly connecting them to local regional and national level services. Those involved in neighbourhood policing work in a proactive way to protect the neighbourhoods and communities, safeguard the vulnerable, manage offenders and earn the trust of the community. Community policing requires engagement, data and information sharing and efficient decision making in order to action adequately so that limited resources are not wasted on irrelevant activities </w:t>
      </w:r>
      <w:hyperlink r:id="rId14">
        <w:r w:rsidDel="00000000" w:rsidR="00000000" w:rsidRPr="00000000">
          <w:rPr>
            <w:rFonts w:ascii="Arial" w:cs="Arial" w:eastAsia="Arial" w:hAnsi="Arial"/>
            <w:sz w:val="28"/>
            <w:szCs w:val="28"/>
            <w:rtl w:val="0"/>
          </w:rPr>
          <w:t xml:space="preserve">(“College of Policing” n.d.)</w:t>
        </w:r>
      </w:hyperlink>
      <w:r w:rsidDel="00000000" w:rsidR="00000000" w:rsidRPr="00000000">
        <w:rPr>
          <w:rFonts w:ascii="Arial" w:cs="Arial" w:eastAsia="Arial" w:hAnsi="Arial"/>
          <w:sz w:val="28"/>
          <w:szCs w:val="28"/>
          <w:rtl w:val="0"/>
        </w:rPr>
        <w:t xml:space="preserve">.</w:t>
      </w:r>
    </w:p>
    <w:p w:rsidR="00000000" w:rsidDel="00000000" w:rsidP="00000000" w:rsidRDefault="00000000" w:rsidRPr="00000000" w14:paraId="00000017">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Evidence has shown that community policing has been effective in reducing public disorder, increasing the public trust in the police and increasing public perception of the police. Neighbourhood policing pilots in the UK have been found to reduce victimisation and studies have found the success elements of neighbourhood policing has been the targeted foot patrols, community involvement in problem-solving and strong governance to maintain a concentration on addressing known problems with implementation </w:t>
      </w:r>
      <w:hyperlink r:id="rId15">
        <w:r w:rsidDel="00000000" w:rsidR="00000000" w:rsidRPr="00000000">
          <w:rPr>
            <w:rFonts w:ascii="Arial" w:cs="Arial" w:eastAsia="Arial" w:hAnsi="Arial"/>
            <w:sz w:val="28"/>
            <w:szCs w:val="28"/>
            <w:rtl w:val="0"/>
          </w:rPr>
          <w:t xml:space="preserve">(Crowl 2017)</w:t>
        </w:r>
      </w:hyperlink>
      <w:r w:rsidDel="00000000" w:rsidR="00000000" w:rsidRPr="00000000">
        <w:rPr>
          <w:rtl w:val="0"/>
        </w:rPr>
      </w:r>
    </w:p>
    <w:p w:rsidR="00000000" w:rsidDel="00000000" w:rsidP="00000000" w:rsidRDefault="00000000" w:rsidRPr="00000000" w14:paraId="00000018">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Although community policing involves challenging work with communities some officers have accused it of being “soft” and “not real policing”</w:t>
      </w:r>
    </w:p>
    <w:p w:rsidR="00000000" w:rsidDel="00000000" w:rsidP="00000000" w:rsidRDefault="00000000" w:rsidRPr="00000000" w14:paraId="00000019">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 chief officer of a police station is expected to work with police and crime commissioners to encourage neighbourhood policing. Regular formal and sometimes informal contact within communities is essential as is sharing arrangements with partners, sharing information about local crime and any policing issues. It is important that the police engage with the community and tailor their individual needs while supporting communities to play a more active role in policing their own areas. In section 34 of the Police Reform and Social Responsibility Act, 2011 Provides the legal requirement for the chief officers to consult with citizens in their community whilst sharing the data on crime and to hold meetings for which the public is able to attend and participate </w:t>
      </w:r>
      <w:hyperlink r:id="rId16">
        <w:r w:rsidDel="00000000" w:rsidR="00000000" w:rsidRPr="00000000">
          <w:rPr>
            <w:rFonts w:ascii="Arial" w:cs="Arial" w:eastAsia="Arial" w:hAnsi="Arial"/>
            <w:sz w:val="28"/>
            <w:szCs w:val="28"/>
            <w:rtl w:val="0"/>
          </w:rPr>
          <w:t xml:space="preserve">(“Role of the PCC” n.d.)</w:t>
        </w:r>
      </w:hyperlink>
      <w:r w:rsidDel="00000000" w:rsidR="00000000" w:rsidRPr="00000000">
        <w:rPr>
          <w:rtl w:val="0"/>
        </w:rPr>
      </w:r>
    </w:p>
    <w:p w:rsidR="00000000" w:rsidDel="00000000" w:rsidP="00000000" w:rsidRDefault="00000000" w:rsidRPr="00000000" w14:paraId="0000001A">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Neighbourhood policing guidelines highlight what is important in making this style policing successful based on evidence. The chief officers are to follow these guidelines and to implement them to his officers.</w:t>
      </w:r>
    </w:p>
    <w:p w:rsidR="00000000" w:rsidDel="00000000" w:rsidP="00000000" w:rsidRDefault="00000000" w:rsidRPr="00000000" w14:paraId="0000001B">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These guidelines are as follows, engaging communities, the most important elements of this, is to ensure there are formal and informal communications with the communities. Making it available for the public to view information on the local crime for their area, engaging with officers to identify priorities and identify the needs of different communities and of course officers, staff and volunteers are to provide feedback and be reachable by the communities they patrol. Guideline 2, solving problems, these are implemented by officer, staff and volunteers taking a proactive prevention approach rather than a reactive one. Officers are to keep the communities informed every step of the way with the problem-solving process and use evidence-based responses to tackle the causes of problems which can differ in different communities. The result of this provides reassurance and reduces the demand for other police services. Guideline 3, targeting activity is the process of identifying the different needs of different communities, prioritising the citizens who have the greatest needs and being clear in how they intend to solve these needs. By doing this the intention is to provide problem-solving, prevention and early intervention. Guideline 4, promoting the right culture, it is recognised that communities differ widely and the neighbourhood police need to be able to treat the public fairly with respect, allowing them to express their concerns and taking them on board, make unbiased decisions and to be open and honest. If community police can do this then it will increase the public confidence in the police and increase the want of the public to help the police and be involved in bettering their community. Guideline 5, to build analytical capability this enables problem-solving activities to be based on good understandings of the problems, it allows for the impact and outcome to be assessed for future evidence and leads to wider availability of shared resources. Guideline 6, developing officers, staff and volunteers is to ensure that all policing staff are kept up to date with learning and development within their job roles and these guidelines which in turn supports the relationship between the communities. and finally, Guideline 7, developing and sharing learning, it is important that officers continue to broaden their learning to which will then support them in the communities through economic changes that happen. It is important to share their learning and what current threats are. In sharing these developments it provides support to forces, helps the police perform better alongside partners, leads to better community relations and also makes clear the costs and benefit for each different approach </w:t>
      </w:r>
      <w:hyperlink r:id="rId17">
        <w:r w:rsidDel="00000000" w:rsidR="00000000" w:rsidRPr="00000000">
          <w:rPr>
            <w:rFonts w:ascii="Arial" w:cs="Arial" w:eastAsia="Arial" w:hAnsi="Arial"/>
            <w:sz w:val="28"/>
            <w:szCs w:val="28"/>
            <w:rtl w:val="0"/>
          </w:rPr>
          <w:t xml:space="preserve">(“Neighbourhood Policing Guidelines | College of Policing” n.d.)</w:t>
        </w:r>
      </w:hyperlink>
      <w:r w:rsidDel="00000000" w:rsidR="00000000" w:rsidRPr="00000000">
        <w:rPr>
          <w:rtl w:val="0"/>
        </w:rPr>
      </w:r>
    </w:p>
    <w:p w:rsidR="00000000" w:rsidDel="00000000" w:rsidP="00000000" w:rsidRDefault="00000000" w:rsidRPr="00000000" w14:paraId="0000001C">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A visual presence is important, it reduces crime and antisocial behaviour, reassures the citizens and improves their view on the police. Random foot patrols and only responding to calls would not have the same effect.  The police can increase their visibility in various ways such as targeting the hot spots of high crime where the public fear and by using social media </w:t>
      </w:r>
      <w:hyperlink r:id="rId18">
        <w:r w:rsidDel="00000000" w:rsidR="00000000" w:rsidRPr="00000000">
          <w:rPr>
            <w:rFonts w:ascii="Arial" w:cs="Arial" w:eastAsia="Arial" w:hAnsi="Arial"/>
            <w:sz w:val="28"/>
            <w:szCs w:val="28"/>
            <w:rtl w:val="0"/>
          </w:rPr>
          <w:t xml:space="preserve">(“College of Policing” n.d.)</w:t>
        </w:r>
      </w:hyperlink>
      <w:r w:rsidDel="00000000" w:rsidR="00000000" w:rsidRPr="00000000">
        <w:rPr>
          <w:rFonts w:ascii="Arial" w:cs="Arial" w:eastAsia="Arial" w:hAnsi="Arial"/>
          <w:sz w:val="28"/>
          <w:szCs w:val="28"/>
          <w:rtl w:val="0"/>
        </w:rPr>
        <w:t xml:space="preserve">.</w:t>
      </w:r>
    </w:p>
    <w:p w:rsidR="00000000" w:rsidDel="00000000" w:rsidP="00000000" w:rsidRDefault="00000000" w:rsidRPr="00000000" w14:paraId="0000001D">
      <w:pPr>
        <w:spacing w:after="240" w:before="24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To conclude, community based police offers a decentralised, personalised police service to the citizens in a community. It has been recognised that the police needed to encourage the community to see them as a resource to help with their concerns. It offers the means and flexibility to meet the needs and priorities as they develop and change over time. Community policing is a relatively new innovation and there are issues with it such as the rise in police spending and a rise in the need for more patrolling officers. However, its overall goals of reducing fear, citizen satisfaction and establishing strategies to address the issues in the community have proven successful.</w:t>
      </w:r>
    </w:p>
    <w:p w:rsidR="00000000" w:rsidDel="00000000" w:rsidP="00000000" w:rsidRDefault="00000000" w:rsidRPr="00000000" w14:paraId="0000001E">
      <w:pPr>
        <w:ind w:left="720" w:firstLine="0"/>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240" w:line="240" w:lineRule="auto"/>
        <w:ind w:left="0" w:right="0" w:firstLine="0"/>
        <w:jc w:val="left"/>
        <w:rPr>
          <w:rFonts w:ascii="Arial" w:cs="Arial" w:eastAsia="Arial" w:hAnsi="Arial"/>
          <w:sz w:val="28"/>
          <w:szCs w:val="28"/>
        </w:rPr>
      </w:pPr>
      <w:r w:rsidDel="00000000" w:rsidR="00000000" w:rsidRPr="00000000">
        <w:rPr>
          <w:rtl w:val="0"/>
        </w:rPr>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240" w:line="240" w:lineRule="auto"/>
        <w:ind w:left="0" w:right="0" w:firstLine="0"/>
        <w:jc w:val="left"/>
        <w:rPr>
          <w:rFonts w:ascii="Arial" w:cs="Arial" w:eastAsia="Arial" w:hAnsi="Arial"/>
          <w:sz w:val="28"/>
          <w:szCs w:val="28"/>
        </w:rPr>
      </w:pPr>
      <w:hyperlink r:id="rId19">
        <w:r w:rsidDel="00000000" w:rsidR="00000000" w:rsidRPr="00000000">
          <w:rPr>
            <w:rFonts w:ascii="Arial" w:cs="Arial" w:eastAsia="Arial" w:hAnsi="Arial"/>
            <w:sz w:val="28"/>
            <w:szCs w:val="28"/>
            <w:rtl w:val="0"/>
          </w:rPr>
          <w:t xml:space="preserve">Bratton, William J., and George L. Kelling. 2015. “Why We Need Broken   Windows Policing.” </w:t>
        </w:r>
      </w:hyperlink>
      <w:hyperlink r:id="rId20">
        <w:r w:rsidDel="00000000" w:rsidR="00000000" w:rsidRPr="00000000">
          <w:rPr>
            <w:rFonts w:ascii="Arial" w:cs="Arial" w:eastAsia="Arial" w:hAnsi="Arial"/>
            <w:i w:val="1"/>
            <w:sz w:val="28"/>
            <w:szCs w:val="28"/>
            <w:rtl w:val="0"/>
          </w:rPr>
          <w:t xml:space="preserve">City Journal </w:t>
        </w:r>
      </w:hyperlink>
      <w:hyperlink r:id="rId21">
        <w:r w:rsidDel="00000000" w:rsidR="00000000" w:rsidRPr="00000000">
          <w:rPr>
            <w:rFonts w:ascii="Arial" w:cs="Arial" w:eastAsia="Arial" w:hAnsi="Arial"/>
            <w:sz w:val="28"/>
            <w:szCs w:val="28"/>
            <w:rtl w:val="0"/>
          </w:rPr>
          <w:t xml:space="preserve">, 1–14.</w:t>
        </w:r>
      </w:hyperlink>
      <w:r w:rsidDel="00000000" w:rsidR="00000000" w:rsidRPr="00000000">
        <w:rPr>
          <w:rtl w:val="0"/>
        </w:rPr>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22">
        <w:r w:rsidDel="00000000" w:rsidR="00000000" w:rsidRPr="00000000">
          <w:rPr>
            <w:rFonts w:ascii="Arial" w:cs="Arial" w:eastAsia="Arial" w:hAnsi="Arial"/>
            <w:sz w:val="28"/>
            <w:szCs w:val="28"/>
            <w:rtl w:val="0"/>
          </w:rPr>
          <w:t xml:space="preserve">“College of Policing.” n.d. Accessed January 12, 2020. </w:t>
        </w:r>
      </w:hyperlink>
      <w:hyperlink r:id="rId23">
        <w:r w:rsidDel="00000000" w:rsidR="00000000" w:rsidRPr="00000000">
          <w:rPr>
            <w:rFonts w:ascii="Arial" w:cs="Arial" w:eastAsia="Arial" w:hAnsi="Arial"/>
            <w:sz w:val="28"/>
            <w:szCs w:val="28"/>
            <w:rtl w:val="0"/>
          </w:rPr>
          <w:t xml:space="preserve">https://www.college.police.uk/Pages/Home.aspx</w:t>
        </w:r>
      </w:hyperlink>
      <w:hyperlink r:id="rId24">
        <w:r w:rsidDel="00000000" w:rsidR="00000000" w:rsidRPr="00000000">
          <w:rPr>
            <w:rFonts w:ascii="Arial" w:cs="Arial" w:eastAsia="Arial" w:hAnsi="Arial"/>
            <w:sz w:val="28"/>
            <w:szCs w:val="28"/>
            <w:rtl w:val="0"/>
          </w:rPr>
          <w:t xml:space="preserve">.</w:t>
        </w:r>
      </w:hyperlink>
      <w:r w:rsidDel="00000000" w:rsidR="00000000" w:rsidRPr="00000000">
        <w:rPr>
          <w:rtl w:val="0"/>
        </w:rPr>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25">
        <w:r w:rsidDel="00000000" w:rsidR="00000000" w:rsidRPr="00000000">
          <w:rPr>
            <w:rFonts w:ascii="Arial" w:cs="Arial" w:eastAsia="Arial" w:hAnsi="Arial"/>
            <w:sz w:val="28"/>
            <w:szCs w:val="28"/>
            <w:rtl w:val="0"/>
          </w:rPr>
          <w:t xml:space="preserve">Crowl, Justin N. 2017. “The Effect of Community Policing on Fear and Crime Reduction, Police Legitimacy and Job Satisfaction: An Empirical Review of the Evidence.” </w:t>
        </w:r>
      </w:hyperlink>
      <w:hyperlink r:id="rId26">
        <w:r w:rsidDel="00000000" w:rsidR="00000000" w:rsidRPr="00000000">
          <w:rPr>
            <w:rFonts w:ascii="Arial" w:cs="Arial" w:eastAsia="Arial" w:hAnsi="Arial"/>
            <w:i w:val="1"/>
            <w:sz w:val="28"/>
            <w:szCs w:val="28"/>
            <w:rtl w:val="0"/>
          </w:rPr>
          <w:t xml:space="preserve">Police Practice &amp; Research: An International Journal</w:t>
        </w:r>
      </w:hyperlink>
      <w:hyperlink r:id="rId27">
        <w:r w:rsidDel="00000000" w:rsidR="00000000" w:rsidRPr="00000000">
          <w:rPr>
            <w:rFonts w:ascii="Arial" w:cs="Arial" w:eastAsia="Arial" w:hAnsi="Arial"/>
            <w:sz w:val="28"/>
            <w:szCs w:val="28"/>
            <w:rtl w:val="0"/>
          </w:rPr>
          <w:t xml:space="preserve"> 18 (5): 449–62.</w:t>
        </w:r>
      </w:hyperlink>
      <w:r w:rsidDel="00000000" w:rsidR="00000000" w:rsidRPr="00000000">
        <w:rPr>
          <w:rtl w:val="0"/>
        </w:rPr>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28">
        <w:r w:rsidDel="00000000" w:rsidR="00000000" w:rsidRPr="00000000">
          <w:rPr>
            <w:rFonts w:ascii="Arial" w:cs="Arial" w:eastAsia="Arial" w:hAnsi="Arial"/>
            <w:sz w:val="28"/>
            <w:szCs w:val="28"/>
            <w:rtl w:val="0"/>
          </w:rPr>
          <w:t xml:space="preserve">Cullen, Francis T., and Pamela Wilcox. 2010. </w:t>
        </w:r>
      </w:hyperlink>
      <w:hyperlink r:id="rId29">
        <w:r w:rsidDel="00000000" w:rsidR="00000000" w:rsidRPr="00000000">
          <w:rPr>
            <w:rFonts w:ascii="Arial" w:cs="Arial" w:eastAsia="Arial" w:hAnsi="Arial"/>
            <w:i w:val="1"/>
            <w:sz w:val="28"/>
            <w:szCs w:val="28"/>
            <w:rtl w:val="0"/>
          </w:rPr>
          <w:t xml:space="preserve">Encyclopedia of Criminological Theory</w:t>
        </w:r>
      </w:hyperlink>
      <w:hyperlink r:id="rId30">
        <w:r w:rsidDel="00000000" w:rsidR="00000000" w:rsidRPr="00000000">
          <w:rPr>
            <w:rFonts w:ascii="Arial" w:cs="Arial" w:eastAsia="Arial" w:hAnsi="Arial"/>
            <w:sz w:val="28"/>
            <w:szCs w:val="28"/>
            <w:rtl w:val="0"/>
          </w:rPr>
          <w:t xml:space="preserve">. SAGE.</w:t>
        </w:r>
      </w:hyperlink>
      <w:r w:rsidDel="00000000" w:rsidR="00000000" w:rsidRPr="00000000">
        <w:rPr>
          <w:rtl w:val="0"/>
        </w:rPr>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31">
        <w:r w:rsidDel="00000000" w:rsidR="00000000" w:rsidRPr="00000000">
          <w:rPr>
            <w:rFonts w:ascii="Arial" w:cs="Arial" w:eastAsia="Arial" w:hAnsi="Arial"/>
            <w:sz w:val="28"/>
            <w:szCs w:val="28"/>
            <w:rtl w:val="0"/>
          </w:rPr>
          <w:t xml:space="preserve">Dunham, Roger G., and Geoffrey P. Alpert. 2015. </w:t>
        </w:r>
      </w:hyperlink>
      <w:hyperlink r:id="rId32">
        <w:r w:rsidDel="00000000" w:rsidR="00000000" w:rsidRPr="00000000">
          <w:rPr>
            <w:rFonts w:ascii="Arial" w:cs="Arial" w:eastAsia="Arial" w:hAnsi="Arial"/>
            <w:i w:val="1"/>
            <w:sz w:val="28"/>
            <w:szCs w:val="28"/>
            <w:rtl w:val="0"/>
          </w:rPr>
          <w:t xml:space="preserve">Critical Issues in Policing: Contemporary Readings, Seventh Edition</w:t>
        </w:r>
      </w:hyperlink>
      <w:hyperlink r:id="rId33">
        <w:r w:rsidDel="00000000" w:rsidR="00000000" w:rsidRPr="00000000">
          <w:rPr>
            <w:rFonts w:ascii="Arial" w:cs="Arial" w:eastAsia="Arial" w:hAnsi="Arial"/>
            <w:sz w:val="28"/>
            <w:szCs w:val="28"/>
            <w:rtl w:val="0"/>
          </w:rPr>
          <w:t xml:space="preserve">. Waveland Press.</w:t>
        </w:r>
      </w:hyperlink>
      <w:r w:rsidDel="00000000" w:rsidR="00000000" w:rsidRPr="00000000">
        <w:rPr>
          <w:rtl w:val="0"/>
        </w:rPr>
      </w:r>
    </w:p>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34">
        <w:r w:rsidDel="00000000" w:rsidR="00000000" w:rsidRPr="00000000">
          <w:rPr>
            <w:rFonts w:ascii="Arial" w:cs="Arial" w:eastAsia="Arial" w:hAnsi="Arial"/>
            <w:sz w:val="28"/>
            <w:szCs w:val="28"/>
            <w:rtl w:val="0"/>
          </w:rPr>
          <w:t xml:space="preserve">Ferreira, Bertus R. 1996. “The Use and Effectiveness of Community Policing in a Democracy.” </w:t>
        </w:r>
      </w:hyperlink>
      <w:hyperlink r:id="rId35">
        <w:r w:rsidDel="00000000" w:rsidR="00000000" w:rsidRPr="00000000">
          <w:rPr>
            <w:rFonts w:ascii="Arial" w:cs="Arial" w:eastAsia="Arial" w:hAnsi="Arial"/>
            <w:i w:val="1"/>
            <w:sz w:val="28"/>
            <w:szCs w:val="28"/>
            <w:rtl w:val="0"/>
          </w:rPr>
          <w:t xml:space="preserve">Policing in Central and Eastern Europe: Comparing Firsthand Knowledge with Experience from the West</w:t>
        </w:r>
      </w:hyperlink>
      <w:hyperlink r:id="rId36">
        <w:r w:rsidDel="00000000" w:rsidR="00000000" w:rsidRPr="00000000">
          <w:rPr>
            <w:rFonts w:ascii="Arial" w:cs="Arial" w:eastAsia="Arial" w:hAnsi="Arial"/>
            <w:sz w:val="28"/>
            <w:szCs w:val="28"/>
            <w:rtl w:val="0"/>
          </w:rPr>
          <w:t xml:space="preserve">, 43–47.</w:t>
        </w:r>
      </w:hyperlink>
      <w:r w:rsidDel="00000000" w:rsidR="00000000" w:rsidRPr="00000000">
        <w:rPr>
          <w:rtl w:val="0"/>
        </w:rPr>
      </w:r>
    </w:p>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37">
        <w:r w:rsidDel="00000000" w:rsidR="00000000" w:rsidRPr="00000000">
          <w:rPr>
            <w:rFonts w:ascii="Arial" w:cs="Arial" w:eastAsia="Arial" w:hAnsi="Arial"/>
            <w:sz w:val="28"/>
            <w:szCs w:val="28"/>
            <w:rtl w:val="0"/>
          </w:rPr>
          <w:t xml:space="preserve">Great Britain: Home Office. 2010. </w:t>
        </w:r>
      </w:hyperlink>
      <w:hyperlink r:id="rId38">
        <w:r w:rsidDel="00000000" w:rsidR="00000000" w:rsidRPr="00000000">
          <w:rPr>
            <w:rFonts w:ascii="Arial" w:cs="Arial" w:eastAsia="Arial" w:hAnsi="Arial"/>
            <w:i w:val="1"/>
            <w:sz w:val="28"/>
            <w:szCs w:val="28"/>
            <w:rtl w:val="0"/>
          </w:rPr>
          <w:t xml:space="preserve">Policing in the 21st Century: Reconnecting Police and the People</w:t>
        </w:r>
      </w:hyperlink>
      <w:hyperlink r:id="rId39">
        <w:r w:rsidDel="00000000" w:rsidR="00000000" w:rsidRPr="00000000">
          <w:rPr>
            <w:rFonts w:ascii="Arial" w:cs="Arial" w:eastAsia="Arial" w:hAnsi="Arial"/>
            <w:sz w:val="28"/>
            <w:szCs w:val="28"/>
            <w:rtl w:val="0"/>
          </w:rPr>
          <w:t xml:space="preserve">. The Stationery Office.</w:t>
        </w:r>
      </w:hyperlink>
      <w:r w:rsidDel="00000000" w:rsidR="00000000" w:rsidRPr="00000000">
        <w:rPr>
          <w:rtl w:val="0"/>
        </w:rPr>
      </w:r>
    </w:p>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40">
        <w:r w:rsidDel="00000000" w:rsidR="00000000" w:rsidRPr="00000000">
          <w:rPr>
            <w:rFonts w:ascii="Arial" w:cs="Arial" w:eastAsia="Arial" w:hAnsi="Arial"/>
            <w:sz w:val="28"/>
            <w:szCs w:val="28"/>
            <w:rtl w:val="0"/>
          </w:rPr>
          <w:t xml:space="preserve">“Neighbourhood Policing Guidelines | College of Policing.” n.d. Accessed January 12, 2020. </w:t>
        </w:r>
      </w:hyperlink>
      <w:hyperlink r:id="rId41">
        <w:r w:rsidDel="00000000" w:rsidR="00000000" w:rsidRPr="00000000">
          <w:rPr>
            <w:rFonts w:ascii="Arial" w:cs="Arial" w:eastAsia="Arial" w:hAnsi="Arial"/>
            <w:sz w:val="28"/>
            <w:szCs w:val="28"/>
            <w:rtl w:val="0"/>
          </w:rPr>
          <w:t xml:space="preserve">https://www.college.police.uk/What-we-do/Standards/Guidelines/Neighbourhood-Policing/Pages/neighbourhood-policing-guidelines.aspx</w:t>
        </w:r>
      </w:hyperlink>
      <w:hyperlink r:id="rId42">
        <w:r w:rsidDel="00000000" w:rsidR="00000000" w:rsidRPr="00000000">
          <w:rPr>
            <w:rFonts w:ascii="Arial" w:cs="Arial" w:eastAsia="Arial" w:hAnsi="Arial"/>
            <w:sz w:val="28"/>
            <w:szCs w:val="28"/>
            <w:rtl w:val="0"/>
          </w:rPr>
          <w:t xml:space="preserve">.</w:t>
        </w:r>
      </w:hyperlink>
      <w:r w:rsidDel="00000000" w:rsidR="00000000" w:rsidRPr="00000000">
        <w:rPr>
          <w:rtl w:val="0"/>
        </w:rPr>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480" w:right="0" w:hanging="480"/>
        <w:jc w:val="left"/>
        <w:rPr>
          <w:rFonts w:ascii="Arial" w:cs="Arial" w:eastAsia="Arial" w:hAnsi="Arial"/>
          <w:sz w:val="28"/>
          <w:szCs w:val="28"/>
        </w:rPr>
      </w:pPr>
      <w:hyperlink r:id="rId43">
        <w:r w:rsidDel="00000000" w:rsidR="00000000" w:rsidRPr="00000000">
          <w:rPr>
            <w:rFonts w:ascii="Arial" w:cs="Arial" w:eastAsia="Arial" w:hAnsi="Arial"/>
            <w:sz w:val="28"/>
            <w:szCs w:val="28"/>
            <w:rtl w:val="0"/>
          </w:rPr>
          <w:t xml:space="preserve">“Role of the PCC.” n.d. Accessed January 12, 2020. </w:t>
        </w:r>
      </w:hyperlink>
      <w:hyperlink r:id="rId44">
        <w:r w:rsidDel="00000000" w:rsidR="00000000" w:rsidRPr="00000000">
          <w:rPr>
            <w:rFonts w:ascii="Arial" w:cs="Arial" w:eastAsia="Arial" w:hAnsi="Arial"/>
            <w:sz w:val="28"/>
            <w:szCs w:val="28"/>
            <w:rtl w:val="0"/>
          </w:rPr>
          <w:t xml:space="preserve">https://www.apccs.police.uk/role-of-the-pcc/</w:t>
        </w:r>
      </w:hyperlink>
      <w:hyperlink r:id="rId45">
        <w:r w:rsidDel="00000000" w:rsidR="00000000" w:rsidRPr="00000000">
          <w:rPr>
            <w:rFonts w:ascii="Arial" w:cs="Arial" w:eastAsia="Arial" w:hAnsi="Arial"/>
            <w:sz w:val="28"/>
            <w:szCs w:val="28"/>
            <w:rtl w:val="0"/>
          </w:rPr>
          <w:t xml:space="preserve">.</w:t>
        </w:r>
      </w:hyperlink>
      <w:r w:rsidDel="00000000" w:rsidR="00000000" w:rsidRPr="00000000">
        <w:rPr>
          <w:rtl w:val="0"/>
        </w:rPr>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240" w:before="0" w:line="240" w:lineRule="auto"/>
        <w:ind w:left="480" w:right="0" w:hanging="480"/>
        <w:jc w:val="left"/>
        <w:rPr>
          <w:rFonts w:ascii="Arial" w:cs="Arial" w:eastAsia="Arial" w:hAnsi="Arial"/>
          <w:sz w:val="28"/>
          <w:szCs w:val="28"/>
        </w:rPr>
      </w:pPr>
      <w:hyperlink r:id="rId46">
        <w:r w:rsidDel="00000000" w:rsidR="00000000" w:rsidRPr="00000000">
          <w:rPr>
            <w:rFonts w:ascii="Arial" w:cs="Arial" w:eastAsia="Arial" w:hAnsi="Arial"/>
            <w:sz w:val="28"/>
            <w:szCs w:val="28"/>
            <w:rtl w:val="0"/>
          </w:rPr>
          <w:t xml:space="preserve">“What Is Community Policing? – Discover Policing.” n.d. Accessed January 12, 2020. </w:t>
        </w:r>
      </w:hyperlink>
      <w:hyperlink r:id="rId47">
        <w:r w:rsidDel="00000000" w:rsidR="00000000" w:rsidRPr="00000000">
          <w:rPr>
            <w:rFonts w:ascii="Arial" w:cs="Arial" w:eastAsia="Arial" w:hAnsi="Arial"/>
            <w:sz w:val="28"/>
            <w:szCs w:val="28"/>
            <w:rtl w:val="0"/>
          </w:rPr>
          <w:t xml:space="preserve">https://www.discoverpolicing.org/explore-the-field/what-is-community-policing/</w:t>
        </w:r>
      </w:hyperlink>
      <w:hyperlink r:id="rId48">
        <w:r w:rsidDel="00000000" w:rsidR="00000000" w:rsidRPr="00000000">
          <w:rPr>
            <w:rFonts w:ascii="Arial" w:cs="Arial" w:eastAsia="Arial" w:hAnsi="Arial"/>
            <w:sz w:val="28"/>
            <w:szCs w:val="28"/>
            <w:rtl w:val="0"/>
          </w:rPr>
          <w:t xml:space="preserve">.</w:t>
        </w:r>
      </w:hyperlink>
      <w:r w:rsidDel="00000000" w:rsidR="00000000" w:rsidRPr="00000000">
        <w:rPr>
          <w:rtl w:val="0"/>
        </w:rPr>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pPr>
      <w:r w:rsidDel="00000000" w:rsidR="00000000" w:rsidRPr="00000000">
        <w:rPr>
          <w:rtl w:val="0"/>
        </w:rPr>
      </w:r>
    </w:p>
    <w:sectPr>
      <w:headerReference r:id="rId49" w:type="default"/>
      <w:headerReference r:id="rId50" w:type="first"/>
      <w:footerReference r:id="rId51" w:type="first"/>
      <w:pgSz w:h="15840" w:w="12240"/>
      <w:pgMar w:bottom="1080" w:top="1080" w:left="1440" w:right="1440" w:header="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w:font w:name="PT Sans Narrow">
    <w:embedRegular w:fontKey="{00000000-0000-0000-0000-000000000000}" r:id="rId1" w:subsetted="0"/>
    <w:embedBold w:fontKey="{00000000-0000-0000-0000-000000000000}" r:id="rId2" w:subsetted="0"/>
  </w:font>
  <w:font w:name="Open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E">
    <w:pPr>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pStyle w:val="Subtitle"/>
      <w:pBdr>
        <w:top w:space="0" w:sz="0" w:val="nil"/>
        <w:left w:space="0" w:sz="0" w:val="nil"/>
        <w:bottom w:space="0" w:sz="0" w:val="nil"/>
        <w:right w:space="0" w:sz="0" w:val="nil"/>
        <w:between w:space="0" w:sz="0" w:val="nil"/>
      </w:pBdr>
      <w:shd w:fill="auto" w:val="clear"/>
      <w:spacing w:before="600" w:lineRule="auto"/>
      <w:ind w:right="0"/>
      <w:jc w:val="right"/>
      <w:rPr/>
    </w:pPr>
    <w:bookmarkStart w:colFirst="0" w:colLast="0" w:name="_9nvcibv3gama" w:id="1"/>
    <w:bookmarkEnd w:id="1"/>
    <w:r w:rsidDel="00000000" w:rsidR="00000000" w:rsidRPr="00000000">
      <w:rPr>
        <w:color w:val="000000"/>
        <w:rtl w:val="0"/>
      </w:rPr>
      <w:t xml:space="preserve">  </w:t>
    </w: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C">
    <w:pPr>
      <w:pBdr>
        <w:top w:space="0" w:sz="0" w:val="nil"/>
        <w:left w:space="0" w:sz="0" w:val="nil"/>
        <w:bottom w:space="0" w:sz="0" w:val="nil"/>
        <w:right w:space="0" w:sz="0" w:val="nil"/>
        <w:between w:space="0" w:sz="0" w:val="nil"/>
      </w:pBdr>
      <w:shd w:fill="auto" w:val="clear"/>
      <w:spacing w:after="200" w:lineRule="auto"/>
      <w:rPr/>
    </w:pPr>
    <w:r w:rsidDel="00000000" w:rsidR="00000000" w:rsidRPr="00000000">
      <w:rPr/>
      <w:drawing>
        <wp:inline distB="114300" distT="114300" distL="114300" distR="114300">
          <wp:extent cx="5916349" cy="104775"/>
          <wp:effectExtent b="0" l="0" r="0" t="0"/>
          <wp:docPr descr="horizontal line" id="1" name="image1.png"/>
          <a:graphic>
            <a:graphicData uri="http://schemas.openxmlformats.org/drawingml/2006/picture">
              <pic:pic>
                <pic:nvPicPr>
                  <pic:cNvPr descr="horizontal line" id="0" name="image1.png"/>
                  <pic:cNvPicPr preferRelativeResize="0"/>
                </pic:nvPicPr>
                <pic:blipFill>
                  <a:blip r:embed="rId1"/>
                  <a:srcRect b="-32286" l="0" r="0" t="0"/>
                  <a:stretch>
                    <a:fillRect/>
                  </a:stretch>
                </pic:blipFill>
                <pic:spPr>
                  <a:xfrm>
                    <a:off x="0" y="0"/>
                    <a:ext cx="5916349" cy="104775"/>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D">
    <w:pPr>
      <w:pBdr>
        <w:top w:space="0" w:sz="0" w:val="nil"/>
        <w:left w:space="0" w:sz="0" w:val="nil"/>
        <w:bottom w:space="0" w:sz="0" w:val="nil"/>
        <w:right w:space="0" w:sz="0" w:val="nil"/>
        <w:between w:space="0" w:sz="0" w:val="nil"/>
      </w:pBdr>
      <w:shd w:fill="auto" w:val="clear"/>
      <w:spacing w:before="600" w:line="240" w:lineRule="auto"/>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color w:val="695d46"/>
        <w:sz w:val="22"/>
        <w:szCs w:val="22"/>
        <w:lang w:val="en"/>
      </w:rPr>
    </w:rPrDefault>
    <w:pPrDefault>
      <w:pPr>
        <w:spacing w:before="120" w:line="288"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0"/>
      <w:spacing w:before="480" w:line="312" w:lineRule="auto"/>
    </w:pPr>
    <w:rPr>
      <w:rFonts w:ascii="PT Sans Narrow" w:cs="PT Sans Narrow" w:eastAsia="PT Sans Narrow" w:hAnsi="PT Sans Narrow"/>
      <w:b w:val="1"/>
      <w:color w:val="ff5e0e"/>
      <w:sz w:val="36"/>
      <w:szCs w:val="36"/>
    </w:rPr>
  </w:style>
  <w:style w:type="paragraph" w:styleId="Heading2">
    <w:name w:val="heading 2"/>
    <w:basedOn w:val="Normal"/>
    <w:next w:val="Normal"/>
    <w:pPr>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320" w:line="240" w:lineRule="auto"/>
    </w:pPr>
    <w:rPr>
      <w:rFonts w:ascii="PT Sans Narrow" w:cs="PT Sans Narrow" w:eastAsia="PT Sans Narrow" w:hAnsi="PT Sans Narrow"/>
      <w:b w:val="1"/>
      <w:sz w:val="84"/>
      <w:szCs w:val="84"/>
    </w:rPr>
  </w:style>
  <w:style w:type="paragraph" w:styleId="Subtitle">
    <w:name w:val="Subtitle"/>
    <w:basedOn w:val="Normal"/>
    <w:next w:val="Normal"/>
    <w:pPr>
      <w:spacing w:before="200" w:line="240" w:lineRule="auto"/>
    </w:pPr>
    <w:rPr>
      <w:rFonts w:ascii="PT Sans Narrow" w:cs="PT Sans Narrow" w:eastAsia="PT Sans Narrow" w:hAnsi="PT Sans Narrow"/>
      <w:sz w:val="28"/>
      <w:szCs w:val="28"/>
    </w:rPr>
  </w:style>
</w:styles>
</file>

<file path=word/_rels/document.xml.rels><?xml version="1.0" encoding="UTF-8" standalone="yes"?><Relationships xmlns="http://schemas.openxmlformats.org/package/2006/relationships"><Relationship Id="rId40" Type="http://schemas.openxmlformats.org/officeDocument/2006/relationships/hyperlink" Target="http://paperpile.com/b/bpCS5h/HjGe" TargetMode="External"/><Relationship Id="rId42" Type="http://schemas.openxmlformats.org/officeDocument/2006/relationships/hyperlink" Target="http://paperpile.com/b/bpCS5h/HjGe" TargetMode="External"/><Relationship Id="rId41" Type="http://schemas.openxmlformats.org/officeDocument/2006/relationships/hyperlink" Target="https://www.college.police.uk/What-we-do/Standards/Guidelines/Neighbourhood-Policing/Pages/neighbourhood-policing-guidelines.aspx" TargetMode="External"/><Relationship Id="rId44" Type="http://schemas.openxmlformats.org/officeDocument/2006/relationships/hyperlink" Target="https://www.apccs.police.uk/role-of-the-pcc/" TargetMode="External"/><Relationship Id="rId43" Type="http://schemas.openxmlformats.org/officeDocument/2006/relationships/hyperlink" Target="http://paperpile.com/b/bpCS5h/xm4O" TargetMode="External"/><Relationship Id="rId46" Type="http://schemas.openxmlformats.org/officeDocument/2006/relationships/hyperlink" Target="http://paperpile.com/b/bpCS5h/Zt6L" TargetMode="External"/><Relationship Id="rId45" Type="http://schemas.openxmlformats.org/officeDocument/2006/relationships/hyperlink" Target="http://paperpile.com/b/bpCS5h/xm4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paperpile.com/c/bpCS5h/iKga" TargetMode="External"/><Relationship Id="rId48" Type="http://schemas.openxmlformats.org/officeDocument/2006/relationships/hyperlink" Target="http://paperpile.com/b/bpCS5h/Zt6L" TargetMode="External"/><Relationship Id="rId47" Type="http://schemas.openxmlformats.org/officeDocument/2006/relationships/hyperlink" Target="https://www.discoverpolicing.org/explore-the-field/what-is-community-policing/" TargetMode="External"/><Relationship Id="rId4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3.jpg"/><Relationship Id="rId8" Type="http://schemas.openxmlformats.org/officeDocument/2006/relationships/hyperlink" Target="https://paperpile.com/c/bpCS5h/0aQO" TargetMode="External"/><Relationship Id="rId31" Type="http://schemas.openxmlformats.org/officeDocument/2006/relationships/hyperlink" Target="http://paperpile.com/b/bpCS5h/v9uo" TargetMode="External"/><Relationship Id="rId30" Type="http://schemas.openxmlformats.org/officeDocument/2006/relationships/hyperlink" Target="http://paperpile.com/b/bpCS5h/J0bK" TargetMode="External"/><Relationship Id="rId33" Type="http://schemas.openxmlformats.org/officeDocument/2006/relationships/hyperlink" Target="http://paperpile.com/b/bpCS5h/v9uo" TargetMode="External"/><Relationship Id="rId32" Type="http://schemas.openxmlformats.org/officeDocument/2006/relationships/hyperlink" Target="http://paperpile.com/b/bpCS5h/v9uo" TargetMode="External"/><Relationship Id="rId35" Type="http://schemas.openxmlformats.org/officeDocument/2006/relationships/hyperlink" Target="http://paperpile.com/b/bpCS5h/0aQO" TargetMode="External"/><Relationship Id="rId34" Type="http://schemas.openxmlformats.org/officeDocument/2006/relationships/hyperlink" Target="http://paperpile.com/b/bpCS5h/0aQO" TargetMode="External"/><Relationship Id="rId37" Type="http://schemas.openxmlformats.org/officeDocument/2006/relationships/hyperlink" Target="http://paperpile.com/b/bpCS5h/JQWv" TargetMode="External"/><Relationship Id="rId36" Type="http://schemas.openxmlformats.org/officeDocument/2006/relationships/hyperlink" Target="http://paperpile.com/b/bpCS5h/0aQO" TargetMode="External"/><Relationship Id="rId39" Type="http://schemas.openxmlformats.org/officeDocument/2006/relationships/hyperlink" Target="http://paperpile.com/b/bpCS5h/JQWv" TargetMode="External"/><Relationship Id="rId38" Type="http://schemas.openxmlformats.org/officeDocument/2006/relationships/hyperlink" Target="http://paperpile.com/b/bpCS5h/JQWv" TargetMode="External"/><Relationship Id="rId20" Type="http://schemas.openxmlformats.org/officeDocument/2006/relationships/hyperlink" Target="http://paperpile.com/b/bpCS5h/iKga" TargetMode="External"/><Relationship Id="rId22" Type="http://schemas.openxmlformats.org/officeDocument/2006/relationships/hyperlink" Target="http://paperpile.com/b/bpCS5h/sXkx" TargetMode="External"/><Relationship Id="rId21" Type="http://schemas.openxmlformats.org/officeDocument/2006/relationships/hyperlink" Target="http://paperpile.com/b/bpCS5h/iKga" TargetMode="External"/><Relationship Id="rId24" Type="http://schemas.openxmlformats.org/officeDocument/2006/relationships/hyperlink" Target="http://paperpile.com/b/bpCS5h/sXkx" TargetMode="External"/><Relationship Id="rId23" Type="http://schemas.openxmlformats.org/officeDocument/2006/relationships/hyperlink" Target="https://www.college.police.uk/Pages/Home.aspx" TargetMode="External"/><Relationship Id="rId26" Type="http://schemas.openxmlformats.org/officeDocument/2006/relationships/hyperlink" Target="http://paperpile.com/b/bpCS5h/zZa2" TargetMode="External"/><Relationship Id="rId25" Type="http://schemas.openxmlformats.org/officeDocument/2006/relationships/hyperlink" Target="http://paperpile.com/b/bpCS5h/zZa2" TargetMode="External"/><Relationship Id="rId28" Type="http://schemas.openxmlformats.org/officeDocument/2006/relationships/hyperlink" Target="http://paperpile.com/b/bpCS5h/J0bK" TargetMode="External"/><Relationship Id="rId27" Type="http://schemas.openxmlformats.org/officeDocument/2006/relationships/hyperlink" Target="http://paperpile.com/b/bpCS5h/zZa2" TargetMode="External"/><Relationship Id="rId29" Type="http://schemas.openxmlformats.org/officeDocument/2006/relationships/hyperlink" Target="http://paperpile.com/b/bpCS5h/J0bK" TargetMode="External"/><Relationship Id="rId51" Type="http://schemas.openxmlformats.org/officeDocument/2006/relationships/footer" Target="footer1.xml"/><Relationship Id="rId50" Type="http://schemas.openxmlformats.org/officeDocument/2006/relationships/header" Target="header2.xml"/><Relationship Id="rId11" Type="http://schemas.openxmlformats.org/officeDocument/2006/relationships/hyperlink" Target="https://paperpile.com/c/bpCS5h/v9uo/?locator=432-449" TargetMode="External"/><Relationship Id="rId10" Type="http://schemas.openxmlformats.org/officeDocument/2006/relationships/hyperlink" Target="https://paperpile.com/c/bpCS5h/J0bK" TargetMode="External"/><Relationship Id="rId13" Type="http://schemas.openxmlformats.org/officeDocument/2006/relationships/hyperlink" Target="https://paperpile.com/c/bpCS5h/Zt6L" TargetMode="External"/><Relationship Id="rId12" Type="http://schemas.openxmlformats.org/officeDocument/2006/relationships/hyperlink" Target="https://paperpile.com/c/bpCS5h/JQWv" TargetMode="External"/><Relationship Id="rId15" Type="http://schemas.openxmlformats.org/officeDocument/2006/relationships/hyperlink" Target="https://paperpile.com/c/bpCS5h/zZa2" TargetMode="External"/><Relationship Id="rId14" Type="http://schemas.openxmlformats.org/officeDocument/2006/relationships/hyperlink" Target="https://paperpile.com/c/bpCS5h/sXkx" TargetMode="External"/><Relationship Id="rId17" Type="http://schemas.openxmlformats.org/officeDocument/2006/relationships/hyperlink" Target="https://paperpile.com/c/bpCS5h/HjGe" TargetMode="External"/><Relationship Id="rId16" Type="http://schemas.openxmlformats.org/officeDocument/2006/relationships/hyperlink" Target="https://paperpile.com/c/bpCS5h/xm4O" TargetMode="External"/><Relationship Id="rId19" Type="http://schemas.openxmlformats.org/officeDocument/2006/relationships/hyperlink" Target="http://paperpile.com/b/bpCS5h/iKga" TargetMode="External"/><Relationship Id="rId18" Type="http://schemas.openxmlformats.org/officeDocument/2006/relationships/hyperlink" Target="https://paperpile.com/c/bpCS5h/sXkx"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TSansNarrow-regular.ttf"/><Relationship Id="rId2" Type="http://schemas.openxmlformats.org/officeDocument/2006/relationships/font" Target="fonts/PTSansNarrow-bold.ttf"/><Relationship Id="rId3" Type="http://schemas.openxmlformats.org/officeDocument/2006/relationships/font" Target="fonts/OpenSans-regular.ttf"/><Relationship Id="rId4" Type="http://schemas.openxmlformats.org/officeDocument/2006/relationships/font" Target="fonts/OpenSans-bold.ttf"/><Relationship Id="rId5" Type="http://schemas.openxmlformats.org/officeDocument/2006/relationships/font" Target="fonts/OpenSans-italic.ttf"/><Relationship Id="rId6" Type="http://schemas.openxmlformats.org/officeDocument/2006/relationships/font" Target="fonts/Open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