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BB51CF" w14:textId="77777777" w:rsidR="001732C3" w:rsidRPr="00041958" w:rsidRDefault="001732C3" w:rsidP="00551A29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43EF8B5" w14:textId="77777777" w:rsidR="001732C3" w:rsidRPr="001732C3" w:rsidRDefault="001732C3" w:rsidP="001732C3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1732C3">
        <w:rPr>
          <w:rFonts w:ascii="Arial" w:hAnsi="Arial" w:cs="Arial"/>
          <w:b/>
          <w:bCs/>
          <w:i/>
          <w:iCs/>
          <w:sz w:val="40"/>
          <w:szCs w:val="40"/>
        </w:rPr>
        <w:t xml:space="preserve">Are Residential Care Homes Provide Genuine Person-Centred Care in the UK? </w:t>
      </w:r>
    </w:p>
    <w:p w14:paraId="737BFBD8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5818369" w14:textId="004D6AEF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In Against</w:t>
      </w:r>
    </w:p>
    <w:p w14:paraId="291B4C7E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2DC40A3" w14:textId="77777777" w:rsidR="001732C3" w:rsidRPr="001732C3" w:rsidRDefault="001732C3" w:rsidP="001732C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732C3">
        <w:rPr>
          <w:rFonts w:ascii="Arial" w:hAnsi="Arial" w:cs="Arial"/>
          <w:b/>
          <w:bCs/>
          <w:sz w:val="36"/>
          <w:szCs w:val="36"/>
        </w:rPr>
        <w:t>Student ID: 2239088</w:t>
      </w:r>
    </w:p>
    <w:p w14:paraId="46A87E5D" w14:textId="77777777" w:rsidR="001732C3" w:rsidRPr="001732C3" w:rsidRDefault="001732C3" w:rsidP="001732C3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90484C2" w14:textId="6AD09FD9" w:rsidR="001732C3" w:rsidRPr="001732C3" w:rsidRDefault="001732C3" w:rsidP="001732C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732C3">
        <w:rPr>
          <w:rFonts w:ascii="Arial" w:hAnsi="Arial" w:cs="Arial"/>
          <w:b/>
          <w:bCs/>
          <w:sz w:val="36"/>
          <w:szCs w:val="36"/>
        </w:rPr>
        <w:t xml:space="preserve">Student Name: </w:t>
      </w:r>
      <w:r>
        <w:rPr>
          <w:rFonts w:ascii="Arial" w:hAnsi="Arial" w:cs="Arial"/>
          <w:b/>
          <w:bCs/>
          <w:sz w:val="36"/>
          <w:szCs w:val="36"/>
        </w:rPr>
        <w:t>Somia Kauser</w:t>
      </w:r>
    </w:p>
    <w:p w14:paraId="4B6585D0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D4BB31E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02E949A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81B1B53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A3818F1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B6EB42D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04B8D3A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C1FD9D7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94FAEF8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A9D3C7D" w14:textId="77777777" w:rsidR="001732C3" w:rsidRDefault="001732C3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0A9E1C7" w14:textId="77777777" w:rsidR="001732C3" w:rsidRDefault="001732C3" w:rsidP="00A3238E">
      <w:pPr>
        <w:rPr>
          <w:rFonts w:ascii="Arial" w:hAnsi="Arial" w:cs="Arial"/>
          <w:b/>
          <w:bCs/>
          <w:sz w:val="36"/>
          <w:szCs w:val="36"/>
        </w:rPr>
      </w:pPr>
    </w:p>
    <w:p w14:paraId="3C891021" w14:textId="201F0259" w:rsidR="00551A29" w:rsidRPr="00551A29" w:rsidRDefault="00551A29" w:rsidP="00551A29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551A29">
        <w:rPr>
          <w:rFonts w:ascii="Arial" w:hAnsi="Arial" w:cs="Arial"/>
          <w:b/>
          <w:bCs/>
          <w:sz w:val="36"/>
          <w:szCs w:val="36"/>
        </w:rPr>
        <w:t>Reference list</w:t>
      </w:r>
      <w:r w:rsidR="00387333">
        <w:rPr>
          <w:rFonts w:ascii="Arial" w:hAnsi="Arial" w:cs="Arial"/>
          <w:b/>
          <w:bCs/>
          <w:sz w:val="36"/>
          <w:szCs w:val="36"/>
        </w:rPr>
        <w:t xml:space="preserve"> (opposing argument)</w:t>
      </w:r>
    </w:p>
    <w:p w14:paraId="713CA245" w14:textId="7E7C07F1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Anderson, P. (2023) </w:t>
      </w:r>
      <w:r w:rsidRPr="00551A29">
        <w:rPr>
          <w:rFonts w:ascii="Arial" w:hAnsi="Arial" w:cs="Arial"/>
          <w:i/>
          <w:iCs/>
        </w:rPr>
        <w:t>The Care Act and me: Ten years and counting | Research in Practice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Research in Practice</w:t>
      </w:r>
      <w:r w:rsidRPr="00551A29">
        <w:rPr>
          <w:rFonts w:ascii="Arial" w:hAnsi="Arial" w:cs="Arial"/>
        </w:rPr>
        <w:t xml:space="preserve">. Available at: </w:t>
      </w:r>
      <w:hyperlink r:id="rId4" w:history="1">
        <w:r w:rsidRPr="00551A29">
          <w:rPr>
            <w:rStyle w:val="Hyperlink"/>
            <w:rFonts w:ascii="Arial" w:hAnsi="Arial" w:cs="Arial"/>
          </w:rPr>
          <w:t>https://www.researchinpractice.org.uk/adults/news-views/2025/january/the-care-act-and-me-ten-years-and-counting/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E2A1A91" w14:textId="5F545F79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Barnes, D. </w:t>
      </w:r>
      <w:r w:rsidRPr="00551A29">
        <w:rPr>
          <w:rFonts w:ascii="Arial" w:hAnsi="Arial" w:cs="Arial"/>
          <w:i/>
          <w:iCs/>
        </w:rPr>
        <w:t>et al.</w:t>
      </w:r>
      <w:r w:rsidRPr="00551A29">
        <w:rPr>
          <w:rFonts w:ascii="Arial" w:hAnsi="Arial" w:cs="Arial"/>
        </w:rPr>
        <w:t xml:space="preserve"> (2017) ‘Personalisation and Social Care Assessment – the Care Act 2014’, </w:t>
      </w:r>
      <w:r w:rsidRPr="00551A29">
        <w:rPr>
          <w:rFonts w:ascii="Arial" w:hAnsi="Arial" w:cs="Arial"/>
          <w:i/>
          <w:iCs/>
        </w:rPr>
        <w:t>BJPsych Bulletin</w:t>
      </w:r>
      <w:r w:rsidRPr="00551A29">
        <w:rPr>
          <w:rFonts w:ascii="Arial" w:hAnsi="Arial" w:cs="Arial"/>
        </w:rPr>
        <w:t xml:space="preserve">, 41(3), pp. 176–180. Available at: </w:t>
      </w:r>
      <w:hyperlink r:id="rId5" w:history="1">
        <w:r w:rsidRPr="00551A29">
          <w:rPr>
            <w:rStyle w:val="Hyperlink"/>
            <w:rFonts w:ascii="Arial" w:hAnsi="Arial" w:cs="Arial"/>
          </w:rPr>
          <w:t>https://doi.org/10.1192/pb.bp.116.053660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7049FCEC" w14:textId="4F2163AB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BASW (2023) </w:t>
      </w:r>
      <w:r w:rsidRPr="00551A29">
        <w:rPr>
          <w:rFonts w:ascii="Arial" w:hAnsi="Arial" w:cs="Arial"/>
          <w:i/>
          <w:iCs/>
        </w:rPr>
        <w:t>Person-centred Care Made Simple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Basw.co.uk</w:t>
      </w:r>
      <w:r w:rsidRPr="00551A29">
        <w:rPr>
          <w:rFonts w:ascii="Arial" w:hAnsi="Arial" w:cs="Arial"/>
        </w:rPr>
        <w:t xml:space="preserve">. BASW. Available at: </w:t>
      </w:r>
      <w:hyperlink r:id="rId6" w:history="1">
        <w:r w:rsidRPr="00551A29">
          <w:rPr>
            <w:rStyle w:val="Hyperlink"/>
            <w:rFonts w:ascii="Arial" w:hAnsi="Arial" w:cs="Arial"/>
          </w:rPr>
          <w:t>https://basw.co.uk/policy-and-practice/resources/person-centred-care-made-simple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178D82D" w14:textId="716BBBB2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Baumann, A. and Crea-Arsenio, M. (2022) ‘Rights versus Risks: The Impact of Isolation on Residents and Families in Long-Term Care’, </w:t>
      </w:r>
      <w:r w:rsidRPr="00551A29">
        <w:rPr>
          <w:rFonts w:ascii="Arial" w:hAnsi="Arial" w:cs="Arial"/>
          <w:i/>
          <w:iCs/>
        </w:rPr>
        <w:t>Healthcare Policy | Politiques de Santé</w:t>
      </w:r>
      <w:r w:rsidRPr="00551A29">
        <w:rPr>
          <w:rFonts w:ascii="Arial" w:hAnsi="Arial" w:cs="Arial"/>
        </w:rPr>
        <w:t xml:space="preserve">, 17(SP), pp. 133–144. Available at: </w:t>
      </w:r>
      <w:hyperlink r:id="rId7" w:history="1">
        <w:r w:rsidRPr="00551A29">
          <w:rPr>
            <w:rStyle w:val="Hyperlink"/>
            <w:rFonts w:ascii="Arial" w:hAnsi="Arial" w:cs="Arial"/>
          </w:rPr>
          <w:t>https://doi.org/10.12927/hcpol.2022.26849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740A2CA8" w14:textId="44BB2D3D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Brookman, R. </w:t>
      </w:r>
      <w:r w:rsidRPr="00551A29">
        <w:rPr>
          <w:rFonts w:ascii="Arial" w:hAnsi="Arial" w:cs="Arial"/>
          <w:i/>
          <w:iCs/>
        </w:rPr>
        <w:t>et al.</w:t>
      </w:r>
      <w:r w:rsidRPr="00551A29">
        <w:rPr>
          <w:rFonts w:ascii="Arial" w:hAnsi="Arial" w:cs="Arial"/>
        </w:rPr>
        <w:t xml:space="preserve"> (2023) ‘Technology for dementia care: what would good technology look like and do, from carers’ perspectives?’, </w:t>
      </w:r>
      <w:r w:rsidRPr="00551A29">
        <w:rPr>
          <w:rFonts w:ascii="Arial" w:hAnsi="Arial" w:cs="Arial"/>
          <w:i/>
          <w:iCs/>
        </w:rPr>
        <w:t>BMC Geriatrics</w:t>
      </w:r>
      <w:r w:rsidRPr="00551A29">
        <w:rPr>
          <w:rFonts w:ascii="Arial" w:hAnsi="Arial" w:cs="Arial"/>
        </w:rPr>
        <w:t xml:space="preserve">, 23(1). Available at: </w:t>
      </w:r>
      <w:hyperlink r:id="rId8" w:history="1">
        <w:r w:rsidRPr="00551A29">
          <w:rPr>
            <w:rStyle w:val="Hyperlink"/>
            <w:rFonts w:ascii="Arial" w:hAnsi="Arial" w:cs="Arial"/>
          </w:rPr>
          <w:t>https://doi.org/10.1186/s12877-023-04530-9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56021F7" w14:textId="56B59530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Chisom Ijeoma Adirika </w:t>
      </w:r>
      <w:r w:rsidRPr="00551A29">
        <w:rPr>
          <w:rFonts w:ascii="Arial" w:hAnsi="Arial" w:cs="Arial"/>
          <w:i/>
          <w:iCs/>
        </w:rPr>
        <w:t>et al.</w:t>
      </w:r>
      <w:r w:rsidRPr="00551A29">
        <w:rPr>
          <w:rFonts w:ascii="Arial" w:hAnsi="Arial" w:cs="Arial"/>
        </w:rPr>
        <w:t xml:space="preserve"> (2025) </w:t>
      </w:r>
      <w:r w:rsidRPr="00551A29">
        <w:rPr>
          <w:rFonts w:ascii="Arial" w:hAnsi="Arial" w:cs="Arial"/>
          <w:i/>
          <w:iCs/>
        </w:rPr>
        <w:t>The role of digital health technologies in strengthening public health surveillance and disease prevention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https://www.researchgate.net/publication/390842275_The_role_of_digital_health_technologies_in_strengthening_public_health_surveillance_and_disease_prevention</w:t>
      </w:r>
      <w:r w:rsidRPr="00551A29">
        <w:rPr>
          <w:rFonts w:ascii="Arial" w:hAnsi="Arial" w:cs="Arial"/>
        </w:rPr>
        <w:t xml:space="preserve">. Available at: </w:t>
      </w:r>
      <w:hyperlink r:id="rId9" w:history="1">
        <w:r w:rsidRPr="00551A29">
          <w:rPr>
            <w:rStyle w:val="Hyperlink"/>
            <w:rFonts w:ascii="Arial" w:hAnsi="Arial" w:cs="Arial"/>
          </w:rPr>
          <w:t>https://doi.org/10.30574/ijsra.2024.13.2.2150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403E12B" w14:textId="701A2A53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Coulter, A. and Oldham, J. (2016) ‘Person-centred care: What Is It and How Do We Get there?’, </w:t>
      </w:r>
      <w:r w:rsidRPr="00551A29">
        <w:rPr>
          <w:rFonts w:ascii="Arial" w:hAnsi="Arial" w:cs="Arial"/>
          <w:i/>
          <w:iCs/>
        </w:rPr>
        <w:t>Future Hospital Journal</w:t>
      </w:r>
      <w:r w:rsidRPr="00551A29">
        <w:rPr>
          <w:rFonts w:ascii="Arial" w:hAnsi="Arial" w:cs="Arial"/>
        </w:rPr>
        <w:t xml:space="preserve">, 3(2), pp. 114–116. Available at: </w:t>
      </w:r>
      <w:hyperlink r:id="rId10" w:history="1">
        <w:r w:rsidRPr="00551A29">
          <w:rPr>
            <w:rStyle w:val="Hyperlink"/>
            <w:rFonts w:ascii="Arial" w:hAnsi="Arial" w:cs="Arial"/>
          </w:rPr>
          <w:t>https://doi.org/10.7861/futurehosp.3-2-114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</w:p>
    <w:p w14:paraId="73E1D954" w14:textId="5FD68C10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Daly, T.J. (2025) ‘The impact of staffing structures in long-term care homes on the quality of work-life and work outcomes of care-workers: A narrative scoping review’, </w:t>
      </w:r>
      <w:r w:rsidRPr="00551A29">
        <w:rPr>
          <w:rFonts w:ascii="Arial" w:hAnsi="Arial" w:cs="Arial"/>
          <w:i/>
          <w:iCs/>
        </w:rPr>
        <w:t>International Journal of Nursing Studies</w:t>
      </w:r>
      <w:r w:rsidRPr="00551A29">
        <w:rPr>
          <w:rFonts w:ascii="Arial" w:hAnsi="Arial" w:cs="Arial"/>
        </w:rPr>
        <w:t xml:space="preserve">, 174, pp. 105304–105304. Available at: </w:t>
      </w:r>
      <w:hyperlink r:id="rId11" w:history="1">
        <w:r w:rsidRPr="00551A29">
          <w:rPr>
            <w:rStyle w:val="Hyperlink"/>
            <w:rFonts w:ascii="Arial" w:hAnsi="Arial" w:cs="Arial"/>
          </w:rPr>
          <w:t>https://doi.org/10.1016/j.ijnurstu.2025.105304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A5B59E3" w14:textId="4225ED90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Department of Health &amp; Social Care (2025) </w:t>
      </w:r>
      <w:r w:rsidRPr="00551A29">
        <w:rPr>
          <w:rFonts w:ascii="Arial" w:hAnsi="Arial" w:cs="Arial"/>
          <w:i/>
          <w:iCs/>
        </w:rPr>
        <w:t>Care and Support Statutory Guidance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GOV.UK</w:t>
      </w:r>
      <w:r w:rsidRPr="00551A29">
        <w:rPr>
          <w:rFonts w:ascii="Arial" w:hAnsi="Arial" w:cs="Arial"/>
        </w:rPr>
        <w:t xml:space="preserve">. Department of Health and Social Care. Available at: </w:t>
      </w:r>
      <w:hyperlink r:id="rId12" w:history="1">
        <w:r w:rsidRPr="00551A29">
          <w:rPr>
            <w:rStyle w:val="Hyperlink"/>
            <w:rFonts w:ascii="Arial" w:hAnsi="Arial" w:cs="Arial"/>
          </w:rPr>
          <w:t>https://www.gov.uk/government/publications/care-act-statutory-guidance/care-and-support-statutory-guidance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D94225E" w14:textId="7843715E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Etherington, T. (2023) </w:t>
      </w:r>
      <w:r w:rsidRPr="00551A29">
        <w:rPr>
          <w:rFonts w:ascii="Arial" w:hAnsi="Arial" w:cs="Arial"/>
          <w:i/>
          <w:iCs/>
        </w:rPr>
        <w:t>Introduction to The Care Quality Commission (CQC): Who they are and what they do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www.theaccessgroup.com</w:t>
      </w:r>
      <w:r w:rsidRPr="00551A29">
        <w:rPr>
          <w:rFonts w:ascii="Arial" w:hAnsi="Arial" w:cs="Arial"/>
        </w:rPr>
        <w:t xml:space="preserve">. Available at: </w:t>
      </w:r>
      <w:hyperlink r:id="rId13" w:history="1">
        <w:r w:rsidRPr="00551A29">
          <w:rPr>
            <w:rStyle w:val="Hyperlink"/>
            <w:rFonts w:ascii="Arial" w:hAnsi="Arial" w:cs="Arial"/>
          </w:rPr>
          <w:t>https://www.theaccessgroup.com/en-gb/blog/hsc-introduction-to-the-care-quality-commission-cqc-who-they-are-and-what-they-do/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6F7663D" w14:textId="16EF0E66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Gandhi, A., Yu, H. and Grabowski, D.C. (2021) ‘High Nursing Staff Turnover In Nursing Homes Offers Important Quality Information’, </w:t>
      </w:r>
      <w:r w:rsidRPr="00551A29">
        <w:rPr>
          <w:rFonts w:ascii="Arial" w:hAnsi="Arial" w:cs="Arial"/>
          <w:i/>
          <w:iCs/>
        </w:rPr>
        <w:t>Health Affairs</w:t>
      </w:r>
      <w:r w:rsidRPr="00551A29">
        <w:rPr>
          <w:rFonts w:ascii="Arial" w:hAnsi="Arial" w:cs="Arial"/>
        </w:rPr>
        <w:t xml:space="preserve">, 40(3), pp. 384–391. Available at: </w:t>
      </w:r>
      <w:hyperlink r:id="rId14" w:history="1">
        <w:r w:rsidRPr="00551A29">
          <w:rPr>
            <w:rStyle w:val="Hyperlink"/>
            <w:rFonts w:ascii="Arial" w:hAnsi="Arial" w:cs="Arial"/>
          </w:rPr>
          <w:t>https://doi.org/10.1377/hlthaff.2020.00957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C19EFD4" w14:textId="6DA962AB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Ibrahim, J.E. </w:t>
      </w:r>
      <w:r w:rsidRPr="00551A29">
        <w:rPr>
          <w:rFonts w:ascii="Arial" w:hAnsi="Arial" w:cs="Arial"/>
          <w:i/>
          <w:iCs/>
        </w:rPr>
        <w:t>et al.</w:t>
      </w:r>
      <w:r w:rsidRPr="00551A29">
        <w:rPr>
          <w:rFonts w:ascii="Arial" w:hAnsi="Arial" w:cs="Arial"/>
        </w:rPr>
        <w:t xml:space="preserve"> (2019) ‘Managing risk for aging patients in long-term care: a narrative review of practices to support communication, documentation, and safe patient care practices’, </w:t>
      </w:r>
      <w:r w:rsidRPr="00551A29">
        <w:rPr>
          <w:rFonts w:ascii="Arial" w:hAnsi="Arial" w:cs="Arial"/>
          <w:i/>
          <w:iCs/>
        </w:rPr>
        <w:t>Risk Management and Healthcare Policy</w:t>
      </w:r>
      <w:r w:rsidRPr="00551A29">
        <w:rPr>
          <w:rFonts w:ascii="Arial" w:hAnsi="Arial" w:cs="Arial"/>
        </w:rPr>
        <w:t xml:space="preserve">, 12, pp. 31–39. Available at: </w:t>
      </w:r>
      <w:hyperlink r:id="rId15" w:history="1">
        <w:r w:rsidRPr="00551A29">
          <w:rPr>
            <w:rStyle w:val="Hyperlink"/>
            <w:rFonts w:ascii="Arial" w:hAnsi="Arial" w:cs="Arial"/>
          </w:rPr>
          <w:t>https://doi.org/10.2147/RMHP.S159073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7A125E4C" w14:textId="0C40093F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Liu, S. (2017) </w:t>
      </w:r>
      <w:r w:rsidRPr="00551A29">
        <w:rPr>
          <w:rFonts w:ascii="Arial" w:hAnsi="Arial" w:cs="Arial"/>
          <w:i/>
          <w:iCs/>
        </w:rPr>
        <w:t>Technology and Its Effect on Human Freedom and Privacy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Medium</w:t>
      </w:r>
      <w:r w:rsidRPr="00551A29">
        <w:rPr>
          <w:rFonts w:ascii="Arial" w:hAnsi="Arial" w:cs="Arial"/>
        </w:rPr>
        <w:t xml:space="preserve">. Available at: </w:t>
      </w:r>
      <w:hyperlink r:id="rId16" w:history="1">
        <w:r w:rsidRPr="00551A29">
          <w:rPr>
            <w:rStyle w:val="Hyperlink"/>
            <w:rFonts w:ascii="Arial" w:hAnsi="Arial" w:cs="Arial"/>
          </w:rPr>
          <w:t>https://medium.com/@sliu050/technology-and-its-effect-on-human-freedom-and-privacy-9531093c263c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DB871FC" w14:textId="631E57AA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Money, A. </w:t>
      </w:r>
      <w:r w:rsidRPr="00551A29">
        <w:rPr>
          <w:rFonts w:ascii="Arial" w:hAnsi="Arial" w:cs="Arial"/>
          <w:i/>
          <w:iCs/>
        </w:rPr>
        <w:t>et al.</w:t>
      </w:r>
      <w:r w:rsidRPr="00551A29">
        <w:rPr>
          <w:rFonts w:ascii="Arial" w:hAnsi="Arial" w:cs="Arial"/>
        </w:rPr>
        <w:t xml:space="preserve"> (2023) ‘Barriers and facilitators to older people’s engagement with online services: a qualitative study of adults aged 75+ years (Preprint)’, </w:t>
      </w:r>
      <w:r w:rsidRPr="00551A29">
        <w:rPr>
          <w:rFonts w:ascii="Arial" w:hAnsi="Arial" w:cs="Arial"/>
          <w:i/>
          <w:iCs/>
        </w:rPr>
        <w:t>JMIR aging</w:t>
      </w:r>
      <w:r w:rsidRPr="00551A29">
        <w:rPr>
          <w:rFonts w:ascii="Arial" w:hAnsi="Arial" w:cs="Arial"/>
        </w:rPr>
        <w:t xml:space="preserve">, 7. Available at: </w:t>
      </w:r>
      <w:hyperlink r:id="rId17" w:history="1">
        <w:r w:rsidRPr="00551A29">
          <w:rPr>
            <w:rStyle w:val="Hyperlink"/>
            <w:rFonts w:ascii="Arial" w:hAnsi="Arial" w:cs="Arial"/>
          </w:rPr>
          <w:t>https://doi.org/10.2196/46522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7F9AB70" w14:textId="7BA4D87E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OECD (2025) </w:t>
      </w:r>
      <w:r w:rsidRPr="00551A29">
        <w:rPr>
          <w:rFonts w:ascii="Arial" w:hAnsi="Arial" w:cs="Arial"/>
          <w:i/>
          <w:iCs/>
        </w:rPr>
        <w:t>Beyond Applause? Improving Working Conditions in Long-Term Care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OECD</w:t>
      </w:r>
      <w:r w:rsidRPr="00551A29">
        <w:rPr>
          <w:rFonts w:ascii="Arial" w:hAnsi="Arial" w:cs="Arial"/>
        </w:rPr>
        <w:t xml:space="preserve">. Available at: </w:t>
      </w:r>
      <w:hyperlink r:id="rId18" w:history="1">
        <w:r w:rsidRPr="00551A29">
          <w:rPr>
            <w:rStyle w:val="Hyperlink"/>
            <w:rFonts w:ascii="Arial" w:hAnsi="Arial" w:cs="Arial"/>
          </w:rPr>
          <w:t>https://www.oecd.org/en/publications/beyond-applause-improving-working-conditions-in-long-term-care_27d33ab3-en.html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032A7D3" w14:textId="6B57860A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Ovretveit, J. (2017) ‘Digital Technologies Supporting Person-Centered Integrated Care – A Perspective’, </w:t>
      </w:r>
      <w:r w:rsidRPr="00551A29">
        <w:rPr>
          <w:rFonts w:ascii="Arial" w:hAnsi="Arial" w:cs="Arial"/>
          <w:i/>
          <w:iCs/>
        </w:rPr>
        <w:t>International Journal of Integrated Care</w:t>
      </w:r>
      <w:r w:rsidRPr="00551A29">
        <w:rPr>
          <w:rFonts w:ascii="Arial" w:hAnsi="Arial" w:cs="Arial"/>
        </w:rPr>
        <w:t xml:space="preserve">, 17(4). Available at: </w:t>
      </w:r>
      <w:hyperlink r:id="rId19" w:history="1">
        <w:r w:rsidRPr="00551A29">
          <w:rPr>
            <w:rStyle w:val="Hyperlink"/>
            <w:rFonts w:ascii="Arial" w:hAnsi="Arial" w:cs="Arial"/>
          </w:rPr>
          <w:t>https://doi.org/10.5334/ijic.3051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25D3614" w14:textId="20307208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Pilnick, A. (2023) </w:t>
      </w:r>
      <w:r w:rsidRPr="00551A29">
        <w:rPr>
          <w:rFonts w:ascii="Arial" w:hAnsi="Arial" w:cs="Arial"/>
          <w:i/>
          <w:iCs/>
        </w:rPr>
        <w:t>Reconsidering Patient Centred Care Between Autonomy and Abandonment</w:t>
      </w:r>
      <w:r w:rsidRPr="00551A29">
        <w:rPr>
          <w:rFonts w:ascii="Arial" w:hAnsi="Arial" w:cs="Arial"/>
        </w:rPr>
        <w:t>. Emerald Publishing Limited.</w:t>
      </w:r>
      <w:r>
        <w:rPr>
          <w:rFonts w:ascii="Arial" w:hAnsi="Arial" w:cs="Arial"/>
        </w:rPr>
        <w:t xml:space="preserve"> </w:t>
      </w:r>
    </w:p>
    <w:p w14:paraId="1CF04A60" w14:textId="7249D2FE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SCIE (2025) </w:t>
      </w:r>
      <w:r w:rsidRPr="00551A29">
        <w:rPr>
          <w:rFonts w:ascii="Arial" w:hAnsi="Arial" w:cs="Arial"/>
          <w:i/>
          <w:iCs/>
        </w:rPr>
        <w:t>Safety and safeguarding in the care home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SCIE</w:t>
      </w:r>
      <w:r w:rsidRPr="00551A29">
        <w:rPr>
          <w:rFonts w:ascii="Arial" w:hAnsi="Arial" w:cs="Arial"/>
        </w:rPr>
        <w:t xml:space="preserve">. Available at: </w:t>
      </w:r>
      <w:hyperlink r:id="rId20" w:history="1">
        <w:r w:rsidRPr="00551A29">
          <w:rPr>
            <w:rStyle w:val="Hyperlink"/>
            <w:rFonts w:ascii="Arial" w:hAnsi="Arial" w:cs="Arial"/>
          </w:rPr>
          <w:t>https://www.scie.org.uk/safeguarding/adults/safety-and-safeguarding-in-the-care-home/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96205B0" w14:textId="7FA132B0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Smebye, K.L., Kirkevold, M. and Engedal, K. (2012) ‘How do persons with dementia participate in decision making related to health and daily care? A multi-case study’, </w:t>
      </w:r>
      <w:r w:rsidRPr="00551A29">
        <w:rPr>
          <w:rFonts w:ascii="Arial" w:hAnsi="Arial" w:cs="Arial"/>
          <w:i/>
          <w:iCs/>
        </w:rPr>
        <w:t>BMC Health Services Research</w:t>
      </w:r>
      <w:r w:rsidRPr="00551A29">
        <w:rPr>
          <w:rFonts w:ascii="Arial" w:hAnsi="Arial" w:cs="Arial"/>
        </w:rPr>
        <w:t xml:space="preserve">, 12(1). Available at: </w:t>
      </w:r>
      <w:hyperlink r:id="rId21" w:history="1">
        <w:r w:rsidRPr="00551A29">
          <w:rPr>
            <w:rStyle w:val="Hyperlink"/>
            <w:rFonts w:ascii="Arial" w:hAnsi="Arial" w:cs="Arial"/>
          </w:rPr>
          <w:t>https://doi.org/10.1186/1472-6963-12-241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0810F59" w14:textId="028A3E0E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The Health Foundation (2016) </w:t>
      </w:r>
      <w:r w:rsidRPr="00551A29">
        <w:rPr>
          <w:rFonts w:ascii="Arial" w:hAnsi="Arial" w:cs="Arial"/>
          <w:i/>
          <w:iCs/>
        </w:rPr>
        <w:t>Person-centred care made simple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The Health Foundation</w:t>
      </w:r>
      <w:r w:rsidRPr="00551A29">
        <w:rPr>
          <w:rFonts w:ascii="Arial" w:hAnsi="Arial" w:cs="Arial"/>
        </w:rPr>
        <w:t xml:space="preserve">. The Health Foundation, p. 6. Available at: </w:t>
      </w:r>
      <w:hyperlink r:id="rId22" w:history="1">
        <w:r w:rsidRPr="00551A29">
          <w:rPr>
            <w:rStyle w:val="Hyperlink"/>
            <w:rFonts w:ascii="Arial" w:hAnsi="Arial" w:cs="Arial"/>
          </w:rPr>
          <w:t>https://www.health.org.uk/sites/default/files/PersonCentredCareMadeSimple.pdf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2369E14" w14:textId="7863E842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WHO (2022) </w:t>
      </w:r>
      <w:r w:rsidRPr="00551A29">
        <w:rPr>
          <w:rFonts w:ascii="Arial" w:hAnsi="Arial" w:cs="Arial"/>
          <w:i/>
          <w:iCs/>
        </w:rPr>
        <w:t>Percentage of older people receiving long-term care at a residential care facility and at home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www.who.int</w:t>
      </w:r>
      <w:r w:rsidRPr="00551A29">
        <w:rPr>
          <w:rFonts w:ascii="Arial" w:hAnsi="Arial" w:cs="Arial"/>
        </w:rPr>
        <w:t xml:space="preserve">. Available at: </w:t>
      </w:r>
      <w:hyperlink r:id="rId23" w:history="1">
        <w:r w:rsidRPr="00551A29">
          <w:rPr>
            <w:rStyle w:val="Hyperlink"/>
            <w:rFonts w:ascii="Arial" w:hAnsi="Arial" w:cs="Arial"/>
          </w:rPr>
          <w:t>https://www.who.int/data/gho/indicator-metadata-registry/imr-details/percentage-of-older-people-receiving-long-term-care-at-a-residential-care-facility-and-at-home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45B2974" w14:textId="22621326" w:rsidR="00551A29" w:rsidRPr="00551A29" w:rsidRDefault="00551A29" w:rsidP="00551A29">
      <w:pPr>
        <w:rPr>
          <w:rFonts w:ascii="Arial" w:hAnsi="Arial" w:cs="Arial"/>
        </w:rPr>
      </w:pPr>
      <w:r w:rsidRPr="00551A29">
        <w:rPr>
          <w:rFonts w:ascii="Arial" w:hAnsi="Arial" w:cs="Arial"/>
        </w:rPr>
        <w:t xml:space="preserve">Wienclaw, R.A. (2021) </w:t>
      </w:r>
      <w:r w:rsidRPr="00551A29">
        <w:rPr>
          <w:rFonts w:ascii="Arial" w:hAnsi="Arial" w:cs="Arial"/>
          <w:i/>
          <w:iCs/>
        </w:rPr>
        <w:t>Functionalist Perspective: Disengagement Theory | EBSCO</w:t>
      </w:r>
      <w:r w:rsidRPr="00551A29">
        <w:rPr>
          <w:rFonts w:ascii="Arial" w:hAnsi="Arial" w:cs="Arial"/>
        </w:rPr>
        <w:t xml:space="preserve">, </w:t>
      </w:r>
      <w:r w:rsidRPr="00551A29">
        <w:rPr>
          <w:rFonts w:ascii="Arial" w:hAnsi="Arial" w:cs="Arial"/>
          <w:i/>
          <w:iCs/>
        </w:rPr>
        <w:t>EBSCO Information Services, Inc. | www.ebsco.com</w:t>
      </w:r>
      <w:r w:rsidRPr="00551A29">
        <w:rPr>
          <w:rFonts w:ascii="Arial" w:hAnsi="Arial" w:cs="Arial"/>
        </w:rPr>
        <w:t xml:space="preserve">. Available at: </w:t>
      </w:r>
      <w:hyperlink r:id="rId24" w:history="1">
        <w:r w:rsidRPr="00551A29">
          <w:rPr>
            <w:rStyle w:val="Hyperlink"/>
            <w:rFonts w:ascii="Arial" w:hAnsi="Arial" w:cs="Arial"/>
          </w:rPr>
          <w:t>https://www.ebsco.com/research-starters/social-sciences-and-humanities/functionalist-perspective-disengagement-theory</w:t>
        </w:r>
      </w:hyperlink>
      <w:r w:rsidRPr="00551A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C36C87A" w14:textId="77777777" w:rsidR="00AE2224" w:rsidRPr="00551A29" w:rsidRDefault="00AE2224">
      <w:pPr>
        <w:rPr>
          <w:rFonts w:ascii="Arial" w:hAnsi="Arial" w:cs="Arial"/>
        </w:rPr>
      </w:pPr>
    </w:p>
    <w:sectPr w:rsidR="00AE2224" w:rsidRPr="00551A29" w:rsidSect="00033A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A29"/>
    <w:rsid w:val="00033A03"/>
    <w:rsid w:val="00041958"/>
    <w:rsid w:val="00064753"/>
    <w:rsid w:val="001732C3"/>
    <w:rsid w:val="002D38CD"/>
    <w:rsid w:val="00387333"/>
    <w:rsid w:val="003B2B5B"/>
    <w:rsid w:val="00551A29"/>
    <w:rsid w:val="00A3238E"/>
    <w:rsid w:val="00AE2224"/>
    <w:rsid w:val="00BD30C0"/>
    <w:rsid w:val="00D76C26"/>
    <w:rsid w:val="00DA5C26"/>
    <w:rsid w:val="00FE6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62609"/>
  <w15:chartTrackingRefBased/>
  <w15:docId w15:val="{B2CFB65A-A798-4C4B-AF1B-4CCFB8D1AD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1A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1A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1A2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1A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1A2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1A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1A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1A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1A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A2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1A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1A2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1A2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1A2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1A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1A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1A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1A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1A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1A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1A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1A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1A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1A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1A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1A2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1A2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1A2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1A2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51A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A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877-023-04530-9" TargetMode="External" /><Relationship Id="rId13" Type="http://schemas.openxmlformats.org/officeDocument/2006/relationships/hyperlink" Target="https://www.theaccessgroup.com/en-gb/blog/hsc-introduction-to-the-care-quality-commission-cqc-who-they-are-and-what-they-do/" TargetMode="External" /><Relationship Id="rId18" Type="http://schemas.openxmlformats.org/officeDocument/2006/relationships/hyperlink" Target="https://www.oecd.org/en/publications/beyond-applause-improving-working-conditions-in-long-term-care_27d33ab3-en.html" TargetMode="External" /><Relationship Id="rId26" Type="http://schemas.openxmlformats.org/officeDocument/2006/relationships/theme" Target="theme/theme1.xml" /><Relationship Id="rId3" Type="http://schemas.openxmlformats.org/officeDocument/2006/relationships/webSettings" Target="webSettings.xml" /><Relationship Id="rId21" Type="http://schemas.openxmlformats.org/officeDocument/2006/relationships/hyperlink" Target="https://doi.org/10.1186/1472-6963-12-241" TargetMode="External" /><Relationship Id="rId7" Type="http://schemas.openxmlformats.org/officeDocument/2006/relationships/hyperlink" Target="https://doi.org/10.12927/hcpol.2022.26849" TargetMode="External" /><Relationship Id="rId12" Type="http://schemas.openxmlformats.org/officeDocument/2006/relationships/hyperlink" Target="https://www.gov.uk/government/publications/care-act-statutory-guidance/care-and-support-statutory-guidance" TargetMode="External" /><Relationship Id="rId17" Type="http://schemas.openxmlformats.org/officeDocument/2006/relationships/hyperlink" Target="https://doi.org/10.2196/46522" TargetMode="External" /><Relationship Id="rId25" Type="http://schemas.openxmlformats.org/officeDocument/2006/relationships/fontTable" Target="fontTable.xml" /><Relationship Id="rId2" Type="http://schemas.openxmlformats.org/officeDocument/2006/relationships/settings" Target="settings.xml" /><Relationship Id="rId16" Type="http://schemas.openxmlformats.org/officeDocument/2006/relationships/hyperlink" Target="https://medium.com/@sliu050/technology-and-its-effect-on-human-freedom-and-privacy-9531093c263c" TargetMode="External" /><Relationship Id="rId20" Type="http://schemas.openxmlformats.org/officeDocument/2006/relationships/hyperlink" Target="https://www.scie.org.uk/safeguarding/adults/safety-and-safeguarding-in-the-care-home/" TargetMode="External" /><Relationship Id="rId1" Type="http://schemas.openxmlformats.org/officeDocument/2006/relationships/styles" Target="styles.xml" /><Relationship Id="rId6" Type="http://schemas.openxmlformats.org/officeDocument/2006/relationships/hyperlink" Target="https://basw.co.uk/policy-and-practice/resources/person-centred-care-made-simple" TargetMode="External" /><Relationship Id="rId11" Type="http://schemas.openxmlformats.org/officeDocument/2006/relationships/hyperlink" Target="https://doi.org/10.1016/j.ijnurstu.2025.105304" TargetMode="External" /><Relationship Id="rId24" Type="http://schemas.openxmlformats.org/officeDocument/2006/relationships/hyperlink" Target="https://www.ebsco.com/research-starters/social-sciences-and-humanities/functionalist-perspective-disengagement-theory" TargetMode="External" /><Relationship Id="rId5" Type="http://schemas.openxmlformats.org/officeDocument/2006/relationships/hyperlink" Target="https://doi.org/10.1192/pb.bp.116.053660" TargetMode="External" /><Relationship Id="rId15" Type="http://schemas.openxmlformats.org/officeDocument/2006/relationships/hyperlink" Target="https://doi.org/10.2147/RMHP.S159073" TargetMode="External" /><Relationship Id="rId23" Type="http://schemas.openxmlformats.org/officeDocument/2006/relationships/hyperlink" Target="https://www.who.int/data/gho/indicator-metadata-registry/imr-details/percentage-of-older-people-receiving-long-term-care-at-a-residential-care-facility-and-at-home" TargetMode="External" /><Relationship Id="rId10" Type="http://schemas.openxmlformats.org/officeDocument/2006/relationships/hyperlink" Target="https://doi.org/10.7861/futurehosp.3-2-114" TargetMode="External" /><Relationship Id="rId19" Type="http://schemas.openxmlformats.org/officeDocument/2006/relationships/hyperlink" Target="https://doi.org/10.5334/ijic.3051" TargetMode="External" /><Relationship Id="rId4" Type="http://schemas.openxmlformats.org/officeDocument/2006/relationships/hyperlink" Target="https://www.researchinpractice.org.uk/adults/news-views/2025/january/the-care-act-and-me-ten-years-and-counting/" TargetMode="External" /><Relationship Id="rId9" Type="http://schemas.openxmlformats.org/officeDocument/2006/relationships/hyperlink" Target="https://doi.org/10.30574/ijsra.2024.13.2.2150" TargetMode="External" /><Relationship Id="rId14" Type="http://schemas.openxmlformats.org/officeDocument/2006/relationships/hyperlink" Target="https://doi.org/10.1377/hlthaff.2020.00957" TargetMode="External" /><Relationship Id="rId22" Type="http://schemas.openxmlformats.org/officeDocument/2006/relationships/hyperlink" Target="https://www.health.org.uk/sites/default/files/PersonCentredCareMadeSimple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1063</Words>
  <Characters>6061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Somia Kauser</dc:creator>
  <cp:keywords/>
  <dc:description/>
  <cp:lastModifiedBy>Somia Kausar (2239088)</cp:lastModifiedBy>
  <cp:revision>2</cp:revision>
  <dcterms:created xsi:type="dcterms:W3CDTF">2026-03-12T20:32:00Z</dcterms:created>
  <dcterms:modified xsi:type="dcterms:W3CDTF">2026-03-12T20:32:00Z</dcterms:modified>
</cp:coreProperties>
</file>