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drawing>
          <wp:inline distT="0" distB="0" distL="114300" distR="114300">
            <wp:extent cx="6645275" cy="4429125"/>
            <wp:effectExtent l="0" t="0" r="9525" b="3175"/>
            <wp:docPr id="3" name="http://photo-static-api.fotomore.com/creative/vcg/veer/400/new/VCG41N643957016.jpg?uid=386&amp;timestamp=1689865233&amp;sign=0eecf2605564c6c9f916bdfbca725f32" descr="templates\picture_hover\&amp;pky240_sjzg_VCG41N643957016&amp;"/>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0&quot;,&quot;origin&quot;:0,&quot;type&quot;:&quot;pictures&quot;,&quot;user&quot;:&quot;986166349&quot;}"/>
                  </s:tag>
                </a:ext>
              </a:extLst>
            </wp:cNvGraphicFramePr>
            <a:graphic xmlns:a="http://schemas.openxmlformats.org/drawingml/2006/main">
              <a:graphicData uri="http://schemas.openxmlformats.org/drawingml/2006/picture">
                <pic:pic xmlns:pic="http://schemas.openxmlformats.org/drawingml/2006/picture">
                  <pic:nvPicPr>
                    <pic:cNvPr id="3" name="http://photo-static-api.fotomore.com/creative/vcg/veer/400/new/VCG41N643957016.jpg?uid=386&amp;timestamp=1689865233&amp;sign=0eecf2605564c6c9f916bdfbca725f32" descr="templates\picture_hover\&amp;pky240_sjzg_VCG41N643957016&amp;"/>
                    <pic:cNvPicPr>
                      <a:picLocks noChangeAspect="1"/>
                    </pic:cNvPicPr>
                  </pic:nvPicPr>
                  <pic:blipFill>
                    <a:blip r:embed="rId7"/>
                    <a:stretch>
                      <a:fillRect/>
                    </a:stretch>
                  </pic:blipFill>
                  <pic:spPr>
                    <a:xfrm>
                      <a:off x="0" y="0"/>
                      <a:ext cx="6645275" cy="4429125"/>
                    </a:xfrm>
                    <a:prstGeom prst="rect">
                      <a:avLst/>
                    </a:prstGeom>
                  </pic:spPr>
                </pic:pic>
              </a:graphicData>
            </a:graphic>
          </wp:inline>
        </w:drawing>
      </w:r>
    </w:p>
    <w:p>
      <w:pPr>
        <w:jc w:val="left"/>
        <w:rPr>
          <w:rFonts w:hint="default" w:ascii="Times New Roman" w:hAnsi="Times New Roman" w:cs="Times New Roman"/>
          <w:b/>
          <w:bCs/>
          <w:i/>
          <w:iCs/>
          <w:sz w:val="44"/>
          <w:szCs w:val="44"/>
        </w:rPr>
      </w:pPr>
      <w:r>
        <w:rPr>
          <w:rFonts w:hint="default" w:ascii="Times New Roman" w:hAnsi="Times New Roman" w:cs="Times New Roman"/>
          <w:b/>
          <w:bCs/>
          <w:i/>
          <w:iCs/>
          <w:sz w:val="44"/>
          <w:szCs w:val="44"/>
        </w:rPr>
        <w:t>Im</w:t>
      </w:r>
      <w:bookmarkStart w:id="7" w:name="_GoBack"/>
      <w:bookmarkEnd w:id="7"/>
      <w:r>
        <w:rPr>
          <w:rFonts w:hint="default" w:ascii="Times New Roman" w:hAnsi="Times New Roman" w:cs="Times New Roman"/>
          <w:b/>
          <w:bCs/>
          <w:i/>
          <w:iCs/>
          <w:sz w:val="44"/>
          <w:szCs w:val="44"/>
        </w:rPr>
        <w:t xml:space="preserve">proving </w:t>
      </w:r>
      <w:r>
        <w:rPr>
          <w:rFonts w:hint="default" w:ascii="Times New Roman" w:hAnsi="Times New Roman" w:cs="Times New Roman"/>
          <w:b/>
          <w:bCs/>
          <w:i/>
          <w:iCs/>
          <w:sz w:val="44"/>
          <w:szCs w:val="44"/>
        </w:rPr>
        <w:t xml:space="preserve">Tesco's </w:t>
      </w:r>
      <w:r>
        <w:rPr>
          <w:rFonts w:hint="default" w:ascii="Times New Roman" w:hAnsi="Times New Roman" w:cs="Times New Roman"/>
          <w:b/>
          <w:bCs/>
          <w:i/>
          <w:iCs/>
          <w:sz w:val="44"/>
          <w:szCs w:val="44"/>
        </w:rPr>
        <w:t>HR priority areas</w:t>
      </w:r>
    </w:p>
    <w:p>
      <w:pPr>
        <w:jc w:val="left"/>
        <w:rPr>
          <w:rFonts w:hint="default" w:ascii="Times New Roman" w:hAnsi="Times New Roman" w:cs="Times New Roman"/>
          <w:b/>
          <w:bCs/>
          <w:i/>
          <w:iCs/>
          <w:sz w:val="44"/>
          <w:szCs w:val="44"/>
        </w:rPr>
      </w:pPr>
    </w:p>
    <w:p>
      <w:pPr>
        <w:jc w:val="left"/>
        <w:rPr>
          <w:rFonts w:hint="default" w:ascii="Times New Roman" w:hAnsi="Times New Roman" w:cs="Times New Roman"/>
          <w:b/>
          <w:bCs/>
          <w:i/>
          <w:iCs/>
          <w:sz w:val="44"/>
          <w:szCs w:val="44"/>
        </w:rPr>
      </w:pPr>
    </w:p>
    <w:p>
      <w:pPr>
        <w:jc w:val="left"/>
        <w:rPr>
          <w:rFonts w:hint="default" w:ascii="Times New Roman" w:hAnsi="Times New Roman" w:cs="Times New Roman"/>
          <w:b/>
          <w:bCs/>
          <w:i/>
          <w:iCs/>
          <w:sz w:val="44"/>
          <w:szCs w:val="44"/>
        </w:rPr>
      </w:pPr>
    </w:p>
    <w:p>
      <w:pPr>
        <w:jc w:val="left"/>
        <w:rPr>
          <w:rFonts w:hint="default" w:ascii="Times New Roman" w:hAnsi="Times New Roman" w:cs="Times New Roman"/>
          <w:sz w:val="22"/>
          <w:szCs w:val="22"/>
        </w:rPr>
      </w:pPr>
    </w:p>
    <w:p>
      <w:pPr>
        <w:pStyle w:val="3"/>
        <w:bidi w:val="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MODULE NAME:Human Resource Management</w:t>
      </w: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rPr>
        <w:t>MODULE</w:t>
      </w:r>
      <w:r>
        <w:rPr>
          <w:rFonts w:hint="eastAsia" w:ascii="Times New Roman" w:hAnsi="Times New Roman" w:eastAsia="宋体" w:cs="Times New Roman"/>
          <w:b/>
          <w:bCs/>
          <w:sz w:val="28"/>
          <w:szCs w:val="28"/>
          <w:lang w:val="en-US" w:eastAsia="zh-CN"/>
        </w:rPr>
        <w:t xml:space="preserve"> CODE</w:t>
      </w:r>
      <w:r>
        <w:rPr>
          <w:rFonts w:hint="default" w:ascii="Times New Roman" w:hAnsi="Times New Roman" w:cs="Times New Roman"/>
          <w:b/>
          <w:bCs/>
          <w:sz w:val="28"/>
          <w:szCs w:val="28"/>
        </w:rPr>
        <w:t>:BMMB7007</w:t>
      </w:r>
    </w:p>
    <w:p>
      <w:pPr>
        <w:pStyle w:val="3"/>
        <w:bidi w:val="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NAME:Jiaoxiu Liu</w:t>
      </w:r>
    </w:p>
    <w:p>
      <w:pPr>
        <w:pStyle w:val="3"/>
        <w:bidi w:val="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STUDENT NUMBER:2234155</w:t>
      </w:r>
    </w:p>
    <w:p>
      <w:pPr>
        <w:jc w:val="left"/>
        <w:rPr>
          <w:rFonts w:hint="default" w:ascii="Times New Roman" w:hAnsi="Times New Roman" w:cs="Times New Roman"/>
          <w:sz w:val="22"/>
          <w:szCs w:val="22"/>
        </w:rPr>
      </w:pPr>
    </w:p>
    <w:p>
      <w:pPr>
        <w:jc w:val="left"/>
        <w:rPr>
          <w:rFonts w:hint="default" w:ascii="Times New Roman" w:hAnsi="Times New Roman" w:cs="Times New Roman"/>
          <w:sz w:val="22"/>
          <w:szCs w:val="22"/>
        </w:rPr>
      </w:pPr>
    </w:p>
    <w:p>
      <w:pPr>
        <w:jc w:val="left"/>
        <w:rPr>
          <w:rFonts w:hint="default" w:ascii="Times New Roman" w:hAnsi="Times New Roman" w:cs="Times New Roman"/>
          <w:sz w:val="22"/>
          <w:szCs w:val="22"/>
        </w:rPr>
      </w:pPr>
    </w:p>
    <w:p>
      <w:pPr>
        <w:jc w:val="left"/>
        <w:rPr>
          <w:rFonts w:hint="default" w:ascii="Times New Roman" w:hAnsi="Times New Roman" w:cs="Times New Roman"/>
          <w:sz w:val="22"/>
          <w:szCs w:val="22"/>
        </w:rPr>
      </w:pPr>
    </w:p>
    <w:p>
      <w:pPr>
        <w:jc w:val="both"/>
        <w:rPr>
          <w:rFonts w:hint="default" w:ascii="Times New Roman" w:hAnsi="Times New Roman" w:cs="Times New Roman"/>
          <w:b/>
          <w:bCs/>
          <w:sz w:val="22"/>
          <w:szCs w:val="22"/>
          <w:lang w:val="en-US"/>
        </w:rPr>
      </w:pPr>
    </w:p>
    <w:p>
      <w:pPr>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Executive Summary</w:t>
      </w:r>
    </w:p>
    <w:p>
      <w:pPr>
        <w:jc w:val="both"/>
        <w:rPr>
          <w:rFonts w:hint="default" w:ascii="Times New Roman" w:hAnsi="Times New Roman" w:cs="Times New Roman"/>
          <w:sz w:val="24"/>
          <w:szCs w:val="24"/>
          <w:lang w:val="en-US"/>
        </w:rPr>
      </w:pPr>
      <w:r>
        <w:rPr>
          <w:rFonts w:hint="default" w:ascii="Times New Roman" w:hAnsi="Times New Roman"/>
          <w:sz w:val="24"/>
          <w:szCs w:val="24"/>
          <w:lang w:val="en-US"/>
        </w:rPr>
        <w:t>This report aims to evaluate Tesco's overall human resource management (HRM) strategy. It will review and assess the HRM policy, covering employee development and training at Tesco. Finally, based on the findings, the report will conclude with recommendations for improving and addressing issues within Tesco's HRM policy.</w:t>
      </w: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sdt>
      <w:sdtPr>
        <w:rPr>
          <w:rFonts w:ascii="宋体" w:hAnsi="宋体" w:eastAsia="宋体" w:cs="Times New Roman"/>
          <w:sz w:val="21"/>
          <w:lang w:val="en-GB" w:eastAsia="en-GB" w:bidi="ar-SA"/>
        </w:rPr>
        <w:id w:val="147457675"/>
        <w15:color w:val="DBDBDB"/>
        <w:docPartObj>
          <w:docPartGallery w:val="Table of Contents"/>
          <w:docPartUnique/>
        </w:docPartObj>
      </w:sdtPr>
      <w:sdtEndPr>
        <w:rPr>
          <w:rFonts w:hint="default" w:ascii="Times New Roman" w:hAnsi="Times New Roman" w:eastAsia="Times New Roman" w:cs="Times New Roman"/>
          <w:sz w:val="24"/>
          <w:szCs w:val="22"/>
          <w:lang w:val="en-GB" w:eastAsia="en-GB" w:bidi="ar-SA"/>
        </w:rPr>
      </w:sdtEndPr>
      <w:sdtContent>
        <w:p>
          <w:pPr>
            <w:spacing w:before="0" w:beforeLines="0" w:after="0" w:afterLines="0" w:line="480" w:lineRule="auto"/>
            <w:ind w:left="0" w:leftChars="0" w:right="0" w:rightChars="0" w:firstLine="0" w:firstLineChars="0"/>
            <w:jc w:val="center"/>
            <w:rPr>
              <w:rFonts w:hint="default" w:ascii="Times New Roman" w:hAnsi="Times New Roman" w:cs="Times New Roman"/>
              <w:sz w:val="28"/>
              <w:szCs w:val="28"/>
              <w:lang w:val="en-US"/>
            </w:rPr>
          </w:pPr>
          <w:r>
            <w:rPr>
              <w:rFonts w:hint="default" w:ascii="Times New Roman" w:hAnsi="Times New Roman" w:eastAsia="宋体" w:cs="Times New Roman"/>
              <w:sz w:val="28"/>
              <w:szCs w:val="28"/>
              <w:lang w:val="en-US"/>
            </w:rPr>
            <w:t>Table of Content</w:t>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"1-1" \h \u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_Toc13706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eastAsia="zh-CN"/>
            </w:rPr>
            <w:t>1.0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_Toc13706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_Toc6170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rPr>
            <w:t>2.0 HRM Strategy overview</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_Toc6170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_Toc15154 </w:instrText>
          </w:r>
          <w:r>
            <w:rPr>
              <w:rFonts w:hint="default" w:ascii="Times New Roman" w:hAnsi="Times New Roman" w:cs="Times New Roman"/>
              <w:sz w:val="28"/>
              <w:szCs w:val="28"/>
            </w:rPr>
            <w:fldChar w:fldCharType="separate"/>
          </w:r>
          <w:r>
            <w:rPr>
              <w:rFonts w:hint="default" w:ascii="Times New Roman" w:hAnsi="Times New Roman" w:cs="Times New Roman"/>
              <w:bCs/>
              <w:sz w:val="28"/>
              <w:szCs w:val="28"/>
              <w:lang w:val="en-US"/>
            </w:rPr>
            <w:t xml:space="preserve">3.0 Main Finding </w:t>
          </w:r>
          <w:r>
            <w:rPr>
              <w:rFonts w:hint="default" w:ascii="Times New Roman" w:hAnsi="Times New Roman" w:cs="Times New Roman"/>
              <w:bCs/>
              <w:i w:val="0"/>
              <w:iCs w:val="0"/>
              <w:sz w:val="28"/>
              <w:szCs w:val="28"/>
              <w:lang w:val="en-US"/>
            </w:rPr>
            <w:t>-Employee Development and Training at Tesco</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_Toc15154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_Toc8512 </w:instrText>
          </w:r>
          <w:r>
            <w:rPr>
              <w:rFonts w:hint="default" w:ascii="Times New Roman" w:hAnsi="Times New Roman" w:cs="Times New Roman"/>
              <w:sz w:val="28"/>
              <w:szCs w:val="28"/>
            </w:rPr>
            <w:fldChar w:fldCharType="separate"/>
          </w:r>
          <w:r>
            <w:rPr>
              <w:rFonts w:hint="default" w:ascii="Times New Roman" w:hAnsi="Times New Roman" w:cs="Times New Roman"/>
              <w:bCs/>
              <w:sz w:val="28"/>
              <w:szCs w:val="28"/>
              <w:lang w:val="en-US"/>
            </w:rPr>
            <w:t>Concl</w:t>
          </w:r>
          <w:r>
            <w:rPr>
              <w:rFonts w:hint="default" w:ascii="Times New Roman" w:hAnsi="Times New Roman" w:cs="Times New Roman"/>
              <w:sz w:val="28"/>
              <w:szCs w:val="28"/>
              <w:lang w:val="en-US"/>
            </w:rPr>
            <w:t>u</w:t>
          </w:r>
          <w:r>
            <w:rPr>
              <w:rFonts w:hint="default" w:ascii="Times New Roman" w:hAnsi="Times New Roman" w:cs="Times New Roman"/>
              <w:bCs/>
              <w:sz w:val="28"/>
              <w:szCs w:val="28"/>
              <w:lang w:val="en-US"/>
            </w:rPr>
            <w:t>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_Toc8512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_Toc12801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rPr>
            <w:t>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_Toc12801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_Toc25651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rPr>
            <w:t>Reference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_Toc25651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11"/>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_Toc22706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rPr>
            <w:t>Appendix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_Toc22706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spacing w:line="480" w:lineRule="auto"/>
            <w:jc w:val="both"/>
            <w:rPr>
              <w:rFonts w:hint="default" w:ascii="Times New Roman" w:hAnsi="Times New Roman" w:cs="Times New Roman"/>
              <w:sz w:val="22"/>
              <w:szCs w:val="22"/>
            </w:rPr>
          </w:pPr>
          <w:r>
            <w:rPr>
              <w:rFonts w:hint="default" w:ascii="Times New Roman" w:hAnsi="Times New Roman" w:cs="Times New Roman"/>
              <w:sz w:val="28"/>
              <w:szCs w:val="28"/>
            </w:rPr>
            <w:fldChar w:fldCharType="end"/>
          </w:r>
        </w:p>
      </w:sdtContent>
    </w:sdt>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jc w:val="both"/>
        <w:rPr>
          <w:rFonts w:hint="default" w:ascii="Times New Roman" w:hAnsi="Times New Roman" w:cs="Times New Roman"/>
          <w:sz w:val="22"/>
          <w:szCs w:val="22"/>
        </w:rPr>
      </w:pPr>
    </w:p>
    <w:p>
      <w:pPr>
        <w:pStyle w:val="2"/>
        <w:bidi w:val="0"/>
        <w:rPr>
          <w:rFonts w:hint="default"/>
          <w:sz w:val="24"/>
          <w:szCs w:val="24"/>
          <w:lang w:val="en-US" w:eastAsia="zh-CN"/>
        </w:rPr>
      </w:pPr>
      <w:bookmarkStart w:id="0" w:name="_Toc13706"/>
      <w:r>
        <w:rPr>
          <w:rFonts w:hint="default"/>
          <w:sz w:val="24"/>
          <w:szCs w:val="24"/>
          <w:lang w:val="en-US" w:eastAsia="zh-CN"/>
        </w:rPr>
        <w:t>1.0 Introduction</w:t>
      </w:r>
      <w:bookmarkEnd w:id="0"/>
    </w:p>
    <w:p>
      <w:pPr>
        <w:jc w:val="both"/>
        <w:rPr>
          <w:rFonts w:hint="default" w:ascii="Times New Roman" w:hAnsi="Times New Roman"/>
          <w:sz w:val="24"/>
          <w:szCs w:val="24"/>
          <w:lang w:val="en-US"/>
        </w:rPr>
      </w:pPr>
      <w:r>
        <w:rPr>
          <w:rFonts w:hint="default" w:ascii="Times New Roman" w:hAnsi="Times New Roman"/>
          <w:sz w:val="24"/>
          <w:szCs w:val="24"/>
          <w:lang w:val="en-US"/>
        </w:rPr>
        <w:t>Tesco, the world's second-largest retailer, was established by Jack Cohen in the UK in 1919 (Cushman and Burke, 2014). Over the years, Tesco has expanded its operations into various foreign markets, including China, India, Malaysia, Ireland, Poland, and the US, among others. However, its primary focus remains on the retailing market in the UK, which contributes to 60 percent of its total sales and profits (Chen, Sain and Guo, 2012). In addition to its geographical expansion, Tesco has diversified into different sectors such as clothing, financial services, telecommunications, electronics, internet services, and petrol (Rosnizam, et al., 2020).</w:t>
      </w:r>
    </w:p>
    <w:p>
      <w:pPr>
        <w:jc w:val="both"/>
        <w:rPr>
          <w:rFonts w:hint="default" w:ascii="Times New Roman" w:hAnsi="Times New Roman"/>
          <w:sz w:val="24"/>
          <w:szCs w:val="24"/>
          <w:lang w:val="en-US"/>
        </w:rPr>
      </w:pPr>
      <w:r>
        <w:rPr>
          <w:rFonts w:hint="default" w:ascii="Times New Roman" w:hAnsi="Times New Roman"/>
          <w:sz w:val="24"/>
          <w:szCs w:val="24"/>
          <w:lang w:val="en-US"/>
        </w:rPr>
        <w:t>Tesco's vision encompasses five key elements. Firstly, the corporation is committed to serving not only its customers but also its colleagues, investors, and communities (Jones and Comfort, 2019). Secondly, Tesco strives to provide ample opportunities for both customers and employees. Moreover, the company places great importance on innovation to better understand and meet customers' needs compared to other retailers (Bilinska, et al., 2019). It also emphasizes the effective utilization of global skills within local contexts to ensure sustainable growth. Finally, earning trust and loyalty from customers, colleagues, and communities is a fundamental mission for Tesco.</w:t>
      </w:r>
    </w:p>
    <w:p>
      <w:pPr>
        <w:jc w:val="both"/>
        <w:rPr>
          <w:rFonts w:hint="default" w:ascii="Times New Roman" w:hAnsi="Times New Roman" w:cs="Times New Roman"/>
          <w:sz w:val="24"/>
          <w:szCs w:val="24"/>
        </w:rPr>
      </w:pPr>
    </w:p>
    <w:p>
      <w:pPr>
        <w:pStyle w:val="2"/>
        <w:bidi w:val="0"/>
        <w:rPr>
          <w:rFonts w:hint="default"/>
          <w:sz w:val="24"/>
          <w:szCs w:val="24"/>
          <w:lang w:val="en-US"/>
        </w:rPr>
      </w:pPr>
      <w:bookmarkStart w:id="1" w:name="_Toc6170"/>
      <w:r>
        <w:rPr>
          <w:rFonts w:hint="default"/>
          <w:sz w:val="24"/>
          <w:szCs w:val="24"/>
          <w:lang w:val="en-US"/>
        </w:rPr>
        <w:t>2.0 HRM Strategy overview</w:t>
      </w:r>
      <w:bookmarkEnd w:id="1"/>
    </w:p>
    <w:p>
      <w:pPr>
        <w:jc w:val="both"/>
        <w:rPr>
          <w:rFonts w:hint="default" w:ascii="Times New Roman" w:hAnsi="Times New Roman"/>
          <w:sz w:val="24"/>
          <w:szCs w:val="24"/>
        </w:rPr>
      </w:pPr>
      <w:r>
        <w:rPr>
          <w:rFonts w:hint="default" w:ascii="Times New Roman" w:hAnsi="Times New Roman"/>
          <w:sz w:val="24"/>
          <w:szCs w:val="24"/>
          <w:lang w:val="en-US"/>
        </w:rPr>
        <w:t>S</w:t>
      </w:r>
      <w:r>
        <w:rPr>
          <w:rFonts w:hint="default" w:ascii="Times New Roman" w:hAnsi="Times New Roman"/>
          <w:sz w:val="24"/>
          <w:szCs w:val="24"/>
        </w:rPr>
        <w:t>trategy can be defined as "a systematic approach to discovering, formulating, and developing principles that, if followed consistently, will lead to long-term success"</w:t>
      </w:r>
      <w:r>
        <w:rPr>
          <w:rFonts w:hint="default" w:ascii="Times New Roman" w:hAnsi="Times New Roman"/>
          <w:sz w:val="24"/>
          <w:szCs w:val="24"/>
          <w:lang w:val="en-US"/>
        </w:rPr>
        <w:t xml:space="preserve"> (Robert, et al., 2002).</w:t>
      </w:r>
      <w:r>
        <w:rPr>
          <w:rFonts w:hint="default" w:ascii="Times New Roman" w:hAnsi="Times New Roman"/>
          <w:sz w:val="24"/>
          <w:szCs w:val="24"/>
        </w:rPr>
        <w:t xml:space="preserve"> In simpler terms, a strategy is a plan that guides a company in utilizing its resources effectively to achieve its goals. In the case of Tesco, the corporate strategy primarily revolves around the utilization of their own-brand products in key categories such as food, beverage, clothing, and home. Since 1997, Tesco has emphasized the importance of both customers and colleagues in their marketing approach</w:t>
      </w:r>
      <w:r>
        <w:rPr>
          <w:rFonts w:hint="default" w:ascii="Times New Roman" w:hAnsi="Times New Roman"/>
          <w:sz w:val="24"/>
          <w:szCs w:val="24"/>
          <w:lang w:val="en-US"/>
        </w:rPr>
        <w:t xml:space="preserve"> (Jones and Comfort, 2005)</w:t>
      </w:r>
      <w:r>
        <w:rPr>
          <w:rFonts w:hint="default" w:ascii="Times New Roman" w:hAnsi="Times New Roman"/>
          <w:sz w:val="24"/>
          <w:szCs w:val="24"/>
        </w:rPr>
        <w:t>. Additionally, Tesco's strategy includes the implementation of technological advancements, such as self-service tills and cameras, to reduce waiting times</w:t>
      </w:r>
      <w:r>
        <w:rPr>
          <w:rFonts w:hint="default" w:ascii="Times New Roman" w:hAnsi="Times New Roman"/>
          <w:sz w:val="24"/>
          <w:szCs w:val="24"/>
          <w:lang w:val="en-US"/>
        </w:rPr>
        <w:t xml:space="preserve"> (Gupta, et al., 2020)</w:t>
      </w:r>
      <w:r>
        <w:rPr>
          <w:rFonts w:hint="default" w:ascii="Times New Roman" w:hAnsi="Times New Roman"/>
          <w:sz w:val="24"/>
          <w:szCs w:val="24"/>
        </w:rPr>
        <w:t>.</w:t>
      </w:r>
    </w:p>
    <w:p>
      <w:pPr>
        <w:jc w:val="both"/>
        <w:rPr>
          <w:rFonts w:hint="default" w:ascii="Times New Roman" w:hAnsi="Times New Roman"/>
          <w:sz w:val="24"/>
          <w:szCs w:val="24"/>
          <w:lang w:val="en-US"/>
        </w:rPr>
      </w:pPr>
      <w:r>
        <w:rPr>
          <w:rFonts w:hint="default" w:ascii="Times New Roman" w:hAnsi="Times New Roman"/>
          <w:sz w:val="24"/>
          <w:szCs w:val="24"/>
          <w:lang w:val="en-US"/>
        </w:rPr>
        <w:t>HRM, encompasses all the activities aimed at organizing and coordinating the workforce within an organization or business (Ozkeser, 2019). The primary objective of human resource management is to establish and maintain a high-quality work environment that enables employees to achieve the company's performance and quality goals (Caliskan, 2010). The challenges posed by globalization have had a significant impact on HRM strategy, necessitating the development of an HR system that aligns with Tesco's business strategy. Within Tesco's HRM strategy, three key factors stand out. Firstly, training and development play a pivotal role (Gopalia, 2012), with the goal of equipping employees with the necessary knowledge, skills, and behaviors through training programs that can be applied to their day-to-day work activities. Secondly, effective communication and consultation are central to the HRM strategy (Mayrhofer, et al., 2000). Utilizing confidential surveys, telephone lines, and email addresses, Tesco seeks to identify and address workplace issues. Lastly, Tesco offers an appealing salary package and long-term incentive plans as part of its HRM strategy.</w:t>
      </w:r>
    </w:p>
    <w:p>
      <w:pPr>
        <w:jc w:val="both"/>
        <w:rPr>
          <w:rFonts w:hint="default" w:ascii="Times New Roman" w:hAnsi="Times New Roman"/>
          <w:sz w:val="24"/>
          <w:szCs w:val="24"/>
          <w:lang w:val="en-US"/>
        </w:rPr>
      </w:pPr>
      <w:r>
        <w:rPr>
          <w:rFonts w:hint="default" w:ascii="Times New Roman" w:hAnsi="Times New Roman"/>
          <w:sz w:val="24"/>
          <w:szCs w:val="24"/>
          <w:lang w:val="en-US"/>
        </w:rPr>
        <w:t>The primary focus of Tesco enterprise's workplace culture is centered around the customers (Woods, 2007). By establishing a customer-oriented culture, the organization ensures that the customers' needs are prioritized in all aspects of their operations. This includes activities such as event planning, introducing new products, setting goals, and recruitment, all of which are carried out with careful consideration for the welfare and requirements of the customers (Humby, Hunt and Philips, 2007). Customer-oriented enterprises recognize that continuous improvement in customer focus is essential for their success. This philosophy aligns the goals of the business with those of the customers.</w:t>
      </w:r>
    </w:p>
    <w:p>
      <w:pPr>
        <w:jc w:val="both"/>
        <w:rPr>
          <w:rFonts w:hint="default" w:ascii="Times New Roman" w:hAnsi="Times New Roman"/>
          <w:sz w:val="24"/>
          <w:szCs w:val="24"/>
          <w:lang w:val="en-US"/>
        </w:rPr>
      </w:pPr>
      <w:r>
        <w:rPr>
          <w:rFonts w:hint="default" w:ascii="Times New Roman" w:hAnsi="Times New Roman"/>
          <w:sz w:val="24"/>
          <w:szCs w:val="24"/>
          <w:lang w:val="en-US"/>
        </w:rPr>
        <w:t>Tesco is committed to fostering a positive and wholesome corporate culture by treating others with the same respect they expect to receive (Muller, Vermeulan and Glasbergen, 2012). This approach extends to how the enterprise interacts with its customers, as they believe that by treating customers respectfully, they will receive the same treatment in return. Consequently, this approach significantly contributes to the company's market performance and revenue generation, as customers prefer to shop with an organization that treats them well.</w:t>
      </w:r>
    </w:p>
    <w:p>
      <w:pPr>
        <w:jc w:val="both"/>
        <w:rPr>
          <w:rFonts w:hint="default" w:ascii="Times New Roman" w:hAnsi="Times New Roman"/>
          <w:sz w:val="24"/>
          <w:szCs w:val="24"/>
          <w:lang w:val="en-US"/>
        </w:rPr>
      </w:pPr>
    </w:p>
    <w:p>
      <w:pPr>
        <w:pStyle w:val="2"/>
        <w:bidi w:val="0"/>
        <w:rPr>
          <w:rFonts w:hint="default" w:ascii="Times New Roman" w:hAnsi="Times New Roman"/>
          <w:sz w:val="24"/>
          <w:szCs w:val="24"/>
          <w:u w:val="single"/>
          <w:lang w:val="en-US"/>
        </w:rPr>
      </w:pPr>
      <w:bookmarkStart w:id="2" w:name="_Toc15154"/>
      <w:r>
        <w:rPr>
          <w:rFonts w:hint="default" w:ascii="Times New Roman" w:hAnsi="Times New Roman"/>
          <w:b/>
          <w:bCs/>
          <w:sz w:val="24"/>
          <w:szCs w:val="24"/>
          <w:lang w:val="en-US"/>
        </w:rPr>
        <w:t xml:space="preserve">3.0 Main Finding </w:t>
      </w:r>
      <w:r>
        <w:rPr>
          <w:rFonts w:hint="default" w:ascii="Times New Roman" w:hAnsi="Times New Roman"/>
          <w:b/>
          <w:bCs/>
          <w:i w:val="0"/>
          <w:iCs w:val="0"/>
          <w:sz w:val="24"/>
          <w:szCs w:val="24"/>
          <w:u w:val="none"/>
          <w:lang w:val="en-US"/>
        </w:rPr>
        <w:t>-Employee Development and Training at Tesco</w:t>
      </w:r>
      <w:bookmarkEnd w:id="2"/>
    </w:p>
    <w:p>
      <w:pPr>
        <w:jc w:val="both"/>
        <w:rPr>
          <w:rFonts w:hint="default" w:ascii="Times New Roman" w:hAnsi="Times New Roman"/>
          <w:sz w:val="24"/>
          <w:szCs w:val="24"/>
          <w:u w:val="none"/>
          <w:lang w:val="en-US"/>
        </w:rPr>
      </w:pPr>
      <w:r>
        <w:rPr>
          <w:rFonts w:hint="default" w:ascii="Times New Roman" w:hAnsi="Times New Roman"/>
          <w:sz w:val="24"/>
          <w:szCs w:val="24"/>
          <w:u w:val="none"/>
          <w:lang w:val="en-US"/>
        </w:rPr>
        <w:t>The core functions of HRM encompass training and development, aiming to improve the current and future performance of employees (Masadeh, 2012). This can be achieved by elevating their knowledge and skills in a particular field through education or specialized training. By undergoing training, individuals are empowered to perform at their highest potential. Consequently, employees who receive training tend to demonstrate increased dedication to the organization, as they feel a sense of belonging and value. They are motivated to put forth determined efforts in their work (Deci, Olafsen and Ryan, 2017). Various forms of training options are available for employees.  Training serves as a reflection of the HR department's dedication and involvement within the organization. Considering the costs associated with training, it is essential to utilize resources judiciously. Therefore, it is crucial to provide the necessary training to the appropriate candidates.</w:t>
      </w:r>
    </w:p>
    <w:p>
      <w:pPr>
        <w:jc w:val="both"/>
        <w:rPr>
          <w:rFonts w:hint="default" w:ascii="Times New Roman" w:hAnsi="Times New Roman"/>
          <w:sz w:val="24"/>
          <w:szCs w:val="24"/>
          <w:u w:val="none"/>
          <w:lang w:val="en-US"/>
        </w:rPr>
      </w:pPr>
      <w:r>
        <w:rPr>
          <w:rFonts w:hint="default" w:ascii="Times New Roman" w:hAnsi="Times New Roman"/>
          <w:sz w:val="24"/>
          <w:szCs w:val="24"/>
          <w:u w:val="none"/>
          <w:lang w:val="en-US"/>
        </w:rPr>
        <w:t>Tesco implements various programs such as personality development and occupational advancement to enhance employees' dexterity and boost their confidence for the job (Walsh, 2015). The company recognizes the importance of customer satisfaction and loyalty as its primary objective is to offer the best prices to ensure customers stay with them. To retain customers, Tesco must not only provide favorable prices, quality products, and convenience but also prioritize excellent customer care (Mollah, 2014). A key aspect of achieving better customer service is the necessary training of employees, as not all of them possess the required skills and experience initially. Tesco provides different types of training programs, including the core skills program (aimed at improving customer interactions), winning in Europe (targeting employees in countries outside the UK), and the Excel program (ranging from basic to manager training) (Czerniawska, 2005). Tesco executes its training process effectively, resulting in outstanding performance from its employees. As a long-term strategy, Tesco is committed to maintaining a culture of continuous employee training, making it an integral part of the organizational ethos (Armstrong and Brown, 2006).</w:t>
      </w:r>
    </w:p>
    <w:p>
      <w:pPr>
        <w:jc w:val="both"/>
        <w:rPr>
          <w:rFonts w:hint="default" w:ascii="Times New Roman" w:hAnsi="Times New Roman"/>
          <w:sz w:val="24"/>
          <w:szCs w:val="24"/>
          <w:u w:val="none"/>
          <w:lang w:val="en-US"/>
        </w:rPr>
      </w:pPr>
      <w:r>
        <w:rPr>
          <w:rFonts w:hint="default" w:ascii="Times New Roman" w:hAnsi="Times New Roman"/>
          <w:sz w:val="24"/>
          <w:szCs w:val="24"/>
          <w:u w:val="none"/>
          <w:lang w:val="en-US"/>
        </w:rPr>
        <w:t>Besides, Tesco ensures equal treatment for all its employees, guaranteeing training and development opportunities for everyone working at the company (Ton, 2014). As Tesco operates globally, its workforce comprises individuals from diverse backgrounds. To provide appropriate training and development opportunities tailored to each employee, the company first identifies their training needs. By evaluating employee performance, Tesco can pinpoint any skills or experience gaps. This evaluation process assists both managers and employees in determining if they possess the necessary knowledge, skills, and resources to effectively carry out their jobs (Schuler, Jackson and Tarique, 2011). Annual reviews and career discussions enable employees to apply for suitable training programs based on their individual requirements.</w:t>
      </w:r>
    </w:p>
    <w:p>
      <w:pPr>
        <w:jc w:val="both"/>
        <w:rPr>
          <w:rFonts w:hint="default" w:ascii="Times New Roman" w:hAnsi="Times New Roman"/>
          <w:sz w:val="24"/>
          <w:szCs w:val="24"/>
          <w:u w:val="none"/>
          <w:lang w:val="en-US"/>
        </w:rPr>
      </w:pPr>
      <w:r>
        <w:rPr>
          <w:rFonts w:hint="default" w:ascii="Times New Roman" w:hAnsi="Times New Roman"/>
          <w:sz w:val="24"/>
          <w:szCs w:val="24"/>
          <w:u w:val="none"/>
          <w:lang w:val="en-US"/>
        </w:rPr>
        <w:t>For example, managers at Tesco's Headquarter, Distribution Centres, and Stores often spend a week working in a store, familiarizing themselves with different roles (Monte, 2021). Tesco's approach to training and development is well-organized and flexible, allowing individuals with potential and aspirations for higher or different positions to participate in skill and capability-building programs. Tesco primarily utilizes on-the-job training methods such as shadowing, coaching, mentoring, job rotation, or secondment (McBain, et al., 2012). Additionally, off-the-job training offers employees access to external courses conducted by qualified Tesco training staff or professional training organizations (Lloyd, 2005). Tesco also introduce internal project, which aims to develop new employees into managers by providing specific induction training from the beginning. This program allows newcomers to interact with other trainees and swiftly grasp the company's objectives (Brannen, Moore and Mughan, 2013). Tesco asserts that within just six months, an employee can progress to the first level of management while working as a team leader in Tesco stores.</w:t>
      </w:r>
    </w:p>
    <w:p>
      <w:pPr>
        <w:jc w:val="both"/>
        <w:rPr>
          <w:rFonts w:hint="default" w:ascii="Times New Roman" w:hAnsi="Times New Roman"/>
          <w:sz w:val="24"/>
          <w:szCs w:val="24"/>
          <w:u w:val="none"/>
          <w:lang w:val="en-US"/>
        </w:rPr>
      </w:pPr>
      <w:r>
        <w:rPr>
          <w:rFonts w:hint="default" w:ascii="Times New Roman" w:hAnsi="Times New Roman"/>
          <w:sz w:val="24"/>
          <w:szCs w:val="24"/>
          <w:u w:val="none"/>
          <w:lang w:val="en-US"/>
        </w:rPr>
        <w:t>Tesco places great emphasis on the training and progression of its employees. They have introduced a flexible training program that can be customized to suit the individual needs of each employee (Awadari and Kanwal, 2019). This program enables influential individuals to enhance their leadership abilities and develop other valuable skills. It encompasses both on-the-job and off-the-job training methods. On-the-job training methods include mentoring, job shadowing, job rotation, and coaching, while off-the-job training focuses on teaching communication, planning, organization, and teamwork (Bradley, 2019). Following the training, Tesco provides opportunities for employees to apply their newly acquired knowledge and skills. In order to ensure long-term growth and development of their staff, Tesco has implemented workshops, learning diaries, review sites, and self-evaluation as part of their comprehensive plan (Hammett and Mcmeikan, 1994).</w:t>
      </w:r>
    </w:p>
    <w:p>
      <w:pPr>
        <w:jc w:val="both"/>
        <w:rPr>
          <w:rFonts w:hint="default" w:ascii="Times New Roman" w:hAnsi="Times New Roman"/>
          <w:sz w:val="24"/>
          <w:szCs w:val="24"/>
          <w:u w:val="none"/>
          <w:lang w:val="en-US"/>
        </w:rPr>
      </w:pPr>
    </w:p>
    <w:p>
      <w:pPr>
        <w:pStyle w:val="2"/>
        <w:bidi w:val="0"/>
        <w:rPr>
          <w:rFonts w:hint="default" w:ascii="Times New Roman" w:hAnsi="Times New Roman"/>
          <w:b w:val="0"/>
          <w:bCs w:val="0"/>
          <w:sz w:val="24"/>
          <w:szCs w:val="24"/>
          <w:u w:val="none"/>
          <w:lang w:val="en-US"/>
        </w:rPr>
      </w:pPr>
      <w:bookmarkStart w:id="3" w:name="_Toc8512"/>
      <w:r>
        <w:rPr>
          <w:rFonts w:hint="default" w:ascii="Times New Roman" w:hAnsi="Times New Roman"/>
          <w:b/>
          <w:bCs/>
          <w:sz w:val="24"/>
          <w:szCs w:val="24"/>
          <w:u w:val="none"/>
          <w:lang w:val="en-US"/>
        </w:rPr>
        <w:t>Concl</w:t>
      </w:r>
      <w:r>
        <w:rPr>
          <w:rStyle w:val="10"/>
          <w:rFonts w:hint="default"/>
          <w:b/>
          <w:bCs w:val="0"/>
          <w:sz w:val="24"/>
          <w:szCs w:val="24"/>
          <w:lang w:val="en-US"/>
        </w:rPr>
        <w:t>u</w:t>
      </w:r>
      <w:r>
        <w:rPr>
          <w:rFonts w:hint="default" w:ascii="Times New Roman" w:hAnsi="Times New Roman"/>
          <w:b/>
          <w:bCs/>
          <w:sz w:val="24"/>
          <w:szCs w:val="24"/>
          <w:u w:val="none"/>
          <w:lang w:val="en-US"/>
        </w:rPr>
        <w:t>sion</w:t>
      </w:r>
      <w:bookmarkEnd w:id="3"/>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Tesco's success as a global retailer can be attributed to its strong HRM strategy, which prioritizes employee development and training. The company recognizes the importance of aligning HR practices with business goals, focusing on three key factors: training and development, effective communication and consultation, and competitive compensation.</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Training and development are essential in Tesco's HRM strategy. The company offers various programs to enhance employees' knowledge and skills, fostering a sense of value and motivation. By investing in training, Tesco ensures that employees perform at their best, leading to increased dedication and engagement. The company employs both on-the-job and off-the-job training methods, catering to individual needs through evaluations and career discussions. Effective communication and consultation are central to Tesco's HRM approach. The company provides platforms for employees to express their concerns and address workplace issues, creating a positive work environment and strengthening engagement. Furthermore, Tesco offers competitive compensation packages and long-term incentives to attract and retain top talent. Recognizing the importance of customer satisfaction, Tesco fosters a customer-oriented culture, treating customers with respect and prioritizing their needs.</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In summary, Tesco's HRM strategy, emphasizing employee development and training, effective communication, and competitive rewards, has played a significant role in its success. By investing in employees, Tesco creates a positive work environment, fosters engagement, and establishes itself as a customer-centric organization. These strategic initiatives have been crucial in Tesco's growth and market dominance in the retail industry. Nevertheless, Tesco's HR policy does have certain limitations. For instance, its extensive reliance on internal recruitment can result in an overemphasis on internal human resources, given its cost-effectiveness and easy accessibility. Consequently, the company may miss out on potential talent from external sources who aspire to join the organization.</w:t>
      </w:r>
    </w:p>
    <w:p>
      <w:pPr>
        <w:jc w:val="both"/>
        <w:rPr>
          <w:rFonts w:hint="default" w:ascii="Times New Roman" w:hAnsi="Times New Roman"/>
          <w:b w:val="0"/>
          <w:bCs w:val="0"/>
          <w:sz w:val="24"/>
          <w:szCs w:val="24"/>
          <w:u w:val="none"/>
          <w:lang w:val="en-US"/>
        </w:rPr>
      </w:pPr>
    </w:p>
    <w:p>
      <w:pPr>
        <w:pStyle w:val="2"/>
        <w:bidi w:val="0"/>
        <w:rPr>
          <w:rFonts w:hint="default"/>
          <w:sz w:val="24"/>
          <w:szCs w:val="24"/>
          <w:lang w:val="en-US"/>
        </w:rPr>
      </w:pPr>
      <w:bookmarkStart w:id="4" w:name="_Toc12801"/>
      <w:r>
        <w:rPr>
          <w:rFonts w:hint="default"/>
          <w:sz w:val="24"/>
          <w:szCs w:val="24"/>
          <w:lang w:val="en-US"/>
        </w:rPr>
        <w:t>Recommendations</w:t>
      </w:r>
      <w:bookmarkEnd w:id="4"/>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HR management is widely recognized as a strategic tool for gaining a competitive advantage in today's business landscape. Consequently, several recommendations are put forth to address existing problems, overcome challenges, and sustain the company's growth in the face of global influences.</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To ensure long-term success, it is essential to increase funding for training and development programs, enabling their full implementation to enhance the skills of the workforce (Rajasekar and Khan, 2013). Moreover, a comprehensive and structured program should be designed, considering departmental activities and individual career progression, to meet the training and development needs of the staff (Davila and Pina, 2018). Upgrading training facilities and logistics systems can create a conducive environment for trainees, fostering better engagement and deeper understanding of the training content.</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Tesco can adopt various techniques for monitoring HR performance, including observation of employee work, regular one-on-one conversations for status updates, self-monitoring tools for employees to track their actions (e.g., project plans, checklists, and activity logs), and reviewing work in progress (Oselin, 2009). Furthermore, popular methods like Blake and Moulton's Managerial grid and Management by Objective (MBO) can be utilized to assess employees' performance more accurately (Vargic and Luptakova, 2003), both for leaders and other employees. By aligning with the company's missions and visions, the management can contribute to growth not only through effective training and development programs but also by employing HR performance monitoring and assessment techniques.</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Regular assessment of employees is crucial for an organization to monitor their growth and training progress (Tannenbaum and Yuki, 1992). During training, employees are often required to fill out learning questionnaires, which assist instructors in evaluating their knowledge and skills at different stages of the program (Kirkpatrick, 2009). Additionally, employees can utilize self-assessment plans to gauge the effectiveness of the training for their own benefit. Following the completion of the training and development program, employees engage in debriefing sessions with their line managers and trainers (Coloma, Gibson and Packard, 2012), which serve to evaluate the overall success of the program. Throughout an employee's tenure, periodic assessments can be conducted to determine their utilization of the acquired training (Pyle, 1970).</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Feedback on a company's training and development program should be provided by workers, clients, managers, and trainers (Kennedy and Daim, 2010). Active participation in the evaluation process and the training program itself is expected from the participants, who should also approve of the overall evaluation process. Trainers play a crucial role in providing training, evaluating trainees, and maintaining communication with upper management to ensure the successful implementation of the training program and the generation of relevant reports (Pineda, 2010).</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Assessment procedures are formed and implemented by managers, who also provide funding if necessary. It is essential for managers to allocate sufficient funding to trainers so they can acquire all the necessary materials (Umble and Haft, 2003). When company leaders show support for the process, it fosters inclusivity and encourages employee engagement. The success of the process relies on its proper execution, which is further enhanced by close monitoring from managers. In order to obtain valid results, employee participation in the performance review process is crucial as their expertise is required to improve project implementation (Coronado and Antony, 2002). Despite the potential acceleration of the examination, cooperation among employees is necessary. Considering that the organization's customers are the primary beneficiaries of the evaluation, their cooperation with any data collection efforts is vital.</w:t>
      </w: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Tesco's global leadership in the supermarket industry and its success as a financial service provider can be attributed to the implementation of human resource practices aligned with Ulrich's (1997) classic theory of human resource management. These practices include training and development, reward schemes, employee advocacy, welfare measures, motivation, employee involvement in decision making, and performance appraisal. By adopting these practices, Tesco has experienced consistent growth in revenue, driven by increased customer loyalty and enhanced customer equity. This steady revenue growth can be attributed to the sustained sales volume resulting from these practices.</w:t>
      </w: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p>
    <w:p>
      <w:pPr>
        <w:pStyle w:val="2"/>
        <w:bidi w:val="0"/>
        <w:rPr>
          <w:rFonts w:hint="default"/>
          <w:sz w:val="24"/>
          <w:szCs w:val="24"/>
          <w:lang w:val="en-US"/>
        </w:rPr>
      </w:pPr>
      <w:bookmarkStart w:id="5" w:name="_Toc25651"/>
      <w:r>
        <w:rPr>
          <w:rFonts w:hint="default"/>
          <w:sz w:val="24"/>
          <w:szCs w:val="24"/>
          <w:lang w:val="en-US"/>
        </w:rPr>
        <w:t>Reference</w:t>
      </w:r>
      <w:bookmarkEnd w:id="5"/>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Cushman, D., Burke, J., Cushman, D. and Burke, J., 2014. Introduction: Tesco PLC—an Open Business. </w:t>
      </w:r>
      <w:r>
        <w:rPr>
          <w:rFonts w:hint="default" w:ascii="Times New Roman" w:hAnsi="Times New Roman" w:eastAsia="宋体" w:cs="Times New Roman"/>
          <w:i/>
          <w:iCs/>
          <w:caps w:val="0"/>
          <w:color w:val="222222"/>
          <w:spacing w:val="0"/>
          <w:sz w:val="24"/>
          <w:szCs w:val="24"/>
          <w:shd w:val="clear" w:fill="FFFFFF"/>
        </w:rPr>
        <w:t>The 10 Principles of Open Business: Building success in today’s open economy</w:t>
      </w:r>
      <w:r>
        <w:rPr>
          <w:rFonts w:hint="default" w:ascii="Times New Roman" w:hAnsi="Times New Roman" w:eastAsia="宋体" w:cs="Times New Roman"/>
          <w:i w:val="0"/>
          <w:iCs w:val="0"/>
          <w:caps w:val="0"/>
          <w:color w:val="222222"/>
          <w:spacing w:val="0"/>
          <w:sz w:val="24"/>
          <w:szCs w:val="24"/>
          <w:shd w:val="clear" w:fill="FFFFFF"/>
        </w:rPr>
        <w:t>, pp.10-23.</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"https://doi.org/10.1057/9781137347046_3"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https://doi.org/10.1057/9781137347046_3</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Chen, D., Sain, S.L. and Guo, K., 2012. Data mining for the online retail industry: A case study of RFM model-based customer segmentation using data mining. </w:t>
      </w:r>
      <w:r>
        <w:rPr>
          <w:rFonts w:hint="default" w:ascii="Times New Roman" w:hAnsi="Times New Roman" w:eastAsia="宋体" w:cs="Times New Roman"/>
          <w:i/>
          <w:iCs/>
          <w:caps w:val="0"/>
          <w:color w:val="222222"/>
          <w:spacing w:val="0"/>
          <w:sz w:val="24"/>
          <w:szCs w:val="24"/>
          <w:shd w:val="clear" w:fill="FFFFFF"/>
        </w:rPr>
        <w:t>Journal of Database Marketing &amp; Customer Strategy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19</w:t>
      </w:r>
      <w:r>
        <w:rPr>
          <w:rFonts w:hint="default" w:ascii="Times New Roman" w:hAnsi="Times New Roman" w:eastAsia="宋体" w:cs="Times New Roman"/>
          <w:i w:val="0"/>
          <w:iCs w:val="0"/>
          <w:caps w:val="0"/>
          <w:color w:val="222222"/>
          <w:spacing w:val="0"/>
          <w:sz w:val="24"/>
          <w:szCs w:val="24"/>
          <w:shd w:val="clear" w:fill="FFFFFF"/>
        </w:rPr>
        <w:t>, pp.197-208.</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"https://doi.org/10.1057/dbm.2012.17"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https://doi.org/10.1057/dbm.2012.17</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Rosnizam, M.R.A.B., Kee, D.M.H., Akhir, M.E.H.B.M., Shahqira, M., Yusoff, M.A.H.B.M., Budiman, R.S. and Alajmi, A.M., 2020. Market opportunities and challenges: A case study of Tesco. </w:t>
      </w:r>
      <w:r>
        <w:rPr>
          <w:rFonts w:hint="default" w:ascii="Times New Roman" w:hAnsi="Times New Roman" w:eastAsia="宋体" w:cs="Times New Roman"/>
          <w:i/>
          <w:iCs/>
          <w:caps w:val="0"/>
          <w:color w:val="222222"/>
          <w:spacing w:val="0"/>
          <w:sz w:val="24"/>
          <w:szCs w:val="24"/>
          <w:shd w:val="clear" w:fill="FFFFFF"/>
        </w:rPr>
        <w:t>Journal of the community development in Asia</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w:t>
      </w:r>
      <w:r>
        <w:rPr>
          <w:rFonts w:hint="default" w:ascii="Times New Roman" w:hAnsi="Times New Roman" w:eastAsia="宋体" w:cs="Times New Roman"/>
          <w:i w:val="0"/>
          <w:iCs w:val="0"/>
          <w:caps w:val="0"/>
          <w:color w:val="222222"/>
          <w:spacing w:val="0"/>
          <w:sz w:val="24"/>
          <w:szCs w:val="24"/>
          <w:shd w:val="clear" w:fill="FFFFFF"/>
        </w:rPr>
        <w:t>(2), pp.18-27.</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"https://doi.org/10.32535/jcda.v3i2.807"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https://doi.org/10.32535/jcda.v3i2.807</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Jones, P. and Comfort, D., 2019. Storytelling and corporate social responsibility reporting: A case study commentary on UK. food retailers. </w:t>
      </w:r>
      <w:r>
        <w:rPr>
          <w:rFonts w:hint="default" w:ascii="Times New Roman" w:hAnsi="Times New Roman" w:eastAsia="宋体" w:cs="Times New Roman"/>
          <w:i/>
          <w:iCs/>
          <w:caps w:val="0"/>
          <w:color w:val="222222"/>
          <w:spacing w:val="0"/>
          <w:sz w:val="24"/>
          <w:szCs w:val="24"/>
          <w:shd w:val="clear" w:fill="FFFFFF"/>
        </w:rPr>
        <w:t>Journal of Public Affairs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19</w:t>
      </w:r>
      <w:r>
        <w:rPr>
          <w:rFonts w:hint="default" w:ascii="Times New Roman" w:hAnsi="Times New Roman" w:eastAsia="宋体" w:cs="Times New Roman"/>
          <w:i w:val="0"/>
          <w:iCs w:val="0"/>
          <w:caps w:val="0"/>
          <w:color w:val="222222"/>
          <w:spacing w:val="0"/>
          <w:sz w:val="24"/>
          <w:szCs w:val="24"/>
          <w:shd w:val="clear" w:fill="FFFFFF"/>
        </w:rPr>
        <w:t>(4), p.e1834.</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"https://doi.org/10.1002/pa.1834"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https://doi.org/10.1002/pa.1834</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Bilińska-Reformat, K., Kucharska, B., Twardzik, M. and Dolega, L., 2019. Sustainable development concept and creation of innovative business models by retail chains. </w:t>
      </w:r>
      <w:r>
        <w:rPr>
          <w:rFonts w:hint="default" w:ascii="Times New Roman" w:hAnsi="Times New Roman" w:eastAsia="宋体" w:cs="Times New Roman"/>
          <w:i/>
          <w:iCs/>
          <w:caps w:val="0"/>
          <w:color w:val="222222"/>
          <w:spacing w:val="0"/>
          <w:sz w:val="24"/>
          <w:szCs w:val="24"/>
          <w:shd w:val="clear" w:fill="FFFFFF"/>
        </w:rPr>
        <w:t>International Journal of Retail &amp; Distribution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47</w:t>
      </w:r>
      <w:r>
        <w:rPr>
          <w:rFonts w:hint="default" w:ascii="Times New Roman" w:hAnsi="Times New Roman" w:eastAsia="宋体" w:cs="Times New Roman"/>
          <w:i w:val="0"/>
          <w:iCs w:val="0"/>
          <w:caps w:val="0"/>
          <w:color w:val="222222"/>
          <w:spacing w:val="0"/>
          <w:sz w:val="24"/>
          <w:szCs w:val="24"/>
          <w:shd w:val="clear" w:fill="FFFFFF"/>
        </w:rPr>
        <w:t>(1), pp.2-18.</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"https://doi.org/10.1108/IJRDM-04-2017-0071"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https://doi.org/10.1108/IJRDM-04-2017-0071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Robèrt, K.H., Schmidt-Bleek, B., De Larderel, J.A., Basile, G., Jansen, J.L., Kuehr, R., Thomas, P.P., Suzuki, M., Hawken, P. and Wackernagel, M., 2002. Strategic sustainable development—selection, design and synergies of applied tools. Journal of Cleaner production, 10(3), pp.197-214.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"https://doi.org/10.1016/S0959-6526(01)00061-0"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https://doi.org/10.1016/S0959-6526(01)00061-0</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Gupta, A., Srivastava, A., Anand, R. and Tomažič, T., 2020. Business application analytics and the internet of things: The connecting link. </w:t>
      </w:r>
      <w:r>
        <w:rPr>
          <w:rFonts w:hint="default" w:ascii="Times New Roman" w:hAnsi="Times New Roman" w:eastAsia="宋体" w:cs="Times New Roman"/>
          <w:i/>
          <w:iCs/>
          <w:caps w:val="0"/>
          <w:color w:val="222222"/>
          <w:spacing w:val="0"/>
          <w:sz w:val="24"/>
          <w:szCs w:val="24"/>
          <w:shd w:val="clear" w:fill="FFFFFF"/>
        </w:rPr>
        <w:t>New Age Analytics</w:t>
      </w:r>
      <w:r>
        <w:rPr>
          <w:rFonts w:hint="default" w:ascii="Times New Roman" w:hAnsi="Times New Roman" w:eastAsia="宋体" w:cs="Times New Roman"/>
          <w:i w:val="0"/>
          <w:iCs w:val="0"/>
          <w:caps w:val="0"/>
          <w:color w:val="222222"/>
          <w:spacing w:val="0"/>
          <w:sz w:val="24"/>
          <w:szCs w:val="24"/>
          <w:shd w:val="clear" w:fill="FFFFFF"/>
        </w:rPr>
        <w:t>, pp.249-273.</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Ozkeser, B., 2019. Impact of training on employee motivation in human resources management. </w:t>
      </w:r>
      <w:r>
        <w:rPr>
          <w:rFonts w:hint="default" w:ascii="Times New Roman" w:hAnsi="Times New Roman" w:eastAsia="宋体" w:cs="Times New Roman"/>
          <w:i/>
          <w:iCs/>
          <w:caps w:val="0"/>
          <w:color w:val="222222"/>
          <w:spacing w:val="0"/>
          <w:sz w:val="24"/>
          <w:szCs w:val="24"/>
          <w:shd w:val="clear" w:fill="FFFFFF"/>
        </w:rPr>
        <w:t>Procedia Computer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158</w:t>
      </w:r>
      <w:r>
        <w:rPr>
          <w:rFonts w:hint="default" w:ascii="Times New Roman" w:hAnsi="Times New Roman" w:eastAsia="宋体" w:cs="Times New Roman"/>
          <w:i w:val="0"/>
          <w:iCs w:val="0"/>
          <w:caps w:val="0"/>
          <w:color w:val="222222"/>
          <w:spacing w:val="0"/>
          <w:sz w:val="24"/>
          <w:szCs w:val="24"/>
          <w:shd w:val="clear" w:fill="FFFFFF"/>
        </w:rPr>
        <w:t>, pp.802-810.</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"https://doi.org/10.1016/j.procs.2019.09.117"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https://doi.org/10.1016/j.procs.2019.09.117</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Çalişkan, E.N., 2010. The impact of strategic human resource management on organizational performance. Journal of Naval Sciences and Engineering, 6(2), pp.100-116.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"https://dergipark.org.tr/en/pub/jnse/issue/9992/123483"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https://dergipark.org.tr/en/pub/jnse/issue/9992/123483</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Gopalia, A., 2012. Effectiveness of online recruitment and selection process: a case of Tesco. </w:t>
      </w:r>
      <w:r>
        <w:rPr>
          <w:rFonts w:hint="default" w:ascii="Times New Roman" w:hAnsi="Times New Roman" w:eastAsia="宋体" w:cs="Times New Roman"/>
          <w:i/>
          <w:iCs/>
          <w:caps w:val="0"/>
          <w:color w:val="222222"/>
          <w:spacing w:val="0"/>
          <w:sz w:val="24"/>
          <w:szCs w:val="24"/>
          <w:shd w:val="clear" w:fill="FFFFFF"/>
        </w:rPr>
        <w:t>World Applied Sciences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20</w:t>
      </w:r>
      <w:r>
        <w:rPr>
          <w:rFonts w:hint="default" w:ascii="Times New Roman" w:hAnsi="Times New Roman" w:eastAsia="宋体" w:cs="Times New Roman"/>
          <w:i w:val="0"/>
          <w:iCs w:val="0"/>
          <w:caps w:val="0"/>
          <w:color w:val="222222"/>
          <w:spacing w:val="0"/>
          <w:sz w:val="24"/>
          <w:szCs w:val="24"/>
          <w:shd w:val="clear" w:fill="FFFFFF"/>
        </w:rPr>
        <w:t>(8), pp.1152-1158.</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Mayrhofer, W., Brewster, C., Morley, M. and Gunnigle, P., 2000. Communication, consultation and the HRM debate. In </w:t>
      </w:r>
      <w:r>
        <w:rPr>
          <w:rFonts w:hint="default" w:ascii="Times New Roman" w:hAnsi="Times New Roman" w:eastAsia="宋体" w:cs="Times New Roman"/>
          <w:i/>
          <w:iCs/>
          <w:caps w:val="0"/>
          <w:color w:val="222222"/>
          <w:spacing w:val="0"/>
          <w:sz w:val="24"/>
          <w:szCs w:val="24"/>
          <w:shd w:val="clear" w:fill="FFFFFF"/>
        </w:rPr>
        <w:t>New challenges for European human resource management</w:t>
      </w:r>
      <w:r>
        <w:rPr>
          <w:rFonts w:hint="default" w:ascii="Times New Roman" w:hAnsi="Times New Roman" w:eastAsia="宋体" w:cs="Times New Roman"/>
          <w:i w:val="0"/>
          <w:iCs w:val="0"/>
          <w:caps w:val="0"/>
          <w:color w:val="222222"/>
          <w:spacing w:val="0"/>
          <w:sz w:val="24"/>
          <w:szCs w:val="24"/>
          <w:shd w:val="clear" w:fill="FFFFFF"/>
        </w:rPr>
        <w:t> (pp. 222-244). London: Palgrave Macmillan UK.</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"https://doi.org/10.1057/9780230597952_11"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https://doi.org/10.1057/9780230597952_11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Woods, M., 2007. Linking risk management to strategic controls: a case study of Tesco plc. International Journal of Risk Assessment and Management, 7(8), pp.1074-1088.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"https://doi.org/10.1504/IJRAM.2007.015295"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https://doi.org/10.1504/IJRAM.2007.015295</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Humby, C., Hunt, T. and Phillips, T., 2007. </w:t>
      </w:r>
      <w:r>
        <w:rPr>
          <w:rFonts w:hint="default" w:ascii="Times New Roman" w:hAnsi="Times New Roman" w:eastAsia="宋体" w:cs="Times New Roman"/>
          <w:i/>
          <w:iCs/>
          <w:caps w:val="0"/>
          <w:color w:val="222222"/>
          <w:spacing w:val="0"/>
          <w:sz w:val="24"/>
          <w:szCs w:val="24"/>
          <w:shd w:val="clear" w:fill="FFFFFF"/>
        </w:rPr>
        <w:t>Scoring points: How Tesco continues to win customer loyalty</w:t>
      </w:r>
      <w:r>
        <w:rPr>
          <w:rFonts w:hint="default" w:ascii="Times New Roman" w:hAnsi="Times New Roman" w:eastAsia="宋体" w:cs="Times New Roman"/>
          <w:i w:val="0"/>
          <w:iCs w:val="0"/>
          <w:caps w:val="0"/>
          <w:color w:val="222222"/>
          <w:spacing w:val="0"/>
          <w:sz w:val="24"/>
          <w:szCs w:val="24"/>
          <w:shd w:val="clear" w:fill="FFFFFF"/>
        </w:rPr>
        <w:t>. Kogan Page Publishers.</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Muller, C., Vermeulen, W.J. and Glasbergen, P., 2012. Pushing or sharing as value‐driven strategies for societal change in global supply chains: two case studies in the British–South African fresh fruit supply chain. </w:t>
      </w:r>
      <w:r>
        <w:rPr>
          <w:rFonts w:hint="default" w:ascii="Times New Roman" w:hAnsi="Times New Roman" w:eastAsia="宋体" w:cs="Times New Roman"/>
          <w:i/>
          <w:iCs/>
          <w:caps w:val="0"/>
          <w:color w:val="222222"/>
          <w:spacing w:val="0"/>
          <w:sz w:val="24"/>
          <w:szCs w:val="24"/>
          <w:shd w:val="clear" w:fill="FFFFFF"/>
        </w:rPr>
        <w:t>Business Strategy and the Environment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21</w:t>
      </w:r>
      <w:r>
        <w:rPr>
          <w:rFonts w:hint="default" w:ascii="Times New Roman" w:hAnsi="Times New Roman" w:eastAsia="宋体" w:cs="Times New Roman"/>
          <w:i w:val="0"/>
          <w:iCs w:val="0"/>
          <w:caps w:val="0"/>
          <w:color w:val="222222"/>
          <w:spacing w:val="0"/>
          <w:sz w:val="24"/>
          <w:szCs w:val="24"/>
          <w:shd w:val="clear" w:fill="FFFFFF"/>
        </w:rPr>
        <w:t>(2), pp.127-140.</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"https://doi.org/10.1002/bse.719"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https://doi.org/10.1002/bse.719</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Masadeh, M., 2012. Training, education, development and learning: what is the difference?. </w:t>
      </w:r>
      <w:r>
        <w:rPr>
          <w:rFonts w:hint="default" w:ascii="Times New Roman" w:hAnsi="Times New Roman" w:eastAsia="宋体" w:cs="Times New Roman"/>
          <w:i/>
          <w:iCs/>
          <w:caps w:val="0"/>
          <w:color w:val="222222"/>
          <w:spacing w:val="0"/>
          <w:sz w:val="24"/>
          <w:szCs w:val="24"/>
          <w:shd w:val="clear" w:fill="FFFFFF"/>
        </w:rPr>
        <w:t>European scientific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w:t>
      </w:r>
      <w:r>
        <w:rPr>
          <w:rFonts w:hint="default" w:ascii="Times New Roman" w:hAnsi="Times New Roman" w:eastAsia="宋体" w:cs="Times New Roman"/>
          <w:i w:val="0"/>
          <w:iCs w:val="0"/>
          <w:caps w:val="0"/>
          <w:color w:val="222222"/>
          <w:spacing w:val="0"/>
          <w:sz w:val="24"/>
          <w:szCs w:val="24"/>
          <w:shd w:val="clear" w:fill="FFFFFF"/>
        </w:rPr>
        <w:t>(10).</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Deci, E.L., Olafsen, A.H. and Ryan, R.M., 2017. Self-determination theory in work organizations: The state of a science. Annual review of organizational psychology and organizational behavior, 4, pp.19-43.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"https://doi.org/10.1146/annurev-orgpsych-032516-113108"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https://doi.org/10.1146/annurev-orgpsych-032516-113108</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Walsh, M., 2015. </w:t>
      </w:r>
      <w:r>
        <w:rPr>
          <w:rFonts w:hint="default" w:ascii="Times New Roman" w:hAnsi="Times New Roman" w:eastAsia="宋体" w:cs="Times New Roman"/>
          <w:i/>
          <w:iCs/>
          <w:caps w:val="0"/>
          <w:color w:val="222222"/>
          <w:spacing w:val="0"/>
          <w:sz w:val="24"/>
          <w:szCs w:val="24"/>
          <w:shd w:val="clear" w:fill="FFFFFF"/>
        </w:rPr>
        <w:t>An exploration of Employee Turnover of Front Line employees in Tesco</w:t>
      </w:r>
      <w:r>
        <w:rPr>
          <w:rFonts w:hint="default" w:ascii="Times New Roman" w:hAnsi="Times New Roman" w:eastAsia="宋体" w:cs="Times New Roman"/>
          <w:i w:val="0"/>
          <w:iCs w:val="0"/>
          <w:caps w:val="0"/>
          <w:color w:val="222222"/>
          <w:spacing w:val="0"/>
          <w:sz w:val="24"/>
          <w:szCs w:val="24"/>
          <w:shd w:val="clear" w:fill="FFFFFF"/>
        </w:rPr>
        <w:t> (Doctoral dissertation, Dublin, National College of Ireland).</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Mollah, A.S., 2014. The impact of relationship marketing on customer loyalty at Tesco Plc, UK. </w:t>
      </w:r>
      <w:r>
        <w:rPr>
          <w:rFonts w:hint="default" w:ascii="Times New Roman" w:hAnsi="Times New Roman" w:eastAsia="宋体" w:cs="Times New Roman"/>
          <w:i/>
          <w:iCs/>
          <w:caps w:val="0"/>
          <w:color w:val="222222"/>
          <w:spacing w:val="0"/>
          <w:sz w:val="24"/>
          <w:szCs w:val="24"/>
          <w:shd w:val="clear" w:fill="FFFFFF"/>
        </w:rPr>
        <w:t>European Journal of Business and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(3), pp.21-55.</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cs="Times New Roman"/>
          <w:b w:val="0"/>
          <w:bCs w:val="0"/>
          <w:sz w:val="24"/>
          <w:szCs w:val="24"/>
          <w:u w:val="none"/>
          <w:lang w:val="en-US"/>
        </w:rPr>
      </w:pPr>
      <w:r>
        <w:rPr>
          <w:rFonts w:hint="default" w:ascii="Times New Roman" w:hAnsi="Times New Roman" w:eastAsia="宋体" w:cs="Times New Roman"/>
          <w:i w:val="0"/>
          <w:iCs w:val="0"/>
          <w:caps w:val="0"/>
          <w:color w:val="222222"/>
          <w:spacing w:val="0"/>
          <w:sz w:val="24"/>
          <w:szCs w:val="24"/>
          <w:shd w:val="clear" w:fill="FFFFFF"/>
        </w:rPr>
        <w:t>Czerniawska, C., 2005. </w:t>
      </w:r>
      <w:r>
        <w:rPr>
          <w:rFonts w:hint="default" w:ascii="Times New Roman" w:hAnsi="Times New Roman" w:eastAsia="宋体" w:cs="Times New Roman"/>
          <w:i/>
          <w:iCs/>
          <w:caps w:val="0"/>
          <w:color w:val="222222"/>
          <w:spacing w:val="0"/>
          <w:sz w:val="24"/>
          <w:szCs w:val="24"/>
          <w:shd w:val="clear" w:fill="FFFFFF"/>
        </w:rPr>
        <w:t>Management consulting in practice: award-winning international case studies</w:t>
      </w:r>
      <w:r>
        <w:rPr>
          <w:rFonts w:hint="default" w:ascii="Times New Roman" w:hAnsi="Times New Roman" w:eastAsia="宋体" w:cs="Times New Roman"/>
          <w:i w:val="0"/>
          <w:iCs w:val="0"/>
          <w:caps w:val="0"/>
          <w:color w:val="222222"/>
          <w:spacing w:val="0"/>
          <w:sz w:val="24"/>
          <w:szCs w:val="24"/>
          <w:shd w:val="clear" w:fill="FFFFFF"/>
        </w:rPr>
        <w:t>. Kogan Page Publishers.</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cs="Times New Roman"/>
          <w:b w:val="0"/>
          <w:bCs w:val="0"/>
          <w:sz w:val="24"/>
          <w:szCs w:val="24"/>
          <w:u w:val="none"/>
          <w:lang w:val="en-US"/>
        </w:rPr>
      </w:pPr>
      <w:r>
        <w:rPr>
          <w:rFonts w:hint="default" w:ascii="Times New Roman" w:hAnsi="Times New Roman" w:eastAsia="宋体" w:cs="Times New Roman"/>
          <w:i w:val="0"/>
          <w:iCs w:val="0"/>
          <w:caps w:val="0"/>
          <w:color w:val="222222"/>
          <w:spacing w:val="0"/>
          <w:sz w:val="24"/>
          <w:szCs w:val="24"/>
          <w:shd w:val="clear" w:fill="FFFFFF"/>
        </w:rPr>
        <w:t>Armstrong, M. and Brown, D., 2006. </w:t>
      </w:r>
      <w:r>
        <w:rPr>
          <w:rFonts w:hint="default" w:ascii="Times New Roman" w:hAnsi="Times New Roman" w:eastAsia="宋体" w:cs="Times New Roman"/>
          <w:i/>
          <w:iCs/>
          <w:caps w:val="0"/>
          <w:color w:val="222222"/>
          <w:spacing w:val="0"/>
          <w:sz w:val="24"/>
          <w:szCs w:val="24"/>
          <w:shd w:val="clear" w:fill="FFFFFF"/>
        </w:rPr>
        <w:t>Strategic reward: making it happen</w:t>
      </w:r>
      <w:r>
        <w:rPr>
          <w:rFonts w:hint="default" w:ascii="Times New Roman" w:hAnsi="Times New Roman" w:eastAsia="宋体" w:cs="Times New Roman"/>
          <w:i w:val="0"/>
          <w:iCs w:val="0"/>
          <w:caps w:val="0"/>
          <w:color w:val="222222"/>
          <w:spacing w:val="0"/>
          <w:sz w:val="24"/>
          <w:szCs w:val="24"/>
          <w:shd w:val="clear" w:fill="FFFFFF"/>
        </w:rPr>
        <w:t>. Kogan Page Publishers.</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Ton, Z., 2014. </w:t>
      </w:r>
      <w:r>
        <w:rPr>
          <w:rFonts w:hint="default" w:ascii="Times New Roman" w:hAnsi="Times New Roman" w:eastAsia="宋体" w:cs="Times New Roman"/>
          <w:i/>
          <w:iCs/>
          <w:caps w:val="0"/>
          <w:color w:val="222222"/>
          <w:spacing w:val="0"/>
          <w:sz w:val="24"/>
          <w:szCs w:val="24"/>
          <w:shd w:val="clear" w:fill="FFFFFF"/>
        </w:rPr>
        <w:t>The good jobs strategy: How the smartest companies invest in employees to lower costs and boost profits</w:t>
      </w:r>
      <w:r>
        <w:rPr>
          <w:rFonts w:hint="default" w:ascii="Times New Roman" w:hAnsi="Times New Roman" w:eastAsia="宋体" w:cs="Times New Roman"/>
          <w:i w:val="0"/>
          <w:iCs w:val="0"/>
          <w:caps w:val="0"/>
          <w:color w:val="222222"/>
          <w:spacing w:val="0"/>
          <w:sz w:val="24"/>
          <w:szCs w:val="24"/>
          <w:shd w:val="clear" w:fill="FFFFFF"/>
        </w:rPr>
        <w:t>. Houghton Mifflin Harcourt.</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Schuler, R.S., Jackson, S.E. and Tarique, I., 2011. Global talent management and global talent challenges: Strategic opportunities for IHRM. </w:t>
      </w:r>
      <w:r>
        <w:rPr>
          <w:rFonts w:hint="default" w:ascii="Times New Roman" w:hAnsi="Times New Roman" w:eastAsia="宋体" w:cs="Times New Roman"/>
          <w:i/>
          <w:iCs/>
          <w:caps w:val="0"/>
          <w:color w:val="222222"/>
          <w:spacing w:val="0"/>
          <w:sz w:val="24"/>
          <w:szCs w:val="24"/>
          <w:shd w:val="clear" w:fill="FFFFFF"/>
        </w:rPr>
        <w:t>Journal of world business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46</w:t>
      </w:r>
      <w:r>
        <w:rPr>
          <w:rFonts w:hint="default" w:ascii="Times New Roman" w:hAnsi="Times New Roman" w:eastAsia="宋体" w:cs="Times New Roman"/>
          <w:i w:val="0"/>
          <w:iCs w:val="0"/>
          <w:caps w:val="0"/>
          <w:color w:val="222222"/>
          <w:spacing w:val="0"/>
          <w:sz w:val="24"/>
          <w:szCs w:val="24"/>
          <w:shd w:val="clear" w:fill="FFFFFF"/>
        </w:rPr>
        <w:t>(4), pp.506-516.</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"https://doi.org/10.1016/j.jwb.2010.10.011"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https://doi.org/10.1016/j.jwb.2010.10.011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Monte, A., 2021. A study of value chain reconfiguration processes under Covid-19 pressures: the case of Tesco PLC in the United Kingdom.</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olor w:val="222222"/>
          <w:spacing w:val="0"/>
          <w:sz w:val="24"/>
          <w:szCs w:val="24"/>
          <w:shd w:val="clear" w:fill="FFFFFF"/>
          <w:lang w:val="en-US"/>
        </w:rPr>
        <w:t>D</w:t>
      </w:r>
      <w:r>
        <w:rPr>
          <w:rFonts w:hint="default" w:ascii="Times New Roman" w:hAnsi="Times New Roman" w:eastAsia="宋体" w:cs="Times New Roman"/>
          <w:i w:val="0"/>
          <w:iCs w:val="0"/>
          <w:caps w:val="0"/>
          <w:color w:val="222222"/>
          <w:spacing w:val="0"/>
          <w:sz w:val="24"/>
          <w:szCs w:val="24"/>
          <w:shd w:val="clear" w:fill="FFFFFF"/>
          <w:lang w:val="en-US"/>
        </w:rPr>
        <w:t xml:space="preserve">oi: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McBain, R., Ghobadian, A., Switzer, J., Wilton, P., Woodman, P. and Pearson, G., 2012. The business benefits of management and leadership development. </w:t>
      </w:r>
      <w:r>
        <w:rPr>
          <w:rFonts w:hint="default" w:ascii="Times New Roman" w:hAnsi="Times New Roman" w:eastAsia="宋体" w:cs="Times New Roman"/>
          <w:i/>
          <w:iCs/>
          <w:caps w:val="0"/>
          <w:color w:val="222222"/>
          <w:spacing w:val="0"/>
          <w:sz w:val="24"/>
          <w:szCs w:val="24"/>
          <w:shd w:val="clear" w:fill="FFFFFF"/>
        </w:rPr>
        <w:t>CMI and Penna</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Lloyd, C., 2005. Competitive strategy and skills: working out the fit in the fitness industry. Human Resource Management Journal, 15(2), pp.15-34.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"https://doi.org/10.1111/j.1748-8583.2005.tb00144.x"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https://doi.org/10.1111/j.1748-8583.2005.tb00144.x</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Brannen, M.Y., Moore, F. and Mughan, T., 2013, September. Strategic ethnography and reinvigorating Tesco Plc: Leveraging inside/out bicultural bridging in multicultural teams. In </w:t>
      </w:r>
      <w:r>
        <w:rPr>
          <w:rFonts w:hint="default" w:ascii="Times New Roman" w:hAnsi="Times New Roman" w:eastAsia="宋体" w:cs="Times New Roman"/>
          <w:i/>
          <w:iCs/>
          <w:caps w:val="0"/>
          <w:color w:val="222222"/>
          <w:spacing w:val="0"/>
          <w:sz w:val="24"/>
          <w:szCs w:val="24"/>
          <w:shd w:val="clear" w:fill="FFFFFF"/>
        </w:rPr>
        <w:t>Ethnographic Praxis in Industry Conference Proceedings</w:t>
      </w:r>
      <w:r>
        <w:rPr>
          <w:rFonts w:hint="default" w:ascii="Times New Roman" w:hAnsi="Times New Roman" w:eastAsia="宋体" w:cs="Times New Roman"/>
          <w:i w:val="0"/>
          <w:iCs w:val="0"/>
          <w:caps w:val="0"/>
          <w:color w:val="222222"/>
          <w:spacing w:val="0"/>
          <w:sz w:val="24"/>
          <w:szCs w:val="24"/>
          <w:shd w:val="clear" w:fill="FFFFFF"/>
        </w:rPr>
        <w:t> (Vol. 2013, No. 1, pp. 282-299).</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"https://doi.org/10.1111/j.1559-8918.2013.00024.x"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https://doi.org/10.1111/j.1559-8918.2013.00024.x</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Awadari, A.C. and Kanwal, S., 2019. Employee participation in organizational change: A case of Tesco PLC. </w:t>
      </w:r>
      <w:r>
        <w:rPr>
          <w:rFonts w:hint="default" w:ascii="Times New Roman" w:hAnsi="Times New Roman" w:eastAsia="宋体" w:cs="Times New Roman"/>
          <w:i/>
          <w:iCs/>
          <w:caps w:val="0"/>
          <w:color w:val="222222"/>
          <w:spacing w:val="0"/>
          <w:sz w:val="24"/>
          <w:szCs w:val="24"/>
          <w:shd w:val="clear" w:fill="FFFFFF"/>
        </w:rPr>
        <w:t>International Journal of Financial, Accounting, and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(2), pp.91-99.</w:t>
      </w:r>
      <w:r>
        <w:rPr>
          <w:rFonts w:hint="default" w:ascii="Times New Roman" w:hAnsi="Times New Roman" w:eastAsia="宋体" w:cs="Times New Roman"/>
          <w:i w:val="0"/>
          <w:iCs w:val="0"/>
          <w:caps w:val="0"/>
          <w:color w:val="222222"/>
          <w:spacing w:val="0"/>
          <w:sz w:val="24"/>
          <w:szCs w:val="24"/>
          <w:shd w:val="clear" w:fill="FFFFFF"/>
          <w:lang w:val="en-US"/>
        </w:rPr>
        <w:t xml:space="preserve">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"https://doi.org/10.35912/ijfam.v1i2.93"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https://doi.org/10.35912/ijfam.v1i2.93</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Bradley, K. ed., 2019. Human resource management: people and performance. Routledge.</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Hammett, S. and McMeikan, K., 1994. Tesco–Competitive Management Development. Executive Development, 7(6), pp.4-6.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"https://doi.org/10.1108/09533239410071841"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https://doi.org/10.1108/09533239410071841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rPr>
        <w:t>Rajasekar, J. and Khan, S.A., 2013. Training and development function in Omani public sector organizations: A critical evaluation. </w:t>
      </w:r>
      <w:r>
        <w:rPr>
          <w:rFonts w:hint="default" w:ascii="Times New Roman" w:hAnsi="Times New Roman" w:eastAsia="宋体" w:cs="Times New Roman"/>
          <w:i/>
          <w:iCs/>
          <w:caps w:val="0"/>
          <w:color w:val="222222"/>
          <w:spacing w:val="0"/>
          <w:sz w:val="24"/>
          <w:szCs w:val="24"/>
          <w:shd w:val="clear" w:fill="FFFFFF"/>
        </w:rPr>
        <w:t>Journal of Applied Business and Economics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14</w:t>
      </w:r>
      <w:r>
        <w:rPr>
          <w:rFonts w:hint="default" w:ascii="Times New Roman" w:hAnsi="Times New Roman" w:eastAsia="宋体" w:cs="Times New Roman"/>
          <w:i w:val="0"/>
          <w:iCs w:val="0"/>
          <w:caps w:val="0"/>
          <w:color w:val="222222"/>
          <w:spacing w:val="0"/>
          <w:sz w:val="24"/>
          <w:szCs w:val="24"/>
          <w:shd w:val="clear" w:fill="FFFFFF"/>
        </w:rPr>
        <w:t>(2), pp.37-52.</w:t>
      </w:r>
      <w:r>
        <w:rPr>
          <w:rFonts w:hint="default" w:ascii="Times New Roman" w:hAnsi="Times New Roman" w:eastAsia="宋体" w:cs="Times New Roman"/>
          <w:i w:val="0"/>
          <w:iCs w:val="0"/>
          <w:caps w:val="0"/>
          <w:color w:val="222222"/>
          <w:spacing w:val="0"/>
          <w:sz w:val="24"/>
          <w:szCs w:val="24"/>
          <w:shd w:val="clear" w:fill="FFFFFF"/>
          <w:lang w:val="en-US"/>
        </w:rPr>
        <w:t xml:space="preserve">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Davila, N. and Pina-Ramirez, W., 2018. Effective onboarding. American Society for Training and Development.</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Oselin, S.S., 2009. Leaving the streets: Transformation of prostitute identity within the prostitution rehabilitation program. Deviant Behavior, 30(4), pp.379-406.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"https://doi.org/10.1080/01639620802258485"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https://doi.org/10.1080/01639620802258485</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Vargic, B. and Luptakova, S., 2003. Managerial style and its managerial implications for organizations in the Slovak Republic. Journal of Business Economics and Management, 4(1), pp.36-44. </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Tannenbaum, S.I. and Yukl, G., 1992. Training and development in work organizations. Annual review of psychology, 43(1), pp.399-441.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"https://doi.org/10.1146/annurev.ps.43.020192.002151"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https://doi.org/10.1146/annurev.ps.43.020192.002151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Kirkpatrick, D.L., 2009. Implementing the four levels: A practical guide for effective evaluation of training programs (Vol. 16). ReadHowYouWant. com.</w:t>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Coloma, J., Gibson, C. and Packard, T., 2012. Participant outcomes of a leadership development initiative in eight human service organizations. Administration in Social Work, 36(1), pp.4-22.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"https://doi.org/10.1080/03643107.2011.614540"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https://doi.org/10.1080/03643107.2011.614540</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Pyle WC. Human resource accounting, part I. Financial Analysts Journal. 1970 Sep 1;26(5):69-78.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"https://doi.org/10.2469/faj.v26.n5.69"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https://doi.org/10.2469/faj.v26.n5.69</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Kennedy, E. and Daim, T.U., 2010. A strategy to assist management in workforce engagement and employee retention in the high tech engineering environment. Evaluation and program planning, 33(4), pp.468-476.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"https://doi.org/10.1016/j.evalprogplan.2009.12.001"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https://doi.org/10.1016/j.evalprogplan.2009.12.001</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Pineda, P., 2010. Evaluation of training in organisations: a proposal for an integrated model. Journal of European Industrial Training, 34(7), pp.673-693.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"https://doi.org/10.1108/03090591011070789"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https://doi.org/10.1108/03090591011070789</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Umble, E.J., Haft, R.R. and Umble, M.M., 2003. Enterprise resource planning: Implementation procedures and critical success factors. European journal of operational research, 146(2), pp.241-257.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"https://doi.org/10.1016/S0377-2217(02)00547-7"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https://doi.org/10.1016/S0377-2217(02)00547-7</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Coronado, R.B. and Antony, J., 2002. Critical success factors for the successful implementation of six sigma projects in organisations. The TQM magazine, 14(2), pp.92-99.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"https://doi.org/10.1108/09544780210416702"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https://doi.org/10.1108/09544780210416702</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rPr>
      </w:pPr>
      <w:r>
        <w:rPr>
          <w:rFonts w:hint="default" w:ascii="Times New Roman" w:hAnsi="Times New Roman" w:eastAsia="宋体" w:cs="Times New Roman"/>
          <w:i w:val="0"/>
          <w:iCs w:val="0"/>
          <w:caps w:val="0"/>
          <w:color w:val="222222"/>
          <w:spacing w:val="0"/>
          <w:sz w:val="24"/>
          <w:szCs w:val="24"/>
          <w:shd w:val="clear" w:fill="FFFFFF"/>
          <w:lang w:val="en-US"/>
        </w:rPr>
        <w:t xml:space="preserve">Ulrich, D., 1997. Measuring human resources: an overview of practice and a prescription for results. Human Resource Management: Published in Cooperation with the School of Business Administration, The University of Michigan and in alliance with the Society of Human Resources Management, 36(3), pp.303-320. doi: </w:t>
      </w:r>
      <w:r>
        <w:rPr>
          <w:rFonts w:hint="default" w:ascii="Times New Roman" w:hAnsi="Times New Roman" w:eastAsia="宋体" w:cs="Times New Roman"/>
          <w:i w:val="0"/>
          <w:iCs w:val="0"/>
          <w:caps w:val="0"/>
          <w:color w:val="222222"/>
          <w:spacing w:val="0"/>
          <w:sz w:val="24"/>
          <w:szCs w:val="24"/>
          <w:shd w:val="clear" w:fill="FFFFFF"/>
          <w:lang w:val="en-US"/>
        </w:rPr>
        <w:fldChar w:fldCharType="begin"/>
      </w:r>
      <w:r>
        <w:rPr>
          <w:rFonts w:hint="default" w:ascii="Times New Roman" w:hAnsi="Times New Roman" w:eastAsia="宋体" w:cs="Times New Roman"/>
          <w:i w:val="0"/>
          <w:iCs w:val="0"/>
          <w:caps w:val="0"/>
          <w:color w:val="222222"/>
          <w:spacing w:val="0"/>
          <w:sz w:val="24"/>
          <w:szCs w:val="24"/>
          <w:shd w:val="clear" w:fill="FFFFFF"/>
          <w:lang w:val="en-US"/>
        </w:rPr>
        <w:instrText xml:space="preserve"> HYPERLINK "https://doi.org/10.1002/(SICI)1099-050X(199723)36:3&lt;303::AID-HRM3&gt;3.0.CO;2-%23" </w:instrText>
      </w:r>
      <w:r>
        <w:rPr>
          <w:rFonts w:hint="default" w:ascii="Times New Roman" w:hAnsi="Times New Roman" w:eastAsia="宋体" w:cs="Times New Roman"/>
          <w:i w:val="0"/>
          <w:iCs w:val="0"/>
          <w:caps w:val="0"/>
          <w:color w:val="222222"/>
          <w:spacing w:val="0"/>
          <w:sz w:val="24"/>
          <w:szCs w:val="24"/>
          <w:shd w:val="clear" w:fill="FFFFFF"/>
          <w:lang w:val="en-US"/>
        </w:rPr>
        <w:fldChar w:fldCharType="separate"/>
      </w:r>
      <w:r>
        <w:rPr>
          <w:rStyle w:val="8"/>
          <w:rFonts w:hint="default" w:ascii="Times New Roman" w:hAnsi="Times New Roman" w:eastAsia="宋体" w:cs="Times New Roman"/>
          <w:i w:val="0"/>
          <w:iCs w:val="0"/>
          <w:caps w:val="0"/>
          <w:spacing w:val="0"/>
          <w:sz w:val="24"/>
          <w:szCs w:val="24"/>
          <w:shd w:val="clear" w:fill="FFFFFF"/>
          <w:lang w:val="en-US"/>
        </w:rPr>
        <w:t>https://doi.org/10.1002/(SICI)1099-050X(199723)36:3&lt;303::AID-HRM3&gt;3.0.CO;2-%23</w:t>
      </w:r>
      <w:r>
        <w:rPr>
          <w:rFonts w:hint="default" w:ascii="Times New Roman" w:hAnsi="Times New Roman" w:eastAsia="宋体" w:cs="Times New Roman"/>
          <w:i w:val="0"/>
          <w:iCs w:val="0"/>
          <w:caps w:val="0"/>
          <w:color w:val="222222"/>
          <w:spacing w:val="0"/>
          <w:sz w:val="24"/>
          <w:szCs w:val="24"/>
          <w:shd w:val="clear" w:fill="FFFFFF"/>
          <w:lang w:val="en-US"/>
        </w:rPr>
        <w:fldChar w:fldCharType="end"/>
      </w:r>
    </w:p>
    <w:p>
      <w:pPr>
        <w:keepNext w:val="0"/>
        <w:keepLines w:val="0"/>
        <w:pageBreakBefore w:val="0"/>
        <w:widowControl/>
        <w:kinsoku/>
        <w:wordWrap/>
        <w:overflowPunct/>
        <w:topLinePunct w:val="0"/>
        <w:autoSpaceDE/>
        <w:autoSpaceDN/>
        <w:bidi w:val="0"/>
        <w:adjustRightInd/>
        <w:snapToGrid/>
        <w:spacing w:before="541" w:beforeLines="150" w:after="541" w:afterLines="150" w:line="240" w:lineRule="auto"/>
        <w:jc w:val="both"/>
        <w:textAlignment w:val="auto"/>
        <w:rPr>
          <w:rFonts w:hint="default" w:ascii="Times New Roman" w:hAnsi="Times New Roman" w:cs="Times New Roman"/>
          <w:b w:val="0"/>
          <w:bCs w:val="0"/>
          <w:sz w:val="24"/>
          <w:szCs w:val="24"/>
          <w:u w:val="none"/>
          <w:lang w:val="en-US"/>
        </w:rPr>
      </w:pPr>
      <w:r>
        <w:rPr>
          <w:rFonts w:hint="default" w:ascii="Times New Roman" w:hAnsi="Times New Roman" w:cs="Times New Roman"/>
          <w:b w:val="0"/>
          <w:bCs w:val="0"/>
          <w:sz w:val="24"/>
          <w:szCs w:val="24"/>
          <w:u w:val="none"/>
          <w:lang w:val="en-US"/>
        </w:rPr>
        <w:t xml:space="preserve">Savkín, A. (2020). </w:t>
      </w:r>
      <w:r>
        <w:rPr>
          <w:rFonts w:hint="default" w:ascii="Times New Roman" w:hAnsi="Times New Roman" w:cs="Times New Roman"/>
          <w:b w:val="0"/>
          <w:bCs w:val="0"/>
          <w:i/>
          <w:iCs/>
          <w:sz w:val="24"/>
          <w:szCs w:val="24"/>
          <w:u w:val="none"/>
          <w:lang w:val="en-US"/>
        </w:rPr>
        <w:t>Strategiekarte: Anleitung, PDF-Vorlage und Beispiele.</w:t>
      </w:r>
      <w:r>
        <w:rPr>
          <w:rFonts w:hint="default" w:ascii="Times New Roman" w:hAnsi="Times New Roman" w:cs="Times New Roman"/>
          <w:b w:val="0"/>
          <w:bCs w:val="0"/>
          <w:sz w:val="24"/>
          <w:szCs w:val="24"/>
          <w:u w:val="none"/>
          <w:lang w:val="en-US"/>
        </w:rPr>
        <w:t xml:space="preserve"> [online] Available at: https://bscdesigner.com/de/strategiekarte-anleitung.htm [Accessed 16 Jul. 2023].</w:t>
      </w:r>
    </w:p>
    <w:p>
      <w:pPr>
        <w:jc w:val="both"/>
        <w:rPr>
          <w:rFonts w:hint="default" w:ascii="Times New Roman" w:hAnsi="Times New Roman"/>
          <w:b w:val="0"/>
          <w:bCs w:val="0"/>
          <w:sz w:val="24"/>
          <w:szCs w:val="24"/>
          <w:u w:val="none"/>
          <w:lang w:val="en-US"/>
        </w:rPr>
      </w:pPr>
    </w:p>
    <w:p>
      <w:pPr>
        <w:pStyle w:val="2"/>
        <w:bidi w:val="0"/>
        <w:rPr>
          <w:rFonts w:hint="default"/>
          <w:sz w:val="24"/>
          <w:szCs w:val="24"/>
          <w:lang w:val="en-US"/>
        </w:rPr>
      </w:pPr>
      <w:bookmarkStart w:id="6" w:name="_Toc22706"/>
      <w:r>
        <w:rPr>
          <w:rFonts w:hint="default"/>
          <w:sz w:val="24"/>
          <w:szCs w:val="24"/>
          <w:lang w:val="en-US"/>
        </w:rPr>
        <w:t>Appendix</w:t>
      </w:r>
      <w:bookmarkEnd w:id="6"/>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drawing>
          <wp:inline distT="0" distB="0" distL="114300" distR="114300">
            <wp:extent cx="3829050" cy="4562475"/>
            <wp:effectExtent l="0" t="0" r="0" b="9525"/>
            <wp:docPr id="1" name="Picture 1" descr="Strategiekarte_ Anleitung, PDF-Vorlage und Beispie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rategiekarte_ Anleitung, PDF-Vorlage und Beispiele"/>
                    <pic:cNvPicPr>
                      <a:picLocks noChangeAspect="1"/>
                    </pic:cNvPicPr>
                  </pic:nvPicPr>
                  <pic:blipFill>
                    <a:blip r:embed="rId8"/>
                    <a:stretch>
                      <a:fillRect/>
                    </a:stretch>
                  </pic:blipFill>
                  <pic:spPr>
                    <a:xfrm>
                      <a:off x="0" y="0"/>
                      <a:ext cx="3829050" cy="4562475"/>
                    </a:xfrm>
                    <a:prstGeom prst="rect">
                      <a:avLst/>
                    </a:prstGeom>
                  </pic:spPr>
                </pic:pic>
              </a:graphicData>
            </a:graphic>
          </wp:inline>
        </w:drawing>
      </w:r>
    </w:p>
    <w:p>
      <w:pPr>
        <w:jc w:val="both"/>
        <w:rPr>
          <w:rFonts w:hint="default" w:ascii="Times New Roman" w:hAnsi="Times New Roman"/>
          <w:b w:val="0"/>
          <w:bCs w:val="0"/>
          <w:sz w:val="24"/>
          <w:szCs w:val="24"/>
          <w:u w:val="none"/>
          <w:lang w:val="en-US"/>
        </w:rPr>
      </w:pPr>
    </w:p>
    <w:p>
      <w:pPr>
        <w:jc w:val="both"/>
        <w:rPr>
          <w:rFonts w:hint="default" w:ascii="Times New Roman" w:hAnsi="Times New Roman"/>
          <w:b w:val="0"/>
          <w:bCs w:val="0"/>
          <w:sz w:val="24"/>
          <w:szCs w:val="24"/>
          <w:u w:val="none"/>
          <w:lang w:val="en-US"/>
        </w:rPr>
      </w:pPr>
      <w:r>
        <w:rPr>
          <w:rFonts w:hint="default" w:ascii="Times New Roman" w:hAnsi="Times New Roman"/>
          <w:b w:val="0"/>
          <w:bCs w:val="0"/>
          <w:sz w:val="24"/>
          <w:szCs w:val="24"/>
          <w:u w:val="none"/>
          <w:lang w:val="en-US"/>
        </w:rPr>
        <w:t>(Savkin, 2020)</w:t>
      </w:r>
    </w:p>
    <w:sectPr>
      <w:footerReference r:id="rId5" w:type="default"/>
      <w:pgSz w:w="11906" w:h="16838"/>
      <w:pgMar w:top="720" w:right="720" w:bottom="720" w:left="72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楷体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10"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D1C/SyACAABi&#10;BAAADgAAAAAAAAABACAAAAAfAQAAZHJzL2Uyb0RvYy54bWxQSwUGAAAAAAYABgBZAQAAsQ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5</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7"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vkfAiAgAAYAQAAA4AAABkcnMvZTJvRG9jLnhtbK1Uy27bMBC8F+g/&#10;ELzXkl00MQ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Pb5HwIgIA&#10;AGAEAAAOAAAAAAAAAAEAIAAAAB8BAABkcnMvZTJvRG9jLnhtbFBLBQYAAAAABgAGAFkBAACzBQAA&#10;AAA=&#10;">
              <v:fill on="f" focussize="0,0"/>
              <v:stroke on="f" weight="0.5pt"/>
              <v:imagedata o:title=""/>
              <o:lock v:ext="edit" aspectratio="f"/>
              <v:textbox inset="0mm,0mm,0mm,0mm" style="mso-fit-shape-to-text:t;">
                <w:txbxContent>
                  <w:p>
                    <w:pPr>
                      <w:pStyle w:val="4"/>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zY2I5MjYxNDdlZGUxYWUxYjg1MzhlOTU4ZTk0ZjkifQ=="/>
  </w:docVars>
  <w:rsids>
    <w:rsidRoot w:val="136B2FEF"/>
    <w:rsid w:val="0A765FB8"/>
    <w:rsid w:val="136B2FEF"/>
    <w:rsid w:val="17D93772"/>
    <w:rsid w:val="19AD326D"/>
    <w:rsid w:val="2A0E4A6B"/>
    <w:rsid w:val="30E67B79"/>
    <w:rsid w:val="3391066A"/>
    <w:rsid w:val="341344FC"/>
    <w:rsid w:val="34664554"/>
    <w:rsid w:val="4E3D6EA0"/>
    <w:rsid w:val="50DA5810"/>
    <w:rsid w:val="59296DD4"/>
    <w:rsid w:val="5F840604"/>
    <w:rsid w:val="62755328"/>
    <w:rsid w:val="630D4511"/>
    <w:rsid w:val="671D4F5B"/>
    <w:rsid w:val="72E44DF4"/>
    <w:rsid w:val="7A383727"/>
    <w:rsid w:val="7F5577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eastAsia="Times New Roman" w:cs="Times New Roman"/>
      <w:sz w:val="24"/>
      <w:lang w:val="en-GB" w:eastAsia="en-GB" w:bidi="ar-SA"/>
    </w:rPr>
  </w:style>
  <w:style w:type="paragraph" w:styleId="2">
    <w:name w:val="heading 1"/>
    <w:basedOn w:val="1"/>
    <w:next w:val="1"/>
    <w:link w:val="10"/>
    <w:qFormat/>
    <w:uiPriority w:val="0"/>
    <w:pPr>
      <w:keepNext/>
      <w:keepLines/>
      <w:spacing w:before="340" w:after="330" w:line="240" w:lineRule="auto"/>
      <w:outlineLvl w:val="0"/>
    </w:pPr>
    <w:rPr>
      <w:rFonts w:ascii="Times New Roman" w:hAnsi="Times New Roman" w:eastAsia="Times New Roman"/>
      <w:b/>
      <w:bCs/>
      <w:kern w:val="44"/>
      <w:sz w:val="22"/>
      <w:szCs w:val="44"/>
    </w:rPr>
  </w:style>
  <w:style w:type="paragraph" w:styleId="3">
    <w:name w:val="heading 2"/>
    <w:basedOn w:val="1"/>
    <w:next w:val="1"/>
    <w:qFormat/>
    <w:uiPriority w:val="0"/>
    <w:pPr>
      <w:keepNext/>
      <w:keepLines/>
      <w:spacing w:before="260" w:after="260" w:line="240" w:lineRule="auto"/>
      <w:outlineLvl w:val="1"/>
    </w:pPr>
    <w:rPr>
      <w:rFonts w:ascii="Times New Roman" w:hAnsi="Times New Roman"/>
      <w:b/>
      <w:bCs/>
      <w:sz w:val="24"/>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character" w:styleId="8">
    <w:name w:val="Hyperlink"/>
    <w:basedOn w:val="7"/>
    <w:uiPriority w:val="0"/>
    <w:rPr>
      <w:color w:val="0000FF"/>
      <w:u w:val="single"/>
    </w:rPr>
  </w:style>
  <w:style w:type="paragraph" w:styleId="9">
    <w:name w:val="No Spacing"/>
    <w:qFormat/>
    <w:uiPriority w:val="1"/>
    <w:rPr>
      <w:rFonts w:ascii="Arial" w:hAnsi="Arial" w:eastAsia="Times New Roman" w:cs="Times New Roman"/>
      <w:sz w:val="24"/>
      <w:lang w:val="en-GB" w:eastAsia="en-GB" w:bidi="ar-SA"/>
    </w:rPr>
  </w:style>
  <w:style w:type="character" w:customStyle="1" w:styleId="10">
    <w:name w:val="Heading 1 Char"/>
    <w:link w:val="2"/>
    <w:qFormat/>
    <w:uiPriority w:val="0"/>
    <w:rPr>
      <w:rFonts w:ascii="Times New Roman" w:hAnsi="Times New Roman" w:eastAsia="Times New Roman"/>
      <w:b/>
      <w:bCs/>
      <w:kern w:val="44"/>
      <w:sz w:val="22"/>
      <w:szCs w:val="44"/>
    </w:rPr>
  </w:style>
  <w:style w:type="paragraph" w:customStyle="1" w:styleId="11">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2023-07-15T03:44:00Z</dcterms:created>
  <dc:creator>asus</dc:creator>
  <cp:lastModifiedBy>007</cp:lastModifiedBy>
  <dcterms:modified xsi:type="dcterms:W3CDTF">2023-07-20T15:12:03Z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BC108B3699214762BFD8F3CF1F9A98AA_11</vt:lpwstr>
  </property>
</Properties>
</file>