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sdt>
      <w:sdtPr>
        <w:id w:val="-1944292615"/>
        <w:docPartObj>
          <w:docPartGallery w:val="Cover Pages"/>
          <w:docPartUnique/>
        </w:docPartObj>
      </w:sdtPr>
      <w:sdtEndPr>
        <w:rPr>
          <w:sz w:val="28"/>
          <w:szCs w:val="28"/>
        </w:rPr>
      </w:sdtEndPr>
      <w:sdtContent>
        <w:p w:rsidR="00D550B1" w:rsidRDefault="00D550B1" w14:paraId="27CC4473" w14:textId="306FA4B6">
          <w:r>
            <w:rPr>
              <w:noProof/>
            </w:rPr>
            <mc:AlternateContent>
              <mc:Choice Requires="wps">
                <w:drawing>
                  <wp:anchor distT="0" distB="0" distL="114300" distR="114300" simplePos="0" relativeHeight="251664384" behindDoc="0" locked="0" layoutInCell="1" allowOverlap="1" wp14:anchorId="626AADBE" wp14:editId="3198342E">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66000</wp14:pctPosVOffset>
                        </wp:positionV>
                      </mc:Choice>
                      <mc:Fallback>
                        <wp:positionV relativeFrom="page">
                          <wp:posOffset>6638290</wp:posOffset>
                        </wp:positionV>
                      </mc:Fallback>
                    </mc:AlternateContent>
                    <wp:extent cx="2797810" cy="268605"/>
                    <wp:effectExtent l="0" t="0" r="0" b="0"/>
                    <wp:wrapSquare wrapText="bothSides"/>
                    <wp:docPr id="465" name="Text Box 25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rsidR="00D550B1" w:rsidRDefault="00D550B1" w14:paraId="02C9B328" w14:textId="0E00D0DC">
                                <w:pPr>
                                  <w:pStyle w:val="NoSpacing"/>
                                  <w:rPr>
                                    <w:noProof/>
                                    <w:color w:val="44546A" w:themeColor="text2"/>
                                  </w:rPr>
                                </w:pPr>
                                <w:r>
                                  <w:rPr>
                                    <w:noProof/>
                                    <w:color w:val="44546A" w:themeColor="text2"/>
                                  </w:rPr>
                                  <w:t xml:space="preserve">Ceri-Marie Jones </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id="_x0000_t202" coordsize="21600,21600" o:spt="202" path="m,l,21600r21600,l21600,xe" w14:anchorId="626AADBE">
                    <v:stroke joinstyle="miter"/>
                    <v:path gradientshapeok="t" o:connecttype="rect"/>
                  </v:shapetype>
                  <v:shape id="Text Box 255"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spid="_x0000_s1026"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v:textbox style="mso-fit-shape-to-text:t">
                      <w:txbxContent>
                        <w:p w:rsidR="00D550B1" w:rsidRDefault="00D550B1" w14:paraId="02C9B328" w14:textId="0E00D0DC">
                          <w:pPr>
                            <w:pStyle w:val="NoSpacing"/>
                            <w:rPr>
                              <w:noProof/>
                              <w:color w:val="44546A" w:themeColor="text2"/>
                            </w:rPr>
                          </w:pPr>
                          <w:r>
                            <w:rPr>
                              <w:noProof/>
                              <w:color w:val="44546A" w:themeColor="text2"/>
                            </w:rPr>
                            <w:t xml:space="preserve">Ceri-Marie Jones </w:t>
                          </w:r>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3716A09A" wp14:editId="7A1C1041">
                    <wp:simplePos x="0" y="0"/>
                    <wp:positionH relativeFrom="page">
                      <wp:align>center</wp:align>
                    </wp:positionH>
                    <wp:positionV relativeFrom="page">
                      <wp:align>center</wp:align>
                    </wp:positionV>
                    <wp:extent cx="7383780" cy="9555480"/>
                    <wp:effectExtent l="0" t="0" r="7620" b="7620"/>
                    <wp:wrapNone/>
                    <wp:docPr id="466" name="Rectangle 25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rsidR="00D550B1" w:rsidRDefault="00D550B1" w14:paraId="5F18A445" w14:textId="77777777"/>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id="Rectangle 25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spid="_x0000_s1027" fillcolor="#d9e2f3 [660]" stroked="f" strokeweight="1pt" w14:anchorId="3716A09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v:fill type="gradient" color2="#8eaadb [1940]" focus="100%" rotate="t">
                      <o:fill v:ext="view" type="gradientUnscaled"/>
                    </v:fill>
                    <v:textbox inset="21.6pt,,21.6pt">
                      <w:txbxContent>
                        <w:p w:rsidR="00D550B1" w:rsidRDefault="00D550B1" w14:paraId="5F18A445" w14:textId="77777777"/>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21A8856D" wp14:editId="59136B28">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2500</wp14:pctPosVOffset>
                        </wp:positionV>
                      </mc:Choice>
                      <mc:Fallback>
                        <wp:positionV relativeFrom="page">
                          <wp:posOffset>251460</wp:posOffset>
                        </wp:positionV>
                      </mc:Fallback>
                    </mc:AlternateContent>
                    <wp:extent cx="2875915" cy="3017520"/>
                    <wp:effectExtent l="0" t="0" r="0" b="0"/>
                    <wp:wrapNone/>
                    <wp:docPr id="467" name="Rectangle 259"/>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D550B1" w:rsidRDefault="00D550B1" w14:paraId="1B4588AA" w14:textId="1BBB437D">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407E9B">
                                      <w:rPr>
                                        <w:color w:val="FFFFFF" w:themeColor="background1"/>
                                      </w:rPr>
                                      <w:t xml:space="preserve">     </w:t>
                                    </w:r>
                                  </w:sdtContent>
                                </w:sdt>
                                <w:r w:rsidRPr="00407E9B" w:rsidR="00407E9B">
                                  <w:rPr>
                                    <w:noProof/>
                                  </w:rPr>
                                  <w:t xml:space="preserve"> </w:t>
                                </w:r>
                                <w:r w:rsidRPr="00407E9B" w:rsidR="00407E9B">
                                  <w:drawing>
                                    <wp:inline distT="0" distB="0" distL="0" distR="0" wp14:anchorId="29AD8A15" wp14:editId="02007B96">
                                      <wp:extent cx="2497455" cy="2153920"/>
                                      <wp:effectExtent l="0" t="0" r="0" b="0"/>
                                      <wp:docPr id="6218399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1839962" name=""/>
                                              <pic:cNvPicPr/>
                                            </pic:nvPicPr>
                                            <pic:blipFill>
                                              <a:blip r:embed="rId8"/>
                                              <a:stretch>
                                                <a:fillRect/>
                                              </a:stretch>
                                            </pic:blipFill>
                                            <pic:spPr>
                                              <a:xfrm>
                                                <a:off x="0" y="0"/>
                                                <a:ext cx="2497455" cy="2153920"/>
                                              </a:xfrm>
                                              <a:prstGeom prst="rect">
                                                <a:avLst/>
                                              </a:prstGeom>
                                            </pic:spPr>
                                          </pic:pic>
                                        </a:graphicData>
                                      </a:graphic>
                                    </wp:inline>
                                  </w:drawing>
                                </w: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id="Rectangle 259"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spid="_x0000_s1028" fillcolor="#44546a [3215]" stroked="f" strokeweight="1pt" w14:anchorId="21A8856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v:textbox inset="14.4pt,14.4pt,14.4pt,28.8pt">
                      <w:txbxContent>
                        <w:p w:rsidR="00D550B1" w:rsidRDefault="00D550B1" w14:paraId="1B4588AA" w14:textId="1BBB437D">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407E9B">
                                <w:rPr>
                                  <w:color w:val="FFFFFF" w:themeColor="background1"/>
                                </w:rPr>
                                <w:t xml:space="preserve">     </w:t>
                              </w:r>
                            </w:sdtContent>
                          </w:sdt>
                          <w:r w:rsidRPr="00407E9B" w:rsidR="00407E9B">
                            <w:rPr>
                              <w:noProof/>
                            </w:rPr>
                            <w:t xml:space="preserve"> </w:t>
                          </w:r>
                          <w:r w:rsidRPr="00407E9B" w:rsidR="00407E9B">
                            <w:drawing>
                              <wp:inline distT="0" distB="0" distL="0" distR="0" wp14:anchorId="29AD8A15" wp14:editId="02007B96">
                                <wp:extent cx="2497455" cy="2153920"/>
                                <wp:effectExtent l="0" t="0" r="0" b="0"/>
                                <wp:docPr id="6218399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1839962" name=""/>
                                        <pic:cNvPicPr/>
                                      </pic:nvPicPr>
                                      <pic:blipFill>
                                        <a:blip r:embed="rId8"/>
                                        <a:stretch>
                                          <a:fillRect/>
                                        </a:stretch>
                                      </pic:blipFill>
                                      <pic:spPr>
                                        <a:xfrm>
                                          <a:off x="0" y="0"/>
                                          <a:ext cx="2497455" cy="2153920"/>
                                        </a:xfrm>
                                        <a:prstGeom prst="rect">
                                          <a:avLst/>
                                        </a:prstGeom>
                                      </pic:spPr>
                                    </pic:pic>
                                  </a:graphicData>
                                </a:graphic>
                              </wp:inline>
                            </w:drawing>
                          </w:r>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5902BF16" wp14:editId="59699BDD">
                    <wp:simplePos x="0" y="0"/>
                    <mc:AlternateContent>
                      <mc:Choice Requires="wp14">
                        <wp:positionH relativeFrom="page">
                          <wp14:pctPosHOffset>44000</wp14:pctPosHOffset>
                        </wp:positionH>
                      </mc:Choice>
                      <mc:Fallback>
                        <wp:positionH relativeFrom="page">
                          <wp:posOffset>3419475</wp:posOffset>
                        </wp:positionH>
                      </mc:Fallback>
                    </mc:AlternateContent>
                    <mc:AlternateContent>
                      <mc:Choice Requires="wp14">
                        <wp:positionV relativeFrom="page">
                          <wp14:pctPosVOffset>2500</wp14:pctPosVOffset>
                        </wp:positionV>
                      </mc:Choice>
                      <mc:Fallback>
                        <wp:positionV relativeFrom="page">
                          <wp:posOffset>251460</wp:posOffset>
                        </wp:positionV>
                      </mc:Fallback>
                    </mc:AlternateContent>
                    <wp:extent cx="3108960" cy="7040880"/>
                    <wp:effectExtent l="0" t="0" r="0" b="0"/>
                    <wp:wrapNone/>
                    <wp:docPr id="468" name="Rectangle 261"/>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id="Rectangle 261"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spid="_x0000_s1026" fillcolor="white [3212]" strokecolor="#747070 [1614]" strokeweight="1.25pt" w14:anchorId="2715C1A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438D4434" wp14:editId="1D7E4D58">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69000</wp14:pctPosVOffset>
                        </wp:positionV>
                      </mc:Choice>
                      <mc:Fallback>
                        <wp:positionV relativeFrom="page">
                          <wp:posOffset>6939915</wp:posOffset>
                        </wp:positionV>
                      </mc:Fallback>
                    </mc:AlternateContent>
                    <wp:extent cx="2875915" cy="118745"/>
                    <wp:effectExtent l="0" t="0" r="0" b="0"/>
                    <wp:wrapNone/>
                    <wp:docPr id="469" name="Rectangle 26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id="Rectangle 263"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spid="_x0000_s1026" fillcolor="#4472c4 [3204]" stroked="f" strokeweight="1pt" w14:anchorId="6FF218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1169E344" wp14:editId="26406752">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35000</wp14:pctPosVOffset>
                        </wp:positionV>
                      </mc:Choice>
                      <mc:Fallback>
                        <wp:positionV relativeFrom="page">
                          <wp:posOffset>3520440</wp:posOffset>
                        </wp:positionV>
                      </mc:Fallback>
                    </mc:AlternateContent>
                    <wp:extent cx="2797810" cy="2475230"/>
                    <wp:effectExtent l="0" t="0" r="0" b="0"/>
                    <wp:wrapSquare wrapText="bothSides"/>
                    <wp:docPr id="470" name="Text Box 265"/>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p w:rsidRPr="00D550B1" w:rsidR="00D550B1" w:rsidP="00D550B1" w:rsidRDefault="00D550B1" w14:paraId="6350C1CA" w14:textId="77777777">
                                <w:pPr>
                                  <w:jc w:val="center"/>
                                  <w:rPr>
                                    <w:b/>
                                    <w:bCs/>
                                    <w:color w:val="4472C4" w:themeColor="accent1"/>
                                    <w:sz w:val="28"/>
                                    <w:szCs w:val="28"/>
                                  </w:rPr>
                                </w:pPr>
                                <w:r w:rsidRPr="00D550B1">
                                  <w:rPr>
                                    <w:b/>
                                    <w:bCs/>
                                    <w:color w:val="4472C4" w:themeColor="accent1"/>
                                    <w:sz w:val="28"/>
                                    <w:szCs w:val="28"/>
                                  </w:rPr>
                                  <w:t xml:space="preserve">MA Criminal Justice and Policing </w:t>
                                </w:r>
                              </w:p>
                              <w:p w:rsidRPr="00D550B1" w:rsidR="00D550B1" w:rsidP="00D550B1" w:rsidRDefault="00D550B1" w14:paraId="2C273BA0" w14:textId="77777777">
                                <w:pPr>
                                  <w:jc w:val="center"/>
                                  <w:rPr>
                                    <w:b/>
                                    <w:bCs/>
                                    <w:color w:val="4472C4" w:themeColor="accent1"/>
                                    <w:sz w:val="28"/>
                                    <w:szCs w:val="28"/>
                                  </w:rPr>
                                </w:pPr>
                                <w:r w:rsidRPr="00D550B1">
                                  <w:rPr>
                                    <w:b/>
                                    <w:bCs/>
                                    <w:color w:val="4472C4" w:themeColor="accent1"/>
                                    <w:sz w:val="28"/>
                                    <w:szCs w:val="28"/>
                                  </w:rPr>
                                  <w:t>Dissertation proposal 2026</w:t>
                                </w:r>
                              </w:p>
                              <w:p w:rsidRPr="00D550B1" w:rsidR="00D550B1" w:rsidP="00D550B1" w:rsidRDefault="00D550B1" w14:paraId="78272969" w14:textId="77777777">
                                <w:pPr>
                                  <w:jc w:val="center"/>
                                  <w:rPr>
                                    <w:b/>
                                    <w:bCs/>
                                    <w:color w:val="4472C4" w:themeColor="accent1"/>
                                    <w:sz w:val="28"/>
                                    <w:szCs w:val="28"/>
                                  </w:rPr>
                                </w:pPr>
                                <w:r w:rsidRPr="00D550B1">
                                  <w:rPr>
                                    <w:b/>
                                    <w:bCs/>
                                    <w:color w:val="4472C4" w:themeColor="accent1"/>
                                    <w:sz w:val="28"/>
                                    <w:szCs w:val="28"/>
                                  </w:rPr>
                                  <w:t>BMCJ7009D</w:t>
                                </w:r>
                              </w:p>
                              <w:p w:rsidR="00D550B1" w:rsidP="00D550B1" w:rsidRDefault="00D550B1" w14:paraId="116C9B81" w14:textId="77777777">
                                <w:pPr>
                                  <w:jc w:val="center"/>
                                  <w:rPr>
                                    <w:sz w:val="28"/>
                                    <w:szCs w:val="28"/>
                                  </w:rPr>
                                </w:pPr>
                              </w:p>
                              <w:p w:rsidRPr="00D550B1" w:rsidR="00D550B1" w:rsidP="00D550B1" w:rsidRDefault="00D550B1" w14:paraId="0E966F2B" w14:textId="77777777">
                                <w:pPr>
                                  <w:rPr>
                                    <w:color w:val="4472C4" w:themeColor="accent1"/>
                                    <w:sz w:val="28"/>
                                    <w:szCs w:val="28"/>
                                  </w:rPr>
                                </w:pPr>
                                <w:r w:rsidRPr="00D550B1">
                                  <w:rPr>
                                    <w:b/>
                                    <w:bCs/>
                                    <w:color w:val="4472C4" w:themeColor="accent1"/>
                                    <w:sz w:val="28"/>
                                    <w:szCs w:val="28"/>
                                  </w:rPr>
                                  <w:t>Student Name</w:t>
                                </w:r>
                                <w:r w:rsidRPr="00D550B1">
                                  <w:rPr>
                                    <w:color w:val="4472C4" w:themeColor="accent1"/>
                                    <w:sz w:val="28"/>
                                    <w:szCs w:val="28"/>
                                  </w:rPr>
                                  <w:t xml:space="preserve">: </w:t>
                                </w:r>
                                <w:r w:rsidRPr="00D550B1">
                                  <w:rPr>
                                    <w:sz w:val="28"/>
                                    <w:szCs w:val="28"/>
                                  </w:rPr>
                                  <w:t xml:space="preserve">Ceri-Marie Jones </w:t>
                                </w:r>
                              </w:p>
                              <w:p w:rsidRPr="00D550B1" w:rsidR="00D550B1" w:rsidP="00D550B1" w:rsidRDefault="00D550B1" w14:paraId="3C338D27" w14:textId="77777777">
                                <w:pPr>
                                  <w:rPr>
                                    <w:color w:val="4472C4" w:themeColor="accent1"/>
                                    <w:sz w:val="28"/>
                                    <w:szCs w:val="28"/>
                                  </w:rPr>
                                </w:pPr>
                                <w:r w:rsidRPr="00D550B1">
                                  <w:rPr>
                                    <w:b/>
                                    <w:bCs/>
                                    <w:color w:val="4472C4" w:themeColor="accent1"/>
                                    <w:sz w:val="28"/>
                                    <w:szCs w:val="28"/>
                                  </w:rPr>
                                  <w:t>Student Number</w:t>
                                </w:r>
                                <w:r w:rsidRPr="00D550B1">
                                  <w:rPr>
                                    <w:color w:val="4472C4" w:themeColor="accent1"/>
                                    <w:sz w:val="28"/>
                                    <w:szCs w:val="28"/>
                                  </w:rPr>
                                  <w:t xml:space="preserve">: </w:t>
                                </w:r>
                                <w:r w:rsidRPr="00D550B1">
                                  <w:rPr>
                                    <w:sz w:val="28"/>
                                    <w:szCs w:val="28"/>
                                  </w:rPr>
                                  <w:t>1806930</w:t>
                                </w:r>
                              </w:p>
                              <w:p w:rsidR="00D550B1" w:rsidRDefault="00D550B1" w14:paraId="4078D1CB" w14:textId="65E87D77">
                                <w:pPr>
                                  <w:rPr>
                                    <w:rFonts w:asciiTheme="majorHAnsi" w:hAnsiTheme="majorHAnsi" w:eastAsiaTheme="majorEastAsia" w:cstheme="majorBidi"/>
                                    <w:noProof/>
                                    <w:color w:val="44546A" w:themeColor="text2"/>
                                    <w:sz w:val="32"/>
                                    <w:szCs w:val="4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id="Text Box 265"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spid="_x0000_s1029"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w14:anchorId="1169E344">
                    <v:textbox style="mso-fit-shape-to-text:t">
                      <w:txbxContent>
                        <w:p w:rsidRPr="00D550B1" w:rsidR="00D550B1" w:rsidP="00D550B1" w:rsidRDefault="00D550B1" w14:paraId="6350C1CA" w14:textId="77777777">
                          <w:pPr>
                            <w:jc w:val="center"/>
                            <w:rPr>
                              <w:b/>
                              <w:bCs/>
                              <w:color w:val="4472C4" w:themeColor="accent1"/>
                              <w:sz w:val="28"/>
                              <w:szCs w:val="28"/>
                            </w:rPr>
                          </w:pPr>
                          <w:r w:rsidRPr="00D550B1">
                            <w:rPr>
                              <w:b/>
                              <w:bCs/>
                              <w:color w:val="4472C4" w:themeColor="accent1"/>
                              <w:sz w:val="28"/>
                              <w:szCs w:val="28"/>
                            </w:rPr>
                            <w:t xml:space="preserve">MA Criminal Justice and Policing </w:t>
                          </w:r>
                        </w:p>
                        <w:p w:rsidRPr="00D550B1" w:rsidR="00D550B1" w:rsidP="00D550B1" w:rsidRDefault="00D550B1" w14:paraId="2C273BA0" w14:textId="77777777">
                          <w:pPr>
                            <w:jc w:val="center"/>
                            <w:rPr>
                              <w:b/>
                              <w:bCs/>
                              <w:color w:val="4472C4" w:themeColor="accent1"/>
                              <w:sz w:val="28"/>
                              <w:szCs w:val="28"/>
                            </w:rPr>
                          </w:pPr>
                          <w:r w:rsidRPr="00D550B1">
                            <w:rPr>
                              <w:b/>
                              <w:bCs/>
                              <w:color w:val="4472C4" w:themeColor="accent1"/>
                              <w:sz w:val="28"/>
                              <w:szCs w:val="28"/>
                            </w:rPr>
                            <w:t>Dissertation proposal 2026</w:t>
                          </w:r>
                        </w:p>
                        <w:p w:rsidRPr="00D550B1" w:rsidR="00D550B1" w:rsidP="00D550B1" w:rsidRDefault="00D550B1" w14:paraId="78272969" w14:textId="77777777">
                          <w:pPr>
                            <w:jc w:val="center"/>
                            <w:rPr>
                              <w:b/>
                              <w:bCs/>
                              <w:color w:val="4472C4" w:themeColor="accent1"/>
                              <w:sz w:val="28"/>
                              <w:szCs w:val="28"/>
                            </w:rPr>
                          </w:pPr>
                          <w:r w:rsidRPr="00D550B1">
                            <w:rPr>
                              <w:b/>
                              <w:bCs/>
                              <w:color w:val="4472C4" w:themeColor="accent1"/>
                              <w:sz w:val="28"/>
                              <w:szCs w:val="28"/>
                            </w:rPr>
                            <w:t>BMCJ7009D</w:t>
                          </w:r>
                        </w:p>
                        <w:p w:rsidR="00D550B1" w:rsidP="00D550B1" w:rsidRDefault="00D550B1" w14:paraId="116C9B81" w14:textId="77777777">
                          <w:pPr>
                            <w:jc w:val="center"/>
                            <w:rPr>
                              <w:sz w:val="28"/>
                              <w:szCs w:val="28"/>
                            </w:rPr>
                          </w:pPr>
                        </w:p>
                        <w:p w:rsidRPr="00D550B1" w:rsidR="00D550B1" w:rsidP="00D550B1" w:rsidRDefault="00D550B1" w14:paraId="0E966F2B" w14:textId="77777777">
                          <w:pPr>
                            <w:rPr>
                              <w:color w:val="4472C4" w:themeColor="accent1"/>
                              <w:sz w:val="28"/>
                              <w:szCs w:val="28"/>
                            </w:rPr>
                          </w:pPr>
                          <w:r w:rsidRPr="00D550B1">
                            <w:rPr>
                              <w:b/>
                              <w:bCs/>
                              <w:color w:val="4472C4" w:themeColor="accent1"/>
                              <w:sz w:val="28"/>
                              <w:szCs w:val="28"/>
                            </w:rPr>
                            <w:t>Student Name</w:t>
                          </w:r>
                          <w:r w:rsidRPr="00D550B1">
                            <w:rPr>
                              <w:color w:val="4472C4" w:themeColor="accent1"/>
                              <w:sz w:val="28"/>
                              <w:szCs w:val="28"/>
                            </w:rPr>
                            <w:t xml:space="preserve">: </w:t>
                          </w:r>
                          <w:r w:rsidRPr="00D550B1">
                            <w:rPr>
                              <w:sz w:val="28"/>
                              <w:szCs w:val="28"/>
                            </w:rPr>
                            <w:t xml:space="preserve">Ceri-Marie Jones </w:t>
                          </w:r>
                        </w:p>
                        <w:p w:rsidRPr="00D550B1" w:rsidR="00D550B1" w:rsidP="00D550B1" w:rsidRDefault="00D550B1" w14:paraId="3C338D27" w14:textId="77777777">
                          <w:pPr>
                            <w:rPr>
                              <w:color w:val="4472C4" w:themeColor="accent1"/>
                              <w:sz w:val="28"/>
                              <w:szCs w:val="28"/>
                            </w:rPr>
                          </w:pPr>
                          <w:r w:rsidRPr="00D550B1">
                            <w:rPr>
                              <w:b/>
                              <w:bCs/>
                              <w:color w:val="4472C4" w:themeColor="accent1"/>
                              <w:sz w:val="28"/>
                              <w:szCs w:val="28"/>
                            </w:rPr>
                            <w:t>Student Number</w:t>
                          </w:r>
                          <w:r w:rsidRPr="00D550B1">
                            <w:rPr>
                              <w:color w:val="4472C4" w:themeColor="accent1"/>
                              <w:sz w:val="28"/>
                              <w:szCs w:val="28"/>
                            </w:rPr>
                            <w:t xml:space="preserve">: </w:t>
                          </w:r>
                          <w:r w:rsidRPr="00D550B1">
                            <w:rPr>
                              <w:sz w:val="28"/>
                              <w:szCs w:val="28"/>
                            </w:rPr>
                            <w:t>1806930</w:t>
                          </w:r>
                        </w:p>
                        <w:p w:rsidR="00D550B1" w:rsidRDefault="00D550B1" w14:paraId="4078D1CB" w14:textId="65E87D77">
                          <w:pPr>
                            <w:rPr>
                              <w:rFonts w:asciiTheme="majorHAnsi" w:hAnsiTheme="majorHAnsi" w:eastAsiaTheme="majorEastAsia" w:cstheme="majorBidi"/>
                              <w:noProof/>
                              <w:color w:val="44546A" w:themeColor="text2"/>
                              <w:sz w:val="32"/>
                              <w:szCs w:val="40"/>
                            </w:rPr>
                          </w:pPr>
                        </w:p>
                      </w:txbxContent>
                    </v:textbox>
                    <w10:wrap type="square" anchorx="page" anchory="page"/>
                  </v:shape>
                </w:pict>
              </mc:Fallback>
            </mc:AlternateContent>
          </w:r>
        </w:p>
        <w:p w:rsidR="00D550B1" w:rsidRDefault="00D550B1" w14:paraId="3D24D92F" w14:textId="51B20773">
          <w:pPr>
            <w:rPr>
              <w:sz w:val="28"/>
              <w:szCs w:val="28"/>
            </w:rPr>
          </w:pPr>
          <w:r>
            <w:rPr>
              <w:sz w:val="28"/>
              <w:szCs w:val="28"/>
            </w:rPr>
            <w:br w:type="page"/>
          </w:r>
        </w:p>
      </w:sdtContent>
    </w:sdt>
    <w:p w:rsidRPr="00407E9B" w:rsidR="002B452E" w:rsidP="00BA4F74" w:rsidRDefault="70529161" w14:paraId="2C078E63" w14:textId="1455DDA6">
      <w:pPr>
        <w:jc w:val="center"/>
        <w:rPr>
          <w:b/>
          <w:bCs/>
          <w:sz w:val="28"/>
          <w:szCs w:val="28"/>
          <w:u w:val="single"/>
        </w:rPr>
      </w:pPr>
      <w:r w:rsidRPr="00407E9B">
        <w:rPr>
          <w:b/>
          <w:bCs/>
          <w:sz w:val="28"/>
          <w:szCs w:val="28"/>
          <w:u w:val="single"/>
        </w:rPr>
        <w:lastRenderedPageBreak/>
        <w:t>M</w:t>
      </w:r>
      <w:r w:rsidRPr="00407E9B" w:rsidR="2BFFE1C2">
        <w:rPr>
          <w:b/>
          <w:bCs/>
          <w:sz w:val="28"/>
          <w:szCs w:val="28"/>
          <w:u w:val="single"/>
        </w:rPr>
        <w:t xml:space="preserve">A </w:t>
      </w:r>
      <w:r w:rsidRPr="00407E9B" w:rsidR="0751C634">
        <w:rPr>
          <w:b/>
          <w:bCs/>
          <w:sz w:val="28"/>
          <w:szCs w:val="28"/>
          <w:u w:val="single"/>
        </w:rPr>
        <w:t>Criminal</w:t>
      </w:r>
      <w:r w:rsidRPr="00407E9B" w:rsidR="2BFFE1C2">
        <w:rPr>
          <w:b/>
          <w:bCs/>
          <w:sz w:val="28"/>
          <w:szCs w:val="28"/>
          <w:u w:val="single"/>
        </w:rPr>
        <w:t xml:space="preserve"> Justice and </w:t>
      </w:r>
      <w:r w:rsidRPr="00407E9B">
        <w:rPr>
          <w:b/>
          <w:bCs/>
          <w:sz w:val="28"/>
          <w:szCs w:val="28"/>
          <w:u w:val="single"/>
        </w:rPr>
        <w:t xml:space="preserve">Policing </w:t>
      </w:r>
    </w:p>
    <w:p w:rsidRPr="00407E9B" w:rsidR="450BA48F" w:rsidP="3DFAD6CA" w:rsidRDefault="450BA48F" w14:paraId="677AC746" w14:textId="33C7345C">
      <w:pPr>
        <w:jc w:val="center"/>
        <w:rPr>
          <w:b/>
          <w:bCs/>
          <w:sz w:val="28"/>
          <w:szCs w:val="28"/>
          <w:u w:val="single"/>
        </w:rPr>
      </w:pPr>
      <w:r w:rsidRPr="00407E9B">
        <w:rPr>
          <w:b/>
          <w:bCs/>
          <w:sz w:val="28"/>
          <w:szCs w:val="28"/>
          <w:u w:val="single"/>
        </w:rPr>
        <w:t>Dissertation proposal 202</w:t>
      </w:r>
      <w:r w:rsidRPr="00407E9B" w:rsidR="00BA4F74">
        <w:rPr>
          <w:b/>
          <w:bCs/>
          <w:sz w:val="28"/>
          <w:szCs w:val="28"/>
          <w:u w:val="single"/>
        </w:rPr>
        <w:t>6</w:t>
      </w:r>
    </w:p>
    <w:p w:rsidRPr="00407E9B" w:rsidR="450BA48F" w:rsidP="3DFAD6CA" w:rsidRDefault="450BA48F" w14:paraId="09B54D74" w14:textId="754B3B18">
      <w:pPr>
        <w:jc w:val="center"/>
        <w:rPr>
          <w:b/>
          <w:bCs/>
          <w:sz w:val="28"/>
          <w:szCs w:val="28"/>
          <w:u w:val="single"/>
        </w:rPr>
      </w:pPr>
      <w:r w:rsidRPr="00407E9B">
        <w:rPr>
          <w:b/>
          <w:bCs/>
          <w:sz w:val="28"/>
          <w:szCs w:val="28"/>
          <w:u w:val="single"/>
        </w:rPr>
        <w:t>BM</w:t>
      </w:r>
      <w:r w:rsidRPr="00407E9B" w:rsidR="00BA4F74">
        <w:rPr>
          <w:b/>
          <w:bCs/>
          <w:sz w:val="28"/>
          <w:szCs w:val="28"/>
          <w:u w:val="single"/>
        </w:rPr>
        <w:t>CJ7009D</w:t>
      </w:r>
    </w:p>
    <w:p w:rsidR="3DFAD6CA" w:rsidP="3DFAD6CA" w:rsidRDefault="3DFAD6CA" w14:paraId="2977685A" w14:textId="5B88FA27">
      <w:pPr>
        <w:jc w:val="center"/>
        <w:rPr>
          <w:sz w:val="28"/>
          <w:szCs w:val="28"/>
        </w:rPr>
      </w:pPr>
    </w:p>
    <w:p w:rsidR="450BA48F" w:rsidP="3DFAD6CA" w:rsidRDefault="785A6B9C" w14:paraId="7A7EFBC8" w14:textId="05C093E3">
      <w:pPr>
        <w:rPr>
          <w:sz w:val="28"/>
          <w:szCs w:val="28"/>
        </w:rPr>
      </w:pPr>
      <w:r w:rsidRPr="00407E9B">
        <w:rPr>
          <w:b/>
          <w:bCs/>
          <w:sz w:val="28"/>
          <w:szCs w:val="28"/>
          <w:u w:val="single"/>
        </w:rPr>
        <w:t>Student Name</w:t>
      </w:r>
      <w:r w:rsidRPr="0D283A79">
        <w:rPr>
          <w:sz w:val="28"/>
          <w:szCs w:val="28"/>
        </w:rPr>
        <w:t>:</w:t>
      </w:r>
      <w:r w:rsidRPr="0D283A79" w:rsidR="3035464E">
        <w:rPr>
          <w:sz w:val="28"/>
          <w:szCs w:val="28"/>
        </w:rPr>
        <w:t xml:space="preserve"> Ceri-Marie Jones </w:t>
      </w:r>
    </w:p>
    <w:p w:rsidR="450BA48F" w:rsidP="3DFAD6CA" w:rsidRDefault="785A6B9C" w14:paraId="425474D2" w14:textId="6578153C">
      <w:pPr>
        <w:rPr>
          <w:sz w:val="28"/>
          <w:szCs w:val="28"/>
        </w:rPr>
      </w:pPr>
      <w:r w:rsidRPr="00407E9B">
        <w:rPr>
          <w:b/>
          <w:bCs/>
          <w:sz w:val="28"/>
          <w:szCs w:val="28"/>
          <w:u w:val="single"/>
        </w:rPr>
        <w:t>Student Number</w:t>
      </w:r>
      <w:r w:rsidRPr="0D283A79">
        <w:rPr>
          <w:sz w:val="28"/>
          <w:szCs w:val="28"/>
        </w:rPr>
        <w:t>:</w:t>
      </w:r>
      <w:r w:rsidRPr="0D283A79" w:rsidR="75003754">
        <w:rPr>
          <w:sz w:val="28"/>
          <w:szCs w:val="28"/>
        </w:rPr>
        <w:t xml:space="preserve"> 1806930</w:t>
      </w:r>
    </w:p>
    <w:p w:rsidR="00D3BA28" w:rsidP="3DFAD6CA" w:rsidRDefault="00D3BA28" w14:paraId="58BCF157" w14:textId="58B52164">
      <w:pPr>
        <w:rPr>
          <w:sz w:val="28"/>
          <w:szCs w:val="28"/>
        </w:rPr>
      </w:pPr>
      <w:r w:rsidRPr="3DFAD6CA">
        <w:rPr>
          <w:sz w:val="28"/>
          <w:szCs w:val="28"/>
        </w:rPr>
        <w:t>__________________________________________________________________</w:t>
      </w:r>
    </w:p>
    <w:p w:rsidRPr="00407E9B" w:rsidR="405F5904" w:rsidP="2F89462F" w:rsidRDefault="785C03E0" w14:paraId="04C7C8E5" w14:textId="29E854E9">
      <w:pPr>
        <w:rPr>
          <w:u w:val="single"/>
        </w:rPr>
      </w:pPr>
      <w:r w:rsidRPr="13BE4A3C" w:rsidR="5A057B2C">
        <w:rPr>
          <w:b w:val="1"/>
          <w:bCs w:val="1"/>
          <w:sz w:val="28"/>
          <w:szCs w:val="28"/>
          <w:u w:val="single"/>
        </w:rPr>
        <w:t>Research Question</w:t>
      </w:r>
      <w:r w:rsidRPr="13BE4A3C" w:rsidR="5A057B2C">
        <w:rPr>
          <w:sz w:val="28"/>
          <w:szCs w:val="28"/>
          <w:u w:val="single"/>
        </w:rPr>
        <w:t xml:space="preserve">: </w:t>
      </w:r>
    </w:p>
    <w:p w:rsidR="1AC2C942" w:rsidP="13BE4A3C" w:rsidRDefault="1AC2C942" w14:paraId="5FD392A2" w14:textId="54565BC2">
      <w:pPr>
        <w:pStyle w:val="Normal"/>
        <w:spacing w:line="360" w:lineRule="auto"/>
        <w:jc w:val="both"/>
      </w:pPr>
      <w:r w:rsidRPr="13BE4A3C" w:rsidR="1AC2C942">
        <w:rPr>
          <w:rFonts w:ascii="Arial" w:hAnsi="Arial" w:eastAsia="Arial" w:cs="Arial"/>
          <w:noProof w:val="0"/>
          <w:sz w:val="24"/>
          <w:szCs w:val="24"/>
          <w:lang w:val="en-US"/>
        </w:rPr>
        <w:t>To what extent have post-pandemic youth offending prevention strategies in England and Wales addressed educational disengagement and economic deprivation, and what lessons can be drawn from international approaches?</w:t>
      </w:r>
    </w:p>
    <w:p w:rsidR="7CAD6058" w:rsidP="13BE4A3C" w:rsidRDefault="26704E9E" w14:paraId="0BE78952" w14:textId="67270FE2">
      <w:pPr>
        <w:pStyle w:val="Normal"/>
        <w:spacing w:line="360" w:lineRule="auto"/>
        <w:jc w:val="both"/>
        <w:rPr>
          <w:i w:val="1"/>
          <w:iCs w:val="1"/>
        </w:rPr>
      </w:pPr>
      <w:r w:rsidRPr="13BE4A3C" w:rsidR="66BB8B35">
        <w:rPr>
          <w:rFonts w:ascii="Calibri" w:hAnsi="Calibri" w:eastAsia="Calibri" w:cs="Calibri"/>
          <w:noProof w:val="0"/>
          <w:sz w:val="22"/>
          <w:szCs w:val="22"/>
          <w:lang w:val="en-US"/>
        </w:rPr>
        <w:t xml:space="preserve">  </w:t>
      </w:r>
      <w:r w:rsidRPr="13BE4A3C" w:rsidR="2C604F6E">
        <w:rPr>
          <w:i w:val="1"/>
          <w:iCs w:val="1"/>
        </w:rPr>
        <w:t>______________________________________________________________________</w:t>
      </w:r>
      <w:r w:rsidRPr="13BE4A3C" w:rsidR="68616C7C">
        <w:rPr>
          <w:i w:val="1"/>
          <w:iCs w:val="1"/>
        </w:rPr>
        <w:t>_</w:t>
      </w:r>
    </w:p>
    <w:p w:rsidR="00BA4F74" w:rsidP="43D4FF1C" w:rsidRDefault="37A7601B" w14:paraId="620D80F3" w14:textId="13F38B10">
      <w:pPr/>
      <w:r w:rsidRPr="13BE4A3C" w:rsidR="11016654">
        <w:rPr>
          <w:b w:val="1"/>
          <w:bCs w:val="1"/>
          <w:sz w:val="28"/>
          <w:szCs w:val="28"/>
          <w:u w:val="single"/>
        </w:rPr>
        <w:t>Research Aim</w:t>
      </w:r>
      <w:r w:rsidRPr="13BE4A3C" w:rsidR="11016654">
        <w:rPr>
          <w:sz w:val="28"/>
          <w:szCs w:val="28"/>
          <w:u w:val="single"/>
        </w:rPr>
        <w:t>:</w:t>
      </w:r>
      <w:r w:rsidRPr="13BE4A3C" w:rsidR="11016654">
        <w:rPr>
          <w:rFonts w:ascii="Calibri" w:hAnsi="Calibri" w:eastAsia="Calibri" w:cs="Calibri"/>
          <w:color w:val="000000" w:themeColor="text1" w:themeTint="FF" w:themeShade="FF"/>
          <w:u w:val="single"/>
          <w:lang w:val="en-GB"/>
        </w:rPr>
        <w:t xml:space="preserve"> </w:t>
      </w:r>
      <w:r w:rsidRPr="13BE4A3C" w:rsidR="03FCAD06">
        <w:rPr>
          <w:rFonts w:ascii="Calibri" w:hAnsi="Calibri" w:eastAsia="Calibri" w:cs="Calibri"/>
          <w:color w:val="000000" w:themeColor="text1" w:themeTint="FF" w:themeShade="FF"/>
          <w:u w:val="single"/>
          <w:lang w:val="en-GB"/>
        </w:rPr>
        <w:t xml:space="preserve"> </w:t>
      </w:r>
    </w:p>
    <w:p w:rsidR="7CAD6058" w:rsidP="13BE4A3C" w:rsidRDefault="49C7DEFE" w14:paraId="342A423E" w14:textId="570080A3">
      <w:pPr>
        <w:pStyle w:val="Normal"/>
        <w:spacing w:line="360" w:lineRule="auto"/>
        <w:jc w:val="both"/>
        <w:rPr>
          <w:rFonts w:ascii="Arial" w:hAnsi="Arial" w:eastAsia="Arial" w:cs="Arial"/>
          <w:noProof w:val="0"/>
          <w:sz w:val="24"/>
          <w:szCs w:val="24"/>
          <w:lang w:val="en-GB"/>
        </w:rPr>
      </w:pPr>
      <w:r w:rsidRPr="13BE4A3C" w:rsidR="33280AC7">
        <w:rPr>
          <w:rFonts w:ascii="Arial" w:hAnsi="Arial" w:eastAsia="Arial" w:cs="Arial"/>
          <w:noProof w:val="0"/>
          <w:sz w:val="24"/>
          <w:szCs w:val="24"/>
          <w:lang w:val="en-GB"/>
        </w:rPr>
        <w:t>To critically evaluate the extent to which post-pandemic youth offending prevention strategies in England and Wales address key social and educational factors associated with youth offending, particularly educational disengagement and economic deprivation, while examining how principles from international youth justice models may inform future prevention policy development.</w:t>
      </w:r>
    </w:p>
    <w:p w:rsidR="7CAD6058" w:rsidP="13BE4A3C" w:rsidRDefault="49C7DEFE" w14:paraId="18237E0C" w14:textId="56A20D43">
      <w:pPr>
        <w:pStyle w:val="Normal"/>
        <w:spacing w:line="360" w:lineRule="auto"/>
        <w:jc w:val="left"/>
        <w:rPr>
          <w:i w:val="1"/>
          <w:iCs w:val="1"/>
        </w:rPr>
      </w:pPr>
      <w:r w:rsidRPr="13BE4A3C" w:rsidR="55A52252">
        <w:rPr>
          <w:i w:val="1"/>
          <w:iCs w:val="1"/>
        </w:rPr>
        <w:t xml:space="preserve"> </w:t>
      </w:r>
      <w:r w:rsidRPr="13BE4A3C" w:rsidR="1C3BF742">
        <w:rPr>
          <w:i w:val="1"/>
          <w:iCs w:val="1"/>
        </w:rPr>
        <w:t>________________________________________________________________________</w:t>
      </w:r>
    </w:p>
    <w:p w:rsidR="7CAD6058" w:rsidP="13BE4A3C" w:rsidRDefault="00F93D4C" w14:paraId="5342B681" w14:textId="44398F0F">
      <w:pPr>
        <w:spacing w:before="240" w:after="240" w:line="360" w:lineRule="auto"/>
      </w:pPr>
      <w:r w:rsidRPr="13BE4A3C" w:rsidR="2C604F6E">
        <w:rPr>
          <w:b w:val="1"/>
          <w:bCs w:val="1"/>
          <w:sz w:val="28"/>
          <w:szCs w:val="28"/>
          <w:u w:val="single"/>
        </w:rPr>
        <w:t>Research Objectives:</w:t>
      </w:r>
      <w:r w:rsidRPr="13BE4A3C" w:rsidR="2C604F6E">
        <w:rPr>
          <w:rFonts w:ascii="Calibri" w:hAnsi="Calibri" w:eastAsia="Calibri" w:cs="Calibri"/>
          <w:b w:val="1"/>
          <w:bCs w:val="1"/>
          <w:color w:val="000000" w:themeColor="text1" w:themeTint="FF" w:themeShade="FF"/>
          <w:u w:val="single"/>
          <w:lang w:val="en-GB"/>
        </w:rPr>
        <w:t xml:space="preserve"> </w:t>
      </w:r>
    </w:p>
    <w:p w:rsidR="7CAD6058" w:rsidP="13BE4A3C" w:rsidRDefault="00F93D4C" w14:paraId="767E0CE2" w14:textId="60DD0A65">
      <w:pPr>
        <w:spacing w:before="240" w:beforeAutospacing="off" w:after="240" w:afterAutospacing="off" w:line="360" w:lineRule="auto"/>
        <w:jc w:val="both"/>
      </w:pPr>
      <w:r w:rsidRPr="13BE4A3C" w:rsidR="51926582">
        <w:rPr>
          <w:rFonts w:ascii="Arial" w:hAnsi="Arial" w:eastAsia="Arial" w:cs="Arial"/>
          <w:noProof w:val="0"/>
          <w:sz w:val="24"/>
          <w:szCs w:val="24"/>
          <w:lang w:val="en-GB"/>
        </w:rPr>
        <w:t>• To examine changes in youth offending prevention policy and practice in England and Wales following the COVID-19 pandemic, with particular attention to early intervention, diversion, and child-centred approaches.</w:t>
      </w:r>
    </w:p>
    <w:p w:rsidR="7CAD6058" w:rsidP="13BE4A3C" w:rsidRDefault="00F93D4C" w14:paraId="709E2184" w14:textId="02180120">
      <w:pPr>
        <w:spacing w:before="240" w:beforeAutospacing="off" w:after="240" w:afterAutospacing="off" w:line="360" w:lineRule="auto"/>
        <w:jc w:val="both"/>
      </w:pPr>
      <w:r w:rsidRPr="13BE4A3C" w:rsidR="51926582">
        <w:rPr>
          <w:rFonts w:ascii="Arial" w:hAnsi="Arial" w:eastAsia="Arial" w:cs="Arial"/>
          <w:noProof w:val="0"/>
          <w:sz w:val="24"/>
          <w:szCs w:val="24"/>
          <w:lang w:val="en-GB"/>
        </w:rPr>
        <w:t>• To critically evaluate evidence regarding the strengths, limitations, and effectiveness of post-pandemic youth offending prevention strategies.</w:t>
      </w:r>
    </w:p>
    <w:p w:rsidR="7CAD6058" w:rsidP="13BE4A3C" w:rsidRDefault="00F93D4C" w14:paraId="31848235" w14:textId="5DC720A1">
      <w:pPr>
        <w:spacing w:before="240" w:beforeAutospacing="off" w:after="240" w:afterAutospacing="off" w:line="360" w:lineRule="auto"/>
        <w:jc w:val="both"/>
      </w:pPr>
      <w:r w:rsidRPr="13BE4A3C" w:rsidR="51926582">
        <w:rPr>
          <w:rFonts w:ascii="Arial" w:hAnsi="Arial" w:eastAsia="Arial" w:cs="Arial"/>
          <w:noProof w:val="0"/>
          <w:sz w:val="24"/>
          <w:szCs w:val="24"/>
          <w:lang w:val="en-GB"/>
        </w:rPr>
        <w:t>• To explore how educational disengagement and economic deprivation have influenced youth offending prevention debates and policy responses following the pandemic.</w:t>
      </w:r>
    </w:p>
    <w:p w:rsidR="7CAD6058" w:rsidP="13BE4A3C" w:rsidRDefault="00F93D4C" w14:paraId="0FD624CF" w14:textId="6A56C97E">
      <w:pPr>
        <w:spacing w:before="240" w:beforeAutospacing="off" w:after="240" w:afterAutospacing="off" w:line="360" w:lineRule="auto"/>
        <w:jc w:val="both"/>
      </w:pPr>
      <w:r w:rsidRPr="13BE4A3C" w:rsidR="51926582">
        <w:rPr>
          <w:rFonts w:ascii="Arial" w:hAnsi="Arial" w:eastAsia="Arial" w:cs="Arial"/>
          <w:noProof w:val="0"/>
          <w:sz w:val="24"/>
          <w:szCs w:val="24"/>
          <w:lang w:val="en-GB"/>
        </w:rPr>
        <w:t>• To compare youth offending prevention approaches in England and Wales with selected international youth justice models and identify principles that may inform future policy development.</w:t>
      </w:r>
    </w:p>
    <w:p w:rsidR="7CAD6058" w:rsidP="13BE4A3C" w:rsidRDefault="00F93D4C" w14:paraId="514FDE73" w14:textId="080D8527">
      <w:pPr>
        <w:pStyle w:val="Normal"/>
        <w:spacing w:before="240" w:after="240" w:line="360" w:lineRule="auto"/>
        <w:jc w:val="both"/>
        <w:rPr>
          <w:sz w:val="28"/>
          <w:szCs w:val="28"/>
        </w:rPr>
      </w:pPr>
      <w:r w:rsidRPr="13BE4A3C" w:rsidR="22567F08">
        <w:rPr>
          <w:rFonts w:ascii="Arial" w:hAnsi="Arial" w:cs="Arial"/>
          <w:sz w:val="24"/>
          <w:szCs w:val="24"/>
        </w:rPr>
        <w:t xml:space="preserve"> </w:t>
      </w:r>
      <w:r w:rsidRPr="13BE4A3C" w:rsidR="2C604F6E">
        <w:rPr>
          <w:sz w:val="28"/>
          <w:szCs w:val="28"/>
        </w:rPr>
        <w:t>______________________________________________________________</w:t>
      </w:r>
    </w:p>
    <w:p w:rsidRPr="00407E9B" w:rsidR="450BA48F" w:rsidP="43D4FF1C" w:rsidRDefault="70529161" w14:paraId="74CAEB00" w14:textId="62B01946">
      <w:pPr/>
      <w:r w:rsidRPr="13BE4A3C" w:rsidR="61B1F26B">
        <w:rPr>
          <w:b w:val="1"/>
          <w:bCs w:val="1"/>
          <w:sz w:val="28"/>
          <w:szCs w:val="28"/>
          <w:u w:val="single"/>
        </w:rPr>
        <w:t>Literature Review:</w:t>
      </w:r>
      <w:r w:rsidRPr="13BE4A3C" w:rsidR="61B1F26B">
        <w:rPr>
          <w:sz w:val="28"/>
          <w:szCs w:val="28"/>
          <w:u w:val="single"/>
        </w:rPr>
        <w:t xml:space="preserve"> </w:t>
      </w:r>
    </w:p>
    <w:p w:rsidR="5BFFD2F1" w:rsidP="13BE4A3C" w:rsidRDefault="082F530A" w14:paraId="3ADBE694" w14:textId="2A299F9B">
      <w:pPr>
        <w:spacing w:line="360" w:lineRule="auto"/>
        <w:jc w:val="both"/>
        <w:rPr>
          <w:rFonts w:ascii="Arial" w:hAnsi="Arial" w:eastAsia="Arial" w:cs="Arial"/>
          <w:noProof w:val="0"/>
          <w:sz w:val="24"/>
          <w:szCs w:val="24"/>
          <w:u w:val="none"/>
          <w:lang w:val="en-US"/>
        </w:rPr>
      </w:pPr>
      <w:r w:rsidRPr="13BE4A3C" w:rsidR="706DB168">
        <w:rPr>
          <w:rFonts w:ascii="Arial" w:hAnsi="Arial" w:eastAsia="Arial" w:cs="Arial"/>
          <w:noProof w:val="0"/>
          <w:sz w:val="24"/>
          <w:szCs w:val="24"/>
          <w:u w:val="none"/>
          <w:lang w:val="en-US"/>
        </w:rPr>
        <w:t>Youth offending prevention remains a contested area within criminology and youth justice policy, reflecting ongoing tensions between welfare-based approaches focused on support and rehabilitation and justice-oriented approaches emphasising accountability and control (Muncie, 2015). Contemporary research recognises that offending behaviour develops through complex interactions between individual development, social relationships, education, and wider structural inequalities. However, debate remains regarding whether prevention strategies should primarily focus on identifying individual risks or addressing the broader social conditions that contribute to vulnerability.</w:t>
      </w:r>
    </w:p>
    <w:p w:rsidR="5BFFD2F1" w:rsidP="13BE4A3C" w:rsidRDefault="082F530A" w14:paraId="066DFDB0" w14:textId="34E7FEA0">
      <w:pPr>
        <w:spacing w:line="360" w:lineRule="auto"/>
        <w:jc w:val="both"/>
        <w:rPr>
          <w:rFonts w:ascii="Arial" w:hAnsi="Arial" w:eastAsia="Arial" w:cs="Arial"/>
          <w:noProof w:val="0"/>
          <w:sz w:val="24"/>
          <w:szCs w:val="24"/>
          <w:u w:val="none"/>
          <w:lang w:val="en-US"/>
        </w:rPr>
      </w:pPr>
      <w:r w:rsidRPr="17A656D7" w:rsidR="705E8D02">
        <w:rPr>
          <w:rFonts w:ascii="Arial" w:hAnsi="Arial" w:eastAsia="Arial" w:cs="Arial"/>
          <w:noProof w:val="0"/>
          <w:sz w:val="24"/>
          <w:szCs w:val="24"/>
          <w:u w:val="none"/>
          <w:lang w:val="en-US"/>
        </w:rPr>
        <w:t xml:space="preserve">Developmental and life-course criminology has significantly influenced youth offending prevention by highlighting the importance of childhood experiences and environmental factors. Farrington (2003) argues that family difficulties, educational </w:t>
      </w:r>
      <w:r w:rsidRPr="17A656D7" w:rsidR="40087937">
        <w:rPr>
          <w:rFonts w:ascii="Arial" w:hAnsi="Arial" w:eastAsia="Arial" w:cs="Arial"/>
          <w:noProof w:val="0"/>
          <w:sz w:val="24"/>
          <w:szCs w:val="24"/>
          <w:u w:val="none"/>
          <w:lang w:val="en-US"/>
        </w:rPr>
        <w:t>disadvantages</w:t>
      </w:r>
      <w:r w:rsidRPr="17A656D7" w:rsidR="705E8D02">
        <w:rPr>
          <w:rFonts w:ascii="Arial" w:hAnsi="Arial" w:eastAsia="Arial" w:cs="Arial"/>
          <w:noProof w:val="0"/>
          <w:sz w:val="24"/>
          <w:szCs w:val="24"/>
          <w:u w:val="none"/>
          <w:lang w:val="en-US"/>
        </w:rPr>
        <w:t xml:space="preserve">, and social exclusion can contribute to pathways into offending. This perspective provides valuable support for early intervention approaches by </w:t>
      </w:r>
      <w:r w:rsidRPr="17A656D7" w:rsidR="705E8D02">
        <w:rPr>
          <w:rFonts w:ascii="Arial" w:hAnsi="Arial" w:eastAsia="Arial" w:cs="Arial"/>
          <w:noProof w:val="0"/>
          <w:sz w:val="24"/>
          <w:szCs w:val="24"/>
          <w:u w:val="none"/>
          <w:lang w:val="en-US"/>
        </w:rPr>
        <w:t>demonstrating</w:t>
      </w:r>
      <w:r w:rsidRPr="17A656D7" w:rsidR="705E8D02">
        <w:rPr>
          <w:rFonts w:ascii="Arial" w:hAnsi="Arial" w:eastAsia="Arial" w:cs="Arial"/>
          <w:noProof w:val="0"/>
          <w:sz w:val="24"/>
          <w:szCs w:val="24"/>
          <w:u w:val="none"/>
          <w:lang w:val="en-US"/>
        </w:rPr>
        <w:t xml:space="preserve"> how risks may accumulate over time. However, risk-focused models have been </w:t>
      </w:r>
      <w:r w:rsidRPr="17A656D7" w:rsidR="705E8D02">
        <w:rPr>
          <w:rFonts w:ascii="Arial" w:hAnsi="Arial" w:eastAsia="Arial" w:cs="Arial"/>
          <w:noProof w:val="0"/>
          <w:sz w:val="24"/>
          <w:szCs w:val="24"/>
          <w:u w:val="none"/>
          <w:lang w:val="en-US"/>
        </w:rPr>
        <w:t>criticised</w:t>
      </w:r>
      <w:r w:rsidRPr="17A656D7" w:rsidR="705E8D02">
        <w:rPr>
          <w:rFonts w:ascii="Arial" w:hAnsi="Arial" w:eastAsia="Arial" w:cs="Arial"/>
          <w:noProof w:val="0"/>
          <w:sz w:val="24"/>
          <w:szCs w:val="24"/>
          <w:u w:val="none"/>
          <w:lang w:val="en-US"/>
        </w:rPr>
        <w:t xml:space="preserve"> for potentially defining children through vulnerability and encouraging deterministic assumptions about future offending. Case and Haines (2015) argue that Positive Youth Justice provides an alternative approach by </w:t>
      </w:r>
      <w:r w:rsidRPr="17A656D7" w:rsidR="705E8D02">
        <w:rPr>
          <w:rFonts w:ascii="Arial" w:hAnsi="Arial" w:eastAsia="Arial" w:cs="Arial"/>
          <w:noProof w:val="0"/>
          <w:sz w:val="24"/>
          <w:szCs w:val="24"/>
          <w:u w:val="none"/>
          <w:lang w:val="en-US"/>
        </w:rPr>
        <w:t>prioritising</w:t>
      </w:r>
      <w:r w:rsidRPr="17A656D7" w:rsidR="705E8D02">
        <w:rPr>
          <w:rFonts w:ascii="Arial" w:hAnsi="Arial" w:eastAsia="Arial" w:cs="Arial"/>
          <w:noProof w:val="0"/>
          <w:sz w:val="24"/>
          <w:szCs w:val="24"/>
          <w:u w:val="none"/>
          <w:lang w:val="en-US"/>
        </w:rPr>
        <w:t xml:space="preserve"> participation, resilience, and support rather than viewing young people primarily through risk. This perspective is particularly relevant following COVID-19, as disruption to education and support networks may </w:t>
      </w:r>
      <w:r w:rsidRPr="17A656D7" w:rsidR="705E8D02">
        <w:rPr>
          <w:rFonts w:ascii="Arial" w:hAnsi="Arial" w:eastAsia="Arial" w:cs="Arial"/>
          <w:noProof w:val="0"/>
          <w:sz w:val="24"/>
          <w:szCs w:val="24"/>
          <w:u w:val="none"/>
          <w:lang w:val="en-US"/>
        </w:rPr>
        <w:t>represent</w:t>
      </w:r>
      <w:r w:rsidRPr="17A656D7" w:rsidR="705E8D02">
        <w:rPr>
          <w:rFonts w:ascii="Arial" w:hAnsi="Arial" w:eastAsia="Arial" w:cs="Arial"/>
          <w:noProof w:val="0"/>
          <w:sz w:val="24"/>
          <w:szCs w:val="24"/>
          <w:u w:val="none"/>
          <w:lang w:val="en-US"/>
        </w:rPr>
        <w:t xml:space="preserve"> temporary vulnerability rather than fixed offending pathways.</w:t>
      </w:r>
    </w:p>
    <w:p w:rsidR="5BFFD2F1" w:rsidP="13BE4A3C" w:rsidRDefault="082F530A" w14:paraId="092B42A2" w14:textId="04979B3F">
      <w:pPr>
        <w:spacing w:line="360" w:lineRule="auto"/>
        <w:jc w:val="both"/>
        <w:rPr>
          <w:rFonts w:ascii="Arial" w:hAnsi="Arial" w:eastAsia="Arial" w:cs="Arial"/>
          <w:noProof w:val="0"/>
          <w:sz w:val="24"/>
          <w:szCs w:val="24"/>
          <w:u w:val="none"/>
          <w:lang w:val="en-US"/>
        </w:rPr>
      </w:pPr>
      <w:r w:rsidRPr="13BE4A3C" w:rsidR="706DB168">
        <w:rPr>
          <w:rFonts w:ascii="Arial" w:hAnsi="Arial" w:eastAsia="Arial" w:cs="Arial"/>
          <w:noProof w:val="0"/>
          <w:sz w:val="24"/>
          <w:szCs w:val="24"/>
          <w:u w:val="none"/>
          <w:lang w:val="en-US"/>
        </w:rPr>
        <w:t>Social Learning Theory provides further insight into youth offending by emphasising the influence of observation, reinforcement, and social environments on behaviour (Bandura, 1977). This supports prevention strategies based on mentoring, family intervention, and community engagement. However, the theory provides a more limited explanation of wider structural influences, including poverty, inequality, and unequal access to opportunities. Goldson and Muncie (2015) argue that youth offending must also be understood within broader political, economic, and social contexts, suggesting that effective prevention requires both individual support and interventions addressing structural disadvantage.</w:t>
      </w:r>
    </w:p>
    <w:p w:rsidR="5BFFD2F1" w:rsidP="13BE4A3C" w:rsidRDefault="082F530A" w14:paraId="24C46902" w14:textId="47602C0B">
      <w:pPr>
        <w:spacing w:line="360" w:lineRule="auto"/>
        <w:jc w:val="both"/>
        <w:rPr>
          <w:rFonts w:ascii="Arial" w:hAnsi="Arial" w:eastAsia="Arial" w:cs="Arial"/>
          <w:noProof w:val="0"/>
          <w:sz w:val="24"/>
          <w:szCs w:val="24"/>
          <w:u w:val="none"/>
          <w:lang w:val="en-US"/>
        </w:rPr>
      </w:pPr>
      <w:r w:rsidRPr="5B667302" w:rsidR="705E8D02">
        <w:rPr>
          <w:rFonts w:ascii="Arial" w:hAnsi="Arial" w:eastAsia="Arial" w:cs="Arial"/>
          <w:noProof w:val="0"/>
          <w:sz w:val="24"/>
          <w:szCs w:val="24"/>
          <w:u w:val="none"/>
          <w:lang w:val="en-US"/>
        </w:rPr>
        <w:t xml:space="preserve">Educational disadvantage and economic deprivation remain central concerns within youth justice research. Bateman (2017) highlights that children involved in the youth justice system are disproportionately affected by poverty, inequality, and limited opportunities. However, deprivation should not be understood as a direct cause of offending, as its influence is shaped by factors including educational experiences, family circumstances, social support, and access to opportunities. McAra and McVie (2010) demonstrate that educational experiences, particularly exclusion from mainstream education, can influence pathways into criminal justice involvement. These findings are particularly significant following COVID-19, as school closures, disrupted learning, and reduced access to support services </w:t>
      </w:r>
      <w:bookmarkStart w:name="_Int_YAqTahJ5" w:id="782828702"/>
      <w:r w:rsidRPr="5B667302" w:rsidR="705E8D02">
        <w:rPr>
          <w:rFonts w:ascii="Arial" w:hAnsi="Arial" w:eastAsia="Arial" w:cs="Arial"/>
          <w:noProof w:val="0"/>
          <w:sz w:val="24"/>
          <w:szCs w:val="24"/>
          <w:u w:val="none"/>
          <w:lang w:val="en-US"/>
        </w:rPr>
        <w:t>intensified</w:t>
      </w:r>
      <w:bookmarkEnd w:id="782828702"/>
      <w:r w:rsidRPr="5B667302" w:rsidR="705E8D02">
        <w:rPr>
          <w:rFonts w:ascii="Arial" w:hAnsi="Arial" w:eastAsia="Arial" w:cs="Arial"/>
          <w:noProof w:val="0"/>
          <w:sz w:val="24"/>
          <w:szCs w:val="24"/>
          <w:u w:val="none"/>
          <w:lang w:val="en-US"/>
        </w:rPr>
        <w:t xml:space="preserve"> existing inequalities.</w:t>
      </w:r>
    </w:p>
    <w:p w:rsidR="5BFFD2F1" w:rsidP="13BE4A3C" w:rsidRDefault="082F530A" w14:paraId="4E33AAD8" w14:textId="6533A4D5">
      <w:pPr>
        <w:pStyle w:val="Normal"/>
        <w:spacing w:line="360" w:lineRule="auto"/>
        <w:jc w:val="both"/>
      </w:pPr>
      <w:r w:rsidRPr="13BE4A3C" w:rsidR="5EE9251F">
        <w:rPr>
          <w:rFonts w:ascii="Arial" w:hAnsi="Arial" w:eastAsia="Arial" w:cs="Arial"/>
          <w:noProof w:val="0"/>
          <w:sz w:val="24"/>
          <w:szCs w:val="24"/>
          <w:lang w:val="en-US"/>
        </w:rPr>
        <w:t>Evidence from the Children’s Commissioner for England (2021) and the Department for Education (2024) demonstrates the continuing impact of pandemic-related disruption on attendance, wellbeing, and educational engagement. However, while these sources highlight the challenges created by COVID-19, there remains limited evaluation of whether post-pandemic youth offending prevention strategies have effectively addressed these longer-term consequences, particularly for children experiencing educational disengagement and wider social disadvantage. This creates an important research gap regarding whether policy responses have sufficiently prioritised inclusion, support, and prevention rather than focusing primarily on managing individual risk. Furthermore, although early intervention and diversion strategies have become central features of contemporary youth justice policy, questions remain regarding whether these approaches adequately address the structural conditions that contribute to vulnerability, including poverty, inequality, and reduced access to educational opportunities. Examining this relationship is therefore important for understanding whether post-pandemic prevention strategies provide meaningful support for children at risk of involvement in the youth justice system.</w:t>
      </w:r>
    </w:p>
    <w:p w:rsidR="5BFFD2F1" w:rsidP="13BE4A3C" w:rsidRDefault="082F530A" w14:paraId="63D9C845" w14:textId="2350C018">
      <w:pPr>
        <w:spacing w:line="360" w:lineRule="auto"/>
        <w:jc w:val="both"/>
        <w:rPr>
          <w:rFonts w:ascii="Arial" w:hAnsi="Arial" w:eastAsia="Arial" w:cs="Arial"/>
          <w:noProof w:val="0"/>
          <w:sz w:val="24"/>
          <w:szCs w:val="24"/>
          <w:u w:val="none"/>
          <w:lang w:val="en-US"/>
        </w:rPr>
      </w:pPr>
      <w:r w:rsidRPr="13BE4A3C" w:rsidR="706DB168">
        <w:rPr>
          <w:rFonts w:ascii="Arial" w:hAnsi="Arial" w:eastAsia="Arial" w:cs="Arial"/>
          <w:noProof w:val="0"/>
          <w:sz w:val="24"/>
          <w:szCs w:val="24"/>
          <w:u w:val="none"/>
          <w:lang w:val="en-US"/>
        </w:rPr>
        <w:t>Youth justice policy in England and Wales has increasingly emphasised early intervention, diversion, and child-centred approaches. The Youth Justice Board (2024) promotes approaches that address children’s individual needs while reducing unnecessary criminalisation. However, Haines and Case (2023) argue that meaningful youth justice reform requires movement beyond risk management towards approaches based on children’s rights, participation, and social inclusion. This raises important questions regarding whether post-pandemic strategies have successfully translated these principles into practice and whether current approaches adequately address the wider social factors associated with youth offending.</w:t>
      </w:r>
    </w:p>
    <w:p w:rsidR="5BFFD2F1" w:rsidP="13BE4A3C" w:rsidRDefault="082F530A" w14:paraId="1AE2BFC9" w14:textId="37615EBE">
      <w:pPr>
        <w:spacing w:line="360" w:lineRule="auto"/>
        <w:jc w:val="both"/>
        <w:rPr>
          <w:rFonts w:ascii="Arial" w:hAnsi="Arial" w:eastAsia="Arial" w:cs="Arial"/>
          <w:noProof w:val="0"/>
          <w:sz w:val="24"/>
          <w:szCs w:val="24"/>
          <w:u w:val="none"/>
          <w:lang w:val="en-US"/>
        </w:rPr>
      </w:pPr>
      <w:r w:rsidRPr="13BE4A3C" w:rsidR="706DB168">
        <w:rPr>
          <w:rFonts w:ascii="Arial" w:hAnsi="Arial" w:eastAsia="Arial" w:cs="Arial"/>
          <w:noProof w:val="0"/>
          <w:sz w:val="24"/>
          <w:szCs w:val="24"/>
          <w:u w:val="none"/>
          <w:lang w:val="en-US"/>
        </w:rPr>
        <w:t>International youth justice models provide opportunities to examine alternative approaches to prevention and identify potential lessons for policy development. Restorative justice approaches emphasise accountability, repairing harm, and reintegration rather than punishment alone (Johnstone and Van Ness, 2013). Welfare-oriented approaches in Nordic countries demonstrate the potential benefits of integrating youth justice with wider social support systems (Cavadino and Dignan, 2021), while New Zealand’s Family Group Conference model highlights the importance of participation from young people, families, and communities (Maxwell and Morris, 2006). However, Hazel (2008) cautions that youth justice systems develop within different political, legal, and cultural contexts, meaning international approaches cannot simply be transferred without considering their suitability within England and Wales.</w:t>
      </w:r>
    </w:p>
    <w:p w:rsidR="5BFFD2F1" w:rsidP="13BE4A3C" w:rsidRDefault="082F530A" w14:paraId="4B4CF4EF" w14:textId="7FFD7F79">
      <w:pPr>
        <w:spacing w:line="360" w:lineRule="auto"/>
        <w:jc w:val="both"/>
        <w:rPr>
          <w:rFonts w:ascii="Arial" w:hAnsi="Arial" w:eastAsia="Arial" w:cs="Arial"/>
          <w:noProof w:val="0"/>
          <w:sz w:val="24"/>
          <w:szCs w:val="24"/>
          <w:u w:val="none"/>
          <w:lang w:val="en-US"/>
        </w:rPr>
      </w:pPr>
      <w:r w:rsidRPr="13BE4A3C" w:rsidR="706DB168">
        <w:rPr>
          <w:rFonts w:ascii="Arial" w:hAnsi="Arial" w:eastAsia="Arial" w:cs="Arial"/>
          <w:noProof w:val="0"/>
          <w:sz w:val="24"/>
          <w:szCs w:val="24"/>
          <w:u w:val="none"/>
          <w:lang w:val="en-US"/>
        </w:rPr>
        <w:t>Overall, existing literature demonstrates that youth offending prevention is shaped by complex interactions between individual development, education, inequality, and social support. While research provides significant understanding of youth offending pathways and principles of effective prevention, limited attention has been given to whether post-pandemic strategies have effectively translated these principles into practice, particularly in addressing educational disengagement and economic deprivation. This dissertation therefore seeks to critically evaluate post-pandemic youth offending prevention approaches in England and Wales while considering whether international youth justice principles can provide relevant lessons for future policy development.</w:t>
      </w:r>
    </w:p>
    <w:p w:rsidR="5BFFD2F1" w:rsidP="13BE4A3C" w:rsidRDefault="082F530A" w14:paraId="5F4768E6" w14:textId="375CC01A">
      <w:pPr>
        <w:rPr>
          <w:sz w:val="28"/>
          <w:szCs w:val="28"/>
          <w:u w:val="single"/>
        </w:rPr>
      </w:pPr>
    </w:p>
    <w:p w:rsidR="5BFFD2F1" w:rsidP="13BE4A3C" w:rsidRDefault="082F530A" w14:paraId="1B63A996" w14:textId="56FC15AD">
      <w:pPr>
        <w:rPr>
          <w:i w:val="1"/>
          <w:iCs w:val="1"/>
        </w:rPr>
      </w:pPr>
      <w:r w:rsidRPr="13BE4A3C" w:rsidR="2FDCE899">
        <w:rPr>
          <w:i w:val="1"/>
          <w:iCs w:val="1"/>
        </w:rPr>
        <w:t>_______________________________________________________________________________</w:t>
      </w:r>
    </w:p>
    <w:p w:rsidRPr="00407E9B" w:rsidR="6CB404EB" w:rsidP="3DFAD6CA" w:rsidRDefault="7DD66136" w14:paraId="7940C7B6" w14:textId="47584FD1">
      <w:pPr>
        <w:rPr>
          <w:rFonts w:cstheme="minorHAnsi"/>
          <w:sz w:val="28"/>
          <w:szCs w:val="28"/>
          <w:u w:val="single"/>
        </w:rPr>
      </w:pPr>
      <w:r w:rsidRPr="13BE4A3C" w:rsidR="0B67E4AF">
        <w:rPr>
          <w:rFonts w:eastAsia="Arial" w:cs="Calibri" w:cstheme="minorAscii"/>
          <w:b w:val="1"/>
          <w:bCs w:val="1"/>
          <w:sz w:val="28"/>
          <w:szCs w:val="28"/>
          <w:u w:val="single"/>
        </w:rPr>
        <w:t>Methodology</w:t>
      </w:r>
      <w:r w:rsidRPr="13BE4A3C" w:rsidR="0B67E4AF">
        <w:rPr>
          <w:rFonts w:cs="Calibri" w:cstheme="minorAscii"/>
          <w:b w:val="1"/>
          <w:bCs w:val="1"/>
          <w:sz w:val="28"/>
          <w:szCs w:val="28"/>
          <w:u w:val="single"/>
        </w:rPr>
        <w:t>:</w:t>
      </w:r>
      <w:r w:rsidRPr="13BE4A3C" w:rsidR="0B67E4AF">
        <w:rPr>
          <w:rFonts w:cs="Calibri" w:cstheme="minorAscii"/>
          <w:sz w:val="28"/>
          <w:szCs w:val="28"/>
          <w:u w:val="single"/>
        </w:rPr>
        <w:t xml:space="preserve"> </w:t>
      </w:r>
    </w:p>
    <w:p w:rsidRPr="00F93D4C" w:rsidR="00F93D4C" w:rsidP="13BE4A3C" w:rsidRDefault="00F93D4C" w14:paraId="336DDB8E" w14:textId="3C6716D3">
      <w:pPr>
        <w:spacing w:line="360" w:lineRule="auto"/>
        <w:jc w:val="both"/>
        <w:rPr>
          <w:rFonts w:ascii="Arial" w:hAnsi="Arial" w:eastAsia="Arial" w:cs="Arial"/>
          <w:noProof w:val="0"/>
          <w:sz w:val="24"/>
          <w:szCs w:val="24"/>
          <w:lang w:val="en-GB"/>
        </w:rPr>
      </w:pPr>
      <w:r w:rsidRPr="13BE4A3C" w:rsidR="6E286309">
        <w:rPr>
          <w:rFonts w:ascii="Arial" w:hAnsi="Arial" w:eastAsia="Arial" w:cs="Arial"/>
          <w:noProof w:val="0"/>
          <w:sz w:val="24"/>
          <w:szCs w:val="24"/>
          <w:lang w:val="en-GB"/>
        </w:rPr>
        <w:t>This dissertation will adopt a qualitative research design using documentary analysis to critically examine post-pandemic youth offending prevention strategies in England and Wales. A qualitative approach is appropriate because the research aims to explore how prevention strategies address wider social, educational, and economic factors associated with youth offending, rather than measure the statistical impact of individual interventions (Bryman, 2016). This approach allows for critical examination of policy responses, underlying assumptions, and the extent to which current strategies address the complexities associated with youth offending.</w:t>
      </w:r>
    </w:p>
    <w:p w:rsidRPr="00F93D4C" w:rsidR="00F93D4C" w:rsidP="13BE4A3C" w:rsidRDefault="00F93D4C" w14:paraId="045E4BDD" w14:textId="50A0D8E5">
      <w:pPr>
        <w:spacing w:line="360" w:lineRule="auto"/>
        <w:jc w:val="both"/>
        <w:rPr>
          <w:rFonts w:ascii="Arial" w:hAnsi="Arial" w:eastAsia="Arial" w:cs="Arial"/>
          <w:noProof w:val="0"/>
          <w:sz w:val="24"/>
          <w:szCs w:val="24"/>
          <w:lang w:val="en-GB"/>
        </w:rPr>
      </w:pPr>
      <w:r w:rsidRPr="13BE4A3C" w:rsidR="6E286309">
        <w:rPr>
          <w:rFonts w:ascii="Arial" w:hAnsi="Arial" w:eastAsia="Arial" w:cs="Arial"/>
          <w:noProof w:val="0"/>
          <w:sz w:val="24"/>
          <w:szCs w:val="24"/>
          <w:lang w:val="en-GB"/>
        </w:rPr>
        <w:t xml:space="preserve">The research will </w:t>
      </w:r>
      <w:r w:rsidRPr="13BE4A3C" w:rsidR="121929CB">
        <w:rPr>
          <w:rFonts w:ascii="Arial" w:hAnsi="Arial" w:eastAsia="Arial" w:cs="Arial"/>
          <w:noProof w:val="0"/>
          <w:sz w:val="24"/>
          <w:szCs w:val="24"/>
          <w:lang w:val="en-GB"/>
        </w:rPr>
        <w:t xml:space="preserve">critically </w:t>
      </w:r>
      <w:r w:rsidRPr="13BE4A3C" w:rsidR="6E286309">
        <w:rPr>
          <w:rFonts w:ascii="Arial" w:hAnsi="Arial" w:eastAsia="Arial" w:cs="Arial"/>
          <w:noProof w:val="0"/>
          <w:sz w:val="24"/>
          <w:szCs w:val="24"/>
          <w:lang w:val="en-GB"/>
        </w:rPr>
        <w:t xml:space="preserve">analyse </w:t>
      </w:r>
      <w:r w:rsidRPr="13BE4A3C" w:rsidR="25629C2F">
        <w:rPr>
          <w:rFonts w:ascii="Arial" w:hAnsi="Arial" w:eastAsia="Arial" w:cs="Arial"/>
          <w:noProof w:val="0"/>
          <w:sz w:val="24"/>
          <w:szCs w:val="24"/>
          <w:lang w:val="en-GB"/>
        </w:rPr>
        <w:t xml:space="preserve">selected </w:t>
      </w:r>
      <w:r w:rsidRPr="13BE4A3C" w:rsidR="6E286309">
        <w:rPr>
          <w:rFonts w:ascii="Arial" w:hAnsi="Arial" w:eastAsia="Arial" w:cs="Arial"/>
          <w:noProof w:val="0"/>
          <w:sz w:val="24"/>
          <w:szCs w:val="24"/>
          <w:lang w:val="en-GB"/>
        </w:rPr>
        <w:t xml:space="preserve">secondary sources including peer-reviewed academic literature, government publications, policy documents, Youth Justice Board reports, Department for Education evidence, Children’s Commissioner reports, and selected international youth justice material. Sources will be </w:t>
      </w:r>
      <w:r w:rsidRPr="13BE4A3C" w:rsidR="6E286309">
        <w:rPr>
          <w:rFonts w:ascii="Arial" w:hAnsi="Arial" w:eastAsia="Arial" w:cs="Arial"/>
          <w:noProof w:val="0"/>
          <w:sz w:val="24"/>
          <w:szCs w:val="24"/>
          <w:lang w:val="en-GB"/>
        </w:rPr>
        <w:t>identified</w:t>
      </w:r>
      <w:r w:rsidRPr="13BE4A3C" w:rsidR="6E286309">
        <w:rPr>
          <w:rFonts w:ascii="Arial" w:hAnsi="Arial" w:eastAsia="Arial" w:cs="Arial"/>
          <w:noProof w:val="0"/>
          <w:sz w:val="24"/>
          <w:szCs w:val="24"/>
          <w:lang w:val="en-GB"/>
        </w:rPr>
        <w:t xml:space="preserve"> through a structured search strategy and selected using purposive sampling based on their relevance to the research </w:t>
      </w:r>
      <w:r w:rsidRPr="13BE4A3C" w:rsidR="6E286309">
        <w:rPr>
          <w:rFonts w:ascii="Arial" w:hAnsi="Arial" w:eastAsia="Arial" w:cs="Arial"/>
          <w:noProof w:val="0"/>
          <w:sz w:val="24"/>
          <w:szCs w:val="24"/>
          <w:lang w:val="en-GB"/>
        </w:rPr>
        <w:t>objectives</w:t>
      </w:r>
      <w:r w:rsidRPr="13BE4A3C" w:rsidR="6E286309">
        <w:rPr>
          <w:rFonts w:ascii="Arial" w:hAnsi="Arial" w:eastAsia="Arial" w:cs="Arial"/>
          <w:noProof w:val="0"/>
          <w:sz w:val="24"/>
          <w:szCs w:val="24"/>
          <w:lang w:val="en-GB"/>
        </w:rPr>
        <w:t xml:space="preserve">. Inclusion criteria will focus on evidence relating to youth offending prevention, early intervention, diversion, educational disengagement, economic deprivation, restorative approaches, and child-centred youth justice following COVID-19. Documentary analysis is </w:t>
      </w:r>
      <w:r w:rsidRPr="13BE4A3C" w:rsidR="6E286309">
        <w:rPr>
          <w:rFonts w:ascii="Arial" w:hAnsi="Arial" w:eastAsia="Arial" w:cs="Arial"/>
          <w:noProof w:val="0"/>
          <w:sz w:val="24"/>
          <w:szCs w:val="24"/>
          <w:lang w:val="en-GB"/>
        </w:rPr>
        <w:t>appropriate for</w:t>
      </w:r>
      <w:r w:rsidRPr="13BE4A3C" w:rsidR="6E286309">
        <w:rPr>
          <w:rFonts w:ascii="Arial" w:hAnsi="Arial" w:eastAsia="Arial" w:cs="Arial"/>
          <w:noProof w:val="0"/>
          <w:sz w:val="24"/>
          <w:szCs w:val="24"/>
          <w:lang w:val="en-GB"/>
        </w:rPr>
        <w:t xml:space="preserve"> examining existing written material and </w:t>
      </w:r>
      <w:r w:rsidRPr="13BE4A3C" w:rsidR="6E286309">
        <w:rPr>
          <w:rFonts w:ascii="Arial" w:hAnsi="Arial" w:eastAsia="Arial" w:cs="Arial"/>
          <w:noProof w:val="0"/>
          <w:sz w:val="24"/>
          <w:szCs w:val="24"/>
          <w:lang w:val="en-GB"/>
        </w:rPr>
        <w:t>identifying</w:t>
      </w:r>
      <w:r w:rsidRPr="13BE4A3C" w:rsidR="6E286309">
        <w:rPr>
          <w:rFonts w:ascii="Arial" w:hAnsi="Arial" w:eastAsia="Arial" w:cs="Arial"/>
          <w:noProof w:val="0"/>
          <w:sz w:val="24"/>
          <w:szCs w:val="24"/>
          <w:lang w:val="en-GB"/>
        </w:rPr>
        <w:t xml:space="preserve"> themes, meanings, and policy developments within qualitative research (Bowen, 2009).</w:t>
      </w:r>
    </w:p>
    <w:p w:rsidRPr="00F93D4C" w:rsidR="00F93D4C" w:rsidP="13BE4A3C" w:rsidRDefault="00F93D4C" w14:paraId="2857047D" w14:textId="670E377F">
      <w:pPr>
        <w:spacing w:line="360" w:lineRule="auto"/>
        <w:jc w:val="both"/>
        <w:rPr>
          <w:rFonts w:ascii="Arial" w:hAnsi="Arial" w:eastAsia="Arial" w:cs="Arial"/>
          <w:noProof w:val="0"/>
          <w:sz w:val="24"/>
          <w:szCs w:val="24"/>
          <w:lang w:val="en-GB"/>
        </w:rPr>
      </w:pPr>
      <w:r w:rsidRPr="13BE4A3C" w:rsidR="6E286309">
        <w:rPr>
          <w:rFonts w:ascii="Arial" w:hAnsi="Arial" w:eastAsia="Arial" w:cs="Arial"/>
          <w:noProof w:val="0"/>
          <w:sz w:val="24"/>
          <w:szCs w:val="24"/>
          <w:lang w:val="en-GB"/>
        </w:rPr>
        <w:t>The selected documents will be analysed using thematic analysis to identify recurring themes, debates, and patterns within youth justice policy and research. Key themes will include educational inequality, economic deprivation, prevention approaches, risk-based versus welfare-based models, and the role of social support in reducing vulnerability to offending. Thematic analysis provides a flexible method for identifying and interpreting patterns within qualitative data, allowing comparison across different policy and academic sources (Braun and Clarke, 2006).</w:t>
      </w:r>
    </w:p>
    <w:p w:rsidRPr="00F93D4C" w:rsidR="00F93D4C" w:rsidP="13BE4A3C" w:rsidRDefault="00F93D4C" w14:paraId="6FD2F042" w14:textId="3C1B4657">
      <w:pPr>
        <w:spacing w:line="360" w:lineRule="auto"/>
        <w:jc w:val="both"/>
        <w:rPr>
          <w:rFonts w:ascii="Arial" w:hAnsi="Arial" w:eastAsia="Arial" w:cs="Arial"/>
          <w:noProof w:val="0"/>
          <w:sz w:val="24"/>
          <w:szCs w:val="24"/>
          <w:lang w:val="en-GB"/>
        </w:rPr>
      </w:pPr>
      <w:r w:rsidRPr="13BE4A3C" w:rsidR="6E286309">
        <w:rPr>
          <w:rFonts w:ascii="Arial" w:hAnsi="Arial" w:eastAsia="Arial" w:cs="Arial"/>
          <w:noProof w:val="0"/>
          <w:sz w:val="24"/>
          <w:szCs w:val="24"/>
          <w:lang w:val="en-GB"/>
        </w:rPr>
        <w:t>The international comparison will examine selected youth justice models, including New Zealand’s Family Group Conference approach and welfare-oriented approaches in Nordic countries. These models will be analysed to identify transferable principles relating to participation, restorative practice, social support, and reducing unnecessary criminalisation. However, international approaches cannot be directly transferred without considering differences in political, cultural, legal, and social contexts. Therefore, the comparison will focus on identifying broader principles that may inform future youth justice policy development in England and Wales.</w:t>
      </w:r>
    </w:p>
    <w:p w:rsidRPr="00F93D4C" w:rsidR="00F93D4C" w:rsidP="13BE4A3C" w:rsidRDefault="00F93D4C" w14:paraId="1C4BF6DD" w14:textId="47A420A1">
      <w:pPr>
        <w:spacing w:line="360" w:lineRule="auto"/>
        <w:jc w:val="both"/>
        <w:rPr>
          <w:rFonts w:ascii="Arial" w:hAnsi="Arial" w:eastAsia="Arial" w:cs="Arial"/>
          <w:noProof w:val="0"/>
          <w:sz w:val="24"/>
          <w:szCs w:val="24"/>
          <w:lang w:val="en-GB"/>
        </w:rPr>
      </w:pPr>
      <w:r w:rsidRPr="13BE4A3C" w:rsidR="6E286309">
        <w:rPr>
          <w:rFonts w:ascii="Arial" w:hAnsi="Arial" w:eastAsia="Arial" w:cs="Arial"/>
          <w:noProof w:val="0"/>
          <w:sz w:val="24"/>
          <w:szCs w:val="24"/>
          <w:lang w:val="en-GB"/>
        </w:rPr>
        <w:t>Ethical considerations have been addressed through completion of the relevant university ethics approval process. As this research uses publicly available secondary sources, it will not involve direct participation from children, young people, or practitioners. Ethical attention will still be given to the responsible representation of young people involved in the youth justice system and to avoiding deficit-based interpretations of vulnerability.</w:t>
      </w:r>
    </w:p>
    <w:p w:rsidRPr="00F93D4C" w:rsidR="00F93D4C" w:rsidP="13BE4A3C" w:rsidRDefault="00F93D4C" w14:paraId="5F0E9EE3" w14:textId="1EBA084D">
      <w:pPr>
        <w:spacing w:line="360" w:lineRule="auto"/>
        <w:jc w:val="both"/>
        <w:rPr>
          <w:rFonts w:ascii="Arial" w:hAnsi="Arial" w:eastAsia="Arial" w:cs="Arial"/>
          <w:noProof w:val="0"/>
          <w:sz w:val="24"/>
          <w:szCs w:val="24"/>
          <w:lang w:val="en-GB"/>
        </w:rPr>
      </w:pPr>
      <w:r w:rsidRPr="13BE4A3C" w:rsidR="6E286309">
        <w:rPr>
          <w:rFonts w:ascii="Arial" w:hAnsi="Arial" w:eastAsia="Arial" w:cs="Arial"/>
          <w:noProof w:val="0"/>
          <w:sz w:val="24"/>
          <w:szCs w:val="24"/>
          <w:lang w:val="en-GB"/>
        </w:rPr>
        <w:t>The study acknowledges limitations associated with documentary research, including reliance on available evidence and the inability to establish direct causal relationships between prevention strategies and changes in youth offending rates. However, this methodology is appropriate for critically evaluating policy responses, identifying strengths and limitations, and considering how international perspectives may contribute to future youth justice policy development.</w:t>
      </w:r>
    </w:p>
    <w:p w:rsidRPr="00F93D4C" w:rsidR="00F93D4C" w:rsidP="00F93D4C" w:rsidRDefault="00F93D4C" w14:paraId="655AFB26" w14:textId="0514EFB4">
      <w:pPr>
        <w:spacing w:line="360" w:lineRule="auto"/>
        <w:jc w:val="both"/>
        <w:rPr>
          <w:rFonts w:ascii="Arial" w:hAnsi="Arial" w:eastAsia="Arial" w:cs="Arial"/>
          <w:sz w:val="24"/>
          <w:szCs w:val="24"/>
          <w:lang w:val="en-GB"/>
        </w:rPr>
      </w:pPr>
    </w:p>
    <w:p w:rsidR="7D235960" w:rsidP="43D4FF1C" w:rsidRDefault="7D235960" w14:paraId="787B08F7" w14:textId="5E7A1D8D">
      <w:pPr>
        <w:spacing w:line="360" w:lineRule="auto"/>
        <w:jc w:val="both"/>
        <w:rPr>
          <w:rFonts w:ascii="Arial" w:hAnsi="Arial" w:eastAsia="Arial" w:cs="Arial"/>
          <w:sz w:val="24"/>
          <w:szCs w:val="24"/>
        </w:rPr>
      </w:pPr>
    </w:p>
    <w:p w:rsidR="7D235960" w:rsidP="43D4FF1C" w:rsidRDefault="2B409CA4" w14:paraId="3B20D2FC" w14:textId="4A98928E">
      <w:pPr>
        <w:spacing w:before="240" w:after="240"/>
        <w:rPr>
          <w:sz w:val="28"/>
          <w:szCs w:val="28"/>
        </w:rPr>
      </w:pPr>
      <w:r w:rsidRPr="43D4FF1C">
        <w:rPr>
          <w:sz w:val="28"/>
          <w:szCs w:val="28"/>
        </w:rPr>
        <w:t>_________________________________________________________________</w:t>
      </w:r>
    </w:p>
    <w:tbl>
      <w:tblPr>
        <w:tblStyle w:val="TableGrid"/>
        <w:tblW w:w="0" w:type="auto"/>
        <w:tblLook w:val="04A0" w:firstRow="1" w:lastRow="0" w:firstColumn="1" w:lastColumn="0" w:noHBand="0" w:noVBand="1"/>
      </w:tblPr>
      <w:tblGrid>
        <w:gridCol w:w="2830"/>
      </w:tblGrid>
      <w:tr w:rsidRPr="00D550B1" w:rsidR="00D550B1" w:rsidTr="00325AA2" w14:paraId="361E42DC" w14:textId="77777777">
        <w:tc>
          <w:tcPr>
            <w:tcW w:w="2830" w:type="dxa"/>
          </w:tcPr>
          <w:p w:rsidRPr="00407E9B" w:rsidR="00D550B1" w:rsidP="00346907" w:rsidRDefault="00D550B1" w14:paraId="047C7843" w14:textId="77777777">
            <w:pPr>
              <w:spacing w:line="360" w:lineRule="auto"/>
              <w:jc w:val="both"/>
              <w:rPr>
                <w:rFonts w:cstheme="minorHAnsi"/>
                <w:i/>
                <w:iCs/>
                <w:sz w:val="28"/>
                <w:szCs w:val="28"/>
              </w:rPr>
            </w:pPr>
            <w:r w:rsidRPr="00407E9B">
              <w:rPr>
                <w:rFonts w:cstheme="minorHAnsi"/>
                <w:b/>
                <w:bCs/>
                <w:sz w:val="28"/>
                <w:szCs w:val="28"/>
              </w:rPr>
              <w:t>Proposed timeline:</w:t>
            </w:r>
            <w:r w:rsidRPr="00407E9B">
              <w:rPr>
                <w:rFonts w:cstheme="minorHAnsi"/>
                <w:sz w:val="28"/>
                <w:szCs w:val="28"/>
              </w:rPr>
              <w:t xml:space="preserve"> </w:t>
            </w:r>
          </w:p>
        </w:tc>
      </w:tr>
    </w:tbl>
    <w:p w:rsidR="3DFAD6CA" w:rsidP="3DFAD6CA" w:rsidRDefault="3DFAD6CA" w14:paraId="2DAA560B" w14:textId="63709595">
      <w:pPr>
        <w:rPr>
          <w:sz w:val="28"/>
          <w:szCs w:val="28"/>
        </w:rPr>
      </w:pPr>
    </w:p>
    <w:tbl>
      <w:tblPr>
        <w:tblStyle w:val="TableGridLight"/>
        <w:tblW w:w="0" w:type="auto"/>
        <w:tblLook w:val="04A0" w:firstRow="1" w:lastRow="0" w:firstColumn="1" w:lastColumn="0" w:noHBand="0" w:noVBand="1"/>
      </w:tblPr>
      <w:tblGrid>
        <w:gridCol w:w="4675"/>
        <w:gridCol w:w="4675"/>
      </w:tblGrid>
      <w:tr w:rsidRPr="00325AA2" w:rsidR="00325AA2" w:rsidTr="5B667302" w14:paraId="55FD89AF" w14:textId="77777777">
        <w:tc>
          <w:tcPr>
            <w:tcW w:w="4675" w:type="dxa"/>
            <w:tcMar/>
          </w:tcPr>
          <w:p w:rsidRPr="00325AA2" w:rsidR="00325AA2" w:rsidP="13BE4A3C" w:rsidRDefault="00325AA2" w14:paraId="781C1B65" w14:textId="77777777">
            <w:pPr>
              <w:spacing w:line="360" w:lineRule="auto"/>
              <w:jc w:val="left"/>
              <w:rPr>
                <w:rFonts w:ascii="Arial" w:hAnsi="Arial" w:eastAsia="Arial" w:cs="Arial"/>
                <w:b w:val="1"/>
                <w:bCs w:val="1"/>
                <w:sz w:val="24"/>
                <w:szCs w:val="24"/>
              </w:rPr>
            </w:pPr>
            <w:r w:rsidRPr="13BE4A3C" w:rsidR="6368AEFD">
              <w:rPr>
                <w:rFonts w:ascii="Arial" w:hAnsi="Arial" w:eastAsia="Arial" w:cs="Arial"/>
                <w:b w:val="1"/>
                <w:bCs w:val="1"/>
                <w:sz w:val="24"/>
                <w:szCs w:val="24"/>
              </w:rPr>
              <w:t>Timeframe</w:t>
            </w:r>
          </w:p>
        </w:tc>
        <w:tc>
          <w:tcPr>
            <w:tcW w:w="4675" w:type="dxa"/>
            <w:tcMar/>
          </w:tcPr>
          <w:p w:rsidRPr="00325AA2" w:rsidR="00325AA2" w:rsidP="13BE4A3C" w:rsidRDefault="00325AA2" w14:paraId="6953FC28" w14:textId="77777777">
            <w:pPr>
              <w:spacing w:line="360" w:lineRule="auto"/>
              <w:jc w:val="left"/>
              <w:rPr>
                <w:rFonts w:ascii="Arial" w:hAnsi="Arial" w:eastAsia="Arial" w:cs="Arial"/>
                <w:b w:val="1"/>
                <w:bCs w:val="1"/>
                <w:sz w:val="24"/>
                <w:szCs w:val="24"/>
              </w:rPr>
            </w:pPr>
            <w:r w:rsidRPr="13BE4A3C" w:rsidR="6368AEFD">
              <w:rPr>
                <w:rFonts w:ascii="Arial" w:hAnsi="Arial" w:eastAsia="Arial" w:cs="Arial"/>
                <w:b w:val="1"/>
                <w:bCs w:val="1"/>
                <w:sz w:val="24"/>
                <w:szCs w:val="24"/>
              </w:rPr>
              <w:t>Task to be completed</w:t>
            </w:r>
          </w:p>
        </w:tc>
      </w:tr>
      <w:tr w:rsidRPr="00325AA2" w:rsidR="00325AA2" w:rsidTr="5B667302" w14:paraId="134B6E83" w14:textId="77777777">
        <w:tc>
          <w:tcPr>
            <w:tcW w:w="4675" w:type="dxa"/>
            <w:tcMar/>
          </w:tcPr>
          <w:p w:rsidRPr="00325AA2" w:rsidR="00325AA2" w:rsidP="682AF14B" w:rsidRDefault="00325AA2" w14:paraId="7A97E1C7" w14:textId="22602479">
            <w:pPr>
              <w:spacing w:line="360" w:lineRule="auto"/>
              <w:jc w:val="both"/>
              <w:rPr>
                <w:rFonts w:ascii="Arial" w:hAnsi="Arial" w:eastAsia="Arial" w:cs="Arial"/>
                <w:sz w:val="24"/>
                <w:szCs w:val="24"/>
              </w:rPr>
            </w:pPr>
            <w:r w:rsidRPr="682AF14B" w:rsidR="0E97A860">
              <w:rPr>
                <w:rFonts w:ascii="Arial" w:hAnsi="Arial" w:eastAsia="Arial" w:cs="Arial"/>
                <w:sz w:val="24"/>
                <w:szCs w:val="24"/>
              </w:rPr>
              <w:t>July</w:t>
            </w:r>
            <w:r w:rsidRPr="682AF14B" w:rsidR="50633D2B">
              <w:rPr>
                <w:rFonts w:ascii="Arial" w:hAnsi="Arial" w:eastAsia="Arial" w:cs="Arial"/>
                <w:sz w:val="24"/>
                <w:szCs w:val="24"/>
              </w:rPr>
              <w:t xml:space="preserve"> </w:t>
            </w:r>
          </w:p>
        </w:tc>
        <w:tc>
          <w:tcPr>
            <w:tcW w:w="4675" w:type="dxa"/>
            <w:tcMar/>
          </w:tcPr>
          <w:p w:rsidRPr="00325AA2" w:rsidR="00325AA2" w:rsidP="682AF14B" w:rsidRDefault="00325AA2" w14:paraId="2FBD7C04" w14:textId="4EA01421">
            <w:pPr>
              <w:pStyle w:val="Normal"/>
              <w:spacing w:line="360" w:lineRule="auto"/>
              <w:jc w:val="both"/>
              <w:rPr>
                <w:rFonts w:ascii="Arial" w:hAnsi="Arial" w:eastAsia="Arial" w:cs="Arial"/>
                <w:noProof w:val="0"/>
                <w:sz w:val="24"/>
                <w:szCs w:val="24"/>
                <w:lang w:val="en-US"/>
              </w:rPr>
            </w:pPr>
            <w:r w:rsidRPr="5B667302" w:rsidR="7CBC11E3">
              <w:rPr>
                <w:rFonts w:ascii="Arial" w:hAnsi="Arial" w:eastAsia="Arial" w:cs="Arial"/>
                <w:noProof w:val="0"/>
                <w:sz w:val="24"/>
                <w:szCs w:val="24"/>
                <w:lang w:val="en-US"/>
              </w:rPr>
              <w:t xml:space="preserve">Finalise research </w:t>
            </w:r>
            <w:bookmarkStart w:name="_Int_UakSeEIB" w:id="51337403"/>
            <w:r w:rsidRPr="5B667302" w:rsidR="7CBC11E3">
              <w:rPr>
                <w:rFonts w:ascii="Arial" w:hAnsi="Arial" w:eastAsia="Arial" w:cs="Arial"/>
                <w:noProof w:val="0"/>
                <w:sz w:val="24"/>
                <w:szCs w:val="24"/>
                <w:lang w:val="en-US"/>
              </w:rPr>
              <w:t>proposal</w:t>
            </w:r>
            <w:bookmarkEnd w:id="51337403"/>
            <w:r w:rsidRPr="5B667302" w:rsidR="7CBC11E3">
              <w:rPr>
                <w:rFonts w:ascii="Arial" w:hAnsi="Arial" w:eastAsia="Arial" w:cs="Arial"/>
                <w:noProof w:val="0"/>
                <w:sz w:val="24"/>
                <w:szCs w:val="24"/>
                <w:lang w:val="en-US"/>
              </w:rPr>
              <w:t>, complete ethical approval requirements, confirm research objectives, and develop a structured search strategy for academic, policy, government, and international youth justice sources.</w:t>
            </w:r>
          </w:p>
        </w:tc>
      </w:tr>
      <w:tr w:rsidRPr="00325AA2" w:rsidR="00325AA2" w:rsidTr="5B667302" w14:paraId="3E2422A5" w14:textId="77777777">
        <w:tc>
          <w:tcPr>
            <w:tcW w:w="4675" w:type="dxa"/>
            <w:tcMar/>
          </w:tcPr>
          <w:p w:rsidRPr="00325AA2" w:rsidR="00325AA2" w:rsidP="682AF14B" w:rsidRDefault="00325AA2" w14:paraId="4FDB4EE3" w14:textId="77777777">
            <w:pPr>
              <w:spacing w:line="360" w:lineRule="auto"/>
              <w:jc w:val="both"/>
              <w:rPr>
                <w:rFonts w:ascii="Arial" w:hAnsi="Arial" w:eastAsia="Arial" w:cs="Arial"/>
                <w:sz w:val="24"/>
                <w:szCs w:val="24"/>
              </w:rPr>
            </w:pPr>
            <w:r w:rsidRPr="682AF14B" w:rsidR="0E97A860">
              <w:rPr>
                <w:rFonts w:ascii="Arial" w:hAnsi="Arial" w:eastAsia="Arial" w:cs="Arial"/>
                <w:sz w:val="24"/>
                <w:szCs w:val="24"/>
              </w:rPr>
              <w:t>August</w:t>
            </w:r>
          </w:p>
        </w:tc>
        <w:tc>
          <w:tcPr>
            <w:tcW w:w="4675" w:type="dxa"/>
            <w:tcMar/>
          </w:tcPr>
          <w:p w:rsidRPr="00325AA2" w:rsidR="00325AA2" w:rsidP="682AF14B" w:rsidRDefault="00325AA2" w14:paraId="2B6E3641" w14:textId="2F62809D">
            <w:pPr>
              <w:pStyle w:val="Normal"/>
              <w:bidi w:val="0"/>
              <w:spacing w:before="0" w:beforeAutospacing="off" w:after="0" w:afterAutospacing="off" w:line="360" w:lineRule="auto"/>
              <w:ind w:left="0" w:right="0"/>
              <w:jc w:val="both"/>
              <w:rPr>
                <w:rFonts w:ascii="Arial" w:hAnsi="Arial" w:eastAsia="Arial" w:cs="Arial"/>
                <w:noProof w:val="0"/>
                <w:sz w:val="24"/>
                <w:szCs w:val="24"/>
                <w:lang w:val="en-US"/>
              </w:rPr>
            </w:pPr>
            <w:r w:rsidRPr="682AF14B" w:rsidR="1FCB20D2">
              <w:rPr>
                <w:rFonts w:ascii="Arial" w:hAnsi="Arial" w:eastAsia="Arial" w:cs="Arial"/>
                <w:noProof w:val="0"/>
                <w:sz w:val="24"/>
                <w:szCs w:val="24"/>
                <w:lang w:val="en-US"/>
              </w:rPr>
              <w:t>Conduct literature searches and collect relevant academic literature, policy documents, government reports, and international youth justice material. Establish inclusion criteria and identify key themes for analysis.</w:t>
            </w:r>
          </w:p>
        </w:tc>
      </w:tr>
      <w:tr w:rsidRPr="00325AA2" w:rsidR="00325AA2" w:rsidTr="5B667302" w14:paraId="196E43F9" w14:textId="77777777">
        <w:tc>
          <w:tcPr>
            <w:tcW w:w="4675" w:type="dxa"/>
            <w:tcMar/>
          </w:tcPr>
          <w:p w:rsidRPr="00325AA2" w:rsidR="00325AA2" w:rsidP="682AF14B" w:rsidRDefault="00325AA2" w14:paraId="0B51F547" w14:textId="77777777">
            <w:pPr>
              <w:spacing w:line="360" w:lineRule="auto"/>
              <w:jc w:val="both"/>
              <w:rPr>
                <w:rFonts w:ascii="Arial" w:hAnsi="Arial" w:eastAsia="Arial" w:cs="Arial"/>
                <w:sz w:val="24"/>
                <w:szCs w:val="24"/>
              </w:rPr>
            </w:pPr>
            <w:r w:rsidRPr="682AF14B" w:rsidR="0E97A860">
              <w:rPr>
                <w:rFonts w:ascii="Arial" w:hAnsi="Arial" w:eastAsia="Arial" w:cs="Arial"/>
                <w:sz w:val="24"/>
                <w:szCs w:val="24"/>
              </w:rPr>
              <w:t>September</w:t>
            </w:r>
          </w:p>
        </w:tc>
        <w:tc>
          <w:tcPr>
            <w:tcW w:w="4675" w:type="dxa"/>
            <w:tcMar/>
          </w:tcPr>
          <w:p w:rsidRPr="00325AA2" w:rsidR="00325AA2" w:rsidP="682AF14B" w:rsidRDefault="00325AA2" w14:paraId="623B5665" w14:textId="6F56996C">
            <w:pPr>
              <w:pStyle w:val="Normal"/>
              <w:spacing w:line="360" w:lineRule="auto"/>
              <w:jc w:val="both"/>
              <w:rPr>
                <w:rFonts w:ascii="Arial" w:hAnsi="Arial" w:eastAsia="Arial" w:cs="Arial"/>
                <w:noProof w:val="0"/>
                <w:sz w:val="24"/>
                <w:szCs w:val="24"/>
                <w:lang w:val="en-US"/>
              </w:rPr>
            </w:pPr>
            <w:r w:rsidRPr="682AF14B" w:rsidR="2331D449">
              <w:rPr>
                <w:rFonts w:ascii="Arial" w:hAnsi="Arial" w:eastAsia="Arial" w:cs="Arial"/>
                <w:noProof w:val="0"/>
                <w:sz w:val="24"/>
                <w:szCs w:val="24"/>
                <w:lang w:val="en-US"/>
              </w:rPr>
              <w:t>Complete and refine the Literature Review and Methodology chapters, ensuring clear alignment between the research question, objectives, and research design.</w:t>
            </w:r>
          </w:p>
        </w:tc>
      </w:tr>
      <w:tr w:rsidRPr="00325AA2" w:rsidR="00325AA2" w:rsidTr="5B667302" w14:paraId="30B619CE" w14:textId="77777777">
        <w:tc>
          <w:tcPr>
            <w:tcW w:w="4675" w:type="dxa"/>
            <w:tcMar/>
          </w:tcPr>
          <w:p w:rsidRPr="00325AA2" w:rsidR="00325AA2" w:rsidP="682AF14B" w:rsidRDefault="00325AA2" w14:paraId="363274C9" w14:textId="77777777">
            <w:pPr>
              <w:spacing w:line="360" w:lineRule="auto"/>
              <w:jc w:val="both"/>
              <w:rPr>
                <w:rFonts w:ascii="Arial" w:hAnsi="Arial" w:eastAsia="Arial" w:cs="Arial"/>
                <w:sz w:val="24"/>
                <w:szCs w:val="24"/>
              </w:rPr>
            </w:pPr>
            <w:r w:rsidRPr="682AF14B" w:rsidR="0E97A860">
              <w:rPr>
                <w:rFonts w:ascii="Arial" w:hAnsi="Arial" w:eastAsia="Arial" w:cs="Arial"/>
                <w:sz w:val="24"/>
                <w:szCs w:val="24"/>
              </w:rPr>
              <w:t>Late September – Early October</w:t>
            </w:r>
          </w:p>
        </w:tc>
        <w:tc>
          <w:tcPr>
            <w:tcW w:w="4675" w:type="dxa"/>
            <w:tcMar/>
          </w:tcPr>
          <w:p w:rsidRPr="00325AA2" w:rsidR="00325AA2" w:rsidP="682AF14B" w:rsidRDefault="00325AA2" w14:paraId="48B707E1" w14:textId="70F747E0">
            <w:pPr>
              <w:pStyle w:val="Normal"/>
              <w:spacing w:line="360" w:lineRule="auto"/>
              <w:jc w:val="both"/>
              <w:rPr>
                <w:rFonts w:ascii="Arial" w:hAnsi="Arial" w:eastAsia="Arial" w:cs="Arial"/>
                <w:noProof w:val="0"/>
                <w:sz w:val="24"/>
                <w:szCs w:val="24"/>
                <w:lang w:val="en-US"/>
              </w:rPr>
            </w:pPr>
            <w:r w:rsidRPr="682AF14B" w:rsidR="5D9E2B17">
              <w:rPr>
                <w:rFonts w:ascii="Arial" w:hAnsi="Arial" w:eastAsia="Arial" w:cs="Arial"/>
                <w:noProof w:val="0"/>
                <w:sz w:val="24"/>
                <w:szCs w:val="24"/>
                <w:lang w:val="en-US"/>
              </w:rPr>
              <w:t>Conduct documentary analysis and thematic analysis of selected sources.</w:t>
            </w:r>
            <w:r w:rsidRPr="682AF14B" w:rsidR="70DE97F9">
              <w:rPr>
                <w:rFonts w:ascii="Arial" w:hAnsi="Arial" w:eastAsia="Arial" w:cs="Arial"/>
                <w:noProof w:val="0"/>
                <w:sz w:val="24"/>
                <w:szCs w:val="24"/>
                <w:lang w:val="en-US"/>
              </w:rPr>
              <w:t xml:space="preserve"> </w:t>
            </w:r>
            <w:r w:rsidRPr="682AF14B" w:rsidR="70DE97F9">
              <w:rPr>
                <w:rFonts w:ascii="Arial" w:hAnsi="Arial" w:eastAsia="Arial" w:cs="Arial"/>
                <w:noProof w:val="0"/>
                <w:sz w:val="24"/>
                <w:szCs w:val="24"/>
                <w:lang w:val="en-US"/>
              </w:rPr>
              <w:t>Identify</w:t>
            </w:r>
            <w:r w:rsidRPr="682AF14B" w:rsidR="70DE97F9">
              <w:rPr>
                <w:rFonts w:ascii="Arial" w:hAnsi="Arial" w:eastAsia="Arial" w:cs="Arial"/>
                <w:noProof w:val="0"/>
                <w:sz w:val="24"/>
                <w:szCs w:val="24"/>
                <w:lang w:val="en-US"/>
              </w:rPr>
              <w:t xml:space="preserve"> key themes relating to post-pandemic youth offending prevention strategies, educational disengagement, economic deprivation, and international approaches.</w:t>
            </w:r>
          </w:p>
        </w:tc>
      </w:tr>
      <w:tr w:rsidRPr="00325AA2" w:rsidR="00325AA2" w:rsidTr="5B667302" w14:paraId="1403D2FE" w14:textId="77777777">
        <w:tc>
          <w:tcPr>
            <w:tcW w:w="4675" w:type="dxa"/>
            <w:tcMar/>
          </w:tcPr>
          <w:p w:rsidRPr="00325AA2" w:rsidR="00325AA2" w:rsidP="682AF14B" w:rsidRDefault="00325AA2" w14:paraId="5508D039" w14:textId="77777777">
            <w:pPr>
              <w:spacing w:line="360" w:lineRule="auto"/>
              <w:jc w:val="both"/>
              <w:rPr>
                <w:rFonts w:ascii="Arial" w:hAnsi="Arial" w:eastAsia="Arial" w:cs="Arial"/>
                <w:sz w:val="24"/>
                <w:szCs w:val="24"/>
              </w:rPr>
            </w:pPr>
            <w:r w:rsidRPr="682AF14B" w:rsidR="0E97A860">
              <w:rPr>
                <w:rFonts w:ascii="Arial" w:hAnsi="Arial" w:eastAsia="Arial" w:cs="Arial"/>
                <w:sz w:val="24"/>
                <w:szCs w:val="24"/>
              </w:rPr>
              <w:t>October</w:t>
            </w:r>
          </w:p>
        </w:tc>
        <w:tc>
          <w:tcPr>
            <w:tcW w:w="4675" w:type="dxa"/>
            <w:tcMar/>
          </w:tcPr>
          <w:p w:rsidRPr="00325AA2" w:rsidR="00325AA2" w:rsidP="682AF14B" w:rsidRDefault="00325AA2" w14:paraId="4E28F31F" w14:textId="490E8587">
            <w:pPr>
              <w:pStyle w:val="Normal"/>
              <w:spacing w:line="360" w:lineRule="auto"/>
              <w:jc w:val="both"/>
              <w:rPr>
                <w:rFonts w:ascii="Arial" w:hAnsi="Arial" w:eastAsia="Arial" w:cs="Arial"/>
                <w:noProof w:val="0"/>
                <w:sz w:val="24"/>
                <w:szCs w:val="24"/>
                <w:lang w:val="en-US"/>
              </w:rPr>
            </w:pPr>
            <w:r w:rsidRPr="682AF14B" w:rsidR="2361A110">
              <w:rPr>
                <w:rFonts w:ascii="Arial" w:hAnsi="Arial" w:eastAsia="Arial" w:cs="Arial"/>
                <w:noProof w:val="0"/>
                <w:sz w:val="24"/>
                <w:szCs w:val="24"/>
                <w:lang w:val="en-US"/>
              </w:rPr>
              <w:t>Draft Findings and Discussion chapters, critically evaluating prevention strategies in England and Wales and considering the relevance of international youth justice models.</w:t>
            </w:r>
          </w:p>
        </w:tc>
      </w:tr>
      <w:tr w:rsidRPr="00325AA2" w:rsidR="00325AA2" w:rsidTr="5B667302" w14:paraId="63B84D0F" w14:textId="77777777">
        <w:tc>
          <w:tcPr>
            <w:tcW w:w="4675" w:type="dxa"/>
            <w:tcMar/>
          </w:tcPr>
          <w:p w:rsidRPr="00325AA2" w:rsidR="00325AA2" w:rsidP="682AF14B" w:rsidRDefault="00325AA2" w14:paraId="71C20EDF" w14:textId="77777777">
            <w:pPr>
              <w:spacing w:line="360" w:lineRule="auto"/>
              <w:jc w:val="both"/>
              <w:rPr>
                <w:rFonts w:ascii="Arial" w:hAnsi="Arial" w:eastAsia="Arial" w:cs="Arial"/>
                <w:sz w:val="24"/>
                <w:szCs w:val="24"/>
              </w:rPr>
            </w:pPr>
            <w:r w:rsidRPr="682AF14B" w:rsidR="0E97A860">
              <w:rPr>
                <w:rFonts w:ascii="Arial" w:hAnsi="Arial" w:eastAsia="Arial" w:cs="Arial"/>
                <w:sz w:val="24"/>
                <w:szCs w:val="24"/>
              </w:rPr>
              <w:t>Early – Mid November</w:t>
            </w:r>
          </w:p>
        </w:tc>
        <w:tc>
          <w:tcPr>
            <w:tcW w:w="4675" w:type="dxa"/>
            <w:tcMar/>
          </w:tcPr>
          <w:p w:rsidRPr="00325AA2" w:rsidR="00325AA2" w:rsidP="682AF14B" w:rsidRDefault="00325AA2" w14:paraId="3CC16E7C" w14:textId="59CB3787">
            <w:pPr>
              <w:pStyle w:val="Normal"/>
              <w:spacing w:line="360" w:lineRule="auto"/>
              <w:jc w:val="both"/>
              <w:rPr>
                <w:rFonts w:ascii="Arial" w:hAnsi="Arial" w:eastAsia="Arial" w:cs="Arial"/>
                <w:noProof w:val="0"/>
                <w:sz w:val="24"/>
                <w:szCs w:val="24"/>
                <w:lang w:val="en-US"/>
              </w:rPr>
            </w:pPr>
            <w:r w:rsidRPr="682AF14B" w:rsidR="748D0DDF">
              <w:rPr>
                <w:rFonts w:ascii="Arial" w:hAnsi="Arial" w:eastAsia="Arial" w:cs="Arial"/>
                <w:noProof w:val="0"/>
                <w:sz w:val="24"/>
                <w:szCs w:val="24"/>
                <w:lang w:val="en-US"/>
              </w:rPr>
              <w:t>Complete Conclusion and Recommendations chapters, linking findings back to the research question and considering implications for youth justice policy and practice.</w:t>
            </w:r>
          </w:p>
        </w:tc>
      </w:tr>
      <w:tr w:rsidRPr="00325AA2" w:rsidR="00325AA2" w:rsidTr="5B667302" w14:paraId="09E5EB8F" w14:textId="77777777">
        <w:tc>
          <w:tcPr>
            <w:tcW w:w="4675" w:type="dxa"/>
            <w:tcMar/>
          </w:tcPr>
          <w:p w:rsidRPr="00325AA2" w:rsidR="00325AA2" w:rsidP="682AF14B" w:rsidRDefault="00325AA2" w14:paraId="30711343" w14:textId="77777777">
            <w:pPr>
              <w:spacing w:line="360" w:lineRule="auto"/>
              <w:jc w:val="both"/>
              <w:rPr>
                <w:rFonts w:ascii="Arial" w:hAnsi="Arial" w:eastAsia="Arial" w:cs="Arial"/>
                <w:sz w:val="24"/>
                <w:szCs w:val="24"/>
              </w:rPr>
            </w:pPr>
            <w:r w:rsidRPr="682AF14B" w:rsidR="0E97A860">
              <w:rPr>
                <w:rFonts w:ascii="Arial" w:hAnsi="Arial" w:eastAsia="Arial" w:cs="Arial"/>
                <w:sz w:val="24"/>
                <w:szCs w:val="24"/>
              </w:rPr>
              <w:t>Mid – Late November</w:t>
            </w:r>
          </w:p>
        </w:tc>
        <w:tc>
          <w:tcPr>
            <w:tcW w:w="4675" w:type="dxa"/>
            <w:tcMar/>
          </w:tcPr>
          <w:p w:rsidRPr="00325AA2" w:rsidR="00325AA2" w:rsidP="682AF14B" w:rsidRDefault="00325AA2" w14:paraId="7CFCD0DF" w14:textId="1B48AFE0">
            <w:pPr>
              <w:pStyle w:val="Normal"/>
              <w:spacing w:line="360" w:lineRule="auto"/>
              <w:jc w:val="both"/>
            </w:pPr>
            <w:r w:rsidRPr="682AF14B" w:rsidR="5F81961B">
              <w:rPr>
                <w:rFonts w:ascii="Arial" w:hAnsi="Arial" w:eastAsia="Arial" w:cs="Arial"/>
                <w:noProof w:val="0"/>
                <w:sz w:val="24"/>
                <w:szCs w:val="24"/>
                <w:lang w:val="en-US"/>
              </w:rPr>
              <w:t xml:space="preserve">Incorporate supervisor feedback, revise chapters, strengthen critical analysis, complete the abstract, and </w:t>
            </w:r>
            <w:r w:rsidRPr="682AF14B" w:rsidR="5F81961B">
              <w:rPr>
                <w:rFonts w:ascii="Arial" w:hAnsi="Arial" w:eastAsia="Arial" w:cs="Arial"/>
                <w:noProof w:val="0"/>
                <w:sz w:val="24"/>
                <w:szCs w:val="24"/>
                <w:lang w:val="en-US"/>
              </w:rPr>
              <w:t>finalise</w:t>
            </w:r>
            <w:r w:rsidRPr="682AF14B" w:rsidR="5F81961B">
              <w:rPr>
                <w:rFonts w:ascii="Arial" w:hAnsi="Arial" w:eastAsia="Arial" w:cs="Arial"/>
                <w:noProof w:val="0"/>
                <w:sz w:val="24"/>
                <w:szCs w:val="24"/>
                <w:lang w:val="en-US"/>
              </w:rPr>
              <w:t xml:space="preserve"> the </w:t>
            </w:r>
            <w:r w:rsidRPr="682AF14B" w:rsidR="5F81961B">
              <w:rPr>
                <w:rFonts w:ascii="Arial" w:hAnsi="Arial" w:eastAsia="Arial" w:cs="Arial"/>
                <w:noProof w:val="0"/>
                <w:sz w:val="24"/>
                <w:szCs w:val="24"/>
                <w:lang w:val="en-US"/>
              </w:rPr>
              <w:t>dissertation</w:t>
            </w:r>
            <w:r w:rsidRPr="682AF14B" w:rsidR="5F81961B">
              <w:rPr>
                <w:rFonts w:ascii="Arial" w:hAnsi="Arial" w:eastAsia="Arial" w:cs="Arial"/>
                <w:noProof w:val="0"/>
                <w:sz w:val="24"/>
                <w:szCs w:val="24"/>
                <w:lang w:val="en-US"/>
              </w:rPr>
              <w:t xml:space="preserve"> structure.</w:t>
            </w:r>
          </w:p>
        </w:tc>
      </w:tr>
      <w:tr w:rsidRPr="00325AA2" w:rsidR="00325AA2" w:rsidTr="5B667302" w14:paraId="01827515" w14:textId="77777777">
        <w:tc>
          <w:tcPr>
            <w:tcW w:w="4675" w:type="dxa"/>
            <w:tcMar/>
          </w:tcPr>
          <w:p w:rsidRPr="00325AA2" w:rsidR="00325AA2" w:rsidP="682AF14B" w:rsidRDefault="00325AA2" w14:paraId="548A79D5" w14:textId="77777777">
            <w:pPr>
              <w:spacing w:line="360" w:lineRule="auto"/>
              <w:jc w:val="both"/>
              <w:rPr>
                <w:rFonts w:ascii="Arial" w:hAnsi="Arial" w:eastAsia="Arial" w:cs="Arial"/>
                <w:sz w:val="24"/>
                <w:szCs w:val="24"/>
              </w:rPr>
            </w:pPr>
            <w:r w:rsidRPr="682AF14B" w:rsidR="0E97A860">
              <w:rPr>
                <w:rFonts w:ascii="Arial" w:hAnsi="Arial" w:eastAsia="Arial" w:cs="Arial"/>
                <w:sz w:val="24"/>
                <w:szCs w:val="24"/>
              </w:rPr>
              <w:t>1–9 December</w:t>
            </w:r>
          </w:p>
        </w:tc>
        <w:tc>
          <w:tcPr>
            <w:tcW w:w="4675" w:type="dxa"/>
            <w:tcMar/>
          </w:tcPr>
          <w:p w:rsidRPr="00325AA2" w:rsidR="00325AA2" w:rsidP="682AF14B" w:rsidRDefault="00325AA2" w14:paraId="5F70B2A6" w14:textId="2F4920C8">
            <w:pPr>
              <w:pStyle w:val="Normal"/>
              <w:spacing w:line="360" w:lineRule="auto"/>
              <w:jc w:val="both"/>
              <w:rPr>
                <w:rFonts w:ascii="Arial" w:hAnsi="Arial" w:eastAsia="Arial" w:cs="Arial"/>
                <w:noProof w:val="0"/>
                <w:sz w:val="24"/>
                <w:szCs w:val="24"/>
                <w:lang w:val="en-US"/>
              </w:rPr>
            </w:pPr>
            <w:r w:rsidRPr="682AF14B" w:rsidR="7F482383">
              <w:rPr>
                <w:rFonts w:ascii="Arial" w:hAnsi="Arial" w:eastAsia="Arial" w:cs="Arial"/>
                <w:noProof w:val="0"/>
                <w:sz w:val="24"/>
                <w:szCs w:val="24"/>
                <w:lang w:val="en-US"/>
              </w:rPr>
              <w:t>Complete final proofreading, Harvard referencing checks, formatting, appendices, plagiarism checks, and submission preparation.</w:t>
            </w:r>
          </w:p>
        </w:tc>
      </w:tr>
      <w:tr w:rsidRPr="00325AA2" w:rsidR="00325AA2" w:rsidTr="5B667302" w14:paraId="6BD3F1A4" w14:textId="77777777">
        <w:tc>
          <w:tcPr>
            <w:tcW w:w="4675" w:type="dxa"/>
            <w:tcMar/>
          </w:tcPr>
          <w:p w:rsidRPr="00325AA2" w:rsidR="00325AA2" w:rsidP="682AF14B" w:rsidRDefault="00325AA2" w14:paraId="04D253E4" w14:textId="77777777">
            <w:pPr>
              <w:spacing w:line="360" w:lineRule="auto"/>
              <w:jc w:val="both"/>
              <w:rPr>
                <w:rFonts w:ascii="Arial" w:hAnsi="Arial" w:eastAsia="Arial" w:cs="Arial"/>
                <w:sz w:val="24"/>
                <w:szCs w:val="24"/>
              </w:rPr>
            </w:pPr>
            <w:r w:rsidRPr="682AF14B" w:rsidR="0E97A860">
              <w:rPr>
                <w:rFonts w:ascii="Arial" w:hAnsi="Arial" w:eastAsia="Arial" w:cs="Arial"/>
                <w:sz w:val="24"/>
                <w:szCs w:val="24"/>
              </w:rPr>
              <w:t>10 December</w:t>
            </w:r>
          </w:p>
        </w:tc>
        <w:tc>
          <w:tcPr>
            <w:tcW w:w="4675" w:type="dxa"/>
            <w:tcMar/>
          </w:tcPr>
          <w:p w:rsidRPr="00325AA2" w:rsidR="00325AA2" w:rsidP="682AF14B" w:rsidRDefault="00325AA2" w14:paraId="13E8FA38" w14:textId="01F04892">
            <w:pPr>
              <w:spacing w:line="360" w:lineRule="auto"/>
              <w:jc w:val="both"/>
              <w:rPr>
                <w:rFonts w:ascii="Arial" w:hAnsi="Arial" w:eastAsia="Arial" w:cs="Arial"/>
                <w:sz w:val="24"/>
                <w:szCs w:val="24"/>
              </w:rPr>
            </w:pPr>
            <w:r w:rsidRPr="682AF14B" w:rsidR="0E97A860">
              <w:rPr>
                <w:rFonts w:ascii="Arial" w:hAnsi="Arial" w:eastAsia="Arial" w:cs="Arial"/>
                <w:sz w:val="24"/>
                <w:szCs w:val="24"/>
              </w:rPr>
              <w:t xml:space="preserve">Submit </w:t>
            </w:r>
            <w:r w:rsidRPr="682AF14B" w:rsidR="25CE644C">
              <w:rPr>
                <w:rFonts w:ascii="Arial" w:hAnsi="Arial" w:eastAsia="Arial" w:cs="Arial"/>
                <w:sz w:val="24"/>
                <w:szCs w:val="24"/>
              </w:rPr>
              <w:t>the</w:t>
            </w:r>
            <w:r w:rsidRPr="682AF14B" w:rsidR="6B3FA625">
              <w:rPr>
                <w:rFonts w:ascii="Arial" w:hAnsi="Arial" w:eastAsia="Arial" w:cs="Arial"/>
                <w:sz w:val="24"/>
                <w:szCs w:val="24"/>
              </w:rPr>
              <w:t xml:space="preserve"> final</w:t>
            </w:r>
            <w:r w:rsidRPr="682AF14B" w:rsidR="0E97A860">
              <w:rPr>
                <w:rFonts w:ascii="Arial" w:hAnsi="Arial" w:eastAsia="Arial" w:cs="Arial"/>
                <w:sz w:val="24"/>
                <w:szCs w:val="24"/>
              </w:rPr>
              <w:t xml:space="preserve"> dissertation.</w:t>
            </w:r>
          </w:p>
        </w:tc>
      </w:tr>
    </w:tbl>
    <w:p w:rsidR="43D4FF1C" w:rsidP="43D4FF1C" w:rsidRDefault="43D4FF1C" w14:paraId="154CAD62" w14:textId="6A617AE6">
      <w:pPr>
        <w:rPr>
          <w:rFonts w:ascii="Arial" w:hAnsi="Arial" w:eastAsia="Arial" w:cs="Arial"/>
          <w:sz w:val="24"/>
          <w:szCs w:val="24"/>
        </w:rPr>
      </w:pPr>
    </w:p>
    <w:p w:rsidR="7D235960" w:rsidP="3DFAD6CA" w:rsidRDefault="7D235960" w14:paraId="5A25A3BD" w14:textId="23A2BBB6">
      <w:pPr>
        <w:rPr>
          <w:sz w:val="28"/>
          <w:szCs w:val="28"/>
        </w:rPr>
      </w:pPr>
      <w:r w:rsidRPr="3DFAD6CA">
        <w:rPr>
          <w:sz w:val="28"/>
          <w:szCs w:val="28"/>
        </w:rPr>
        <w:t>__________________________________________________________________</w:t>
      </w:r>
    </w:p>
    <w:p w:rsidRPr="00407E9B" w:rsidR="2B409CA4" w:rsidP="43D4FF1C" w:rsidRDefault="2B409CA4" w14:paraId="378DEFFE" w14:textId="331AD066">
      <w:pPr>
        <w:rPr>
          <w:rFonts w:ascii="Calibri" w:hAnsi="Calibri" w:eastAsia="Calibri" w:cs="Calibri"/>
          <w:b/>
          <w:bCs/>
          <w:sz w:val="36"/>
          <w:szCs w:val="36"/>
          <w:u w:val="single"/>
        </w:rPr>
      </w:pPr>
      <w:r w:rsidRPr="13BE4A3C" w:rsidR="6F42D553">
        <w:rPr>
          <w:b w:val="1"/>
          <w:bCs w:val="1"/>
          <w:sz w:val="28"/>
          <w:szCs w:val="28"/>
          <w:u w:val="single"/>
        </w:rPr>
        <w:t>Anticipated Outcomes</w:t>
      </w:r>
      <w:r w:rsidRPr="13BE4A3C" w:rsidR="6F42D553">
        <w:rPr>
          <w:sz w:val="28"/>
          <w:szCs w:val="28"/>
          <w:u w:val="single"/>
        </w:rPr>
        <w:t xml:space="preserve">: </w:t>
      </w:r>
    </w:p>
    <w:p w:rsidRPr="00325AA2" w:rsidR="7D235960" w:rsidP="682AF14B" w:rsidRDefault="7D235960" w14:paraId="1618D878" w14:textId="697989E2">
      <w:pPr>
        <w:pStyle w:val="Normal"/>
        <w:spacing w:before="240" w:beforeAutospacing="off" w:after="240" w:afterAutospacing="off" w:line="360" w:lineRule="auto"/>
        <w:jc w:val="both"/>
      </w:pPr>
      <w:r w:rsidRPr="682AF14B" w:rsidR="6CA7ED95">
        <w:rPr>
          <w:rFonts w:ascii="Arial" w:hAnsi="Arial" w:eastAsia="Arial" w:cs="Arial"/>
          <w:sz w:val="24"/>
          <w:szCs w:val="24"/>
        </w:rPr>
        <w:t xml:space="preserve"> </w:t>
      </w:r>
      <w:r w:rsidRPr="682AF14B" w:rsidR="2EBDE283">
        <w:rPr>
          <w:rFonts w:ascii="Arial" w:hAnsi="Arial" w:eastAsia="Arial" w:cs="Arial"/>
          <w:noProof w:val="0"/>
          <w:sz w:val="24"/>
          <w:szCs w:val="24"/>
          <w:lang w:val="en-US"/>
        </w:rPr>
        <w:t xml:space="preserve">This research aims to provide a critical evaluation of post-pandemic youth offending prevention strategies in England and Wales, focusing on the extent to which current approaches address educational disengagement and economic deprivation. Through analysis of academic literature, policy documents, and international youth justice models, the study will </w:t>
      </w:r>
      <w:r w:rsidRPr="682AF14B" w:rsidR="2EBDE283">
        <w:rPr>
          <w:rFonts w:ascii="Arial" w:hAnsi="Arial" w:eastAsia="Arial" w:cs="Arial"/>
          <w:noProof w:val="0"/>
          <w:sz w:val="24"/>
          <w:szCs w:val="24"/>
          <w:lang w:val="en-US"/>
        </w:rPr>
        <w:t>identify</w:t>
      </w:r>
      <w:r w:rsidRPr="682AF14B" w:rsidR="2EBDE283">
        <w:rPr>
          <w:rFonts w:ascii="Arial" w:hAnsi="Arial" w:eastAsia="Arial" w:cs="Arial"/>
          <w:noProof w:val="0"/>
          <w:sz w:val="24"/>
          <w:szCs w:val="24"/>
          <w:lang w:val="en-US"/>
        </w:rPr>
        <w:t xml:space="preserve"> strengths, limitations, and gaps within existing prevention approaches.</w:t>
      </w:r>
    </w:p>
    <w:p w:rsidRPr="00325AA2" w:rsidR="7D235960" w:rsidP="13BE4A3C" w:rsidRDefault="7D235960" w14:paraId="65BCFFCD" w14:textId="6F35FE47">
      <w:pPr>
        <w:spacing w:before="240" w:beforeAutospacing="off" w:after="240" w:afterAutospacing="off" w:line="360" w:lineRule="auto"/>
        <w:jc w:val="both"/>
      </w:pPr>
      <w:r w:rsidRPr="682AF14B" w:rsidR="2EBDE283">
        <w:rPr>
          <w:rFonts w:ascii="Arial" w:hAnsi="Arial" w:eastAsia="Arial" w:cs="Arial"/>
          <w:noProof w:val="0"/>
          <w:sz w:val="24"/>
          <w:szCs w:val="24"/>
          <w:lang w:val="en-US"/>
        </w:rPr>
        <w:t>The findings are expected to enhance understanding of how educational inequality, economic disadvantage, and access to support services influence youth offending prevention policy and practice. By comparing approaches in England and Wales with selected international models, the research aims to identify principles relating to early intervention, diversion, restorative practice, participation, and social inclusion that may inform future policy development.</w:t>
      </w:r>
    </w:p>
    <w:p w:rsidRPr="00325AA2" w:rsidR="7D235960" w:rsidP="13BE4A3C" w:rsidRDefault="7D235960" w14:paraId="36E9A1ED" w14:textId="2072501C">
      <w:pPr>
        <w:spacing w:before="240" w:beforeAutospacing="off" w:after="240" w:afterAutospacing="off" w:line="360" w:lineRule="auto"/>
        <w:jc w:val="both"/>
      </w:pPr>
      <w:r w:rsidRPr="682AF14B" w:rsidR="2EBDE283">
        <w:rPr>
          <w:rFonts w:ascii="Arial" w:hAnsi="Arial" w:eastAsia="Arial" w:cs="Arial"/>
          <w:noProof w:val="0"/>
          <w:sz w:val="24"/>
          <w:szCs w:val="24"/>
          <w:lang w:val="en-US"/>
        </w:rPr>
        <w:t>Although a dissertation cannot directly influence policy decisions, the research may provide useful insights for policymakers, practitioners, education professionals, and organisations supporting vulnerable children and young people. It aims to contribute to youth justice debates by highlighting the importance of approaches that address wider social circumstances rather than focusing solely on individual risk.</w:t>
      </w:r>
    </w:p>
    <w:p w:rsidRPr="00325AA2" w:rsidR="7D235960" w:rsidP="13BE4A3C" w:rsidRDefault="7D235960" w14:paraId="0301DACB" w14:textId="1EB95E66">
      <w:pPr>
        <w:spacing w:before="240" w:beforeAutospacing="off" w:after="240" w:afterAutospacing="off" w:line="360" w:lineRule="auto"/>
        <w:jc w:val="both"/>
        <w:rPr>
          <w:rFonts w:ascii="Arial" w:hAnsi="Arial" w:eastAsia="Arial" w:cs="Arial"/>
          <w:sz w:val="24"/>
          <w:szCs w:val="24"/>
        </w:rPr>
      </w:pPr>
    </w:p>
    <w:p w:rsidRPr="00325AA2" w:rsidR="7D235960" w:rsidP="13BE4A3C" w:rsidRDefault="7D235960" w14:paraId="4D0FBCEB" w14:textId="27A8A715">
      <w:pPr>
        <w:spacing w:before="240" w:beforeAutospacing="off" w:after="240" w:afterAutospacing="off" w:line="360" w:lineRule="auto"/>
        <w:jc w:val="both"/>
        <w:rPr>
          <w:rFonts w:ascii="Arial" w:hAnsi="Arial" w:eastAsia="Arial" w:cs="Arial"/>
          <w:sz w:val="24"/>
          <w:szCs w:val="24"/>
        </w:rPr>
      </w:pPr>
    </w:p>
    <w:p w:rsidRPr="00325AA2" w:rsidR="7D235960" w:rsidP="13BE4A3C" w:rsidRDefault="7D235960" w14:paraId="5F8B378B" w14:textId="62C53EB4">
      <w:pPr>
        <w:spacing w:before="240" w:beforeAutospacing="off" w:after="240" w:afterAutospacing="off" w:line="360" w:lineRule="auto"/>
        <w:jc w:val="both"/>
        <w:rPr>
          <w:rFonts w:ascii="Arial" w:hAnsi="Arial" w:eastAsia="Arial" w:cs="Arial"/>
          <w:sz w:val="24"/>
          <w:szCs w:val="24"/>
        </w:rPr>
      </w:pPr>
    </w:p>
    <w:p w:rsidRPr="00325AA2" w:rsidR="7D235960" w:rsidP="00325AA2" w:rsidRDefault="7D235960" w14:paraId="13D01F42" w14:textId="727F1C47">
      <w:pPr>
        <w:spacing w:line="360" w:lineRule="auto"/>
        <w:jc w:val="both"/>
        <w:rPr>
          <w:rFonts w:ascii="Arial" w:hAnsi="Arial" w:eastAsia="Arial" w:cs="Arial"/>
          <w:sz w:val="24"/>
          <w:szCs w:val="24"/>
        </w:rPr>
      </w:pPr>
      <w:r w:rsidRPr="13BE4A3C" w:rsidR="4B8D77CD">
        <w:rPr>
          <w:sz w:val="28"/>
          <w:szCs w:val="28"/>
        </w:rPr>
        <w:t>____________________________________________________________</w:t>
      </w:r>
    </w:p>
    <w:p w:rsidRPr="00407E9B" w:rsidR="7D235960" w:rsidP="13BE4A3C" w:rsidRDefault="2B409CA4" w14:paraId="02A15B6B" w14:noSpellErr="1" w14:textId="2BC0226F">
      <w:pPr>
        <w:rPr>
          <w:rFonts w:cs="Calibri" w:cstheme="minorAscii"/>
          <w:sz w:val="28"/>
          <w:szCs w:val="28"/>
          <w:u w:val="single"/>
        </w:rPr>
      </w:pPr>
      <w:r w:rsidRPr="13BE4A3C" w:rsidR="6F42D553">
        <w:rPr>
          <w:rFonts w:eastAsia="Calibri" w:cs="Calibri" w:cstheme="minorAscii"/>
          <w:b w:val="1"/>
          <w:bCs w:val="1"/>
          <w:color w:val="000000" w:themeColor="text1" w:themeTint="FF" w:themeShade="FF"/>
          <w:sz w:val="28"/>
          <w:szCs w:val="28"/>
          <w:u w:val="single"/>
          <w:lang w:val="en-GB"/>
        </w:rPr>
        <w:t xml:space="preserve">References </w:t>
      </w:r>
    </w:p>
    <w:p w:rsidR="3DFAD6CA" w:rsidP="13BE4A3C" w:rsidRDefault="3DFAD6CA" w14:paraId="75D9ACFB" w14:textId="29491A03">
      <w:pPr>
        <w:rPr>
          <w:rFonts w:ascii="Arial" w:hAnsi="Arial" w:eastAsia="Arial" w:cs="Arial"/>
          <w:noProof w:val="0"/>
          <w:sz w:val="24"/>
          <w:szCs w:val="24"/>
          <w:lang w:val="en-US"/>
        </w:rPr>
      </w:pPr>
      <w:r w:rsidRPr="13BE4A3C" w:rsidR="6BE3F64F">
        <w:rPr>
          <w:rFonts w:ascii="Arial" w:hAnsi="Arial" w:eastAsia="Arial" w:cs="Arial"/>
          <w:noProof w:val="0"/>
          <w:sz w:val="24"/>
          <w:szCs w:val="24"/>
          <w:lang w:val="en-US"/>
        </w:rPr>
        <w:t xml:space="preserve">Bandura, A. (1977) </w:t>
      </w:r>
      <w:r w:rsidRPr="13BE4A3C" w:rsidR="6BE3F64F">
        <w:rPr>
          <w:rFonts w:ascii="Arial" w:hAnsi="Arial" w:eastAsia="Arial" w:cs="Arial"/>
          <w:i w:val="1"/>
          <w:iCs w:val="1"/>
          <w:noProof w:val="0"/>
          <w:sz w:val="24"/>
          <w:szCs w:val="24"/>
          <w:lang w:val="en-US"/>
        </w:rPr>
        <w:t>Social Learning Theory</w:t>
      </w:r>
      <w:r w:rsidRPr="13BE4A3C" w:rsidR="6BE3F64F">
        <w:rPr>
          <w:rFonts w:ascii="Arial" w:hAnsi="Arial" w:eastAsia="Arial" w:cs="Arial"/>
          <w:noProof w:val="0"/>
          <w:sz w:val="24"/>
          <w:szCs w:val="24"/>
          <w:lang w:val="en-US"/>
        </w:rPr>
        <w:t>. Englewood Cliffs, NJ: Prentice Hall.</w:t>
      </w:r>
    </w:p>
    <w:p w:rsidR="3DFAD6CA" w:rsidP="13BE4A3C" w:rsidRDefault="3DFAD6CA" w14:paraId="34950BE6" w14:textId="7E59F353">
      <w:pPr>
        <w:rPr>
          <w:rFonts w:ascii="Arial" w:hAnsi="Arial" w:eastAsia="Arial" w:cs="Arial"/>
          <w:noProof w:val="0"/>
          <w:sz w:val="24"/>
          <w:szCs w:val="24"/>
          <w:lang w:val="en-US"/>
        </w:rPr>
      </w:pPr>
      <w:r w:rsidRPr="13BE4A3C" w:rsidR="6BE3F64F">
        <w:rPr>
          <w:rFonts w:ascii="Arial" w:hAnsi="Arial" w:eastAsia="Arial" w:cs="Arial"/>
          <w:noProof w:val="0"/>
          <w:sz w:val="24"/>
          <w:szCs w:val="24"/>
          <w:lang w:val="en-US"/>
        </w:rPr>
        <w:t xml:space="preserve">Bateman, T. (2017) ‘The state of youth justice’, </w:t>
      </w:r>
      <w:r w:rsidRPr="13BE4A3C" w:rsidR="6BE3F64F">
        <w:rPr>
          <w:rFonts w:ascii="Arial" w:hAnsi="Arial" w:eastAsia="Arial" w:cs="Arial"/>
          <w:i w:val="1"/>
          <w:iCs w:val="1"/>
          <w:noProof w:val="0"/>
          <w:sz w:val="24"/>
          <w:szCs w:val="24"/>
          <w:lang w:val="en-US"/>
        </w:rPr>
        <w:t>Youth Justice</w:t>
      </w:r>
      <w:r w:rsidRPr="13BE4A3C" w:rsidR="6BE3F64F">
        <w:rPr>
          <w:rFonts w:ascii="Arial" w:hAnsi="Arial" w:eastAsia="Arial" w:cs="Arial"/>
          <w:noProof w:val="0"/>
          <w:sz w:val="24"/>
          <w:szCs w:val="24"/>
          <w:lang w:val="en-US"/>
        </w:rPr>
        <w:t>, 17(1), pp. 3–18.</w:t>
      </w:r>
    </w:p>
    <w:p w:rsidR="3DFAD6CA" w:rsidP="13BE4A3C" w:rsidRDefault="3DFAD6CA" w14:paraId="124A6422" w14:textId="3F46B664">
      <w:pPr>
        <w:rPr>
          <w:rFonts w:ascii="Arial" w:hAnsi="Arial" w:eastAsia="Arial" w:cs="Arial"/>
          <w:noProof w:val="0"/>
          <w:sz w:val="24"/>
          <w:szCs w:val="24"/>
          <w:lang w:val="en-US"/>
        </w:rPr>
      </w:pPr>
      <w:r w:rsidRPr="13BE4A3C" w:rsidR="6BE3F64F">
        <w:rPr>
          <w:rFonts w:ascii="Arial" w:hAnsi="Arial" w:eastAsia="Arial" w:cs="Arial"/>
          <w:noProof w:val="0"/>
          <w:sz w:val="24"/>
          <w:szCs w:val="24"/>
          <w:lang w:val="en-US"/>
        </w:rPr>
        <w:t xml:space="preserve">Bowen, G.A. (2009) ‘Document analysis as a qualitative research method’, </w:t>
      </w:r>
      <w:r w:rsidRPr="13BE4A3C" w:rsidR="6BE3F64F">
        <w:rPr>
          <w:rFonts w:ascii="Arial" w:hAnsi="Arial" w:eastAsia="Arial" w:cs="Arial"/>
          <w:i w:val="1"/>
          <w:iCs w:val="1"/>
          <w:noProof w:val="0"/>
          <w:sz w:val="24"/>
          <w:szCs w:val="24"/>
          <w:lang w:val="en-US"/>
        </w:rPr>
        <w:t>Qualitative Research Journal</w:t>
      </w:r>
      <w:r w:rsidRPr="13BE4A3C" w:rsidR="6BE3F64F">
        <w:rPr>
          <w:rFonts w:ascii="Arial" w:hAnsi="Arial" w:eastAsia="Arial" w:cs="Arial"/>
          <w:noProof w:val="0"/>
          <w:sz w:val="24"/>
          <w:szCs w:val="24"/>
          <w:lang w:val="en-US"/>
        </w:rPr>
        <w:t>, 9(2), pp. 27–40.</w:t>
      </w:r>
    </w:p>
    <w:p w:rsidR="3DFAD6CA" w:rsidP="13BE4A3C" w:rsidRDefault="3DFAD6CA" w14:paraId="32389216" w14:textId="588D2ECD">
      <w:pPr>
        <w:rPr>
          <w:rFonts w:ascii="Arial" w:hAnsi="Arial" w:eastAsia="Arial" w:cs="Arial"/>
          <w:noProof w:val="0"/>
          <w:sz w:val="24"/>
          <w:szCs w:val="24"/>
          <w:lang w:val="en-US"/>
        </w:rPr>
      </w:pPr>
      <w:r w:rsidRPr="13BE4A3C" w:rsidR="6BE3F64F">
        <w:rPr>
          <w:rFonts w:ascii="Arial" w:hAnsi="Arial" w:eastAsia="Arial" w:cs="Arial"/>
          <w:noProof w:val="0"/>
          <w:sz w:val="24"/>
          <w:szCs w:val="24"/>
          <w:lang w:val="en-US"/>
        </w:rPr>
        <w:t xml:space="preserve">Braun, V. and Clarke, V. (2006) ‘Using thematic analysis in psychology’, </w:t>
      </w:r>
      <w:r w:rsidRPr="13BE4A3C" w:rsidR="6BE3F64F">
        <w:rPr>
          <w:rFonts w:ascii="Arial" w:hAnsi="Arial" w:eastAsia="Arial" w:cs="Arial"/>
          <w:i w:val="1"/>
          <w:iCs w:val="1"/>
          <w:noProof w:val="0"/>
          <w:sz w:val="24"/>
          <w:szCs w:val="24"/>
          <w:lang w:val="en-US"/>
        </w:rPr>
        <w:t>Qualitative Research in Psychology</w:t>
      </w:r>
      <w:r w:rsidRPr="13BE4A3C" w:rsidR="6BE3F64F">
        <w:rPr>
          <w:rFonts w:ascii="Arial" w:hAnsi="Arial" w:eastAsia="Arial" w:cs="Arial"/>
          <w:noProof w:val="0"/>
          <w:sz w:val="24"/>
          <w:szCs w:val="24"/>
          <w:lang w:val="en-US"/>
        </w:rPr>
        <w:t xml:space="preserve">, 3(2), pp. 77–101. Available at: </w:t>
      </w:r>
      <w:hyperlink r:id="R9e76970e74c645a9">
        <w:r w:rsidRPr="13BE4A3C" w:rsidR="6BE3F64F">
          <w:rPr>
            <w:rStyle w:val="Hyperlink"/>
            <w:rFonts w:ascii="Arial" w:hAnsi="Arial" w:eastAsia="Arial" w:cs="Arial"/>
            <w:noProof w:val="0"/>
            <w:sz w:val="24"/>
            <w:szCs w:val="24"/>
            <w:lang w:val="en-US"/>
          </w:rPr>
          <w:t>https://doi.org/10.1191/1478088706qp063oa</w:t>
        </w:r>
      </w:hyperlink>
      <w:r w:rsidRPr="13BE4A3C" w:rsidR="6BE3F64F">
        <w:rPr>
          <w:rFonts w:ascii="Arial" w:hAnsi="Arial" w:eastAsia="Arial" w:cs="Arial"/>
          <w:noProof w:val="0"/>
          <w:sz w:val="24"/>
          <w:szCs w:val="24"/>
          <w:lang w:val="en-US"/>
        </w:rPr>
        <w:t xml:space="preserve"> (Accessed: 4 July 2026).</w:t>
      </w:r>
    </w:p>
    <w:p w:rsidR="3DFAD6CA" w:rsidP="13BE4A3C" w:rsidRDefault="3DFAD6CA" w14:paraId="15D4DD6C" w14:textId="40577F6D">
      <w:pPr>
        <w:rPr>
          <w:rFonts w:ascii="Arial" w:hAnsi="Arial" w:eastAsia="Arial" w:cs="Arial"/>
          <w:noProof w:val="0"/>
          <w:sz w:val="24"/>
          <w:szCs w:val="24"/>
          <w:lang w:val="en-US"/>
        </w:rPr>
      </w:pPr>
      <w:r w:rsidRPr="13BE4A3C" w:rsidR="6BE3F64F">
        <w:rPr>
          <w:rFonts w:ascii="Arial" w:hAnsi="Arial" w:eastAsia="Arial" w:cs="Arial"/>
          <w:noProof w:val="0"/>
          <w:sz w:val="24"/>
          <w:szCs w:val="24"/>
          <w:lang w:val="en-US"/>
        </w:rPr>
        <w:t xml:space="preserve">Bryman, A. (2016) </w:t>
      </w:r>
      <w:r w:rsidRPr="13BE4A3C" w:rsidR="6BE3F64F">
        <w:rPr>
          <w:rFonts w:ascii="Arial" w:hAnsi="Arial" w:eastAsia="Arial" w:cs="Arial"/>
          <w:i w:val="1"/>
          <w:iCs w:val="1"/>
          <w:noProof w:val="0"/>
          <w:sz w:val="24"/>
          <w:szCs w:val="24"/>
          <w:lang w:val="en-US"/>
        </w:rPr>
        <w:t>Social Research Methods</w:t>
      </w:r>
      <w:r w:rsidRPr="13BE4A3C" w:rsidR="6BE3F64F">
        <w:rPr>
          <w:rFonts w:ascii="Arial" w:hAnsi="Arial" w:eastAsia="Arial" w:cs="Arial"/>
          <w:noProof w:val="0"/>
          <w:sz w:val="24"/>
          <w:szCs w:val="24"/>
          <w:lang w:val="en-US"/>
        </w:rPr>
        <w:t>. 5th edn. Oxford: Oxford University Press.</w:t>
      </w:r>
    </w:p>
    <w:p w:rsidR="3DFAD6CA" w:rsidP="13BE4A3C" w:rsidRDefault="3DFAD6CA" w14:paraId="38E50EA9" w14:textId="0DF594EF">
      <w:pPr>
        <w:rPr>
          <w:rFonts w:ascii="Arial" w:hAnsi="Arial" w:eastAsia="Arial" w:cs="Arial"/>
          <w:noProof w:val="0"/>
          <w:sz w:val="24"/>
          <w:szCs w:val="24"/>
          <w:lang w:val="en-US"/>
        </w:rPr>
      </w:pPr>
      <w:r w:rsidRPr="13BE4A3C" w:rsidR="6BE3F64F">
        <w:rPr>
          <w:rFonts w:ascii="Arial" w:hAnsi="Arial" w:eastAsia="Arial" w:cs="Arial"/>
          <w:noProof w:val="0"/>
          <w:sz w:val="24"/>
          <w:szCs w:val="24"/>
          <w:lang w:val="en-US"/>
        </w:rPr>
        <w:t xml:space="preserve">Case, S. and Haines, K. (2015) </w:t>
      </w:r>
      <w:r w:rsidRPr="13BE4A3C" w:rsidR="6BE3F64F">
        <w:rPr>
          <w:rFonts w:ascii="Arial" w:hAnsi="Arial" w:eastAsia="Arial" w:cs="Arial"/>
          <w:i w:val="1"/>
          <w:iCs w:val="1"/>
          <w:noProof w:val="0"/>
          <w:sz w:val="24"/>
          <w:szCs w:val="24"/>
          <w:lang w:val="en-US"/>
        </w:rPr>
        <w:t>Positive Youth Justice: Children First, Offenders Second</w:t>
      </w:r>
      <w:r w:rsidRPr="13BE4A3C" w:rsidR="6BE3F64F">
        <w:rPr>
          <w:rFonts w:ascii="Arial" w:hAnsi="Arial" w:eastAsia="Arial" w:cs="Arial"/>
          <w:noProof w:val="0"/>
          <w:sz w:val="24"/>
          <w:szCs w:val="24"/>
          <w:lang w:val="en-US"/>
        </w:rPr>
        <w:t>. Bristol: Policy Press.</w:t>
      </w:r>
    </w:p>
    <w:p w:rsidR="3DFAD6CA" w:rsidP="13BE4A3C" w:rsidRDefault="3DFAD6CA" w14:paraId="5790EFCD" w14:textId="37B6815B">
      <w:pPr>
        <w:rPr>
          <w:rFonts w:ascii="Arial" w:hAnsi="Arial" w:eastAsia="Arial" w:cs="Arial"/>
          <w:noProof w:val="0"/>
          <w:sz w:val="24"/>
          <w:szCs w:val="24"/>
          <w:lang w:val="en-US"/>
        </w:rPr>
      </w:pPr>
      <w:r w:rsidRPr="13BE4A3C" w:rsidR="6BE3F64F">
        <w:rPr>
          <w:rFonts w:ascii="Arial" w:hAnsi="Arial" w:eastAsia="Arial" w:cs="Arial"/>
          <w:noProof w:val="0"/>
          <w:sz w:val="24"/>
          <w:szCs w:val="24"/>
          <w:lang w:val="en-US"/>
        </w:rPr>
        <w:t xml:space="preserve">Case, S. and Haines, K. (2021) ‘The future of youth justice: Children first, offenders second’, </w:t>
      </w:r>
      <w:r w:rsidRPr="13BE4A3C" w:rsidR="6BE3F64F">
        <w:rPr>
          <w:rFonts w:ascii="Arial" w:hAnsi="Arial" w:eastAsia="Arial" w:cs="Arial"/>
          <w:i w:val="1"/>
          <w:iCs w:val="1"/>
          <w:noProof w:val="0"/>
          <w:sz w:val="24"/>
          <w:szCs w:val="24"/>
          <w:lang w:val="en-US"/>
        </w:rPr>
        <w:t>Youth Justice</w:t>
      </w:r>
      <w:r w:rsidRPr="13BE4A3C" w:rsidR="6BE3F64F">
        <w:rPr>
          <w:rFonts w:ascii="Arial" w:hAnsi="Arial" w:eastAsia="Arial" w:cs="Arial"/>
          <w:noProof w:val="0"/>
          <w:sz w:val="24"/>
          <w:szCs w:val="24"/>
          <w:lang w:val="en-US"/>
        </w:rPr>
        <w:t>, 21(3), pp. 245–262.</w:t>
      </w:r>
    </w:p>
    <w:p w:rsidR="3DFAD6CA" w:rsidP="13BE4A3C" w:rsidRDefault="3DFAD6CA" w14:paraId="342A1101" w14:textId="7DCC81A6">
      <w:pPr>
        <w:rPr>
          <w:rFonts w:ascii="Arial" w:hAnsi="Arial" w:eastAsia="Arial" w:cs="Arial"/>
          <w:noProof w:val="0"/>
          <w:sz w:val="24"/>
          <w:szCs w:val="24"/>
          <w:lang w:val="en-US"/>
        </w:rPr>
      </w:pPr>
      <w:r w:rsidRPr="13BE4A3C" w:rsidR="6BE3F64F">
        <w:rPr>
          <w:rFonts w:ascii="Arial" w:hAnsi="Arial" w:eastAsia="Arial" w:cs="Arial"/>
          <w:noProof w:val="0"/>
          <w:sz w:val="24"/>
          <w:szCs w:val="24"/>
          <w:lang w:val="en-US"/>
        </w:rPr>
        <w:t xml:space="preserve">Cavadino, M. and Dignan, J. (2021) </w:t>
      </w:r>
      <w:r w:rsidRPr="13BE4A3C" w:rsidR="6BE3F64F">
        <w:rPr>
          <w:rFonts w:ascii="Arial" w:hAnsi="Arial" w:eastAsia="Arial" w:cs="Arial"/>
          <w:i w:val="1"/>
          <w:iCs w:val="1"/>
          <w:noProof w:val="0"/>
          <w:sz w:val="24"/>
          <w:szCs w:val="24"/>
          <w:lang w:val="en-US"/>
        </w:rPr>
        <w:t>The Penal System: An Introduction</w:t>
      </w:r>
      <w:r w:rsidRPr="13BE4A3C" w:rsidR="6BE3F64F">
        <w:rPr>
          <w:rFonts w:ascii="Arial" w:hAnsi="Arial" w:eastAsia="Arial" w:cs="Arial"/>
          <w:noProof w:val="0"/>
          <w:sz w:val="24"/>
          <w:szCs w:val="24"/>
          <w:lang w:val="en-US"/>
        </w:rPr>
        <w:t>. 6th edn. London: SAGE.</w:t>
      </w:r>
    </w:p>
    <w:p w:rsidR="3DFAD6CA" w:rsidP="13BE4A3C" w:rsidRDefault="3DFAD6CA" w14:paraId="5B207B7D" w14:textId="37F93F43">
      <w:pPr>
        <w:rPr>
          <w:rFonts w:ascii="Arial" w:hAnsi="Arial" w:eastAsia="Arial" w:cs="Arial"/>
          <w:noProof w:val="0"/>
          <w:sz w:val="24"/>
          <w:szCs w:val="24"/>
          <w:lang w:val="en-US"/>
        </w:rPr>
      </w:pPr>
      <w:r w:rsidRPr="13BE4A3C" w:rsidR="6BE3F64F">
        <w:rPr>
          <w:rFonts w:ascii="Arial" w:hAnsi="Arial" w:eastAsia="Arial" w:cs="Arial"/>
          <w:noProof w:val="0"/>
          <w:sz w:val="24"/>
          <w:szCs w:val="24"/>
          <w:lang w:val="en-US"/>
        </w:rPr>
        <w:t xml:space="preserve">Children’s Commissioner for England (2021) </w:t>
      </w:r>
      <w:r w:rsidRPr="13BE4A3C" w:rsidR="6BE3F64F">
        <w:rPr>
          <w:rFonts w:ascii="Arial" w:hAnsi="Arial" w:eastAsia="Arial" w:cs="Arial"/>
          <w:i w:val="1"/>
          <w:iCs w:val="1"/>
          <w:noProof w:val="0"/>
          <w:sz w:val="24"/>
          <w:szCs w:val="24"/>
          <w:lang w:val="en-US"/>
        </w:rPr>
        <w:t>The Impact of the COVID-19 Pandemic on Children’s Lives</w:t>
      </w:r>
      <w:r w:rsidRPr="13BE4A3C" w:rsidR="6BE3F64F">
        <w:rPr>
          <w:rFonts w:ascii="Arial" w:hAnsi="Arial" w:eastAsia="Arial" w:cs="Arial"/>
          <w:noProof w:val="0"/>
          <w:sz w:val="24"/>
          <w:szCs w:val="24"/>
          <w:lang w:val="en-US"/>
        </w:rPr>
        <w:t>. London: Children’s Commissioner for England.</w:t>
      </w:r>
    </w:p>
    <w:p w:rsidR="3DFAD6CA" w:rsidP="13BE4A3C" w:rsidRDefault="3DFAD6CA" w14:paraId="0BB49CE2" w14:textId="33D74871">
      <w:pPr>
        <w:rPr>
          <w:rFonts w:ascii="Arial" w:hAnsi="Arial" w:eastAsia="Arial" w:cs="Arial"/>
          <w:noProof w:val="0"/>
          <w:sz w:val="24"/>
          <w:szCs w:val="24"/>
          <w:lang w:val="en-US"/>
        </w:rPr>
      </w:pPr>
      <w:r w:rsidRPr="13BE4A3C" w:rsidR="6BE3F64F">
        <w:rPr>
          <w:rFonts w:ascii="Arial" w:hAnsi="Arial" w:eastAsia="Arial" w:cs="Arial"/>
          <w:noProof w:val="0"/>
          <w:sz w:val="24"/>
          <w:szCs w:val="24"/>
          <w:lang w:val="en-US"/>
        </w:rPr>
        <w:t xml:space="preserve">Department for Education (2024) </w:t>
      </w:r>
      <w:r w:rsidRPr="13BE4A3C" w:rsidR="6BE3F64F">
        <w:rPr>
          <w:rFonts w:ascii="Arial" w:hAnsi="Arial" w:eastAsia="Arial" w:cs="Arial"/>
          <w:i w:val="1"/>
          <w:iCs w:val="1"/>
          <w:noProof w:val="0"/>
          <w:sz w:val="24"/>
          <w:szCs w:val="24"/>
          <w:lang w:val="en-US"/>
        </w:rPr>
        <w:t>Pupil Absence in Schools in England: Academic Year 2023/24</w:t>
      </w:r>
      <w:r w:rsidRPr="13BE4A3C" w:rsidR="6BE3F64F">
        <w:rPr>
          <w:rFonts w:ascii="Arial" w:hAnsi="Arial" w:eastAsia="Arial" w:cs="Arial"/>
          <w:noProof w:val="0"/>
          <w:sz w:val="24"/>
          <w:szCs w:val="24"/>
          <w:lang w:val="en-US"/>
        </w:rPr>
        <w:t>. London: Department for Education.</w:t>
      </w:r>
    </w:p>
    <w:p w:rsidR="3DFAD6CA" w:rsidP="13BE4A3C" w:rsidRDefault="3DFAD6CA" w14:paraId="00EEDB7C" w14:textId="72DB31F3">
      <w:pPr>
        <w:rPr>
          <w:rFonts w:ascii="Arial" w:hAnsi="Arial" w:eastAsia="Arial" w:cs="Arial"/>
          <w:noProof w:val="0"/>
          <w:sz w:val="24"/>
          <w:szCs w:val="24"/>
          <w:lang w:val="en-US"/>
        </w:rPr>
      </w:pPr>
      <w:r w:rsidRPr="13BE4A3C" w:rsidR="6BE3F64F">
        <w:rPr>
          <w:rFonts w:ascii="Arial" w:hAnsi="Arial" w:eastAsia="Arial" w:cs="Arial"/>
          <w:noProof w:val="0"/>
          <w:sz w:val="24"/>
          <w:szCs w:val="24"/>
          <w:lang w:val="en-US"/>
        </w:rPr>
        <w:t xml:space="preserve">Education Endowment Foundation (2022) </w:t>
      </w:r>
      <w:r w:rsidRPr="13BE4A3C" w:rsidR="6BE3F64F">
        <w:rPr>
          <w:rFonts w:ascii="Arial" w:hAnsi="Arial" w:eastAsia="Arial" w:cs="Arial"/>
          <w:i w:val="1"/>
          <w:iCs w:val="1"/>
          <w:noProof w:val="0"/>
          <w:sz w:val="24"/>
          <w:szCs w:val="24"/>
          <w:lang w:val="en-US"/>
        </w:rPr>
        <w:t>The Impact of COVID-19 on Learning: A Review of the Evidence</w:t>
      </w:r>
      <w:r w:rsidRPr="13BE4A3C" w:rsidR="6BE3F64F">
        <w:rPr>
          <w:rFonts w:ascii="Arial" w:hAnsi="Arial" w:eastAsia="Arial" w:cs="Arial"/>
          <w:noProof w:val="0"/>
          <w:sz w:val="24"/>
          <w:szCs w:val="24"/>
          <w:lang w:val="en-US"/>
        </w:rPr>
        <w:t>. London: Education Endowment Foundation.</w:t>
      </w:r>
    </w:p>
    <w:p w:rsidR="3DFAD6CA" w:rsidP="13BE4A3C" w:rsidRDefault="3DFAD6CA" w14:paraId="061F2F8A" w14:textId="4D9B3BCE">
      <w:pPr>
        <w:rPr>
          <w:rFonts w:ascii="Arial" w:hAnsi="Arial" w:eastAsia="Arial" w:cs="Arial"/>
          <w:noProof w:val="0"/>
          <w:sz w:val="24"/>
          <w:szCs w:val="24"/>
          <w:lang w:val="en-US"/>
        </w:rPr>
      </w:pPr>
      <w:r w:rsidRPr="13BE4A3C" w:rsidR="6BE3F64F">
        <w:rPr>
          <w:rFonts w:ascii="Arial" w:hAnsi="Arial" w:eastAsia="Arial" w:cs="Arial"/>
          <w:noProof w:val="0"/>
          <w:sz w:val="24"/>
          <w:szCs w:val="24"/>
          <w:lang w:val="en-US"/>
        </w:rPr>
        <w:t xml:space="preserve">Farrington, D.P. (2003) ‘Developmental and life-course criminology: Key theoretical and empirical issues’, </w:t>
      </w:r>
      <w:r w:rsidRPr="13BE4A3C" w:rsidR="6BE3F64F">
        <w:rPr>
          <w:rFonts w:ascii="Arial" w:hAnsi="Arial" w:eastAsia="Arial" w:cs="Arial"/>
          <w:i w:val="1"/>
          <w:iCs w:val="1"/>
          <w:noProof w:val="0"/>
          <w:sz w:val="24"/>
          <w:szCs w:val="24"/>
          <w:lang w:val="en-US"/>
        </w:rPr>
        <w:t>Criminology</w:t>
      </w:r>
      <w:r w:rsidRPr="13BE4A3C" w:rsidR="6BE3F64F">
        <w:rPr>
          <w:rFonts w:ascii="Arial" w:hAnsi="Arial" w:eastAsia="Arial" w:cs="Arial"/>
          <w:noProof w:val="0"/>
          <w:sz w:val="24"/>
          <w:szCs w:val="24"/>
          <w:lang w:val="en-US"/>
        </w:rPr>
        <w:t>, 41(2), pp. 221–255.</w:t>
      </w:r>
    </w:p>
    <w:p w:rsidR="3DFAD6CA" w:rsidP="13BE4A3C" w:rsidRDefault="3DFAD6CA" w14:paraId="6D26589F" w14:textId="5B578192">
      <w:pPr>
        <w:rPr>
          <w:rFonts w:ascii="Arial" w:hAnsi="Arial" w:eastAsia="Arial" w:cs="Arial"/>
          <w:noProof w:val="0"/>
          <w:sz w:val="24"/>
          <w:szCs w:val="24"/>
          <w:lang w:val="en-US"/>
        </w:rPr>
      </w:pPr>
      <w:r w:rsidRPr="13BE4A3C" w:rsidR="6BE3F64F">
        <w:rPr>
          <w:rFonts w:ascii="Arial" w:hAnsi="Arial" w:eastAsia="Arial" w:cs="Arial"/>
          <w:noProof w:val="0"/>
          <w:sz w:val="24"/>
          <w:szCs w:val="24"/>
          <w:lang w:val="en-US"/>
        </w:rPr>
        <w:t xml:space="preserve">Goldson, B. and Muncie, J. (2015) </w:t>
      </w:r>
      <w:r w:rsidRPr="13BE4A3C" w:rsidR="6BE3F64F">
        <w:rPr>
          <w:rFonts w:ascii="Arial" w:hAnsi="Arial" w:eastAsia="Arial" w:cs="Arial"/>
          <w:i w:val="1"/>
          <w:iCs w:val="1"/>
          <w:noProof w:val="0"/>
          <w:sz w:val="24"/>
          <w:szCs w:val="24"/>
          <w:lang w:val="en-US"/>
        </w:rPr>
        <w:t>Youth Crime and Justice</w:t>
      </w:r>
      <w:r w:rsidRPr="13BE4A3C" w:rsidR="6BE3F64F">
        <w:rPr>
          <w:rFonts w:ascii="Arial" w:hAnsi="Arial" w:eastAsia="Arial" w:cs="Arial"/>
          <w:noProof w:val="0"/>
          <w:sz w:val="24"/>
          <w:szCs w:val="24"/>
          <w:lang w:val="en-US"/>
        </w:rPr>
        <w:t>. 2nd edn. London: SAGE.</w:t>
      </w:r>
    </w:p>
    <w:p w:rsidR="3DFAD6CA" w:rsidP="13BE4A3C" w:rsidRDefault="3DFAD6CA" w14:paraId="5D4F53CF" w14:textId="7AABB683">
      <w:pPr>
        <w:rPr>
          <w:rFonts w:ascii="Arial" w:hAnsi="Arial" w:eastAsia="Arial" w:cs="Arial"/>
          <w:noProof w:val="0"/>
          <w:sz w:val="24"/>
          <w:szCs w:val="24"/>
          <w:lang w:val="en-US"/>
        </w:rPr>
      </w:pPr>
      <w:r w:rsidRPr="13BE4A3C" w:rsidR="6BE3F64F">
        <w:rPr>
          <w:rFonts w:ascii="Arial" w:hAnsi="Arial" w:eastAsia="Arial" w:cs="Arial"/>
          <w:noProof w:val="0"/>
          <w:sz w:val="24"/>
          <w:szCs w:val="24"/>
          <w:lang w:val="en-US"/>
        </w:rPr>
        <w:t xml:space="preserve">Haines, K. and Case, S. (2023) </w:t>
      </w:r>
      <w:r w:rsidRPr="13BE4A3C" w:rsidR="6BE3F64F">
        <w:rPr>
          <w:rFonts w:ascii="Arial" w:hAnsi="Arial" w:eastAsia="Arial" w:cs="Arial"/>
          <w:i w:val="1"/>
          <w:iCs w:val="1"/>
          <w:noProof w:val="0"/>
          <w:sz w:val="24"/>
          <w:szCs w:val="24"/>
          <w:lang w:val="en-US"/>
        </w:rPr>
        <w:t>Positive Youth Justice: Children First, Offenders Second</w:t>
      </w:r>
      <w:r w:rsidRPr="13BE4A3C" w:rsidR="6BE3F64F">
        <w:rPr>
          <w:rFonts w:ascii="Arial" w:hAnsi="Arial" w:eastAsia="Arial" w:cs="Arial"/>
          <w:noProof w:val="0"/>
          <w:sz w:val="24"/>
          <w:szCs w:val="24"/>
          <w:lang w:val="en-US"/>
        </w:rPr>
        <w:t>. Bristol: Policy Press.</w:t>
      </w:r>
    </w:p>
    <w:p w:rsidR="3DFAD6CA" w:rsidP="13BE4A3C" w:rsidRDefault="3DFAD6CA" w14:paraId="73607765" w14:textId="687704E6">
      <w:pPr>
        <w:rPr>
          <w:rFonts w:ascii="Arial" w:hAnsi="Arial" w:eastAsia="Arial" w:cs="Arial"/>
          <w:noProof w:val="0"/>
          <w:sz w:val="24"/>
          <w:szCs w:val="24"/>
          <w:lang w:val="en-US"/>
        </w:rPr>
      </w:pPr>
      <w:r w:rsidRPr="13BE4A3C" w:rsidR="6BE3F64F">
        <w:rPr>
          <w:rFonts w:ascii="Arial" w:hAnsi="Arial" w:eastAsia="Arial" w:cs="Arial"/>
          <w:noProof w:val="0"/>
          <w:sz w:val="24"/>
          <w:szCs w:val="24"/>
          <w:lang w:val="en-US"/>
        </w:rPr>
        <w:t xml:space="preserve">Hazel, N. (2008) </w:t>
      </w:r>
      <w:r w:rsidRPr="13BE4A3C" w:rsidR="6BE3F64F">
        <w:rPr>
          <w:rFonts w:ascii="Arial" w:hAnsi="Arial" w:eastAsia="Arial" w:cs="Arial"/>
          <w:i w:val="1"/>
          <w:iCs w:val="1"/>
          <w:noProof w:val="0"/>
          <w:sz w:val="24"/>
          <w:szCs w:val="24"/>
          <w:lang w:val="en-US"/>
        </w:rPr>
        <w:t>Cross-national Comparison of Youth Justice</w:t>
      </w:r>
      <w:r w:rsidRPr="13BE4A3C" w:rsidR="6BE3F64F">
        <w:rPr>
          <w:rFonts w:ascii="Arial" w:hAnsi="Arial" w:eastAsia="Arial" w:cs="Arial"/>
          <w:noProof w:val="0"/>
          <w:sz w:val="24"/>
          <w:szCs w:val="24"/>
          <w:lang w:val="en-US"/>
        </w:rPr>
        <w:t>. London: Youth Justice Board.</w:t>
      </w:r>
    </w:p>
    <w:p w:rsidR="3DFAD6CA" w:rsidP="13BE4A3C" w:rsidRDefault="3DFAD6CA" w14:paraId="6B35F9B8" w14:textId="1B933C18">
      <w:pPr>
        <w:rPr>
          <w:rFonts w:ascii="Arial" w:hAnsi="Arial" w:eastAsia="Arial" w:cs="Arial"/>
          <w:noProof w:val="0"/>
          <w:sz w:val="24"/>
          <w:szCs w:val="24"/>
          <w:lang w:val="en-US"/>
        </w:rPr>
      </w:pPr>
      <w:r w:rsidRPr="13BE4A3C" w:rsidR="6BE3F64F">
        <w:rPr>
          <w:rFonts w:ascii="Arial" w:hAnsi="Arial" w:eastAsia="Arial" w:cs="Arial"/>
          <w:noProof w:val="0"/>
          <w:sz w:val="24"/>
          <w:szCs w:val="24"/>
          <w:lang w:val="en-US"/>
        </w:rPr>
        <w:t xml:space="preserve">Johnstone, G. and Van Ness, D.W. (eds.) (2013) </w:t>
      </w:r>
      <w:r w:rsidRPr="13BE4A3C" w:rsidR="6BE3F64F">
        <w:rPr>
          <w:rFonts w:ascii="Arial" w:hAnsi="Arial" w:eastAsia="Arial" w:cs="Arial"/>
          <w:i w:val="1"/>
          <w:iCs w:val="1"/>
          <w:noProof w:val="0"/>
          <w:sz w:val="24"/>
          <w:szCs w:val="24"/>
          <w:lang w:val="en-US"/>
        </w:rPr>
        <w:t>Handbook of Restorative Justice</w:t>
      </w:r>
      <w:r w:rsidRPr="13BE4A3C" w:rsidR="6BE3F64F">
        <w:rPr>
          <w:rFonts w:ascii="Arial" w:hAnsi="Arial" w:eastAsia="Arial" w:cs="Arial"/>
          <w:noProof w:val="0"/>
          <w:sz w:val="24"/>
          <w:szCs w:val="24"/>
          <w:lang w:val="en-US"/>
        </w:rPr>
        <w:t>. London: Routledge.</w:t>
      </w:r>
    </w:p>
    <w:p w:rsidR="3DFAD6CA" w:rsidP="13BE4A3C" w:rsidRDefault="3DFAD6CA" w14:paraId="4B7923E9" w14:textId="6B4C3037">
      <w:pPr>
        <w:rPr>
          <w:rFonts w:ascii="Arial" w:hAnsi="Arial" w:eastAsia="Arial" w:cs="Arial"/>
          <w:noProof w:val="0"/>
          <w:sz w:val="24"/>
          <w:szCs w:val="24"/>
          <w:lang w:val="en-US"/>
        </w:rPr>
      </w:pPr>
      <w:r w:rsidRPr="13BE4A3C" w:rsidR="6BE3F64F">
        <w:rPr>
          <w:rFonts w:ascii="Arial" w:hAnsi="Arial" w:eastAsia="Arial" w:cs="Arial"/>
          <w:noProof w:val="0"/>
          <w:sz w:val="24"/>
          <w:szCs w:val="24"/>
          <w:lang w:val="en-US"/>
        </w:rPr>
        <w:t xml:space="preserve">Maxwell, G. and Morris, A. (2006) ‘Youth justice in New Zealand: Restorative justice and the Family Group Conference’, in Johnstone, G. and Van Ness, D.W. (eds.) </w:t>
      </w:r>
      <w:r w:rsidRPr="13BE4A3C" w:rsidR="6BE3F64F">
        <w:rPr>
          <w:rFonts w:ascii="Arial" w:hAnsi="Arial" w:eastAsia="Arial" w:cs="Arial"/>
          <w:i w:val="1"/>
          <w:iCs w:val="1"/>
          <w:noProof w:val="0"/>
          <w:sz w:val="24"/>
          <w:szCs w:val="24"/>
          <w:lang w:val="en-US"/>
        </w:rPr>
        <w:t>Handbook of Restorative Justice</w:t>
      </w:r>
      <w:r w:rsidRPr="13BE4A3C" w:rsidR="6BE3F64F">
        <w:rPr>
          <w:rFonts w:ascii="Arial" w:hAnsi="Arial" w:eastAsia="Arial" w:cs="Arial"/>
          <w:noProof w:val="0"/>
          <w:sz w:val="24"/>
          <w:szCs w:val="24"/>
          <w:lang w:val="en-US"/>
        </w:rPr>
        <w:t>. London: Routledge.</w:t>
      </w:r>
    </w:p>
    <w:p w:rsidR="3DFAD6CA" w:rsidP="13BE4A3C" w:rsidRDefault="3DFAD6CA" w14:paraId="4D1A00F0" w14:textId="2F725E0E">
      <w:pPr>
        <w:rPr>
          <w:rFonts w:ascii="Arial" w:hAnsi="Arial" w:eastAsia="Arial" w:cs="Arial"/>
          <w:noProof w:val="0"/>
          <w:sz w:val="24"/>
          <w:szCs w:val="24"/>
          <w:lang w:val="en-US"/>
        </w:rPr>
      </w:pPr>
      <w:r w:rsidRPr="13BE4A3C" w:rsidR="6BE3F64F">
        <w:rPr>
          <w:rFonts w:ascii="Arial" w:hAnsi="Arial" w:eastAsia="Arial" w:cs="Arial"/>
          <w:noProof w:val="0"/>
          <w:sz w:val="24"/>
          <w:szCs w:val="24"/>
          <w:lang w:val="en-US"/>
        </w:rPr>
        <w:t xml:space="preserve">McAra, L. and McVie, S. (2010) ‘Youth crime and justice: Key messages from the Edinburgh Study of Youth Transitions and Crime’, </w:t>
      </w:r>
      <w:r w:rsidRPr="13BE4A3C" w:rsidR="6BE3F64F">
        <w:rPr>
          <w:rFonts w:ascii="Arial" w:hAnsi="Arial" w:eastAsia="Arial" w:cs="Arial"/>
          <w:i w:val="1"/>
          <w:iCs w:val="1"/>
          <w:noProof w:val="0"/>
          <w:sz w:val="24"/>
          <w:szCs w:val="24"/>
          <w:lang w:val="en-US"/>
        </w:rPr>
        <w:t>Criminology and Criminal Justice</w:t>
      </w:r>
      <w:r w:rsidRPr="13BE4A3C" w:rsidR="6BE3F64F">
        <w:rPr>
          <w:rFonts w:ascii="Arial" w:hAnsi="Arial" w:eastAsia="Arial" w:cs="Arial"/>
          <w:noProof w:val="0"/>
          <w:sz w:val="24"/>
          <w:szCs w:val="24"/>
          <w:lang w:val="en-US"/>
        </w:rPr>
        <w:t>, 10(2), pp. 179–209.</w:t>
      </w:r>
    </w:p>
    <w:p w:rsidR="3DFAD6CA" w:rsidP="13BE4A3C" w:rsidRDefault="3DFAD6CA" w14:paraId="566D5A27" w14:textId="3C019C22">
      <w:pPr>
        <w:rPr>
          <w:rFonts w:ascii="Arial" w:hAnsi="Arial" w:eastAsia="Arial" w:cs="Arial"/>
          <w:noProof w:val="0"/>
          <w:sz w:val="24"/>
          <w:szCs w:val="24"/>
          <w:lang w:val="en-US"/>
        </w:rPr>
      </w:pPr>
      <w:r w:rsidRPr="13BE4A3C" w:rsidR="6BE3F64F">
        <w:rPr>
          <w:rFonts w:ascii="Arial" w:hAnsi="Arial" w:eastAsia="Arial" w:cs="Arial"/>
          <w:noProof w:val="0"/>
          <w:sz w:val="24"/>
          <w:szCs w:val="24"/>
          <w:lang w:val="en-US"/>
        </w:rPr>
        <w:t xml:space="preserve">Ministry of Justice (2024) </w:t>
      </w:r>
      <w:r w:rsidRPr="13BE4A3C" w:rsidR="6BE3F64F">
        <w:rPr>
          <w:rFonts w:ascii="Arial" w:hAnsi="Arial" w:eastAsia="Arial" w:cs="Arial"/>
          <w:i w:val="1"/>
          <w:iCs w:val="1"/>
          <w:noProof w:val="0"/>
          <w:sz w:val="24"/>
          <w:szCs w:val="24"/>
          <w:lang w:val="en-US"/>
        </w:rPr>
        <w:t>Youth Justice Statistics: 2022 to 2023 England and Wales</w:t>
      </w:r>
      <w:r w:rsidRPr="13BE4A3C" w:rsidR="6BE3F64F">
        <w:rPr>
          <w:rFonts w:ascii="Arial" w:hAnsi="Arial" w:eastAsia="Arial" w:cs="Arial"/>
          <w:noProof w:val="0"/>
          <w:sz w:val="24"/>
          <w:szCs w:val="24"/>
          <w:lang w:val="en-US"/>
        </w:rPr>
        <w:t>. London: Ministry of Justice.</w:t>
      </w:r>
    </w:p>
    <w:p w:rsidR="3DFAD6CA" w:rsidP="13BE4A3C" w:rsidRDefault="3DFAD6CA" w14:paraId="24A97AE8" w14:textId="2922CCE2">
      <w:pPr>
        <w:rPr>
          <w:rFonts w:ascii="Arial" w:hAnsi="Arial" w:eastAsia="Arial" w:cs="Arial"/>
          <w:noProof w:val="0"/>
          <w:sz w:val="24"/>
          <w:szCs w:val="24"/>
          <w:lang w:val="en-US"/>
        </w:rPr>
      </w:pPr>
      <w:r w:rsidRPr="13BE4A3C" w:rsidR="6BE3F64F">
        <w:rPr>
          <w:rFonts w:ascii="Arial" w:hAnsi="Arial" w:eastAsia="Arial" w:cs="Arial"/>
          <w:noProof w:val="0"/>
          <w:sz w:val="24"/>
          <w:szCs w:val="24"/>
          <w:lang w:val="en-US"/>
        </w:rPr>
        <w:t xml:space="preserve">Muncie, J. (2015) </w:t>
      </w:r>
      <w:r w:rsidRPr="13BE4A3C" w:rsidR="6BE3F64F">
        <w:rPr>
          <w:rFonts w:ascii="Arial" w:hAnsi="Arial" w:eastAsia="Arial" w:cs="Arial"/>
          <w:i w:val="1"/>
          <w:iCs w:val="1"/>
          <w:noProof w:val="0"/>
          <w:sz w:val="24"/>
          <w:szCs w:val="24"/>
          <w:lang w:val="en-US"/>
        </w:rPr>
        <w:t>Youth and Crime</w:t>
      </w:r>
      <w:r w:rsidRPr="13BE4A3C" w:rsidR="6BE3F64F">
        <w:rPr>
          <w:rFonts w:ascii="Arial" w:hAnsi="Arial" w:eastAsia="Arial" w:cs="Arial"/>
          <w:noProof w:val="0"/>
          <w:sz w:val="24"/>
          <w:szCs w:val="24"/>
          <w:lang w:val="en-US"/>
        </w:rPr>
        <w:t>. 4th edn. London: SAGE.</w:t>
      </w:r>
    </w:p>
    <w:p w:rsidR="3DFAD6CA" w:rsidP="13BE4A3C" w:rsidRDefault="3DFAD6CA" w14:paraId="4792F932" w14:textId="51BD5532">
      <w:pPr>
        <w:rPr>
          <w:rFonts w:ascii="Arial" w:hAnsi="Arial" w:eastAsia="Arial" w:cs="Arial"/>
          <w:noProof w:val="0"/>
          <w:sz w:val="24"/>
          <w:szCs w:val="24"/>
          <w:lang w:val="en-US"/>
        </w:rPr>
      </w:pPr>
      <w:r w:rsidRPr="13BE4A3C" w:rsidR="6BE3F64F">
        <w:rPr>
          <w:rFonts w:ascii="Arial" w:hAnsi="Arial" w:eastAsia="Arial" w:cs="Arial"/>
          <w:noProof w:val="0"/>
          <w:sz w:val="24"/>
          <w:szCs w:val="24"/>
          <w:lang w:val="en-US"/>
        </w:rPr>
        <w:t xml:space="preserve">Patton, M.Q. (2015) </w:t>
      </w:r>
      <w:r w:rsidRPr="13BE4A3C" w:rsidR="6BE3F64F">
        <w:rPr>
          <w:rFonts w:ascii="Arial" w:hAnsi="Arial" w:eastAsia="Arial" w:cs="Arial"/>
          <w:i w:val="1"/>
          <w:iCs w:val="1"/>
          <w:noProof w:val="0"/>
          <w:sz w:val="24"/>
          <w:szCs w:val="24"/>
          <w:lang w:val="en-US"/>
        </w:rPr>
        <w:t>Qualitative Research and Evaluation Methods</w:t>
      </w:r>
      <w:r w:rsidRPr="13BE4A3C" w:rsidR="6BE3F64F">
        <w:rPr>
          <w:rFonts w:ascii="Arial" w:hAnsi="Arial" w:eastAsia="Arial" w:cs="Arial"/>
          <w:noProof w:val="0"/>
          <w:sz w:val="24"/>
          <w:szCs w:val="24"/>
          <w:lang w:val="en-US"/>
        </w:rPr>
        <w:t>. 4th edn. London: SAGE.</w:t>
      </w:r>
    </w:p>
    <w:p w:rsidR="3DFAD6CA" w:rsidP="13BE4A3C" w:rsidRDefault="3DFAD6CA" w14:paraId="06131C6E" w14:textId="5CBFA166">
      <w:pPr>
        <w:rPr>
          <w:rFonts w:ascii="Arial" w:hAnsi="Arial" w:eastAsia="Arial" w:cs="Arial"/>
          <w:noProof w:val="0"/>
          <w:sz w:val="24"/>
          <w:szCs w:val="24"/>
          <w:lang w:val="en-US"/>
        </w:rPr>
      </w:pPr>
      <w:r w:rsidRPr="13BE4A3C" w:rsidR="6BE3F64F">
        <w:rPr>
          <w:rFonts w:ascii="Arial" w:hAnsi="Arial" w:eastAsia="Arial" w:cs="Arial"/>
          <w:noProof w:val="0"/>
          <w:sz w:val="24"/>
          <w:szCs w:val="24"/>
          <w:lang w:val="en-US"/>
        </w:rPr>
        <w:t xml:space="preserve">Sampson, R.J. and Laub, J.H. (1993) </w:t>
      </w:r>
      <w:r w:rsidRPr="13BE4A3C" w:rsidR="6BE3F64F">
        <w:rPr>
          <w:rFonts w:ascii="Arial" w:hAnsi="Arial" w:eastAsia="Arial" w:cs="Arial"/>
          <w:i w:val="1"/>
          <w:iCs w:val="1"/>
          <w:noProof w:val="0"/>
          <w:sz w:val="24"/>
          <w:szCs w:val="24"/>
          <w:lang w:val="en-US"/>
        </w:rPr>
        <w:t>Crime in the Making: Pathways and Turning Points Through Life</w:t>
      </w:r>
      <w:r w:rsidRPr="13BE4A3C" w:rsidR="6BE3F64F">
        <w:rPr>
          <w:rFonts w:ascii="Arial" w:hAnsi="Arial" w:eastAsia="Arial" w:cs="Arial"/>
          <w:noProof w:val="0"/>
          <w:sz w:val="24"/>
          <w:szCs w:val="24"/>
          <w:lang w:val="en-US"/>
        </w:rPr>
        <w:t>. Cambridge, MA: Harvard University Press.</w:t>
      </w:r>
    </w:p>
    <w:p w:rsidR="3DFAD6CA" w:rsidP="13BE4A3C" w:rsidRDefault="3DFAD6CA" w14:paraId="75CA6CEC" w14:textId="4EF517B9">
      <w:pPr>
        <w:rPr>
          <w:rFonts w:ascii="Arial" w:hAnsi="Arial" w:eastAsia="Arial" w:cs="Arial"/>
          <w:noProof w:val="0"/>
          <w:sz w:val="24"/>
          <w:szCs w:val="24"/>
          <w:lang w:val="en-US"/>
        </w:rPr>
      </w:pPr>
      <w:r w:rsidRPr="13BE4A3C" w:rsidR="6BE3F64F">
        <w:rPr>
          <w:rFonts w:ascii="Arial" w:hAnsi="Arial" w:eastAsia="Arial" w:cs="Arial"/>
          <w:noProof w:val="0"/>
          <w:sz w:val="24"/>
          <w:szCs w:val="24"/>
          <w:lang w:val="en-US"/>
        </w:rPr>
        <w:t xml:space="preserve">Silverman, D. (2021) </w:t>
      </w:r>
      <w:r w:rsidRPr="13BE4A3C" w:rsidR="6BE3F64F">
        <w:rPr>
          <w:rFonts w:ascii="Arial" w:hAnsi="Arial" w:eastAsia="Arial" w:cs="Arial"/>
          <w:i w:val="1"/>
          <w:iCs w:val="1"/>
          <w:noProof w:val="0"/>
          <w:sz w:val="24"/>
          <w:szCs w:val="24"/>
          <w:lang w:val="en-US"/>
        </w:rPr>
        <w:t>Interpreting Qualitative Data</w:t>
      </w:r>
      <w:r w:rsidRPr="13BE4A3C" w:rsidR="6BE3F64F">
        <w:rPr>
          <w:rFonts w:ascii="Arial" w:hAnsi="Arial" w:eastAsia="Arial" w:cs="Arial"/>
          <w:noProof w:val="0"/>
          <w:sz w:val="24"/>
          <w:szCs w:val="24"/>
          <w:lang w:val="en-US"/>
        </w:rPr>
        <w:t>. 6th edn. London: SAGE.</w:t>
      </w:r>
    </w:p>
    <w:p w:rsidR="3DFAD6CA" w:rsidP="13BE4A3C" w:rsidRDefault="3DFAD6CA" w14:paraId="6F1F187A" w14:textId="52FC2579">
      <w:pPr>
        <w:rPr>
          <w:rFonts w:ascii="Arial" w:hAnsi="Arial" w:eastAsia="Arial" w:cs="Arial"/>
          <w:noProof w:val="0"/>
          <w:sz w:val="24"/>
          <w:szCs w:val="24"/>
          <w:lang w:val="en-US"/>
        </w:rPr>
      </w:pPr>
      <w:r w:rsidRPr="13BE4A3C" w:rsidR="6BE3F64F">
        <w:rPr>
          <w:rFonts w:ascii="Arial" w:hAnsi="Arial" w:eastAsia="Arial" w:cs="Arial"/>
          <w:noProof w:val="0"/>
          <w:sz w:val="24"/>
          <w:szCs w:val="24"/>
          <w:lang w:val="en-US"/>
        </w:rPr>
        <w:t xml:space="preserve">Youth Justice Board (2024) </w:t>
      </w:r>
      <w:r w:rsidRPr="13BE4A3C" w:rsidR="6BE3F64F">
        <w:rPr>
          <w:rFonts w:ascii="Arial" w:hAnsi="Arial" w:eastAsia="Arial" w:cs="Arial"/>
          <w:i w:val="1"/>
          <w:iCs w:val="1"/>
          <w:noProof w:val="0"/>
          <w:sz w:val="24"/>
          <w:szCs w:val="24"/>
          <w:lang w:val="en-US"/>
        </w:rPr>
        <w:t>Youth Justice Statistics and Annual Reports</w:t>
      </w:r>
      <w:r w:rsidRPr="13BE4A3C" w:rsidR="6BE3F64F">
        <w:rPr>
          <w:rFonts w:ascii="Arial" w:hAnsi="Arial" w:eastAsia="Arial" w:cs="Arial"/>
          <w:noProof w:val="0"/>
          <w:sz w:val="24"/>
          <w:szCs w:val="24"/>
          <w:lang w:val="en-US"/>
        </w:rPr>
        <w:t>. London: Youth Justice Board.</w:t>
      </w:r>
    </w:p>
    <w:p w:rsidR="3DFAD6CA" w:rsidP="3DFAD6CA" w:rsidRDefault="3DFAD6CA" w14:paraId="05FCFEF0" w14:textId="79027B2D">
      <w:pPr>
        <w:rPr>
          <w:sz w:val="28"/>
          <w:szCs w:val="28"/>
        </w:rPr>
      </w:pPr>
    </w:p>
    <w:sectPr w:rsidR="3DFAD6CA" w:rsidSect="00D550B1">
      <w:pgSz w:w="12240" w:h="15840" w:orient="portrait"/>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intelligence2.xml><?xml version="1.0" encoding="utf-8"?>
<int2:intelligence xmlns:int2="http://schemas.microsoft.com/office/intelligence/2020/intelligence" xmlns:oel="http://schemas.microsoft.com/office/2019/extlst">
  <int2:observations>
    <int2:textHash int2:hashCode="t44wUMaAlqSSV0" int2:id="Lnr8vRy2">
      <int2:state int2:type="spell" int2:value="Rejected"/>
    </int2:textHash>
    <int2:textHash int2:hashCode="7OmYag+MLKaTRs" int2:id="Yukn2X9k">
      <int2:state int2:type="spell" int2:value="Rejected"/>
    </int2:textHash>
    <int2:textHash int2:hashCode="MAOO7Y7GdbTLGr" int2:id="xgZPtKQH">
      <int2:state int2:type="spell" int2:value="Rejected"/>
    </int2:textHash>
    <int2:textHash int2:hashCode="Dji+abMBs/wxDx" int2:id="ORcvrqIS">
      <int2:state int2:type="spell" int2:value="Rejected"/>
    </int2:textHash>
    <int2:textHash int2:hashCode="IknMeE5XC/atct" int2:id="s4Me52up">
      <int2:state int2:type="spell" int2:value="Rejected"/>
    </int2:textHash>
    <int2:textHash int2:hashCode="+pOqN1ZKhZqaJe" int2:id="gJDTTLEp">
      <int2:state int2:type="spell" int2:value="Rejected"/>
    </int2:textHash>
    <int2:textHash int2:hashCode="DfFG05gpKgeKun" int2:id="z5qW3JSQ">
      <int2:state int2:type="spell" int2:value="Rejected"/>
    </int2:textHash>
    <int2:textHash int2:hashCode="uB/wp0EhvyGqK/" int2:id="JItFCZyy">
      <int2:state int2:type="spell" int2:value="Rejected"/>
    </int2:textHash>
    <int2:textHash int2:hashCode="SlYFDncvjWIs3o" int2:id="PvA7Bz0c">
      <int2:state int2:type="spell" int2:value="Rejected"/>
    </int2:textHash>
    <int2:textHash int2:hashCode="v3jXqOAVqWKVSe" int2:id="u3VWIMAa">
      <int2:state int2:type="spell" int2:value="Rejected"/>
    </int2:textHash>
    <int2:textHash int2:hashCode="8+wXkcCV+G/AIk" int2:id="EuCImDla">
      <int2:state int2:type="spell" int2:value="Rejected"/>
    </int2:textHash>
    <int2:textHash int2:hashCode="xcgb3EeIup7nN2" int2:id="YrOllZgM">
      <int2:state int2:type="spell" int2:value="Rejected"/>
    </int2:textHash>
    <int2:textHash int2:hashCode="mLi/ykq16fQuTi" int2:id="s2urEVp2">
      <int2:state int2:type="AugLoop_Text_Critique" int2:value="Rejected"/>
    </int2:textHash>
    <int2:bookmark int2:bookmarkName="_Int_UakSeEIB" int2:invalidationBookmarkName="" int2:hashCode="QmFE9N7cHCFU8K" int2:id="QcJ5GVyA">
      <int2:state int2:type="gram" int2:value="Rejected"/>
    </int2:bookmark>
    <int2:bookmark int2:bookmarkName="_Int_YAqTahJ5" int2:invalidationBookmarkName="" int2:hashCode="fumBLn3OTpC2Zo" int2:id="9LBiBgAf">
      <int2:state int2:type="gram"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4">
    <w:nsid w:val="47f6e79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2DCC027D"/>
    <w:multiLevelType w:val="hybridMultilevel"/>
    <w:tmpl w:val="811EE988"/>
    <w:lvl w:ilvl="0" w:tplc="CAFA509E">
      <w:start w:val="1"/>
      <w:numFmt w:val="bullet"/>
      <w:lvlText w:val=""/>
      <w:lvlJc w:val="left"/>
      <w:pPr>
        <w:ind w:left="720" w:hanging="360"/>
      </w:pPr>
      <w:rPr>
        <w:rFonts w:hint="default" w:ascii="Symbol" w:hAnsi="Symbol"/>
      </w:rPr>
    </w:lvl>
    <w:lvl w:ilvl="1" w:tplc="40FA37BE">
      <w:start w:val="1"/>
      <w:numFmt w:val="bullet"/>
      <w:lvlText w:val="o"/>
      <w:lvlJc w:val="left"/>
      <w:pPr>
        <w:ind w:left="1440" w:hanging="360"/>
      </w:pPr>
      <w:rPr>
        <w:rFonts w:hint="default" w:ascii="Courier New" w:hAnsi="Courier New"/>
      </w:rPr>
    </w:lvl>
    <w:lvl w:ilvl="2" w:tplc="EC08737E">
      <w:start w:val="1"/>
      <w:numFmt w:val="bullet"/>
      <w:lvlText w:val=""/>
      <w:lvlJc w:val="left"/>
      <w:pPr>
        <w:ind w:left="2160" w:hanging="360"/>
      </w:pPr>
      <w:rPr>
        <w:rFonts w:hint="default" w:ascii="Wingdings" w:hAnsi="Wingdings"/>
      </w:rPr>
    </w:lvl>
    <w:lvl w:ilvl="3" w:tplc="168EA2EE">
      <w:start w:val="1"/>
      <w:numFmt w:val="bullet"/>
      <w:lvlText w:val=""/>
      <w:lvlJc w:val="left"/>
      <w:pPr>
        <w:ind w:left="2880" w:hanging="360"/>
      </w:pPr>
      <w:rPr>
        <w:rFonts w:hint="default" w:ascii="Symbol" w:hAnsi="Symbol"/>
      </w:rPr>
    </w:lvl>
    <w:lvl w:ilvl="4" w:tplc="3258D2B8">
      <w:start w:val="1"/>
      <w:numFmt w:val="bullet"/>
      <w:lvlText w:val="o"/>
      <w:lvlJc w:val="left"/>
      <w:pPr>
        <w:ind w:left="3600" w:hanging="360"/>
      </w:pPr>
      <w:rPr>
        <w:rFonts w:hint="default" w:ascii="Courier New" w:hAnsi="Courier New"/>
      </w:rPr>
    </w:lvl>
    <w:lvl w:ilvl="5" w:tplc="583EC27E">
      <w:start w:val="1"/>
      <w:numFmt w:val="bullet"/>
      <w:lvlText w:val=""/>
      <w:lvlJc w:val="left"/>
      <w:pPr>
        <w:ind w:left="4320" w:hanging="360"/>
      </w:pPr>
      <w:rPr>
        <w:rFonts w:hint="default" w:ascii="Wingdings" w:hAnsi="Wingdings"/>
      </w:rPr>
    </w:lvl>
    <w:lvl w:ilvl="6" w:tplc="D4D2FAF8">
      <w:start w:val="1"/>
      <w:numFmt w:val="bullet"/>
      <w:lvlText w:val=""/>
      <w:lvlJc w:val="left"/>
      <w:pPr>
        <w:ind w:left="5040" w:hanging="360"/>
      </w:pPr>
      <w:rPr>
        <w:rFonts w:hint="default" w:ascii="Symbol" w:hAnsi="Symbol"/>
      </w:rPr>
    </w:lvl>
    <w:lvl w:ilvl="7" w:tplc="8C6ED7D0">
      <w:start w:val="1"/>
      <w:numFmt w:val="bullet"/>
      <w:lvlText w:val="o"/>
      <w:lvlJc w:val="left"/>
      <w:pPr>
        <w:ind w:left="5760" w:hanging="360"/>
      </w:pPr>
      <w:rPr>
        <w:rFonts w:hint="default" w:ascii="Courier New" w:hAnsi="Courier New"/>
      </w:rPr>
    </w:lvl>
    <w:lvl w:ilvl="8" w:tplc="FFB20D82">
      <w:start w:val="1"/>
      <w:numFmt w:val="bullet"/>
      <w:lvlText w:val=""/>
      <w:lvlJc w:val="left"/>
      <w:pPr>
        <w:ind w:left="6480" w:hanging="360"/>
      </w:pPr>
      <w:rPr>
        <w:rFonts w:hint="default" w:ascii="Wingdings" w:hAnsi="Wingdings"/>
      </w:rPr>
    </w:lvl>
  </w:abstractNum>
  <w:abstractNum w:abstractNumId="1" w15:restartNumberingAfterBreak="0">
    <w:nsid w:val="31FFCB22"/>
    <w:multiLevelType w:val="hybridMultilevel"/>
    <w:tmpl w:val="6B10C2C2"/>
    <w:lvl w:ilvl="0" w:tplc="0BC8514A">
      <w:start w:val="1"/>
      <w:numFmt w:val="bullet"/>
      <w:lvlText w:val=""/>
      <w:lvlJc w:val="left"/>
      <w:pPr>
        <w:ind w:left="1080" w:hanging="360"/>
      </w:pPr>
      <w:rPr>
        <w:rFonts w:hint="default" w:ascii="Symbol" w:hAnsi="Symbol"/>
      </w:rPr>
    </w:lvl>
    <w:lvl w:ilvl="1" w:tplc="E8F6B9C6">
      <w:start w:val="1"/>
      <w:numFmt w:val="bullet"/>
      <w:lvlText w:val="o"/>
      <w:lvlJc w:val="left"/>
      <w:pPr>
        <w:ind w:left="1800" w:hanging="360"/>
      </w:pPr>
      <w:rPr>
        <w:rFonts w:hint="default" w:ascii="Courier New" w:hAnsi="Courier New"/>
      </w:rPr>
    </w:lvl>
    <w:lvl w:ilvl="2" w:tplc="7396DAAC">
      <w:start w:val="1"/>
      <w:numFmt w:val="bullet"/>
      <w:lvlText w:val=""/>
      <w:lvlJc w:val="left"/>
      <w:pPr>
        <w:ind w:left="2520" w:hanging="360"/>
      </w:pPr>
      <w:rPr>
        <w:rFonts w:hint="default" w:ascii="Wingdings" w:hAnsi="Wingdings"/>
      </w:rPr>
    </w:lvl>
    <w:lvl w:ilvl="3" w:tplc="8FD2D93A">
      <w:start w:val="1"/>
      <w:numFmt w:val="bullet"/>
      <w:lvlText w:val=""/>
      <w:lvlJc w:val="left"/>
      <w:pPr>
        <w:ind w:left="3240" w:hanging="360"/>
      </w:pPr>
      <w:rPr>
        <w:rFonts w:hint="default" w:ascii="Symbol" w:hAnsi="Symbol"/>
      </w:rPr>
    </w:lvl>
    <w:lvl w:ilvl="4" w:tplc="120A8BE2">
      <w:start w:val="1"/>
      <w:numFmt w:val="bullet"/>
      <w:lvlText w:val="o"/>
      <w:lvlJc w:val="left"/>
      <w:pPr>
        <w:ind w:left="3960" w:hanging="360"/>
      </w:pPr>
      <w:rPr>
        <w:rFonts w:hint="default" w:ascii="Courier New" w:hAnsi="Courier New"/>
      </w:rPr>
    </w:lvl>
    <w:lvl w:ilvl="5" w:tplc="E86CF3DE">
      <w:start w:val="1"/>
      <w:numFmt w:val="bullet"/>
      <w:lvlText w:val=""/>
      <w:lvlJc w:val="left"/>
      <w:pPr>
        <w:ind w:left="4680" w:hanging="360"/>
      </w:pPr>
      <w:rPr>
        <w:rFonts w:hint="default" w:ascii="Wingdings" w:hAnsi="Wingdings"/>
      </w:rPr>
    </w:lvl>
    <w:lvl w:ilvl="6" w:tplc="0E067460">
      <w:start w:val="1"/>
      <w:numFmt w:val="bullet"/>
      <w:lvlText w:val=""/>
      <w:lvlJc w:val="left"/>
      <w:pPr>
        <w:ind w:left="5400" w:hanging="360"/>
      </w:pPr>
      <w:rPr>
        <w:rFonts w:hint="default" w:ascii="Symbol" w:hAnsi="Symbol"/>
      </w:rPr>
    </w:lvl>
    <w:lvl w:ilvl="7" w:tplc="08782C6E">
      <w:start w:val="1"/>
      <w:numFmt w:val="bullet"/>
      <w:lvlText w:val="o"/>
      <w:lvlJc w:val="left"/>
      <w:pPr>
        <w:ind w:left="6120" w:hanging="360"/>
      </w:pPr>
      <w:rPr>
        <w:rFonts w:hint="default" w:ascii="Courier New" w:hAnsi="Courier New"/>
      </w:rPr>
    </w:lvl>
    <w:lvl w:ilvl="8" w:tplc="E968D7C2">
      <w:start w:val="1"/>
      <w:numFmt w:val="bullet"/>
      <w:lvlText w:val=""/>
      <w:lvlJc w:val="left"/>
      <w:pPr>
        <w:ind w:left="6840" w:hanging="360"/>
      </w:pPr>
      <w:rPr>
        <w:rFonts w:hint="default" w:ascii="Wingdings" w:hAnsi="Wingdings"/>
      </w:rPr>
    </w:lvl>
  </w:abstractNum>
  <w:abstractNum w:abstractNumId="2" w15:restartNumberingAfterBreak="0">
    <w:nsid w:val="3D0D6870"/>
    <w:multiLevelType w:val="hybridMultilevel"/>
    <w:tmpl w:val="A964CE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F376E8E"/>
    <w:multiLevelType w:val="hybridMultilevel"/>
    <w:tmpl w:val="8842EB9A"/>
    <w:lvl w:ilvl="0" w:tplc="0809000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5">
    <w:abstractNumId w:val="4"/>
  </w:num>
  <w:num w:numId="1" w16cid:durableId="1698896191">
    <w:abstractNumId w:val="1"/>
  </w:num>
  <w:num w:numId="2" w16cid:durableId="1688436466">
    <w:abstractNumId w:val="0"/>
  </w:num>
  <w:num w:numId="3" w16cid:durableId="1559779405">
    <w:abstractNumId w:val="2"/>
  </w:num>
  <w:num w:numId="4" w16cid:durableId="48451193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54B034A"/>
    <w:rsid w:val="0021D31A"/>
    <w:rsid w:val="002B452E"/>
    <w:rsid w:val="00325AA2"/>
    <w:rsid w:val="00407E9B"/>
    <w:rsid w:val="0055327C"/>
    <w:rsid w:val="00B918F0"/>
    <w:rsid w:val="00BA4F74"/>
    <w:rsid w:val="00D3BA28"/>
    <w:rsid w:val="00D550B1"/>
    <w:rsid w:val="00E1F57B"/>
    <w:rsid w:val="00ED6E4E"/>
    <w:rsid w:val="00F93D4C"/>
    <w:rsid w:val="0124E5DF"/>
    <w:rsid w:val="018E8E40"/>
    <w:rsid w:val="019DC5EB"/>
    <w:rsid w:val="01B78F34"/>
    <w:rsid w:val="01D88ECA"/>
    <w:rsid w:val="02346D34"/>
    <w:rsid w:val="028F83FF"/>
    <w:rsid w:val="028F9996"/>
    <w:rsid w:val="03072D8C"/>
    <w:rsid w:val="034A7438"/>
    <w:rsid w:val="03FCAD06"/>
    <w:rsid w:val="04B00AE4"/>
    <w:rsid w:val="05C819D2"/>
    <w:rsid w:val="06840F8F"/>
    <w:rsid w:val="0751C634"/>
    <w:rsid w:val="082F530A"/>
    <w:rsid w:val="08404087"/>
    <w:rsid w:val="085BEB7D"/>
    <w:rsid w:val="0863CBF2"/>
    <w:rsid w:val="088B99F1"/>
    <w:rsid w:val="092849F1"/>
    <w:rsid w:val="0961346E"/>
    <w:rsid w:val="09627109"/>
    <w:rsid w:val="096D275D"/>
    <w:rsid w:val="0A16607E"/>
    <w:rsid w:val="0A3E5969"/>
    <w:rsid w:val="0B59D955"/>
    <w:rsid w:val="0B67E4AF"/>
    <w:rsid w:val="0BB1F5B4"/>
    <w:rsid w:val="0BC623CD"/>
    <w:rsid w:val="0BC9D3AF"/>
    <w:rsid w:val="0C0CF172"/>
    <w:rsid w:val="0C2B145D"/>
    <w:rsid w:val="0D283A79"/>
    <w:rsid w:val="0D5C92A2"/>
    <w:rsid w:val="0E3D7FF8"/>
    <w:rsid w:val="0E97A860"/>
    <w:rsid w:val="0FDC445D"/>
    <w:rsid w:val="1010ABD1"/>
    <w:rsid w:val="108C781D"/>
    <w:rsid w:val="10EE821D"/>
    <w:rsid w:val="11016654"/>
    <w:rsid w:val="118534C1"/>
    <w:rsid w:val="119050F0"/>
    <w:rsid w:val="121929CB"/>
    <w:rsid w:val="121A6727"/>
    <w:rsid w:val="1249E3AF"/>
    <w:rsid w:val="1279B200"/>
    <w:rsid w:val="13253EDC"/>
    <w:rsid w:val="134D34B1"/>
    <w:rsid w:val="1351FD56"/>
    <w:rsid w:val="13BE4A3C"/>
    <w:rsid w:val="140CE37E"/>
    <w:rsid w:val="14C5C523"/>
    <w:rsid w:val="154E67D9"/>
    <w:rsid w:val="158D47A1"/>
    <w:rsid w:val="15AD27AD"/>
    <w:rsid w:val="15B3804F"/>
    <w:rsid w:val="161E0567"/>
    <w:rsid w:val="165CDF9E"/>
    <w:rsid w:val="16B44143"/>
    <w:rsid w:val="171A5F42"/>
    <w:rsid w:val="1750A291"/>
    <w:rsid w:val="17A656D7"/>
    <w:rsid w:val="17C6DCE8"/>
    <w:rsid w:val="18A05339"/>
    <w:rsid w:val="18B0D6E5"/>
    <w:rsid w:val="18BB2FB7"/>
    <w:rsid w:val="19948060"/>
    <w:rsid w:val="19C99DC8"/>
    <w:rsid w:val="19D41D6F"/>
    <w:rsid w:val="1A7C3A5D"/>
    <w:rsid w:val="1AA4900D"/>
    <w:rsid w:val="1AABFA03"/>
    <w:rsid w:val="1ABA2FCE"/>
    <w:rsid w:val="1AC2C942"/>
    <w:rsid w:val="1C14589F"/>
    <w:rsid w:val="1C3BF742"/>
    <w:rsid w:val="1D12F474"/>
    <w:rsid w:val="1D5B96DB"/>
    <w:rsid w:val="1DE8FC82"/>
    <w:rsid w:val="1DF09393"/>
    <w:rsid w:val="1E1207D8"/>
    <w:rsid w:val="1E66B89C"/>
    <w:rsid w:val="1E9C56C3"/>
    <w:rsid w:val="1F013442"/>
    <w:rsid w:val="1FCB20D2"/>
    <w:rsid w:val="204ED84C"/>
    <w:rsid w:val="208197E2"/>
    <w:rsid w:val="2108CA0D"/>
    <w:rsid w:val="21F5ED1A"/>
    <w:rsid w:val="2211FC27"/>
    <w:rsid w:val="22567F08"/>
    <w:rsid w:val="22CFC6AF"/>
    <w:rsid w:val="2331D449"/>
    <w:rsid w:val="23431722"/>
    <w:rsid w:val="2361A110"/>
    <w:rsid w:val="236BB7E3"/>
    <w:rsid w:val="23D88EEE"/>
    <w:rsid w:val="2435E334"/>
    <w:rsid w:val="245CF986"/>
    <w:rsid w:val="25629C2F"/>
    <w:rsid w:val="25CA02A6"/>
    <w:rsid w:val="25CE644C"/>
    <w:rsid w:val="25D1B395"/>
    <w:rsid w:val="25FC5551"/>
    <w:rsid w:val="26704E9E"/>
    <w:rsid w:val="2671CE5F"/>
    <w:rsid w:val="26764C74"/>
    <w:rsid w:val="26DC7CC3"/>
    <w:rsid w:val="26DE6CE6"/>
    <w:rsid w:val="270D7F9F"/>
    <w:rsid w:val="27174BFB"/>
    <w:rsid w:val="271832CE"/>
    <w:rsid w:val="271E1DBF"/>
    <w:rsid w:val="276D83F6"/>
    <w:rsid w:val="27705956"/>
    <w:rsid w:val="27AB670A"/>
    <w:rsid w:val="28259522"/>
    <w:rsid w:val="284AAF7C"/>
    <w:rsid w:val="2860A1DC"/>
    <w:rsid w:val="28A7C396"/>
    <w:rsid w:val="28E96E5F"/>
    <w:rsid w:val="29217690"/>
    <w:rsid w:val="29C41D00"/>
    <w:rsid w:val="29E0DEF6"/>
    <w:rsid w:val="2A78DA95"/>
    <w:rsid w:val="2AB53144"/>
    <w:rsid w:val="2AC5B107"/>
    <w:rsid w:val="2AFF4B04"/>
    <w:rsid w:val="2B308624"/>
    <w:rsid w:val="2B409CA4"/>
    <w:rsid w:val="2B4FE8B4"/>
    <w:rsid w:val="2B7CB846"/>
    <w:rsid w:val="2BFFE1C2"/>
    <w:rsid w:val="2C604F6E"/>
    <w:rsid w:val="2C73B134"/>
    <w:rsid w:val="2CC90E4F"/>
    <w:rsid w:val="2CF66B49"/>
    <w:rsid w:val="2E0E4BD8"/>
    <w:rsid w:val="2E5A4FB2"/>
    <w:rsid w:val="2EBBCAFA"/>
    <w:rsid w:val="2EBDE283"/>
    <w:rsid w:val="2F89462F"/>
    <w:rsid w:val="2FAB868E"/>
    <w:rsid w:val="2FBDA2BD"/>
    <w:rsid w:val="2FDCE899"/>
    <w:rsid w:val="3035464E"/>
    <w:rsid w:val="30E34D76"/>
    <w:rsid w:val="3117B2BE"/>
    <w:rsid w:val="31A1F2CA"/>
    <w:rsid w:val="3295726D"/>
    <w:rsid w:val="329C3804"/>
    <w:rsid w:val="32FD9CBA"/>
    <w:rsid w:val="33280AC7"/>
    <w:rsid w:val="332891DC"/>
    <w:rsid w:val="336FECFF"/>
    <w:rsid w:val="33D31192"/>
    <w:rsid w:val="33D6D812"/>
    <w:rsid w:val="34CF77E5"/>
    <w:rsid w:val="35A29073"/>
    <w:rsid w:val="36273A07"/>
    <w:rsid w:val="368048AB"/>
    <w:rsid w:val="369FA63C"/>
    <w:rsid w:val="37495D89"/>
    <w:rsid w:val="37A68DFB"/>
    <w:rsid w:val="37A7601B"/>
    <w:rsid w:val="3886EE44"/>
    <w:rsid w:val="38BC9D69"/>
    <w:rsid w:val="38C9CE9E"/>
    <w:rsid w:val="39A4B0C3"/>
    <w:rsid w:val="3A3AF307"/>
    <w:rsid w:val="3AA8FE85"/>
    <w:rsid w:val="3AC3EFFD"/>
    <w:rsid w:val="3AD291DA"/>
    <w:rsid w:val="3B4E88FD"/>
    <w:rsid w:val="3B52458A"/>
    <w:rsid w:val="3B663E56"/>
    <w:rsid w:val="3B88B87D"/>
    <w:rsid w:val="3C3D8B95"/>
    <w:rsid w:val="3C868BC7"/>
    <w:rsid w:val="3CD1042A"/>
    <w:rsid w:val="3DE87CD6"/>
    <w:rsid w:val="3DFAD6CA"/>
    <w:rsid w:val="3ED7C57A"/>
    <w:rsid w:val="3F40DCB4"/>
    <w:rsid w:val="3F81A7BF"/>
    <w:rsid w:val="3FF32132"/>
    <w:rsid w:val="40087937"/>
    <w:rsid w:val="405F5904"/>
    <w:rsid w:val="406C4C07"/>
    <w:rsid w:val="40AD1A0B"/>
    <w:rsid w:val="41CDB32A"/>
    <w:rsid w:val="41D423D3"/>
    <w:rsid w:val="43101094"/>
    <w:rsid w:val="43532C71"/>
    <w:rsid w:val="43D4FF1C"/>
    <w:rsid w:val="4408E1F2"/>
    <w:rsid w:val="44903AD1"/>
    <w:rsid w:val="44C6143D"/>
    <w:rsid w:val="44E7545F"/>
    <w:rsid w:val="44EDA66C"/>
    <w:rsid w:val="44F6A9D1"/>
    <w:rsid w:val="450BA48F"/>
    <w:rsid w:val="467E2E30"/>
    <w:rsid w:val="46BC29D0"/>
    <w:rsid w:val="477E62BF"/>
    <w:rsid w:val="47A17E79"/>
    <w:rsid w:val="47F5F18D"/>
    <w:rsid w:val="480208B3"/>
    <w:rsid w:val="48434551"/>
    <w:rsid w:val="48779B96"/>
    <w:rsid w:val="48B5B82A"/>
    <w:rsid w:val="49C7DEFE"/>
    <w:rsid w:val="49EA69CA"/>
    <w:rsid w:val="4A7B0EFE"/>
    <w:rsid w:val="4B8D77CD"/>
    <w:rsid w:val="4BA36965"/>
    <w:rsid w:val="4C827340"/>
    <w:rsid w:val="4CC46B27"/>
    <w:rsid w:val="4DA733FA"/>
    <w:rsid w:val="4DE30A21"/>
    <w:rsid w:val="4DE5F616"/>
    <w:rsid w:val="4E64F978"/>
    <w:rsid w:val="4EE65176"/>
    <w:rsid w:val="4F68A5FD"/>
    <w:rsid w:val="50011CE8"/>
    <w:rsid w:val="5041340D"/>
    <w:rsid w:val="50633D2B"/>
    <w:rsid w:val="5064E53B"/>
    <w:rsid w:val="506CF0C3"/>
    <w:rsid w:val="50C1C295"/>
    <w:rsid w:val="50F941EB"/>
    <w:rsid w:val="5133A4F8"/>
    <w:rsid w:val="51926582"/>
    <w:rsid w:val="51974C99"/>
    <w:rsid w:val="519C118E"/>
    <w:rsid w:val="51DA2043"/>
    <w:rsid w:val="52774EA5"/>
    <w:rsid w:val="52CC765E"/>
    <w:rsid w:val="532A1F8D"/>
    <w:rsid w:val="53601387"/>
    <w:rsid w:val="53636B5E"/>
    <w:rsid w:val="53AAAAD4"/>
    <w:rsid w:val="5521C859"/>
    <w:rsid w:val="5543C342"/>
    <w:rsid w:val="55A52252"/>
    <w:rsid w:val="55DD32BC"/>
    <w:rsid w:val="5635EA85"/>
    <w:rsid w:val="56BD98BA"/>
    <w:rsid w:val="56E4DC3E"/>
    <w:rsid w:val="5705FA55"/>
    <w:rsid w:val="58478D7C"/>
    <w:rsid w:val="584A2503"/>
    <w:rsid w:val="5859691B"/>
    <w:rsid w:val="585CFC01"/>
    <w:rsid w:val="58AF8446"/>
    <w:rsid w:val="58D61572"/>
    <w:rsid w:val="5938E88D"/>
    <w:rsid w:val="5998848B"/>
    <w:rsid w:val="59F5397C"/>
    <w:rsid w:val="5A057B2C"/>
    <w:rsid w:val="5A0EABCF"/>
    <w:rsid w:val="5A57E416"/>
    <w:rsid w:val="5A91D3AD"/>
    <w:rsid w:val="5ADF8605"/>
    <w:rsid w:val="5B667302"/>
    <w:rsid w:val="5B98F763"/>
    <w:rsid w:val="5BFFD2F1"/>
    <w:rsid w:val="5C2D2A7E"/>
    <w:rsid w:val="5C462D0D"/>
    <w:rsid w:val="5CECE45C"/>
    <w:rsid w:val="5D2CDA3E"/>
    <w:rsid w:val="5D9E2B17"/>
    <w:rsid w:val="5DA8D906"/>
    <w:rsid w:val="5E0FC03E"/>
    <w:rsid w:val="5E1C2E9A"/>
    <w:rsid w:val="5EA1737E"/>
    <w:rsid w:val="5EC8AA9F"/>
    <w:rsid w:val="5ECEFE3D"/>
    <w:rsid w:val="5ECF8228"/>
    <w:rsid w:val="5EDE9560"/>
    <w:rsid w:val="5EE9251F"/>
    <w:rsid w:val="5F251C23"/>
    <w:rsid w:val="5F81961B"/>
    <w:rsid w:val="5FE6274E"/>
    <w:rsid w:val="60573BE3"/>
    <w:rsid w:val="60647B00"/>
    <w:rsid w:val="606C6886"/>
    <w:rsid w:val="60AE0356"/>
    <w:rsid w:val="61662652"/>
    <w:rsid w:val="61B1F26B"/>
    <w:rsid w:val="6217203C"/>
    <w:rsid w:val="631907A3"/>
    <w:rsid w:val="6368AEFD"/>
    <w:rsid w:val="6370ECE8"/>
    <w:rsid w:val="638CC1BC"/>
    <w:rsid w:val="639C1BC2"/>
    <w:rsid w:val="63A40948"/>
    <w:rsid w:val="63CB5A00"/>
    <w:rsid w:val="642273C8"/>
    <w:rsid w:val="64567F5D"/>
    <w:rsid w:val="64B9BADD"/>
    <w:rsid w:val="653FD9A9"/>
    <w:rsid w:val="669D8684"/>
    <w:rsid w:val="66B8925A"/>
    <w:rsid w:val="66BB8B35"/>
    <w:rsid w:val="66D3BC84"/>
    <w:rsid w:val="66DBAA0A"/>
    <w:rsid w:val="674FBB8F"/>
    <w:rsid w:val="67CF6BC2"/>
    <w:rsid w:val="682AF14B"/>
    <w:rsid w:val="68616C7C"/>
    <w:rsid w:val="68777A6B"/>
    <w:rsid w:val="68846C01"/>
    <w:rsid w:val="68F1C8A7"/>
    <w:rsid w:val="68F2309C"/>
    <w:rsid w:val="69B3B53E"/>
    <w:rsid w:val="69F7D636"/>
    <w:rsid w:val="6B3FA625"/>
    <w:rsid w:val="6B8C8E7A"/>
    <w:rsid w:val="6BE3F64F"/>
    <w:rsid w:val="6C184935"/>
    <w:rsid w:val="6CA7ED95"/>
    <w:rsid w:val="6CB404EB"/>
    <w:rsid w:val="6D29CC66"/>
    <w:rsid w:val="6D42FE08"/>
    <w:rsid w:val="6E286309"/>
    <w:rsid w:val="6EA9E0A0"/>
    <w:rsid w:val="6EDECE69"/>
    <w:rsid w:val="6F42D553"/>
    <w:rsid w:val="70529161"/>
    <w:rsid w:val="705E8D02"/>
    <w:rsid w:val="706DB168"/>
    <w:rsid w:val="707A9ECA"/>
    <w:rsid w:val="7096A004"/>
    <w:rsid w:val="70BEAC15"/>
    <w:rsid w:val="70DCA099"/>
    <w:rsid w:val="70DE97F9"/>
    <w:rsid w:val="70FBBEC4"/>
    <w:rsid w:val="70FF8661"/>
    <w:rsid w:val="710204E3"/>
    <w:rsid w:val="71192CEB"/>
    <w:rsid w:val="71D489E4"/>
    <w:rsid w:val="71DF4614"/>
    <w:rsid w:val="721F3A40"/>
    <w:rsid w:val="727F8D28"/>
    <w:rsid w:val="73A6EBE8"/>
    <w:rsid w:val="748B8D3C"/>
    <w:rsid w:val="748D0DDF"/>
    <w:rsid w:val="75003754"/>
    <w:rsid w:val="751E3604"/>
    <w:rsid w:val="753D99E6"/>
    <w:rsid w:val="754B034A"/>
    <w:rsid w:val="75961AAB"/>
    <w:rsid w:val="75BF90B9"/>
    <w:rsid w:val="760BF90C"/>
    <w:rsid w:val="76263F50"/>
    <w:rsid w:val="77CC686A"/>
    <w:rsid w:val="78326A4D"/>
    <w:rsid w:val="785A6B9C"/>
    <w:rsid w:val="785C03E0"/>
    <w:rsid w:val="78F80266"/>
    <w:rsid w:val="78FCCB73"/>
    <w:rsid w:val="79434C19"/>
    <w:rsid w:val="79AF4A30"/>
    <w:rsid w:val="7A5380AA"/>
    <w:rsid w:val="7AF02923"/>
    <w:rsid w:val="7B04092C"/>
    <w:rsid w:val="7B40F254"/>
    <w:rsid w:val="7BD68B64"/>
    <w:rsid w:val="7C92E02B"/>
    <w:rsid w:val="7CAD6058"/>
    <w:rsid w:val="7CBC11E3"/>
    <w:rsid w:val="7D235960"/>
    <w:rsid w:val="7DD66136"/>
    <w:rsid w:val="7F482383"/>
    <w:rsid w:val="7FD5E663"/>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385603"/>
  <w15:chartTrackingRefBased/>
  <w15:docId w15:val="{D82A6454-E0BF-4CFE-8E21-B83CC84D8C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2">
    <w:name w:val="heading 2"/>
    <w:basedOn w:val="Normal"/>
    <w:next w:val="Normal"/>
    <w:uiPriority w:val="9"/>
    <w:unhideWhenUsed/>
    <w:qFormat/>
    <w:rsid w:val="43D4FF1C"/>
    <w:pPr>
      <w:keepNext/>
      <w:keepLines/>
      <w:spacing w:before="160" w:after="80"/>
      <w:outlineLvl w:val="1"/>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2F89462F"/>
    <w:pPr>
      <w:ind w:left="720"/>
      <w:contextualSpacing/>
    </w:pPr>
  </w:style>
  <w:style w:type="character" w:styleId="Hyperlink">
    <w:name w:val="Hyperlink"/>
    <w:basedOn w:val="DefaultParagraphFont"/>
    <w:uiPriority w:val="99"/>
    <w:unhideWhenUsed/>
    <w:rsid w:val="43D4FF1C"/>
    <w:rPr>
      <w:color w:val="0563C1"/>
      <w:u w:val="single"/>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table" w:styleId="TableGridLight">
    <w:name w:val="Grid Table Light"/>
    <w:basedOn w:val="TableNormal"/>
    <w:uiPriority w:val="40"/>
    <w:rsid w:val="00D550B1"/>
    <w:pPr>
      <w:spacing w:after="0" w:line="240" w:lineRule="auto"/>
    </w:pPr>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table" w:styleId="PlainTable1">
    <w:name w:val="Plain Table 1"/>
    <w:basedOn w:val="TableNormal"/>
    <w:uiPriority w:val="41"/>
    <w:rsid w:val="00D550B1"/>
    <w:pPr>
      <w:spacing w:after="0" w:line="240" w:lineRule="auto"/>
    </w:pPr>
    <w:tblPr>
      <w:tblStyleRowBandSize w:val="1"/>
      <w:tblStyleColBandSize w:val="1"/>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tblStylePr w:type="firstRow">
      <w:rPr>
        <w:b/>
        <w:bCs/>
      </w:rPr>
    </w:tblStylePr>
    <w:tblStylePr w:type="lastRow">
      <w:rPr>
        <w:b/>
        <w:bCs/>
      </w:rPr>
      <w:tblPr/>
      <w:tcPr>
        <w:tcBorders>
          <w:top w:val="double" w:color="BFBFBF" w:themeColor="background1" w:themeShade="BF" w:sz="4" w:space="0"/>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D550B1"/>
    <w:pPr>
      <w:spacing w:after="0" w:line="240" w:lineRule="auto"/>
    </w:pPr>
    <w:tblPr>
      <w:tblStyleRowBandSize w:val="1"/>
      <w:tblStyleColBandSize w:val="1"/>
      <w:tblBorders>
        <w:top w:val="single" w:color="7F7F7F" w:themeColor="text1" w:themeTint="80" w:sz="4" w:space="0"/>
        <w:bottom w:val="single" w:color="7F7F7F" w:themeColor="text1" w:themeTint="80" w:sz="4" w:space="0"/>
      </w:tblBorders>
    </w:tblPr>
    <w:tblStylePr w:type="firstRow">
      <w:rPr>
        <w:b/>
        <w:bCs/>
      </w:rPr>
      <w:tblPr/>
      <w:tcPr>
        <w:tcBorders>
          <w:bottom w:val="single" w:color="7F7F7F" w:themeColor="text1" w:themeTint="80" w:sz="4" w:space="0"/>
        </w:tcBorders>
      </w:tcPr>
    </w:tblStylePr>
    <w:tblStylePr w:type="lastRow">
      <w:rPr>
        <w:b/>
        <w:bCs/>
      </w:rPr>
      <w:tblPr/>
      <w:tcPr>
        <w:tcBorders>
          <w:top w:val="single" w:color="7F7F7F" w:themeColor="text1" w:themeTint="80" w:sz="4" w:space="0"/>
        </w:tcBorders>
      </w:tcPr>
    </w:tblStylePr>
    <w:tblStylePr w:type="firstCol">
      <w:rPr>
        <w:b/>
        <w:bCs/>
      </w:rPr>
    </w:tblStylePr>
    <w:tblStylePr w:type="lastCol">
      <w:rPr>
        <w:b/>
        <w:bCs/>
      </w:rPr>
    </w:tblStylePr>
    <w:tblStylePr w:type="band1Vert">
      <w:tblPr/>
      <w:tcPr>
        <w:tcBorders>
          <w:left w:val="single" w:color="7F7F7F" w:themeColor="text1" w:themeTint="80" w:sz="4" w:space="0"/>
          <w:right w:val="single" w:color="7F7F7F" w:themeColor="text1" w:themeTint="80" w:sz="4" w:space="0"/>
        </w:tcBorders>
      </w:tcPr>
    </w:tblStylePr>
    <w:tblStylePr w:type="band2Vert">
      <w:tblPr/>
      <w:tcPr>
        <w:tcBorders>
          <w:left w:val="single" w:color="7F7F7F" w:themeColor="text1" w:themeTint="80" w:sz="4" w:space="0"/>
          <w:right w:val="single" w:color="7F7F7F" w:themeColor="text1" w:themeTint="80" w:sz="4" w:space="0"/>
        </w:tcBorders>
      </w:tcPr>
    </w:tblStylePr>
    <w:tblStylePr w:type="band1Horz">
      <w:tblPr/>
      <w:tcPr>
        <w:tcBorders>
          <w:top w:val="single" w:color="7F7F7F" w:themeColor="text1" w:themeTint="80" w:sz="4" w:space="0"/>
          <w:bottom w:val="single" w:color="7F7F7F" w:themeColor="text1" w:themeTint="80" w:sz="4" w:space="0"/>
        </w:tcBorders>
      </w:tcPr>
    </w:tblStylePr>
  </w:style>
  <w:style w:type="table" w:styleId="PlainTable3">
    <w:name w:val="Plain Table 3"/>
    <w:basedOn w:val="TableNormal"/>
    <w:uiPriority w:val="43"/>
    <w:rsid w:val="00D550B1"/>
    <w:pPr>
      <w:spacing w:after="0" w:line="240" w:lineRule="auto"/>
    </w:pPr>
    <w:tblPr>
      <w:tblStyleRowBandSize w:val="1"/>
      <w:tblStyleColBandSize w:val="1"/>
    </w:tblPr>
    <w:tblStylePr w:type="firstRow">
      <w:rPr>
        <w:b/>
        <w:bCs/>
        <w:caps/>
      </w:rPr>
      <w:tblPr/>
      <w:tcPr>
        <w:tcBorders>
          <w:bottom w:val="single" w:color="7F7F7F" w:themeColor="text1" w:themeTint="80" w:sz="4" w:space="0"/>
        </w:tcBorders>
      </w:tcPr>
    </w:tblStylePr>
    <w:tblStylePr w:type="lastRow">
      <w:rPr>
        <w:b/>
        <w:bCs/>
        <w:caps/>
      </w:rPr>
      <w:tblPr/>
      <w:tcPr>
        <w:tcBorders>
          <w:top w:val="nil"/>
        </w:tcBorders>
      </w:tcPr>
    </w:tblStylePr>
    <w:tblStylePr w:type="firstCol">
      <w:rPr>
        <w:b/>
        <w:bCs/>
        <w:caps/>
      </w:rPr>
      <w:tblPr/>
      <w:tcPr>
        <w:tcBorders>
          <w:right w:val="single" w:color="7F7F7F" w:themeColor="text1" w:themeTint="80" w:sz="4" w:space="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D550B1"/>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D550B1"/>
    <w:pPr>
      <w:spacing w:after="0" w:line="240" w:lineRule="auto"/>
    </w:pPr>
    <w:tblPr>
      <w:tblStyleRowBandSize w:val="1"/>
      <w:tblStyleColBandSize w:val="1"/>
    </w:tblPr>
    <w:tblStylePr w:type="firstRow">
      <w:rPr>
        <w:rFonts w:asciiTheme="majorHAnsi" w:hAnsiTheme="majorHAnsi" w:eastAsiaTheme="majorEastAsia" w:cstheme="majorBidi"/>
        <w:i/>
        <w:iCs/>
        <w:sz w:val="26"/>
      </w:rPr>
      <w:tblPr/>
      <w:tcPr>
        <w:tcBorders>
          <w:bottom w:val="single" w:color="7F7F7F" w:themeColor="text1" w:themeTint="80"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7F7F7F" w:themeColor="text1" w:themeTint="80"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7F7F7F" w:themeColor="text1" w:themeTint="80"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7F7F7F" w:themeColor="text1" w:themeTint="80" w:sz="4" w:space="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NoSpacing">
    <w:name w:val="No Spacing"/>
    <w:link w:val="NoSpacingChar"/>
    <w:uiPriority w:val="1"/>
    <w:qFormat/>
    <w:rsid w:val="00D550B1"/>
    <w:pPr>
      <w:spacing w:after="0" w:line="240" w:lineRule="auto"/>
    </w:pPr>
    <w:rPr>
      <w:rFonts w:eastAsiaTheme="minorEastAsia"/>
    </w:rPr>
  </w:style>
  <w:style w:type="character" w:styleId="NoSpacingChar" w:customStyle="1">
    <w:name w:val="No Spacing Char"/>
    <w:basedOn w:val="DefaultParagraphFont"/>
    <w:link w:val="NoSpacing"/>
    <w:uiPriority w:val="1"/>
    <w:rsid w:val="00D550B1"/>
    <w:rPr>
      <w:rFonts w:eastAsiaTheme="minorEastAsia"/>
    </w:rPr>
  </w:style>
  <w:style w:type="character" w:styleId="UnresolvedMention">
    <w:name w:val="Unresolved Mention"/>
    <w:basedOn w:val="DefaultParagraphFont"/>
    <w:uiPriority w:val="99"/>
    <w:semiHidden/>
    <w:unhideWhenUsed/>
    <w:rsid w:val="00325AA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microsoft.com/office/2020/10/relationships/intelligence" Target="intelligence2.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numbering" Target="numbering.xml" Id="rId4" /><Relationship Type="http://schemas.openxmlformats.org/officeDocument/2006/relationships/fontTable" Target="fontTable.xml" Id="rId14" /><Relationship Type="http://schemas.openxmlformats.org/officeDocument/2006/relationships/hyperlink" Target="https://doi.org/10.1191/1478088706qp063oa" TargetMode="External" Id="R9e76970e74c645a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C692D30F6D5C64CABDFF0BDF08A3501" ma:contentTypeVersion="6" ma:contentTypeDescription="Create a new document." ma:contentTypeScope="" ma:versionID="63c4ed9d1c96b4547591d2a99834e5a1">
  <xsd:schema xmlns:xsd="http://www.w3.org/2001/XMLSchema" xmlns:xs="http://www.w3.org/2001/XMLSchema" xmlns:p="http://schemas.microsoft.com/office/2006/metadata/properties" xmlns:ns2="f4770729-68ee-4e1e-a757-d7b8c23c3985" xmlns:ns3="c9669272-fe8d-41e9-a030-a18459a136e8" targetNamespace="http://schemas.microsoft.com/office/2006/metadata/properties" ma:root="true" ma:fieldsID="ec9d2419d8112ea65b4d72f9d1bf8adf" ns2:_="" ns3:_="">
    <xsd:import namespace="f4770729-68ee-4e1e-a757-d7b8c23c3985"/>
    <xsd:import namespace="c9669272-fe8d-41e9-a030-a18459a136e8"/>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4770729-68ee-4e1e-a757-d7b8c23c39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9669272-fe8d-41e9-a030-a18459a136e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D50998A-88CC-4C21-B5B1-46820AB2CA95}">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C5993A59-C4A9-4F31-9F5A-3655DA6CC9F7}">
  <ds:schemaRefs>
    <ds:schemaRef ds:uri="http://schemas.microsoft.com/sharepoint/v3/contenttype/forms"/>
  </ds:schemaRefs>
</ds:datastoreItem>
</file>

<file path=customXml/itemProps3.xml><?xml version="1.0" encoding="utf-8"?>
<ds:datastoreItem xmlns:ds="http://schemas.openxmlformats.org/officeDocument/2006/customXml" ds:itemID="{36ACB9E7-2C60-483D-A786-5C13886C263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4770729-68ee-4e1e-a757-d7b8c23c3985"/>
    <ds:schemaRef ds:uri="c9669272-fe8d-41e9-a030-a18459a136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Alison Cooke</dc:creator>
  <keywords/>
  <dc:description/>
  <lastModifiedBy>Karen Winstone</lastModifiedBy>
  <revision>6</revision>
  <dcterms:created xsi:type="dcterms:W3CDTF">2026-07-10T14:21:00.0000000Z</dcterms:created>
  <dcterms:modified xsi:type="dcterms:W3CDTF">2026-07-15T09:06:13.3439178Z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0x0101008C692D30F6D5C64CABDFF0BDF08A3501</vt:lpwstr>
  </property>
  <property fmtid="{D5CDD505-2E9C-101B-9397-08002B2CF9AE}" pid="3" name="GrammarlyDocumentId">
    <vt:lpwstr>bdaa4054-e99a-42f2-8bae-21865b565752</vt:lpwstr>
  </property>
</Properties>
</file>