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8184EE" w14:textId="71013BDD" w:rsidR="44B60DB8" w:rsidRPr="00D90DF1" w:rsidRDefault="008C3CA1" w:rsidP="00D90DF1">
      <w:pPr>
        <w:pStyle w:val="Heading1"/>
        <w:jc w:val="center"/>
        <w:rPr>
          <w:rFonts w:asciiTheme="minorHAnsi" w:eastAsiaTheme="minorHAnsi" w:hAnsiTheme="minorHAnsi" w:cstheme="minorBidi"/>
          <w:color w:val="auto"/>
          <w:sz w:val="56"/>
          <w:szCs w:val="56"/>
        </w:rPr>
      </w:pPr>
      <w:r w:rsidRPr="00D90DF1">
        <w:rPr>
          <w:rFonts w:asciiTheme="minorHAnsi" w:eastAsiaTheme="minorHAnsi" w:hAnsiTheme="minorHAnsi" w:cstheme="minorBidi"/>
          <w:color w:val="auto"/>
          <w:sz w:val="56"/>
          <w:szCs w:val="56"/>
        </w:rPr>
        <w:t>Report</w:t>
      </w:r>
    </w:p>
    <w:p w14:paraId="169CD224" w14:textId="348A0C5A" w:rsidR="008C3CA1" w:rsidRPr="00D90DF1" w:rsidRDefault="008C3CA1" w:rsidP="00D90DF1">
      <w:pPr>
        <w:jc w:val="center"/>
        <w:rPr>
          <w:sz w:val="56"/>
          <w:szCs w:val="56"/>
        </w:rPr>
      </w:pPr>
      <w:r w:rsidRPr="00D90DF1">
        <w:rPr>
          <w:sz w:val="56"/>
          <w:szCs w:val="56"/>
        </w:rPr>
        <w:t>Developing Strategic Ca</w:t>
      </w:r>
      <w:r w:rsidR="00D90DF1" w:rsidRPr="00D90DF1">
        <w:rPr>
          <w:sz w:val="56"/>
          <w:szCs w:val="56"/>
        </w:rPr>
        <w:t>pability</w:t>
      </w:r>
    </w:p>
    <w:p w14:paraId="2F9060A4" w14:textId="77777777" w:rsidR="00D90DF1" w:rsidRDefault="00D90DF1" w:rsidP="008C3CA1"/>
    <w:p w14:paraId="11561F21" w14:textId="77777777" w:rsidR="00D90DF1" w:rsidRDefault="00D90DF1" w:rsidP="008C3CA1"/>
    <w:p w14:paraId="629DC25B" w14:textId="77777777" w:rsidR="00D90DF1" w:rsidRDefault="00D90DF1" w:rsidP="008C3CA1"/>
    <w:p w14:paraId="09922199" w14:textId="77777777" w:rsidR="00D90DF1" w:rsidRDefault="00D90DF1" w:rsidP="008C3CA1"/>
    <w:p w14:paraId="446FE919" w14:textId="77777777" w:rsidR="00D90DF1" w:rsidRDefault="00D90DF1" w:rsidP="008C3CA1"/>
    <w:p w14:paraId="18347DB6" w14:textId="77777777" w:rsidR="00D90DF1" w:rsidRDefault="00D90DF1" w:rsidP="008C3CA1"/>
    <w:p w14:paraId="6E5FF8E5" w14:textId="77777777" w:rsidR="00D90DF1" w:rsidRDefault="00D90DF1" w:rsidP="008C3CA1"/>
    <w:p w14:paraId="094BE154" w14:textId="77777777" w:rsidR="00D90DF1" w:rsidRDefault="00D90DF1" w:rsidP="008C3CA1"/>
    <w:p w14:paraId="65F743C9" w14:textId="77777777" w:rsidR="00D90DF1" w:rsidRDefault="00D90DF1" w:rsidP="008C3CA1"/>
    <w:p w14:paraId="7853419E" w14:textId="77777777" w:rsidR="00D90DF1" w:rsidRDefault="00D90DF1" w:rsidP="008C3CA1"/>
    <w:p w14:paraId="5885876F" w14:textId="77777777" w:rsidR="00D90DF1" w:rsidRDefault="00D90DF1" w:rsidP="008C3CA1"/>
    <w:p w14:paraId="23710AE8" w14:textId="77777777" w:rsidR="00D90DF1" w:rsidRDefault="00D90DF1" w:rsidP="008C3CA1"/>
    <w:p w14:paraId="47D87AC2" w14:textId="77777777" w:rsidR="00D90DF1" w:rsidRDefault="00D90DF1" w:rsidP="008C3CA1"/>
    <w:p w14:paraId="41C46633" w14:textId="77777777" w:rsidR="00D90DF1" w:rsidRDefault="00D90DF1" w:rsidP="008C3CA1"/>
    <w:p w14:paraId="58415E4E" w14:textId="2DF39025" w:rsidR="008C3CA1" w:rsidRDefault="008C3CA1" w:rsidP="008C3CA1">
      <w:r>
        <w:t xml:space="preserve">Aleksandra Szczecinska </w:t>
      </w:r>
    </w:p>
    <w:p w14:paraId="319B6015" w14:textId="6FB6D5AF" w:rsidR="009A2348" w:rsidRDefault="009A2348" w:rsidP="008C3CA1">
      <w:r>
        <w:t>2231076</w:t>
      </w:r>
    </w:p>
    <w:p w14:paraId="7D75BF58" w14:textId="2B6CB42C" w:rsidR="008C3CA1" w:rsidRDefault="008C3CA1" w:rsidP="008C3CA1">
      <w:r>
        <w:t>BMSW6011</w:t>
      </w:r>
    </w:p>
    <w:p w14:paraId="1F784C18" w14:textId="29FE5794" w:rsidR="009A2348" w:rsidRDefault="009A2348" w:rsidP="008C3CA1">
      <w:r>
        <w:t xml:space="preserve">Module Lead: </w:t>
      </w:r>
      <w:r w:rsidR="008C3CA1">
        <w:t xml:space="preserve">Scott James </w:t>
      </w:r>
    </w:p>
    <w:p w14:paraId="0FFFD4E9" w14:textId="5CD8E12D" w:rsidR="008C3CA1" w:rsidRDefault="008C3CA1" w:rsidP="008C3CA1">
      <w:r>
        <w:t xml:space="preserve">Word </w:t>
      </w:r>
      <w:r w:rsidR="00D90DF1">
        <w:t>Count:</w:t>
      </w:r>
      <w:r w:rsidR="00445809">
        <w:t xml:space="preserve"> 43</w:t>
      </w:r>
      <w:r w:rsidR="00C51FFF">
        <w:t>70</w:t>
      </w:r>
    </w:p>
    <w:p w14:paraId="5D025E7D" w14:textId="77777777" w:rsidR="009A2348" w:rsidRDefault="009A2348" w:rsidP="009A2348"/>
    <w:p w14:paraId="125BE4F8" w14:textId="77777777" w:rsidR="009A2348" w:rsidRDefault="009A2348" w:rsidP="009A2348"/>
    <w:p w14:paraId="445953BD" w14:textId="77777777" w:rsidR="009A2348" w:rsidRDefault="009A2348" w:rsidP="009A2348"/>
    <w:p w14:paraId="21B24865" w14:textId="77777777" w:rsidR="009A2348" w:rsidRDefault="009A2348" w:rsidP="009A2348"/>
    <w:p w14:paraId="5F09861E" w14:textId="1B865CA5" w:rsidR="009A2348" w:rsidRDefault="009A2348" w:rsidP="009A2348">
      <w:r>
        <w:lastRenderedPageBreak/>
        <w:t xml:space="preserve"> I confirm that this is entirely my own work and no one else has assisted me or written the assignment for me. </w:t>
      </w:r>
    </w:p>
    <w:p w14:paraId="0B6B0FBB" w14:textId="0C9CE123" w:rsidR="009A2348" w:rsidRDefault="009A2348" w:rsidP="009A2348">
      <w:r>
        <w:t xml:space="preserve"> I confirm that I have not presented any AI generated written materials as my own work. </w:t>
      </w:r>
    </w:p>
    <w:p w14:paraId="254742D1" w14:textId="7975C238" w:rsidR="009A2348" w:rsidRDefault="009A2348" w:rsidP="009A2348">
      <w:r>
        <w:t xml:space="preserve"> I confirm that I have copies of my drafts, notes, and other resources I used, which I may be asked to provide in evidence.</w:t>
      </w:r>
    </w:p>
    <w:p w14:paraId="1E72582F" w14:textId="77777777" w:rsidR="008C3CA1" w:rsidRDefault="008C3CA1" w:rsidP="008C3CA1"/>
    <w:sdt>
      <w:sdtPr>
        <w:id w:val="-402682996"/>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3439CA72" w14:textId="1CB201EA" w:rsidR="008C3CA1" w:rsidRPr="008C3CA1" w:rsidRDefault="008C3CA1">
          <w:pPr>
            <w:pStyle w:val="TOCHeading"/>
            <w:rPr>
              <w:color w:val="000000" w:themeColor="text1"/>
            </w:rPr>
          </w:pPr>
          <w:r w:rsidRPr="008C3CA1">
            <w:rPr>
              <w:color w:val="000000" w:themeColor="text1"/>
            </w:rPr>
            <w:t>Table of Contents</w:t>
          </w:r>
        </w:p>
        <w:p w14:paraId="10D24310" w14:textId="7BC998EE" w:rsidR="008C3CA1" w:rsidRDefault="008C3CA1">
          <w:pPr>
            <w:pStyle w:val="TOC1"/>
            <w:tabs>
              <w:tab w:val="left" w:pos="480"/>
              <w:tab w:val="right" w:leader="dot" w:pos="9016"/>
            </w:tabs>
            <w:rPr>
              <w:rFonts w:eastAsiaTheme="minorEastAsia"/>
              <w:noProof/>
              <w:lang w:eastAsia="en-GB"/>
            </w:rPr>
          </w:pPr>
          <w:r>
            <w:rPr>
              <w:b w:val="0"/>
              <w:bCs w:val="0"/>
            </w:rPr>
            <w:fldChar w:fldCharType="begin"/>
          </w:r>
          <w:r>
            <w:instrText xml:space="preserve"> TOC \o "1-3" \h \z \u </w:instrText>
          </w:r>
          <w:r>
            <w:rPr>
              <w:b w:val="0"/>
              <w:bCs w:val="0"/>
            </w:rPr>
            <w:fldChar w:fldCharType="separate"/>
          </w:r>
          <w:hyperlink w:anchor="_Toc224748786" w:history="1">
            <w:r w:rsidRPr="00D7758C">
              <w:rPr>
                <w:rStyle w:val="Hyperlink"/>
                <w:noProof/>
              </w:rPr>
              <w:t>1.</w:t>
            </w:r>
            <w:r>
              <w:rPr>
                <w:rFonts w:eastAsiaTheme="minorEastAsia"/>
                <w:noProof/>
                <w:lang w:eastAsia="en-GB"/>
              </w:rPr>
              <w:tab/>
            </w:r>
            <w:r w:rsidRPr="00D7758C">
              <w:rPr>
                <w:rStyle w:val="Hyperlink"/>
                <w:noProof/>
              </w:rPr>
              <w:t>Introduction</w:t>
            </w:r>
            <w:r>
              <w:rPr>
                <w:noProof/>
                <w:webHidden/>
              </w:rPr>
              <w:tab/>
            </w:r>
            <w:r>
              <w:rPr>
                <w:noProof/>
                <w:webHidden/>
              </w:rPr>
              <w:fldChar w:fldCharType="begin"/>
            </w:r>
            <w:r>
              <w:rPr>
                <w:noProof/>
                <w:webHidden/>
              </w:rPr>
              <w:instrText xml:space="preserve"> PAGEREF _Toc224748786 \h </w:instrText>
            </w:r>
            <w:r>
              <w:rPr>
                <w:noProof/>
                <w:webHidden/>
              </w:rPr>
            </w:r>
            <w:r>
              <w:rPr>
                <w:noProof/>
                <w:webHidden/>
              </w:rPr>
              <w:fldChar w:fldCharType="separate"/>
            </w:r>
            <w:r w:rsidR="00611C1B">
              <w:rPr>
                <w:noProof/>
                <w:webHidden/>
              </w:rPr>
              <w:t>3</w:t>
            </w:r>
            <w:r>
              <w:rPr>
                <w:noProof/>
                <w:webHidden/>
              </w:rPr>
              <w:fldChar w:fldCharType="end"/>
            </w:r>
          </w:hyperlink>
        </w:p>
        <w:p w14:paraId="6D638005" w14:textId="2498D99C" w:rsidR="008C3CA1" w:rsidRDefault="008C3CA1">
          <w:pPr>
            <w:pStyle w:val="TOC1"/>
            <w:tabs>
              <w:tab w:val="right" w:leader="dot" w:pos="9016"/>
            </w:tabs>
            <w:rPr>
              <w:rFonts w:eastAsiaTheme="minorEastAsia"/>
              <w:noProof/>
              <w:lang w:eastAsia="en-GB"/>
            </w:rPr>
          </w:pPr>
          <w:hyperlink w:anchor="_Toc224748787" w:history="1">
            <w:r w:rsidRPr="00D7758C">
              <w:rPr>
                <w:rStyle w:val="Hyperlink"/>
                <w:noProof/>
              </w:rPr>
              <w:t>2. Organisational Overview</w:t>
            </w:r>
            <w:r>
              <w:rPr>
                <w:noProof/>
                <w:webHidden/>
              </w:rPr>
              <w:tab/>
            </w:r>
            <w:r>
              <w:rPr>
                <w:noProof/>
                <w:webHidden/>
              </w:rPr>
              <w:fldChar w:fldCharType="begin"/>
            </w:r>
            <w:r>
              <w:rPr>
                <w:noProof/>
                <w:webHidden/>
              </w:rPr>
              <w:instrText xml:space="preserve"> PAGEREF _Toc224748787 \h </w:instrText>
            </w:r>
            <w:r>
              <w:rPr>
                <w:noProof/>
                <w:webHidden/>
              </w:rPr>
            </w:r>
            <w:r>
              <w:rPr>
                <w:noProof/>
                <w:webHidden/>
              </w:rPr>
              <w:fldChar w:fldCharType="separate"/>
            </w:r>
            <w:r w:rsidR="00611C1B">
              <w:rPr>
                <w:noProof/>
                <w:webHidden/>
              </w:rPr>
              <w:t>3</w:t>
            </w:r>
            <w:r>
              <w:rPr>
                <w:noProof/>
                <w:webHidden/>
              </w:rPr>
              <w:fldChar w:fldCharType="end"/>
            </w:r>
          </w:hyperlink>
        </w:p>
        <w:p w14:paraId="1D333D66" w14:textId="4F069556" w:rsidR="008C3CA1" w:rsidRDefault="008C3CA1">
          <w:pPr>
            <w:pStyle w:val="TOC1"/>
            <w:tabs>
              <w:tab w:val="right" w:leader="dot" w:pos="9016"/>
            </w:tabs>
            <w:rPr>
              <w:rFonts w:eastAsiaTheme="minorEastAsia"/>
              <w:noProof/>
              <w:lang w:eastAsia="en-GB"/>
            </w:rPr>
          </w:pPr>
          <w:hyperlink w:anchor="_Toc224748788" w:history="1">
            <w:r w:rsidRPr="00D7758C">
              <w:rPr>
                <w:rStyle w:val="Hyperlink"/>
                <w:noProof/>
              </w:rPr>
              <w:t>3. External Environment and Stakeholders</w:t>
            </w:r>
            <w:r>
              <w:rPr>
                <w:noProof/>
                <w:webHidden/>
              </w:rPr>
              <w:tab/>
            </w:r>
            <w:r>
              <w:rPr>
                <w:noProof/>
                <w:webHidden/>
              </w:rPr>
              <w:fldChar w:fldCharType="begin"/>
            </w:r>
            <w:r>
              <w:rPr>
                <w:noProof/>
                <w:webHidden/>
              </w:rPr>
              <w:instrText xml:space="preserve"> PAGEREF _Toc224748788 \h </w:instrText>
            </w:r>
            <w:r>
              <w:rPr>
                <w:noProof/>
                <w:webHidden/>
              </w:rPr>
            </w:r>
            <w:r>
              <w:rPr>
                <w:noProof/>
                <w:webHidden/>
              </w:rPr>
              <w:fldChar w:fldCharType="separate"/>
            </w:r>
            <w:r w:rsidR="00611C1B">
              <w:rPr>
                <w:noProof/>
                <w:webHidden/>
              </w:rPr>
              <w:t>5</w:t>
            </w:r>
            <w:r>
              <w:rPr>
                <w:noProof/>
                <w:webHidden/>
              </w:rPr>
              <w:fldChar w:fldCharType="end"/>
            </w:r>
          </w:hyperlink>
        </w:p>
        <w:p w14:paraId="51C73604" w14:textId="5927D75A" w:rsidR="008C3CA1" w:rsidRDefault="008C3CA1">
          <w:pPr>
            <w:pStyle w:val="TOC1"/>
            <w:tabs>
              <w:tab w:val="right" w:leader="dot" w:pos="9016"/>
            </w:tabs>
            <w:rPr>
              <w:rFonts w:eastAsiaTheme="minorEastAsia"/>
              <w:noProof/>
              <w:lang w:eastAsia="en-GB"/>
            </w:rPr>
          </w:pPr>
          <w:hyperlink w:anchor="_Toc224748789" w:history="1">
            <w:r w:rsidRPr="00D7758C">
              <w:rPr>
                <w:rStyle w:val="Hyperlink"/>
                <w:noProof/>
              </w:rPr>
              <w:t>3.1 Steep</w:t>
            </w:r>
            <w:r>
              <w:rPr>
                <w:noProof/>
                <w:webHidden/>
              </w:rPr>
              <w:tab/>
            </w:r>
            <w:r>
              <w:rPr>
                <w:noProof/>
                <w:webHidden/>
              </w:rPr>
              <w:fldChar w:fldCharType="begin"/>
            </w:r>
            <w:r>
              <w:rPr>
                <w:noProof/>
                <w:webHidden/>
              </w:rPr>
              <w:instrText xml:space="preserve"> PAGEREF _Toc224748789 \h </w:instrText>
            </w:r>
            <w:r>
              <w:rPr>
                <w:noProof/>
                <w:webHidden/>
              </w:rPr>
            </w:r>
            <w:r>
              <w:rPr>
                <w:noProof/>
                <w:webHidden/>
              </w:rPr>
              <w:fldChar w:fldCharType="separate"/>
            </w:r>
            <w:r w:rsidR="00611C1B">
              <w:rPr>
                <w:noProof/>
                <w:webHidden/>
              </w:rPr>
              <w:t>5</w:t>
            </w:r>
            <w:r>
              <w:rPr>
                <w:noProof/>
                <w:webHidden/>
              </w:rPr>
              <w:fldChar w:fldCharType="end"/>
            </w:r>
          </w:hyperlink>
        </w:p>
        <w:p w14:paraId="627007A0" w14:textId="2FBE6357" w:rsidR="008C3CA1" w:rsidRDefault="008C3CA1">
          <w:pPr>
            <w:pStyle w:val="TOC1"/>
            <w:tabs>
              <w:tab w:val="right" w:leader="dot" w:pos="9016"/>
            </w:tabs>
            <w:rPr>
              <w:rFonts w:eastAsiaTheme="minorEastAsia"/>
              <w:noProof/>
              <w:lang w:eastAsia="en-GB"/>
            </w:rPr>
          </w:pPr>
          <w:hyperlink w:anchor="_Toc224748790" w:history="1">
            <w:r w:rsidRPr="00D7758C">
              <w:rPr>
                <w:rStyle w:val="Hyperlink"/>
                <w:noProof/>
              </w:rPr>
              <w:t>3.2 Porter Five Forces</w:t>
            </w:r>
            <w:r>
              <w:rPr>
                <w:noProof/>
                <w:webHidden/>
              </w:rPr>
              <w:tab/>
            </w:r>
            <w:r>
              <w:rPr>
                <w:noProof/>
                <w:webHidden/>
              </w:rPr>
              <w:fldChar w:fldCharType="begin"/>
            </w:r>
            <w:r>
              <w:rPr>
                <w:noProof/>
                <w:webHidden/>
              </w:rPr>
              <w:instrText xml:space="preserve"> PAGEREF _Toc224748790 \h </w:instrText>
            </w:r>
            <w:r>
              <w:rPr>
                <w:noProof/>
                <w:webHidden/>
              </w:rPr>
            </w:r>
            <w:r>
              <w:rPr>
                <w:noProof/>
                <w:webHidden/>
              </w:rPr>
              <w:fldChar w:fldCharType="separate"/>
            </w:r>
            <w:r w:rsidR="00611C1B">
              <w:rPr>
                <w:noProof/>
                <w:webHidden/>
              </w:rPr>
              <w:t>6</w:t>
            </w:r>
            <w:r>
              <w:rPr>
                <w:noProof/>
                <w:webHidden/>
              </w:rPr>
              <w:fldChar w:fldCharType="end"/>
            </w:r>
          </w:hyperlink>
        </w:p>
        <w:p w14:paraId="7EE16C99" w14:textId="30660025" w:rsidR="008C3CA1" w:rsidRDefault="008C3CA1">
          <w:pPr>
            <w:pStyle w:val="TOC1"/>
            <w:tabs>
              <w:tab w:val="right" w:leader="dot" w:pos="9016"/>
            </w:tabs>
            <w:rPr>
              <w:rFonts w:eastAsiaTheme="minorEastAsia"/>
              <w:noProof/>
              <w:lang w:eastAsia="en-GB"/>
            </w:rPr>
          </w:pPr>
          <w:hyperlink w:anchor="_Toc224748791" w:history="1">
            <w:r w:rsidRPr="00D7758C">
              <w:rPr>
                <w:rStyle w:val="Hyperlink"/>
                <w:noProof/>
              </w:rPr>
              <w:t>3.3 Stakeholder Analysis</w:t>
            </w:r>
            <w:r>
              <w:rPr>
                <w:noProof/>
                <w:webHidden/>
              </w:rPr>
              <w:tab/>
            </w:r>
            <w:r>
              <w:rPr>
                <w:noProof/>
                <w:webHidden/>
              </w:rPr>
              <w:fldChar w:fldCharType="begin"/>
            </w:r>
            <w:r>
              <w:rPr>
                <w:noProof/>
                <w:webHidden/>
              </w:rPr>
              <w:instrText xml:space="preserve"> PAGEREF _Toc224748791 \h </w:instrText>
            </w:r>
            <w:r>
              <w:rPr>
                <w:noProof/>
                <w:webHidden/>
              </w:rPr>
            </w:r>
            <w:r>
              <w:rPr>
                <w:noProof/>
                <w:webHidden/>
              </w:rPr>
              <w:fldChar w:fldCharType="separate"/>
            </w:r>
            <w:r w:rsidR="00611C1B">
              <w:rPr>
                <w:noProof/>
                <w:webHidden/>
              </w:rPr>
              <w:t>7</w:t>
            </w:r>
            <w:r>
              <w:rPr>
                <w:noProof/>
                <w:webHidden/>
              </w:rPr>
              <w:fldChar w:fldCharType="end"/>
            </w:r>
          </w:hyperlink>
        </w:p>
        <w:p w14:paraId="291023DE" w14:textId="7692F297" w:rsidR="008C3CA1" w:rsidRDefault="008C3CA1">
          <w:pPr>
            <w:pStyle w:val="TOC1"/>
            <w:tabs>
              <w:tab w:val="right" w:leader="dot" w:pos="9016"/>
            </w:tabs>
            <w:rPr>
              <w:rFonts w:eastAsiaTheme="minorEastAsia"/>
              <w:noProof/>
              <w:lang w:eastAsia="en-GB"/>
            </w:rPr>
          </w:pPr>
          <w:hyperlink w:anchor="_Toc224748792" w:history="1">
            <w:r w:rsidRPr="00D7758C">
              <w:rPr>
                <w:rStyle w:val="Hyperlink"/>
                <w:noProof/>
              </w:rPr>
              <w:t>4. Internal Strategic Capability</w:t>
            </w:r>
            <w:r>
              <w:rPr>
                <w:noProof/>
                <w:webHidden/>
              </w:rPr>
              <w:tab/>
            </w:r>
            <w:r>
              <w:rPr>
                <w:noProof/>
                <w:webHidden/>
              </w:rPr>
              <w:fldChar w:fldCharType="begin"/>
            </w:r>
            <w:r>
              <w:rPr>
                <w:noProof/>
                <w:webHidden/>
              </w:rPr>
              <w:instrText xml:space="preserve"> PAGEREF _Toc224748792 \h </w:instrText>
            </w:r>
            <w:r>
              <w:rPr>
                <w:noProof/>
                <w:webHidden/>
              </w:rPr>
            </w:r>
            <w:r>
              <w:rPr>
                <w:noProof/>
                <w:webHidden/>
              </w:rPr>
              <w:fldChar w:fldCharType="separate"/>
            </w:r>
            <w:r w:rsidR="00611C1B">
              <w:rPr>
                <w:noProof/>
                <w:webHidden/>
              </w:rPr>
              <w:t>8</w:t>
            </w:r>
            <w:r>
              <w:rPr>
                <w:noProof/>
                <w:webHidden/>
              </w:rPr>
              <w:fldChar w:fldCharType="end"/>
            </w:r>
          </w:hyperlink>
        </w:p>
        <w:p w14:paraId="6B3CBFE8" w14:textId="613BFADF" w:rsidR="008C3CA1" w:rsidRDefault="008C3CA1">
          <w:pPr>
            <w:pStyle w:val="TOC1"/>
            <w:tabs>
              <w:tab w:val="right" w:leader="dot" w:pos="9016"/>
            </w:tabs>
            <w:rPr>
              <w:rFonts w:eastAsiaTheme="minorEastAsia"/>
              <w:noProof/>
              <w:lang w:eastAsia="en-GB"/>
            </w:rPr>
          </w:pPr>
          <w:hyperlink w:anchor="_Toc224748793" w:history="1">
            <w:r w:rsidRPr="00D7758C">
              <w:rPr>
                <w:rStyle w:val="Hyperlink"/>
                <w:noProof/>
              </w:rPr>
              <w:t>5. Strategy and Competitive Position</w:t>
            </w:r>
            <w:r>
              <w:rPr>
                <w:noProof/>
                <w:webHidden/>
              </w:rPr>
              <w:tab/>
            </w:r>
            <w:r>
              <w:rPr>
                <w:noProof/>
                <w:webHidden/>
              </w:rPr>
              <w:fldChar w:fldCharType="begin"/>
            </w:r>
            <w:r>
              <w:rPr>
                <w:noProof/>
                <w:webHidden/>
              </w:rPr>
              <w:instrText xml:space="preserve"> PAGEREF _Toc224748793 \h </w:instrText>
            </w:r>
            <w:r>
              <w:rPr>
                <w:noProof/>
                <w:webHidden/>
              </w:rPr>
            </w:r>
            <w:r>
              <w:rPr>
                <w:noProof/>
                <w:webHidden/>
              </w:rPr>
              <w:fldChar w:fldCharType="separate"/>
            </w:r>
            <w:r w:rsidR="00611C1B">
              <w:rPr>
                <w:noProof/>
                <w:webHidden/>
              </w:rPr>
              <w:t>10</w:t>
            </w:r>
            <w:r>
              <w:rPr>
                <w:noProof/>
                <w:webHidden/>
              </w:rPr>
              <w:fldChar w:fldCharType="end"/>
            </w:r>
          </w:hyperlink>
        </w:p>
        <w:p w14:paraId="149B1355" w14:textId="024F91BF" w:rsidR="008C3CA1" w:rsidRDefault="008C3CA1">
          <w:pPr>
            <w:pStyle w:val="TOC1"/>
            <w:tabs>
              <w:tab w:val="right" w:leader="dot" w:pos="9016"/>
            </w:tabs>
            <w:rPr>
              <w:rFonts w:eastAsiaTheme="minorEastAsia"/>
              <w:noProof/>
              <w:lang w:eastAsia="en-GB"/>
            </w:rPr>
          </w:pPr>
          <w:hyperlink w:anchor="_Toc224748794" w:history="1">
            <w:r w:rsidRPr="00D7758C">
              <w:rPr>
                <w:rStyle w:val="Hyperlink"/>
                <w:noProof/>
              </w:rPr>
              <w:t>5.1 Porter Generic Strategies</w:t>
            </w:r>
            <w:r>
              <w:rPr>
                <w:noProof/>
                <w:webHidden/>
              </w:rPr>
              <w:tab/>
            </w:r>
            <w:r>
              <w:rPr>
                <w:noProof/>
                <w:webHidden/>
              </w:rPr>
              <w:fldChar w:fldCharType="begin"/>
            </w:r>
            <w:r>
              <w:rPr>
                <w:noProof/>
                <w:webHidden/>
              </w:rPr>
              <w:instrText xml:space="preserve"> PAGEREF _Toc224748794 \h </w:instrText>
            </w:r>
            <w:r>
              <w:rPr>
                <w:noProof/>
                <w:webHidden/>
              </w:rPr>
            </w:r>
            <w:r>
              <w:rPr>
                <w:noProof/>
                <w:webHidden/>
              </w:rPr>
              <w:fldChar w:fldCharType="separate"/>
            </w:r>
            <w:r w:rsidR="00611C1B">
              <w:rPr>
                <w:noProof/>
                <w:webHidden/>
              </w:rPr>
              <w:t>10</w:t>
            </w:r>
            <w:r>
              <w:rPr>
                <w:noProof/>
                <w:webHidden/>
              </w:rPr>
              <w:fldChar w:fldCharType="end"/>
            </w:r>
          </w:hyperlink>
        </w:p>
        <w:p w14:paraId="1C415483" w14:textId="57E59E57" w:rsidR="008C3CA1" w:rsidRDefault="008C3CA1">
          <w:pPr>
            <w:pStyle w:val="TOC1"/>
            <w:tabs>
              <w:tab w:val="right" w:leader="dot" w:pos="9016"/>
            </w:tabs>
            <w:rPr>
              <w:rFonts w:eastAsiaTheme="minorEastAsia"/>
              <w:noProof/>
              <w:lang w:eastAsia="en-GB"/>
            </w:rPr>
          </w:pPr>
          <w:hyperlink w:anchor="_Toc224748795" w:history="1">
            <w:r w:rsidRPr="00D7758C">
              <w:rPr>
                <w:rStyle w:val="Hyperlink"/>
                <w:noProof/>
              </w:rPr>
              <w:t>5.2 TOAST Strategic Approach</w:t>
            </w:r>
            <w:r>
              <w:rPr>
                <w:noProof/>
                <w:webHidden/>
              </w:rPr>
              <w:tab/>
            </w:r>
            <w:r>
              <w:rPr>
                <w:noProof/>
                <w:webHidden/>
              </w:rPr>
              <w:fldChar w:fldCharType="begin"/>
            </w:r>
            <w:r>
              <w:rPr>
                <w:noProof/>
                <w:webHidden/>
              </w:rPr>
              <w:instrText xml:space="preserve"> PAGEREF _Toc224748795 \h </w:instrText>
            </w:r>
            <w:r>
              <w:rPr>
                <w:noProof/>
                <w:webHidden/>
              </w:rPr>
            </w:r>
            <w:r>
              <w:rPr>
                <w:noProof/>
                <w:webHidden/>
              </w:rPr>
              <w:fldChar w:fldCharType="separate"/>
            </w:r>
            <w:r w:rsidR="00611C1B">
              <w:rPr>
                <w:noProof/>
                <w:webHidden/>
              </w:rPr>
              <w:t>10</w:t>
            </w:r>
            <w:r>
              <w:rPr>
                <w:noProof/>
                <w:webHidden/>
              </w:rPr>
              <w:fldChar w:fldCharType="end"/>
            </w:r>
          </w:hyperlink>
        </w:p>
        <w:p w14:paraId="1153D4A6" w14:textId="3662C95F" w:rsidR="008C3CA1" w:rsidRDefault="008C3CA1">
          <w:pPr>
            <w:pStyle w:val="TOC1"/>
            <w:tabs>
              <w:tab w:val="right" w:leader="dot" w:pos="9016"/>
            </w:tabs>
            <w:rPr>
              <w:rFonts w:eastAsiaTheme="minorEastAsia"/>
              <w:noProof/>
              <w:lang w:eastAsia="en-GB"/>
            </w:rPr>
          </w:pPr>
          <w:hyperlink w:anchor="_Toc224748796" w:history="1">
            <w:r w:rsidRPr="00D7758C">
              <w:rPr>
                <w:rStyle w:val="Hyperlink"/>
                <w:noProof/>
              </w:rPr>
              <w:t>5.3 Competitors</w:t>
            </w:r>
            <w:r>
              <w:rPr>
                <w:noProof/>
                <w:webHidden/>
              </w:rPr>
              <w:tab/>
            </w:r>
            <w:r>
              <w:rPr>
                <w:noProof/>
                <w:webHidden/>
              </w:rPr>
              <w:fldChar w:fldCharType="begin"/>
            </w:r>
            <w:r>
              <w:rPr>
                <w:noProof/>
                <w:webHidden/>
              </w:rPr>
              <w:instrText xml:space="preserve"> PAGEREF _Toc224748796 \h </w:instrText>
            </w:r>
            <w:r>
              <w:rPr>
                <w:noProof/>
                <w:webHidden/>
              </w:rPr>
            </w:r>
            <w:r>
              <w:rPr>
                <w:noProof/>
                <w:webHidden/>
              </w:rPr>
              <w:fldChar w:fldCharType="separate"/>
            </w:r>
            <w:r w:rsidR="00611C1B">
              <w:rPr>
                <w:noProof/>
                <w:webHidden/>
              </w:rPr>
              <w:t>11</w:t>
            </w:r>
            <w:r>
              <w:rPr>
                <w:noProof/>
                <w:webHidden/>
              </w:rPr>
              <w:fldChar w:fldCharType="end"/>
            </w:r>
          </w:hyperlink>
        </w:p>
        <w:p w14:paraId="58119A7A" w14:textId="10A04F17" w:rsidR="008C3CA1" w:rsidRDefault="008C3CA1">
          <w:pPr>
            <w:pStyle w:val="TOC1"/>
            <w:tabs>
              <w:tab w:val="right" w:leader="dot" w:pos="9016"/>
            </w:tabs>
            <w:rPr>
              <w:rFonts w:eastAsiaTheme="minorEastAsia"/>
              <w:noProof/>
              <w:lang w:eastAsia="en-GB"/>
            </w:rPr>
          </w:pPr>
          <w:hyperlink w:anchor="_Toc224748797" w:history="1">
            <w:r w:rsidRPr="00D7758C">
              <w:rPr>
                <w:rStyle w:val="Hyperlink"/>
                <w:noProof/>
              </w:rPr>
              <w:t>5.4 Strengths and Weaknesses</w:t>
            </w:r>
            <w:r>
              <w:rPr>
                <w:noProof/>
                <w:webHidden/>
              </w:rPr>
              <w:tab/>
            </w:r>
            <w:r>
              <w:rPr>
                <w:noProof/>
                <w:webHidden/>
              </w:rPr>
              <w:fldChar w:fldCharType="begin"/>
            </w:r>
            <w:r>
              <w:rPr>
                <w:noProof/>
                <w:webHidden/>
              </w:rPr>
              <w:instrText xml:space="preserve"> PAGEREF _Toc224748797 \h </w:instrText>
            </w:r>
            <w:r>
              <w:rPr>
                <w:noProof/>
                <w:webHidden/>
              </w:rPr>
            </w:r>
            <w:r>
              <w:rPr>
                <w:noProof/>
                <w:webHidden/>
              </w:rPr>
              <w:fldChar w:fldCharType="separate"/>
            </w:r>
            <w:r w:rsidR="00611C1B">
              <w:rPr>
                <w:noProof/>
                <w:webHidden/>
              </w:rPr>
              <w:t>11</w:t>
            </w:r>
            <w:r>
              <w:rPr>
                <w:noProof/>
                <w:webHidden/>
              </w:rPr>
              <w:fldChar w:fldCharType="end"/>
            </w:r>
          </w:hyperlink>
        </w:p>
        <w:p w14:paraId="366020AC" w14:textId="2D072895" w:rsidR="008C3CA1" w:rsidRDefault="008C3CA1">
          <w:pPr>
            <w:pStyle w:val="TOC1"/>
            <w:tabs>
              <w:tab w:val="right" w:leader="dot" w:pos="9016"/>
            </w:tabs>
            <w:rPr>
              <w:rFonts w:eastAsiaTheme="minorEastAsia"/>
              <w:noProof/>
              <w:lang w:eastAsia="en-GB"/>
            </w:rPr>
          </w:pPr>
          <w:hyperlink w:anchor="_Toc224748798" w:history="1">
            <w:r w:rsidRPr="00D7758C">
              <w:rPr>
                <w:rStyle w:val="Hyperlink"/>
                <w:noProof/>
              </w:rPr>
              <w:t>6. Strategic Direction</w:t>
            </w:r>
            <w:r>
              <w:rPr>
                <w:noProof/>
                <w:webHidden/>
              </w:rPr>
              <w:tab/>
            </w:r>
            <w:r>
              <w:rPr>
                <w:noProof/>
                <w:webHidden/>
              </w:rPr>
              <w:fldChar w:fldCharType="begin"/>
            </w:r>
            <w:r>
              <w:rPr>
                <w:noProof/>
                <w:webHidden/>
              </w:rPr>
              <w:instrText xml:space="preserve"> PAGEREF _Toc224748798 \h </w:instrText>
            </w:r>
            <w:r>
              <w:rPr>
                <w:noProof/>
                <w:webHidden/>
              </w:rPr>
            </w:r>
            <w:r>
              <w:rPr>
                <w:noProof/>
                <w:webHidden/>
              </w:rPr>
              <w:fldChar w:fldCharType="separate"/>
            </w:r>
            <w:r w:rsidR="00611C1B">
              <w:rPr>
                <w:noProof/>
                <w:webHidden/>
              </w:rPr>
              <w:t>12</w:t>
            </w:r>
            <w:r>
              <w:rPr>
                <w:noProof/>
                <w:webHidden/>
              </w:rPr>
              <w:fldChar w:fldCharType="end"/>
            </w:r>
          </w:hyperlink>
        </w:p>
        <w:p w14:paraId="20D244F9" w14:textId="26447104" w:rsidR="008C3CA1" w:rsidRDefault="008C3CA1">
          <w:pPr>
            <w:pStyle w:val="TOC1"/>
            <w:tabs>
              <w:tab w:val="right" w:leader="dot" w:pos="9016"/>
            </w:tabs>
            <w:rPr>
              <w:rFonts w:eastAsiaTheme="minorEastAsia"/>
              <w:noProof/>
              <w:lang w:eastAsia="en-GB"/>
            </w:rPr>
          </w:pPr>
          <w:hyperlink w:anchor="_Toc224748799" w:history="1">
            <w:r w:rsidRPr="00D7758C">
              <w:rPr>
                <w:rStyle w:val="Hyperlink"/>
                <w:noProof/>
              </w:rPr>
              <w:t>6.1 Strategic Alignment</w:t>
            </w:r>
            <w:r>
              <w:rPr>
                <w:noProof/>
                <w:webHidden/>
              </w:rPr>
              <w:tab/>
            </w:r>
            <w:r>
              <w:rPr>
                <w:noProof/>
                <w:webHidden/>
              </w:rPr>
              <w:fldChar w:fldCharType="begin"/>
            </w:r>
            <w:r>
              <w:rPr>
                <w:noProof/>
                <w:webHidden/>
              </w:rPr>
              <w:instrText xml:space="preserve"> PAGEREF _Toc224748799 \h </w:instrText>
            </w:r>
            <w:r>
              <w:rPr>
                <w:noProof/>
                <w:webHidden/>
              </w:rPr>
            </w:r>
            <w:r>
              <w:rPr>
                <w:noProof/>
                <w:webHidden/>
              </w:rPr>
              <w:fldChar w:fldCharType="separate"/>
            </w:r>
            <w:r w:rsidR="00611C1B">
              <w:rPr>
                <w:noProof/>
                <w:webHidden/>
              </w:rPr>
              <w:t>12</w:t>
            </w:r>
            <w:r>
              <w:rPr>
                <w:noProof/>
                <w:webHidden/>
              </w:rPr>
              <w:fldChar w:fldCharType="end"/>
            </w:r>
          </w:hyperlink>
        </w:p>
        <w:p w14:paraId="3DACB9CE" w14:textId="4CAFF787" w:rsidR="008C3CA1" w:rsidRDefault="008C3CA1">
          <w:pPr>
            <w:pStyle w:val="TOC1"/>
            <w:tabs>
              <w:tab w:val="right" w:leader="dot" w:pos="9016"/>
            </w:tabs>
            <w:rPr>
              <w:rFonts w:eastAsiaTheme="minorEastAsia"/>
              <w:noProof/>
              <w:lang w:eastAsia="en-GB"/>
            </w:rPr>
          </w:pPr>
          <w:hyperlink w:anchor="_Toc224748800" w:history="1">
            <w:r w:rsidRPr="00D7758C">
              <w:rPr>
                <w:rStyle w:val="Hyperlink"/>
                <w:noProof/>
              </w:rPr>
              <w:t>6.2 Organisational Inertia</w:t>
            </w:r>
            <w:r>
              <w:rPr>
                <w:noProof/>
                <w:webHidden/>
              </w:rPr>
              <w:tab/>
            </w:r>
            <w:r>
              <w:rPr>
                <w:noProof/>
                <w:webHidden/>
              </w:rPr>
              <w:fldChar w:fldCharType="begin"/>
            </w:r>
            <w:r>
              <w:rPr>
                <w:noProof/>
                <w:webHidden/>
              </w:rPr>
              <w:instrText xml:space="preserve"> PAGEREF _Toc224748800 \h </w:instrText>
            </w:r>
            <w:r>
              <w:rPr>
                <w:noProof/>
                <w:webHidden/>
              </w:rPr>
            </w:r>
            <w:r>
              <w:rPr>
                <w:noProof/>
                <w:webHidden/>
              </w:rPr>
              <w:fldChar w:fldCharType="separate"/>
            </w:r>
            <w:r w:rsidR="00611C1B">
              <w:rPr>
                <w:noProof/>
                <w:webHidden/>
              </w:rPr>
              <w:t>12</w:t>
            </w:r>
            <w:r>
              <w:rPr>
                <w:noProof/>
                <w:webHidden/>
              </w:rPr>
              <w:fldChar w:fldCharType="end"/>
            </w:r>
          </w:hyperlink>
        </w:p>
        <w:p w14:paraId="2660FA44" w14:textId="4610F565" w:rsidR="008C3CA1" w:rsidRDefault="008C3CA1">
          <w:pPr>
            <w:pStyle w:val="TOC1"/>
            <w:tabs>
              <w:tab w:val="right" w:leader="dot" w:pos="9016"/>
            </w:tabs>
            <w:rPr>
              <w:rFonts w:eastAsiaTheme="minorEastAsia"/>
              <w:noProof/>
              <w:lang w:eastAsia="en-GB"/>
            </w:rPr>
          </w:pPr>
          <w:hyperlink w:anchor="_Toc224748801" w:history="1">
            <w:r w:rsidRPr="00D7758C">
              <w:rPr>
                <w:rStyle w:val="Hyperlink"/>
                <w:noProof/>
              </w:rPr>
              <w:t>6.3 Strategic Options for the Future</w:t>
            </w:r>
            <w:r>
              <w:rPr>
                <w:noProof/>
                <w:webHidden/>
              </w:rPr>
              <w:tab/>
            </w:r>
            <w:r>
              <w:rPr>
                <w:noProof/>
                <w:webHidden/>
              </w:rPr>
              <w:fldChar w:fldCharType="begin"/>
            </w:r>
            <w:r>
              <w:rPr>
                <w:noProof/>
                <w:webHidden/>
              </w:rPr>
              <w:instrText xml:space="preserve"> PAGEREF _Toc224748801 \h </w:instrText>
            </w:r>
            <w:r>
              <w:rPr>
                <w:noProof/>
                <w:webHidden/>
              </w:rPr>
            </w:r>
            <w:r>
              <w:rPr>
                <w:noProof/>
                <w:webHidden/>
              </w:rPr>
              <w:fldChar w:fldCharType="separate"/>
            </w:r>
            <w:r w:rsidR="00611C1B">
              <w:rPr>
                <w:noProof/>
                <w:webHidden/>
              </w:rPr>
              <w:t>13</w:t>
            </w:r>
            <w:r>
              <w:rPr>
                <w:noProof/>
                <w:webHidden/>
              </w:rPr>
              <w:fldChar w:fldCharType="end"/>
            </w:r>
          </w:hyperlink>
        </w:p>
        <w:p w14:paraId="716DC1CA" w14:textId="7185BDD0" w:rsidR="008C3CA1" w:rsidRDefault="008C3CA1">
          <w:pPr>
            <w:pStyle w:val="TOC1"/>
            <w:tabs>
              <w:tab w:val="right" w:leader="dot" w:pos="9016"/>
            </w:tabs>
            <w:rPr>
              <w:rFonts w:eastAsiaTheme="minorEastAsia"/>
              <w:noProof/>
              <w:lang w:eastAsia="en-GB"/>
            </w:rPr>
          </w:pPr>
          <w:hyperlink w:anchor="_Toc224748802" w:history="1">
            <w:r w:rsidRPr="00D7758C">
              <w:rPr>
                <w:rStyle w:val="Hyperlink"/>
                <w:noProof/>
              </w:rPr>
              <w:t>6.3.1 Increase Brand Awareness</w:t>
            </w:r>
            <w:r>
              <w:rPr>
                <w:noProof/>
                <w:webHidden/>
              </w:rPr>
              <w:tab/>
            </w:r>
            <w:r>
              <w:rPr>
                <w:noProof/>
                <w:webHidden/>
              </w:rPr>
              <w:fldChar w:fldCharType="begin"/>
            </w:r>
            <w:r>
              <w:rPr>
                <w:noProof/>
                <w:webHidden/>
              </w:rPr>
              <w:instrText xml:space="preserve"> PAGEREF _Toc224748802 \h </w:instrText>
            </w:r>
            <w:r>
              <w:rPr>
                <w:noProof/>
                <w:webHidden/>
              </w:rPr>
            </w:r>
            <w:r>
              <w:rPr>
                <w:noProof/>
                <w:webHidden/>
              </w:rPr>
              <w:fldChar w:fldCharType="separate"/>
            </w:r>
            <w:r w:rsidR="00611C1B">
              <w:rPr>
                <w:noProof/>
                <w:webHidden/>
              </w:rPr>
              <w:t>13</w:t>
            </w:r>
            <w:r>
              <w:rPr>
                <w:noProof/>
                <w:webHidden/>
              </w:rPr>
              <w:fldChar w:fldCharType="end"/>
            </w:r>
          </w:hyperlink>
        </w:p>
        <w:p w14:paraId="1AB06057" w14:textId="6947BEC7" w:rsidR="008C3CA1" w:rsidRDefault="008C3CA1">
          <w:pPr>
            <w:pStyle w:val="TOC1"/>
            <w:tabs>
              <w:tab w:val="right" w:leader="dot" w:pos="9016"/>
            </w:tabs>
            <w:rPr>
              <w:rFonts w:eastAsiaTheme="minorEastAsia"/>
              <w:noProof/>
              <w:lang w:eastAsia="en-GB"/>
            </w:rPr>
          </w:pPr>
          <w:hyperlink w:anchor="_Toc224748803" w:history="1">
            <w:r w:rsidRPr="00D7758C">
              <w:rPr>
                <w:rStyle w:val="Hyperlink"/>
                <w:noProof/>
              </w:rPr>
              <w:t>6.3.2 Introduce a More Affordable Product Line</w:t>
            </w:r>
            <w:r>
              <w:rPr>
                <w:noProof/>
                <w:webHidden/>
              </w:rPr>
              <w:tab/>
            </w:r>
            <w:r>
              <w:rPr>
                <w:noProof/>
                <w:webHidden/>
              </w:rPr>
              <w:fldChar w:fldCharType="begin"/>
            </w:r>
            <w:r>
              <w:rPr>
                <w:noProof/>
                <w:webHidden/>
              </w:rPr>
              <w:instrText xml:space="preserve"> PAGEREF _Toc224748803 \h </w:instrText>
            </w:r>
            <w:r>
              <w:rPr>
                <w:noProof/>
                <w:webHidden/>
              </w:rPr>
            </w:r>
            <w:r>
              <w:rPr>
                <w:noProof/>
                <w:webHidden/>
              </w:rPr>
              <w:fldChar w:fldCharType="separate"/>
            </w:r>
            <w:r w:rsidR="00611C1B">
              <w:rPr>
                <w:noProof/>
                <w:webHidden/>
              </w:rPr>
              <w:t>13</w:t>
            </w:r>
            <w:r>
              <w:rPr>
                <w:noProof/>
                <w:webHidden/>
              </w:rPr>
              <w:fldChar w:fldCharType="end"/>
            </w:r>
          </w:hyperlink>
        </w:p>
        <w:p w14:paraId="7B6CAA1E" w14:textId="33A01DE9" w:rsidR="008C3CA1" w:rsidRDefault="008C3CA1">
          <w:pPr>
            <w:pStyle w:val="TOC1"/>
            <w:tabs>
              <w:tab w:val="right" w:leader="dot" w:pos="9016"/>
            </w:tabs>
            <w:rPr>
              <w:rFonts w:eastAsiaTheme="minorEastAsia"/>
              <w:noProof/>
              <w:lang w:eastAsia="en-GB"/>
            </w:rPr>
          </w:pPr>
          <w:hyperlink w:anchor="_Toc224748804" w:history="1">
            <w:r w:rsidRPr="00D7758C">
              <w:rPr>
                <w:rStyle w:val="Hyperlink"/>
                <w:noProof/>
              </w:rPr>
              <w:t>7. Conclusion</w:t>
            </w:r>
            <w:r>
              <w:rPr>
                <w:noProof/>
                <w:webHidden/>
              </w:rPr>
              <w:tab/>
            </w:r>
            <w:r>
              <w:rPr>
                <w:noProof/>
                <w:webHidden/>
              </w:rPr>
              <w:fldChar w:fldCharType="begin"/>
            </w:r>
            <w:r>
              <w:rPr>
                <w:noProof/>
                <w:webHidden/>
              </w:rPr>
              <w:instrText xml:space="preserve"> PAGEREF _Toc224748804 \h </w:instrText>
            </w:r>
            <w:r>
              <w:rPr>
                <w:noProof/>
                <w:webHidden/>
              </w:rPr>
            </w:r>
            <w:r>
              <w:rPr>
                <w:noProof/>
                <w:webHidden/>
              </w:rPr>
              <w:fldChar w:fldCharType="separate"/>
            </w:r>
            <w:r w:rsidR="00611C1B">
              <w:rPr>
                <w:noProof/>
                <w:webHidden/>
              </w:rPr>
              <w:t>14</w:t>
            </w:r>
            <w:r>
              <w:rPr>
                <w:noProof/>
                <w:webHidden/>
              </w:rPr>
              <w:fldChar w:fldCharType="end"/>
            </w:r>
          </w:hyperlink>
        </w:p>
        <w:p w14:paraId="12C729CD" w14:textId="7180E470" w:rsidR="008C3CA1" w:rsidRDefault="008C3CA1">
          <w:pPr>
            <w:pStyle w:val="TOC1"/>
            <w:tabs>
              <w:tab w:val="right" w:leader="dot" w:pos="9016"/>
            </w:tabs>
            <w:rPr>
              <w:rFonts w:eastAsiaTheme="minorEastAsia"/>
              <w:noProof/>
              <w:lang w:eastAsia="en-GB"/>
            </w:rPr>
          </w:pPr>
          <w:hyperlink w:anchor="_Toc224748805" w:history="1">
            <w:r w:rsidRPr="00D7758C">
              <w:rPr>
                <w:rStyle w:val="Hyperlink"/>
                <w:noProof/>
              </w:rPr>
              <w:t>8. References</w:t>
            </w:r>
            <w:r>
              <w:rPr>
                <w:noProof/>
                <w:webHidden/>
              </w:rPr>
              <w:tab/>
            </w:r>
            <w:r>
              <w:rPr>
                <w:noProof/>
                <w:webHidden/>
              </w:rPr>
              <w:fldChar w:fldCharType="begin"/>
            </w:r>
            <w:r>
              <w:rPr>
                <w:noProof/>
                <w:webHidden/>
              </w:rPr>
              <w:instrText xml:space="preserve"> PAGEREF _Toc224748805 \h </w:instrText>
            </w:r>
            <w:r>
              <w:rPr>
                <w:noProof/>
                <w:webHidden/>
              </w:rPr>
            </w:r>
            <w:r>
              <w:rPr>
                <w:noProof/>
                <w:webHidden/>
              </w:rPr>
              <w:fldChar w:fldCharType="separate"/>
            </w:r>
            <w:r w:rsidR="00611C1B">
              <w:rPr>
                <w:noProof/>
                <w:webHidden/>
              </w:rPr>
              <w:t>15</w:t>
            </w:r>
            <w:r>
              <w:rPr>
                <w:noProof/>
                <w:webHidden/>
              </w:rPr>
              <w:fldChar w:fldCharType="end"/>
            </w:r>
          </w:hyperlink>
        </w:p>
        <w:p w14:paraId="28183801" w14:textId="0E3B86E0" w:rsidR="008C3CA1" w:rsidRDefault="008C3CA1">
          <w:r>
            <w:rPr>
              <w:b/>
              <w:bCs/>
              <w:noProof/>
            </w:rPr>
            <w:fldChar w:fldCharType="end"/>
          </w:r>
        </w:p>
      </w:sdtContent>
    </w:sdt>
    <w:p w14:paraId="5DCA8828" w14:textId="77777777" w:rsidR="008C3CA1" w:rsidRDefault="008C3CA1" w:rsidP="008C3CA1"/>
    <w:p w14:paraId="604DA439" w14:textId="77777777" w:rsidR="008C3CA1" w:rsidRDefault="008C3CA1" w:rsidP="008C3CA1"/>
    <w:p w14:paraId="47F91254" w14:textId="58B2B6F1" w:rsidR="008C3CA1" w:rsidRPr="008C3CA1" w:rsidRDefault="00257439" w:rsidP="008C3CA1">
      <w:pPr>
        <w:pStyle w:val="Heading1"/>
        <w:numPr>
          <w:ilvl w:val="0"/>
          <w:numId w:val="5"/>
        </w:numPr>
        <w:jc w:val="center"/>
        <w:rPr>
          <w:color w:val="000000" w:themeColor="text1"/>
          <w:sz w:val="32"/>
          <w:szCs w:val="32"/>
        </w:rPr>
      </w:pPr>
      <w:bookmarkStart w:id="0" w:name="_Toc224748786"/>
      <w:r w:rsidRPr="008C3CA1">
        <w:rPr>
          <w:color w:val="000000" w:themeColor="text1"/>
          <w:sz w:val="32"/>
          <w:szCs w:val="32"/>
        </w:rPr>
        <w:lastRenderedPageBreak/>
        <w:t>Introduction</w:t>
      </w:r>
      <w:bookmarkEnd w:id="0"/>
    </w:p>
    <w:p w14:paraId="45D67438" w14:textId="08BE7713" w:rsidR="00EA42F4" w:rsidRPr="00EA42F4" w:rsidRDefault="00D96D41" w:rsidP="00EA42F4">
      <w:pPr>
        <w:pStyle w:val="NormalWeb"/>
        <w:rPr>
          <w:rFonts w:asciiTheme="minorHAnsi" w:hAnsiTheme="minorHAnsi"/>
        </w:rPr>
      </w:pPr>
      <w:r w:rsidRPr="00D96D41">
        <w:rPr>
          <w:rFonts w:asciiTheme="minorHAnsi" w:hAnsiTheme="minorHAnsi"/>
        </w:rPr>
        <w:t>Companies operate in markets that are constantly changing due to economic conditions, technology,</w:t>
      </w:r>
      <w:r>
        <w:rPr>
          <w:rFonts w:asciiTheme="minorHAnsi" w:hAnsiTheme="minorHAnsi"/>
        </w:rPr>
        <w:t xml:space="preserve"> or</w:t>
      </w:r>
      <w:r w:rsidRPr="00D96D41">
        <w:rPr>
          <w:rFonts w:asciiTheme="minorHAnsi" w:hAnsiTheme="minorHAnsi"/>
        </w:rPr>
        <w:t xml:space="preserve"> customer behaviour. To remain competitive, organisations must understand changes and manage resources effectively.</w:t>
      </w:r>
      <w:r w:rsidR="0007471C" w:rsidRPr="0007471C">
        <w:rPr>
          <w:rFonts w:asciiTheme="minorHAnsi" w:hAnsiTheme="minorHAnsi"/>
        </w:rPr>
        <w:t xml:space="preserve"> </w:t>
      </w:r>
      <w:r w:rsidR="0007471C">
        <w:rPr>
          <w:rFonts w:asciiTheme="minorHAnsi" w:hAnsiTheme="minorHAnsi"/>
        </w:rPr>
        <w:fldChar w:fldCharType="begin"/>
      </w:r>
      <w:r w:rsidR="0007471C">
        <w:rPr>
          <w:rFonts w:asciiTheme="minorHAnsi" w:hAnsiTheme="minorHAnsi"/>
        </w:rPr>
        <w:instrText xml:space="preserve"> ADDIN ZOTERO_ITEM CSL_CITATION {"citationID":"67iNdiFg","properties":{"formattedCitation":"(Kafoe, 2024)","plainCitation":"(Kafoe, 2024)","noteIndex":0},"citationItems":[{"id":507,"uris":["http://zotero.org/users/17151418/items/A8734DXB"],"itemData":{"id":507,"type":"article-journal","abstract":"This study examines the integration of Porter’s Five Forces, the Resource-Based View (RBV), and Dynamic Capabilities frameworks as a comprehensive approach for establishing and maintaining competitive advantage in today’s complex business environment. The paper presents real-world examples, including Amazon and Tesla, to demonstrate the practical application and potential challenges of implementing these integrated strategies. These case studies illustrate how successful companies leverage a multifaceted understanding of their competitive landscape, internal strengths, and resource capabilities to outperform rivals and adapt to changing market conditions. By synthesizing these three frameworks, organizations can develop a more nuanced and holistic view of their strategic position. Porter’s Five Forces provides insight into industry structure and competitive dynamics, while the RBV focuses on identifying and leveraging unique internal resources. The Dynamic Capabilities perspective adds a crucial temporal dimension, emphasizing the importance of adapting and reconfiguring resources in response to environmental changes. This integrated approach enables companies to establish and sustain their competitive advantage over time, leading to long-term organizational success. The study further explores the implications of this integrated framework for overcoming resistance to strategic changes within organizations. By providing a comprehensive understanding of external and internal factors influencing competitiveness, this approach can facilitate more effective strategic decision-making and implementation, ultimately contributing to long-term organizational success in a dynamic business.","container-title":"Land Forces Academy review","DOI":"10.2478/raft-2024-0057","ISSN":"2247-840X","issue":"4","language":"eng","page":"550–562","publisher":"Sciendo","publisher-place":"Sibiu","source":"librarysearch.uwtsd.ac.uk","title":"Holistic Competitive Strategy: Embracing a Holistic Approach to Establishing a Competitive Edge","title-short":"Holistic Competitive Strategy","volume":"29","author":[{"family":"Kafoe","given":"Alieu Stephen"}],"issued":{"date-parts":[["2024"]]}}}],"schema":"https://github.com/citation-style-language/schema/raw/master/csl-citation.json"} </w:instrText>
      </w:r>
      <w:r w:rsidR="0007471C">
        <w:rPr>
          <w:rFonts w:asciiTheme="minorHAnsi" w:hAnsiTheme="minorHAnsi"/>
        </w:rPr>
        <w:fldChar w:fldCharType="separate"/>
      </w:r>
      <w:r w:rsidR="0007471C">
        <w:rPr>
          <w:rFonts w:asciiTheme="minorHAnsi" w:hAnsiTheme="minorHAnsi"/>
          <w:noProof/>
        </w:rPr>
        <w:t>(Kafoe, 2024)</w:t>
      </w:r>
      <w:r w:rsidR="0007471C">
        <w:rPr>
          <w:rFonts w:asciiTheme="minorHAnsi" w:hAnsiTheme="minorHAnsi"/>
        </w:rPr>
        <w:fldChar w:fldCharType="end"/>
      </w:r>
      <w:r w:rsidRPr="00D96D41">
        <w:rPr>
          <w:rFonts w:asciiTheme="minorHAnsi" w:hAnsiTheme="minorHAnsi"/>
        </w:rPr>
        <w:t xml:space="preserve"> Strategic analysis helps businesses evaluate current position and identify potential opportunities and challenges</w:t>
      </w:r>
      <w:r>
        <w:t>.</w:t>
      </w:r>
      <w:r w:rsidR="0007471C" w:rsidRPr="00EA42F4">
        <w:rPr>
          <w:rFonts w:asciiTheme="minorHAnsi" w:hAnsiTheme="minorHAnsi"/>
        </w:rPr>
        <w:t xml:space="preserve"> </w:t>
      </w:r>
    </w:p>
    <w:p w14:paraId="4F35627B" w14:textId="1C115E30" w:rsidR="00EA42F4" w:rsidRPr="00EA42F4" w:rsidRDefault="00EA42F4" w:rsidP="00EA42F4">
      <w:pPr>
        <w:pStyle w:val="NormalWeb"/>
        <w:rPr>
          <w:rFonts w:asciiTheme="minorHAnsi" w:hAnsiTheme="minorHAnsi"/>
        </w:rPr>
      </w:pPr>
      <w:r w:rsidRPr="00EA42F4">
        <w:rPr>
          <w:rFonts w:asciiTheme="minorHAnsi" w:hAnsiTheme="minorHAnsi"/>
        </w:rPr>
        <w:t>This report analyses the strategic capability of TOAST, a British fashion brand known for its focus on sustainability, craftsmanship and slow fashion. The purpose of this report is to evaluate the organisation’s current strategic position and identify potential directions for future development.</w:t>
      </w:r>
    </w:p>
    <w:p w14:paraId="4E0FF63A" w14:textId="697B3528" w:rsidR="00EA42F4" w:rsidRPr="00EA42F4" w:rsidRDefault="004D0E25" w:rsidP="00EA42F4">
      <w:pPr>
        <w:pStyle w:val="NormalWeb"/>
        <w:rPr>
          <w:rFonts w:asciiTheme="minorHAnsi" w:hAnsiTheme="minorHAnsi"/>
        </w:rPr>
      </w:pPr>
      <w:r>
        <w:rPr>
          <w:rFonts w:asciiTheme="minorHAnsi" w:hAnsiTheme="minorHAnsi"/>
        </w:rPr>
        <w:t>R</w:t>
      </w:r>
      <w:r w:rsidR="00EA42F4" w:rsidRPr="00EA42F4">
        <w:rPr>
          <w:rFonts w:asciiTheme="minorHAnsi" w:hAnsiTheme="minorHAnsi"/>
        </w:rPr>
        <w:t xml:space="preserve">eport provides an overview of the organisation, including its main activities, </w:t>
      </w:r>
      <w:r w:rsidR="00102419" w:rsidRPr="00EA42F4">
        <w:rPr>
          <w:rFonts w:asciiTheme="minorHAnsi" w:hAnsiTheme="minorHAnsi"/>
        </w:rPr>
        <w:t>markets,</w:t>
      </w:r>
      <w:r w:rsidR="00EA42F4" w:rsidRPr="00EA42F4">
        <w:rPr>
          <w:rFonts w:asciiTheme="minorHAnsi" w:hAnsiTheme="minorHAnsi"/>
        </w:rPr>
        <w:t xml:space="preserve"> and recent strategic developments. The external environment is then examined using the STEEP framework and Porter’s Five Forces to identify key opportunities, </w:t>
      </w:r>
      <w:r w:rsidR="00D45262" w:rsidRPr="00EA42F4">
        <w:rPr>
          <w:rFonts w:asciiTheme="minorHAnsi" w:hAnsiTheme="minorHAnsi"/>
        </w:rPr>
        <w:t>threats,</w:t>
      </w:r>
      <w:r w:rsidR="00EA42F4" w:rsidRPr="00EA42F4">
        <w:rPr>
          <w:rFonts w:asciiTheme="minorHAnsi" w:hAnsiTheme="minorHAnsi"/>
        </w:rPr>
        <w:t xml:space="preserve"> and industry pressures. Stakeholder analysis is also conducted to understand the interests and influence of groups affecting the organisation.</w:t>
      </w:r>
    </w:p>
    <w:p w14:paraId="5565FE56" w14:textId="0FD5FF30" w:rsidR="00EA42F4" w:rsidRPr="00EA42F4" w:rsidRDefault="00EA42F4" w:rsidP="00EA42F4">
      <w:pPr>
        <w:pStyle w:val="NormalWeb"/>
        <w:rPr>
          <w:rFonts w:asciiTheme="minorHAnsi" w:hAnsiTheme="minorHAnsi"/>
        </w:rPr>
      </w:pPr>
      <w:r w:rsidRPr="00EA42F4">
        <w:rPr>
          <w:rFonts w:asciiTheme="minorHAnsi" w:hAnsiTheme="minorHAnsi"/>
        </w:rPr>
        <w:t xml:space="preserve">The report then evaluates TOAST’s internal strategic capability using the VRIO framework </w:t>
      </w:r>
      <w:r w:rsidR="00D45262" w:rsidRPr="00EA42F4">
        <w:rPr>
          <w:rFonts w:asciiTheme="minorHAnsi" w:hAnsiTheme="minorHAnsi"/>
        </w:rPr>
        <w:t>to</w:t>
      </w:r>
      <w:r w:rsidRPr="00EA42F4">
        <w:rPr>
          <w:rFonts w:asciiTheme="minorHAnsi" w:hAnsiTheme="minorHAnsi"/>
        </w:rPr>
        <w:t xml:space="preserve"> identify key resources and sources of competitive advantage. Finally, the organisation’s current strategy is assessed and potential strategic options for the future are proposed and evaluated using the SAF framework.</w:t>
      </w:r>
    </w:p>
    <w:p w14:paraId="486AAB70" w14:textId="64F88BB8" w:rsidR="00AD5437" w:rsidRPr="00161882" w:rsidRDefault="002367DF" w:rsidP="002367DF">
      <w:pPr>
        <w:pStyle w:val="Heading1"/>
        <w:jc w:val="center"/>
        <w:rPr>
          <w:color w:val="000000" w:themeColor="text1"/>
          <w:sz w:val="32"/>
          <w:szCs w:val="32"/>
        </w:rPr>
      </w:pPr>
      <w:bookmarkStart w:id="1" w:name="_Toc224748787"/>
      <w:r>
        <w:rPr>
          <w:color w:val="000000" w:themeColor="text1"/>
          <w:sz w:val="32"/>
          <w:szCs w:val="32"/>
        </w:rPr>
        <w:t xml:space="preserve">2. </w:t>
      </w:r>
      <w:r w:rsidR="007D2021" w:rsidRPr="00161882">
        <w:rPr>
          <w:color w:val="000000" w:themeColor="text1"/>
          <w:sz w:val="32"/>
          <w:szCs w:val="32"/>
        </w:rPr>
        <w:t>Organisational Overview</w:t>
      </w:r>
      <w:bookmarkEnd w:id="1"/>
    </w:p>
    <w:p w14:paraId="7D45EBA7" w14:textId="192CB0C5" w:rsidR="005D05B1" w:rsidRPr="005D05B1" w:rsidRDefault="001A132B" w:rsidP="005D05B1">
      <w:r>
        <w:t>TOAST is a contemporary British lifestyle and fashion brand operating within the premium clothing and homeware sector. Founded in the 1990s in the United Kingdom, the company has developed a reputation for producing timeless, functional, and ethically minded products (TOAST, 2026). Since 2018, TOAST has been owned by the Danish fashion group Bestseller A/S and operates as a private limited company in the United Kingdom (</w:t>
      </w:r>
      <w:r w:rsidR="00845B75">
        <w:t>FasionNework.com</w:t>
      </w:r>
      <w:r>
        <w:t>, 2018).</w:t>
      </w:r>
      <w:r w:rsidR="00505F4A" w:rsidRPr="00505F4A">
        <w:t xml:space="preserve"> </w:t>
      </w:r>
      <w:r w:rsidR="00505F4A">
        <w:t>This acquisition can be seen as a strategic decision because it allows the company to gain access to new resources and business opportunities</w:t>
      </w:r>
      <w:r w:rsidR="00A706C6">
        <w:t xml:space="preserve"> </w:t>
      </w:r>
      <w:r w:rsidR="00A706C6">
        <w:fldChar w:fldCharType="begin"/>
      </w:r>
      <w:r w:rsidR="00420C29">
        <w:instrText xml:space="preserve"> ADDIN ZOTERO_ITEM CSL_CITATION {"citationID":"4BF5bEpB","properties":{"formattedCitation":"(Kim and Davis, 2019)","plainCitation":"(Kim and Davis, 2019)","noteIndex":0},"citationItems":[{"id":494,"uris":["http://zotero.org/users/17151418/items/9AHCEDRM"],"itemData":{"id":494,"type":"article-journal","abstract":"PurposeThe purpose of this paper is to explore how the acquisition experience – an acquiring firm’s experience of acquiring and integrating the resources of an acquired firm – affects the production resource efficiency of the acquiring firm.Design/methodology/approachThe authors used data obtained from US manufacturing industries over the 1992–2014 period. The sample includes 784 acquisitions by 417 firms. The proposed hypotheses were tested through econometric analysis.FindingsResults show that the acquisition experience has a positive association with production resource efficiency. The acquisition experience is most positively associated with acquiring firms’ production efficiency when they successfully accomplished previous performance outcomes. While the literature has recognized the relatedness of acquiring and acquired firms as a contextual moderator, the interaction of the related acquisition and the acquisition experience has no impact on efficiency benefits.Originality/valueThis study enhances the understanding of how prior acquisition experience can be leveraged by acquiring firms to gain efficiency benefits in the manufacturing industry.","container-title":"Journal of manufacturing technology management","DOI":"10.1108/JMTM-09-2018-0321","ISSN":"1741-038X","issue":"4","language":"eng","page":"772–795","publisher":"Emerald Group Publishing Limited","publisher-place":"Bradford","source":"librarysearch.uwtsd.ac.uk","title":"Acquisition experience and production resource efficiency: Evidence from US manufacturing industries","title-short":"Acquisition experience and production resource efficiency","volume":"30","author":[{"family":"Kim","given":"Dong-Young"},{"family":"Davis","given":"Sean M."}],"issued":{"date-parts":[["2019"]]}}}],"schema":"https://github.com/citation-style-language/schema/raw/master/csl-citation.json"} </w:instrText>
      </w:r>
      <w:r w:rsidR="00A706C6">
        <w:fldChar w:fldCharType="separate"/>
      </w:r>
      <w:r w:rsidR="00A706C6">
        <w:rPr>
          <w:noProof/>
        </w:rPr>
        <w:t>(Kim and Davis, 2019)</w:t>
      </w:r>
      <w:r w:rsidR="00A706C6">
        <w:fldChar w:fldCharType="end"/>
      </w:r>
    </w:p>
    <w:p w14:paraId="1AB32B47" w14:textId="0481FB22" w:rsidR="00C641FD" w:rsidRDefault="00C641FD">
      <w:r>
        <w:t xml:space="preserve">The organisation operates a main warehouse in Neath, where picking, packing, processing customer returns, and preparing products for stores take place. Currently, the company has 20 stores in the United Kingdom and 8 stores in the United States. The head office </w:t>
      </w:r>
      <w:r w:rsidR="004A221B">
        <w:t>is in</w:t>
      </w:r>
      <w:r>
        <w:t xml:space="preserve"> London, with a second office also based in Swansea.</w:t>
      </w:r>
    </w:p>
    <w:p w14:paraId="06AE4C5A" w14:textId="3D43110F" w:rsidR="00F671B9" w:rsidRDefault="007A458D">
      <w:r>
        <w:t>The company’s strategy focuses on producing simple but high-quality products</w:t>
      </w:r>
      <w:r w:rsidR="007829F0">
        <w:t xml:space="preserve"> </w:t>
      </w:r>
      <w:r>
        <w:t>designed to last for many years.</w:t>
      </w:r>
      <w:r w:rsidR="00481A6E">
        <w:t xml:space="preserve"> </w:t>
      </w:r>
      <w:r w:rsidR="00C04A12">
        <w:t xml:space="preserve">The core activities of TOAST focus on the design, sourcing, marketing, and retailing of clothing, accessories, and homeware. Its product range includes womenswear, menswear, footwear, alongside homeware items such as textiles, </w:t>
      </w:r>
      <w:r w:rsidR="004A221B">
        <w:t>ceramics.</w:t>
      </w:r>
      <w:r w:rsidR="0076561A">
        <w:t xml:space="preserve"> </w:t>
      </w:r>
      <w:r w:rsidR="004A221B">
        <w:t xml:space="preserve">The organisation also provides e-commerce services, allowing </w:t>
      </w:r>
      <w:r w:rsidR="004A221B">
        <w:lastRenderedPageBreak/>
        <w:t>customers to purchase products online. In addition, the company runs a repair and circular service, which enables damaged TOAST items to be repaired and extends the lifespan of products.</w:t>
      </w:r>
      <w:r w:rsidR="00295BE0">
        <w:t xml:space="preserve"> TOAST </w:t>
      </w:r>
      <w:r w:rsidR="06EA9D41">
        <w:t>targets</w:t>
      </w:r>
      <w:r w:rsidR="00295BE0">
        <w:t xml:space="preserve"> </w:t>
      </w:r>
      <w:r w:rsidR="21F8413B">
        <w:t>middle- and upper-income</w:t>
      </w:r>
      <w:r w:rsidR="00295BE0">
        <w:t xml:space="preserve"> customers who value high-quality, </w:t>
      </w:r>
      <w:r w:rsidR="536384A2">
        <w:t>sustainable,</w:t>
      </w:r>
      <w:r w:rsidR="00295BE0">
        <w:t xml:space="preserve"> and ethically produced products.</w:t>
      </w:r>
      <w:r w:rsidR="746B3872">
        <w:t xml:space="preserve"> </w:t>
      </w:r>
      <w:r w:rsidR="004E7CC6">
        <w:t>(</w:t>
      </w:r>
      <w:r w:rsidR="002830BB">
        <w:fldChar w:fldCharType="begin"/>
      </w:r>
      <w:r w:rsidR="00420C29">
        <w:instrText xml:space="preserve"> ADDIN ZOTERO_ITEM CSL_CITATION {"citationID":"piL2R5uf","properties":{"formattedCitation":"(\\uc0\\u8216{}Social_Conscience_Report_2024.pdf\\uc0\\u8217{}, no date)","plainCitation":"(‘Social_Conscience_Report_2024.pdf’, no date)","dontUpdate":true,"noteIndex":0},"citationItems":[{"id":312,"uris":["http://zotero.org/users/17151418/items/ZM3Y579R"],"itemData":{"id":312,"type":"document","title":"Social_Conscience_Report_2024.pdf","URL":"https://cdn.shopify.com/s/files/1/0282/5050/5250/files/Social_Conscience_Report_2024.pdf?v=1745483028","accessed":{"date-parts":[["2026",1,27]]}}}],"schema":"https://github.com/citation-style-language/schema/raw/master/csl-citation.json"} </w:instrText>
      </w:r>
      <w:r w:rsidR="002830BB">
        <w:fldChar w:fldCharType="separate"/>
      </w:r>
      <w:r w:rsidR="004E7CC6">
        <w:rPr>
          <w:rFonts w:ascii="Aptos" w:cs="Times New Roman"/>
          <w:kern w:val="0"/>
        </w:rPr>
        <w:t>TOAST</w:t>
      </w:r>
      <w:r w:rsidR="002830BB" w:rsidRPr="002830BB">
        <w:rPr>
          <w:rFonts w:ascii="Aptos" w:cs="Times New Roman"/>
          <w:kern w:val="0"/>
        </w:rPr>
        <w:t xml:space="preserve">, </w:t>
      </w:r>
      <w:r w:rsidR="00A741A0">
        <w:rPr>
          <w:rFonts w:ascii="Aptos" w:cs="Times New Roman"/>
          <w:kern w:val="0"/>
        </w:rPr>
        <w:t>2024</w:t>
      </w:r>
      <w:r w:rsidR="002830BB" w:rsidRPr="002830BB">
        <w:rPr>
          <w:rFonts w:ascii="Aptos" w:cs="Times New Roman"/>
          <w:kern w:val="0"/>
        </w:rPr>
        <w:t>)</w:t>
      </w:r>
      <w:r w:rsidR="002830BB">
        <w:fldChar w:fldCharType="end"/>
      </w:r>
      <w:r w:rsidR="00A741A0">
        <w:t>.</w:t>
      </w:r>
    </w:p>
    <w:p w14:paraId="4B4C9CF1" w14:textId="5A366435" w:rsidR="00AD16F2" w:rsidRDefault="00CE63A4">
      <w:r>
        <w:t>Over</w:t>
      </w:r>
      <w:r w:rsidR="00A40079">
        <w:t xml:space="preserve"> the past three </w:t>
      </w:r>
      <w:r w:rsidR="0086564F">
        <w:t>years,</w:t>
      </w:r>
      <w:r w:rsidR="00A40079">
        <w:t xml:space="preserve"> </w:t>
      </w:r>
      <w:r w:rsidR="00F83786">
        <w:t xml:space="preserve">TOAST </w:t>
      </w:r>
      <w:r w:rsidR="002F0FC2">
        <w:t xml:space="preserve">has undertaken </w:t>
      </w:r>
      <w:r>
        <w:t xml:space="preserve">several strategic developments </w:t>
      </w:r>
      <w:r w:rsidR="002629FC">
        <w:t>to strengthen its competi</w:t>
      </w:r>
      <w:r w:rsidR="00570B8B">
        <w:t>tive position</w:t>
      </w:r>
      <w:r w:rsidR="000D5672">
        <w:t>.</w:t>
      </w:r>
      <w:r w:rsidR="00570B8B" w:rsidRPr="00570B8B">
        <w:t xml:space="preserve"> </w:t>
      </w:r>
      <w:r w:rsidR="00570B8B">
        <w:t>Organisations that fail to respond to environmental change are more likely to lose competitiveness over time</w:t>
      </w:r>
      <w:r w:rsidR="00341285">
        <w:t>.</w:t>
      </w:r>
      <w:r w:rsidR="00570B8B">
        <w:t xml:space="preserve"> </w:t>
      </w:r>
      <w:r w:rsidR="005B3186">
        <w:fldChar w:fldCharType="begin"/>
      </w:r>
      <w:r w:rsidR="00420C29">
        <w:instrText xml:space="preserve"> ADDIN ZOTERO_ITEM CSL_CITATION {"citationID":"OnukcHDF","properties":{"formattedCitation":"(Regn\\uc0\\u233{}r Patrick {\\i{}et al.}, 2020)","plainCitation":"(Regnér Patrick et al., 2020)","noteIndex":0},"citationItems":[{"id":422,"uris":["http://zotero.org/users/17151418/items/2884YQSB"],"itemData":{"id":422,"type":"book","abstract":"Exploring Strategy, 12th edition, by Whittington, Regnér, Angwin, Johnson and Scholes has long been the essential introduction to strategy for the managers of today and tomorrow and has sold over one million copies worldwide. From entrepreneurial start-ups to multinationals, charities to government agencies, this book raises the big questions about organisations - how they prosper, how they grow, how they innovate and how they change. Text and Cases also provides a wealth of extra case studies written by experts in the subject to aid and enrich your understanding. Examples are taken from events and organisations as diverse as Adnams, Siemens, Air Asia, Apple, Handlesbanken, Glastonbury and the Indian Premier League. New to this edition: The 12th edition of Exploring Strategy has been comprehensively updated to help you: Understand clearly the key concepts and tools of strategic management; Explore hot topics, including business models, corporate governance, innovation and entrepreneurship; Learn from case studies on world-famous organisations such as ITV, IKEA, Uber, Airbnb, Alibaba, and the Chinese movie business.-- Provided by publisher.","edition":"Twelfth edition.","ISBN":"978-1-292-28246-6","language":"eng","publisher":"Pearson Education Limited","publisher-place":"Harlow, England","source":"librarysearch.uwtsd.ac.uk","title":"Exploring strategy: text and cases","title-short":"Exploring strategy","author":[{"literal":"Regnér Patrick"},{"literal":"Angwin Duncan"},{"literal":"Johnson Gerry"},{"literal":"Scholes Kevan"},{"literal":"Whittington Richard"}],"issued":{"date-parts":[["2020"]]}}}],"schema":"https://github.com/citation-style-language/schema/raw/master/csl-citation.json"} </w:instrText>
      </w:r>
      <w:r w:rsidR="005B3186">
        <w:fldChar w:fldCharType="separate"/>
      </w:r>
      <w:r w:rsidR="005B3186" w:rsidRPr="005B3186">
        <w:rPr>
          <w:rFonts w:ascii="Aptos" w:cs="Times New Roman"/>
          <w:kern w:val="0"/>
        </w:rPr>
        <w:t xml:space="preserve">(Regnér </w:t>
      </w:r>
      <w:r w:rsidR="005B3186" w:rsidRPr="44B60DB8">
        <w:rPr>
          <w:rFonts w:ascii="Aptos" w:cs="Times New Roman"/>
          <w:i/>
          <w:iCs/>
          <w:kern w:val="0"/>
        </w:rPr>
        <w:t>et al.</w:t>
      </w:r>
      <w:r w:rsidR="005B3186" w:rsidRPr="005B3186">
        <w:rPr>
          <w:rFonts w:ascii="Aptos" w:cs="Times New Roman"/>
          <w:kern w:val="0"/>
        </w:rPr>
        <w:t>, 2020)</w:t>
      </w:r>
      <w:r w:rsidR="005B3186">
        <w:fldChar w:fldCharType="end"/>
      </w:r>
      <w:r w:rsidR="000D5672">
        <w:t xml:space="preserve"> </w:t>
      </w:r>
      <w:r w:rsidR="000121E0">
        <w:t xml:space="preserve">One of significant development has been continued expansion on US </w:t>
      </w:r>
      <w:r w:rsidR="008B4628">
        <w:t>market.</w:t>
      </w:r>
      <w:r w:rsidR="00C76C22">
        <w:t xml:space="preserve"> Although TOAST had previously operated an e-commerce platform serving US customers, the company has increasingly focused on establishing physical retail stores to enhance brand visibility and international recognition</w:t>
      </w:r>
      <w:r w:rsidR="0086564F">
        <w:t>.</w:t>
      </w:r>
      <w:r w:rsidR="00E739AC">
        <w:t xml:space="preserve"> International expansion represents a strategic growth initiative</w:t>
      </w:r>
      <w:r w:rsidR="006351E3">
        <w:t xml:space="preserve"> and according to </w:t>
      </w:r>
      <w:r w:rsidR="006351E3">
        <w:fldChar w:fldCharType="begin"/>
      </w:r>
      <w:r w:rsidR="00420C29">
        <w:instrText xml:space="preserve"> ADDIN ZOTERO_ITEM CSL_CITATION {"citationID":"9pp96IRd","properties":{"formattedCitation":"(Grant, no date)","plainCitation":"(Grant, no date)","dontUpdate":true,"noteIndex":0},"citationItems":[{"id":424,"uris":["http://zotero.org/users/17151418/items/A7XL7A69"],"itemData":{"id":424,"type":"article-journal","language":"en","source":"Zotero","title":"Contemporary Strategy Analysis","author":[{"family":"Grant","given":"Robert M"}]}}],"schema":"https://github.com/citation-style-language/schema/raw/master/csl-citation.json"} </w:instrText>
      </w:r>
      <w:r w:rsidR="006351E3">
        <w:fldChar w:fldCharType="separate"/>
      </w:r>
      <w:r w:rsidR="006351E3">
        <w:rPr>
          <w:noProof/>
        </w:rPr>
        <w:t>Grant (20</w:t>
      </w:r>
      <w:r w:rsidR="005033ED">
        <w:rPr>
          <w:noProof/>
        </w:rPr>
        <w:t>22</w:t>
      </w:r>
      <w:r w:rsidR="006351E3">
        <w:rPr>
          <w:noProof/>
        </w:rPr>
        <w:t>)</w:t>
      </w:r>
      <w:r w:rsidR="006351E3">
        <w:fldChar w:fldCharType="end"/>
      </w:r>
      <w:r w:rsidR="00656C50">
        <w:t xml:space="preserve"> expansion into new markets and diversification are essential for sustaining competitive advantage in dynamic </w:t>
      </w:r>
      <w:r w:rsidR="1171257B">
        <w:t>industries.</w:t>
      </w:r>
      <w:r w:rsidR="00A64F7A">
        <w:t xml:space="preserve"> </w:t>
      </w:r>
      <w:r w:rsidR="004116B6">
        <w:t>TOAST market di</w:t>
      </w:r>
      <w:r w:rsidR="00C775F5">
        <w:t xml:space="preserve">versification </w:t>
      </w:r>
      <w:r w:rsidR="007419D8">
        <w:t>includes</w:t>
      </w:r>
      <w:r w:rsidR="00C775F5">
        <w:t xml:space="preserve"> </w:t>
      </w:r>
      <w:r w:rsidR="009C0292">
        <w:t>expanding from the United Kingdom into the United States reduces reliance on one market. This helps lower financial risk and creates new opportunities for growth.</w:t>
      </w:r>
    </w:p>
    <w:p w14:paraId="2DB2BA88" w14:textId="2BE062AD" w:rsidR="00B6242D" w:rsidRDefault="008A1253">
      <w:r>
        <w:t xml:space="preserve">Sustainability has also become a central part of the company’s strategy. TOAST has expanded its circular initiatives across both retail stores and e-commerce platforms, introducing repair services and garment longevity programmes. This approach shows a focus differentiation strategy, where a company targets a specific market segment and creates competitive advantage through </w:t>
      </w:r>
      <w:r w:rsidR="00CF01A6">
        <w:t>creative</w:t>
      </w:r>
      <w:r>
        <w:t xml:space="preserve"> </w:t>
      </w:r>
      <w:r w:rsidR="00CF01A6">
        <w:t>ideas</w:t>
      </w:r>
      <w:r>
        <w:t xml:space="preserve"> such as sustainability and product quality</w:t>
      </w:r>
      <w:r w:rsidR="00341285">
        <w:t>.</w:t>
      </w:r>
      <w:r>
        <w:t xml:space="preserve"> (Porter, 1998).</w:t>
      </w:r>
    </w:p>
    <w:p w14:paraId="3C2DDCFC" w14:textId="71DB3779" w:rsidR="00524D07" w:rsidRDefault="00C85BEE">
      <w:r>
        <w:t>TOAST has rented a warehouse in the United States so that returns from US stores and customers can be processed locally. It also reduces customs costs because products do not need to be sent back to the U</w:t>
      </w:r>
      <w:r w:rsidR="00440164">
        <w:t>nited Kingdom</w:t>
      </w:r>
      <w:r>
        <w:t xml:space="preserve">. </w:t>
      </w:r>
    </w:p>
    <w:p w14:paraId="17A26500" w14:textId="532AE2FE" w:rsidR="00E66020" w:rsidRPr="00E66020" w:rsidRDefault="00524D07" w:rsidP="44B60DB8">
      <w:pPr>
        <w:pStyle w:val="NormalWeb"/>
        <w:rPr>
          <w:rFonts w:asciiTheme="minorHAnsi" w:hAnsiTheme="minorHAnsi" w:cs="Arial"/>
        </w:rPr>
      </w:pPr>
      <w:r w:rsidRPr="44B60DB8">
        <w:rPr>
          <w:rFonts w:asciiTheme="minorHAnsi" w:hAnsiTheme="minorHAnsi" w:cs="Arial"/>
        </w:rPr>
        <w:t>TOAST now operates a bonded warehouse, meaning it does not pay VAT and customs duties until items are sold. This reduces upfront costs and improves cash flow. In a period of rising inflation and supply chain uncertainty, this supports financial stability.</w:t>
      </w:r>
      <w:r w:rsidR="00E66020" w:rsidRPr="44B60DB8">
        <w:rPr>
          <w:rFonts w:asciiTheme="minorHAnsi" w:hAnsiTheme="minorHAnsi" w:cs="Arial"/>
        </w:rPr>
        <w:t xml:space="preserve"> Renting a warehouse in the United States reflects TOAST’s international strategy. </w:t>
      </w:r>
      <w:r w:rsidR="000D6F4C" w:rsidRPr="44B60DB8">
        <w:rPr>
          <w:rFonts w:asciiTheme="minorHAnsi" w:hAnsiTheme="minorHAnsi"/>
        </w:rPr>
        <w:t xml:space="preserve">Companies expanding into other countries must adapt operations to fit local markets </w:t>
      </w:r>
      <w:r w:rsidR="4780268F" w:rsidRPr="44B60DB8">
        <w:rPr>
          <w:rFonts w:asciiTheme="minorHAnsi" w:hAnsiTheme="minorHAnsi"/>
        </w:rPr>
        <w:t>to</w:t>
      </w:r>
      <w:r w:rsidR="000D6F4C" w:rsidRPr="44B60DB8">
        <w:rPr>
          <w:rFonts w:asciiTheme="minorHAnsi" w:hAnsiTheme="minorHAnsi"/>
        </w:rPr>
        <w:t xml:space="preserve"> work efficiently and respond quickly to customer needs.</w:t>
      </w:r>
      <w:r w:rsidR="000D6F4C" w:rsidRPr="44B60DB8">
        <w:rPr>
          <w:rFonts w:asciiTheme="minorHAnsi" w:hAnsiTheme="minorHAnsi" w:cs="Arial"/>
        </w:rPr>
        <w:t xml:space="preserve"> </w:t>
      </w:r>
      <w:r w:rsidRPr="44B60DB8">
        <w:rPr>
          <w:rFonts w:asciiTheme="minorHAnsi" w:hAnsiTheme="minorHAnsi" w:cs="Arial"/>
        </w:rPr>
        <w:fldChar w:fldCharType="begin"/>
      </w:r>
      <w:r w:rsidR="00420C29">
        <w:rPr>
          <w:rFonts w:asciiTheme="minorHAnsi" w:hAnsiTheme="minorHAnsi" w:cs="Arial"/>
        </w:rPr>
        <w:instrText xml:space="preserve"> ADDIN ZOTERO_ITEM CSL_CITATION {"citationID":"LE88w3Sx","properties":{"formattedCitation":"(Regn\\uc0\\u233{}r Patrick {\\i{}et al.}, 2020)","plainCitation":"(Regnér Patrick et al., 2020)","dontUpdate":true,"noteIndex":0},"citationItems":[{"id":422,"uris":["http://zotero.org/users/17151418/items/2884YQSB"],"itemData":{"id":422,"type":"book","abstract":"Exploring Strategy, 12th edition, by Whittington, Regnér, Angwin, Johnson and Scholes has long been the essential introduction to strategy for the managers of today and tomorrow and has sold over one million copies worldwide. From entrepreneurial start-ups to multinationals, charities to government agencies, this book raises the big questions about organisations - how they prosper, how they grow, how they innovate and how they change. Text and Cases also provides a wealth of extra case studies written by experts in the subject to aid and enrich your understanding. Examples are taken from events and organisations as diverse as Adnams, Siemens, Air Asia, Apple, Handlesbanken, Glastonbury and the Indian Premier League. New to this edition: The 12th edition of Exploring Strategy has been comprehensively updated to help you: Understand clearly the key concepts and tools of strategic management; Explore hot topics, including business models, corporate governance, innovation and entrepreneurship; Learn from case studies on world-famous organisations such as ITV, IKEA, Uber, Airbnb, Alibaba, and the Chinese movie business.-- Provided by publisher.","edition":"Twelfth edition.","ISBN":"978-1-292-28246-6","language":"eng","publisher":"Pearson Education Limited","publisher-place":"Harlow, England","source":"librarysearch.uwtsd.ac.uk","title":"Exploring strategy: text and cases","title-short":"Exploring strategy","author":[{"literal":"Regnér Patrick"},{"literal":"Angwin Duncan"},{"literal":"Johnson Gerry"},{"literal":"Scholes Kevan"},{"literal":"Whittington Richard"}],"issued":{"date-parts":[["2020"]]}}}],"schema":"https://github.com/citation-style-language/schema/raw/master/csl-citation.json"} </w:instrText>
      </w:r>
      <w:r w:rsidRPr="44B60DB8">
        <w:rPr>
          <w:rFonts w:asciiTheme="minorHAnsi" w:hAnsiTheme="minorHAnsi" w:cs="Arial"/>
        </w:rPr>
        <w:fldChar w:fldCharType="separate"/>
      </w:r>
      <w:r w:rsidR="00080FD5" w:rsidRPr="44B60DB8">
        <w:rPr>
          <w:rFonts w:ascii="Aptos" w:hAnsiTheme="minorHAnsi"/>
        </w:rPr>
        <w:t xml:space="preserve">(Regnér </w:t>
      </w:r>
      <w:r w:rsidR="00080FD5" w:rsidRPr="44B60DB8">
        <w:rPr>
          <w:rFonts w:ascii="Aptos" w:hAnsiTheme="minorHAnsi"/>
          <w:i/>
          <w:iCs/>
        </w:rPr>
        <w:t>et al.</w:t>
      </w:r>
      <w:r w:rsidR="00080FD5" w:rsidRPr="44B60DB8">
        <w:rPr>
          <w:rFonts w:ascii="Aptos" w:hAnsiTheme="minorHAnsi"/>
        </w:rPr>
        <w:t>, 2020)</w:t>
      </w:r>
      <w:r w:rsidRPr="44B60DB8">
        <w:rPr>
          <w:rFonts w:asciiTheme="minorHAnsi" w:hAnsiTheme="minorHAnsi" w:cs="Arial"/>
        </w:rPr>
        <w:fldChar w:fldCharType="end"/>
      </w:r>
    </w:p>
    <w:p w14:paraId="2B55F4AF" w14:textId="7B4D95BD" w:rsidR="007D2021" w:rsidRPr="00FD2C03" w:rsidRDefault="44B60DB8" w:rsidP="00161882">
      <w:pPr>
        <w:pStyle w:val="Heading1"/>
        <w:jc w:val="center"/>
        <w:rPr>
          <w:color w:val="000000" w:themeColor="text1"/>
        </w:rPr>
      </w:pPr>
      <w:bookmarkStart w:id="2" w:name="OLE_LINK1"/>
      <w:bookmarkStart w:id="3" w:name="_Toc224748788"/>
      <w:r w:rsidRPr="00FD2C03">
        <w:rPr>
          <w:color w:val="000000" w:themeColor="text1"/>
        </w:rPr>
        <w:t xml:space="preserve">3. </w:t>
      </w:r>
      <w:r w:rsidR="00020C66" w:rsidRPr="00FD2C03">
        <w:rPr>
          <w:color w:val="000000" w:themeColor="text1"/>
        </w:rPr>
        <w:t>External Envir</w:t>
      </w:r>
      <w:r w:rsidR="008C52B4" w:rsidRPr="00FD2C03">
        <w:rPr>
          <w:color w:val="000000" w:themeColor="text1"/>
        </w:rPr>
        <w:t>on</w:t>
      </w:r>
      <w:r w:rsidR="00020C66" w:rsidRPr="00FD2C03">
        <w:rPr>
          <w:color w:val="000000" w:themeColor="text1"/>
        </w:rPr>
        <w:t>ment and Stakeholders</w:t>
      </w:r>
      <w:bookmarkEnd w:id="3"/>
    </w:p>
    <w:p w14:paraId="372A669E" w14:textId="4D1653B0" w:rsidR="00FD2C03" w:rsidRPr="00161882" w:rsidRDefault="00FD2C03" w:rsidP="00FD2C03">
      <w:pPr>
        <w:pStyle w:val="Heading1"/>
        <w:rPr>
          <w:color w:val="000000" w:themeColor="text1"/>
          <w:sz w:val="32"/>
          <w:szCs w:val="32"/>
        </w:rPr>
      </w:pPr>
      <w:bookmarkStart w:id="4" w:name="_Toc224748789"/>
      <w:r w:rsidRPr="00161882">
        <w:rPr>
          <w:color w:val="000000" w:themeColor="text1"/>
          <w:sz w:val="32"/>
          <w:szCs w:val="32"/>
        </w:rPr>
        <w:t>3.1 Steep</w:t>
      </w:r>
      <w:bookmarkEnd w:id="4"/>
      <w:r w:rsidRPr="00161882">
        <w:rPr>
          <w:color w:val="000000" w:themeColor="text1"/>
          <w:sz w:val="32"/>
          <w:szCs w:val="32"/>
        </w:rPr>
        <w:t xml:space="preserve"> </w:t>
      </w:r>
    </w:p>
    <w:p w14:paraId="724AB484" w14:textId="4B37846F" w:rsidR="00020C66" w:rsidRDefault="00AF3366" w:rsidP="44B60DB8">
      <w:r>
        <w:t>To analyse the external environment of TOAST, the strategic planning framework STEEP will be applied</w:t>
      </w:r>
      <w:r w:rsidR="00341285">
        <w:t>.</w:t>
      </w:r>
      <w:r>
        <w:t xml:space="preserve"> (Worthington, 2006). This framework helps organisations understand macro-environmental influences before making strategic decisions.</w:t>
      </w:r>
    </w:p>
    <w:p w14:paraId="7D125003" w14:textId="002A54F0" w:rsidR="007A48BE" w:rsidRPr="00161882" w:rsidRDefault="003068ED" w:rsidP="00020C66">
      <w:pPr>
        <w:rPr>
          <w:u w:val="single"/>
        </w:rPr>
      </w:pPr>
      <w:r w:rsidRPr="00161882">
        <w:rPr>
          <w:u w:val="single"/>
        </w:rPr>
        <w:lastRenderedPageBreak/>
        <w:t>Social Factors</w:t>
      </w:r>
    </w:p>
    <w:p w14:paraId="74EB03B3" w14:textId="677A6E18" w:rsidR="00770845" w:rsidRDefault="0016353F" w:rsidP="00020C66">
      <w:pPr>
        <w:rPr>
          <w:sz w:val="32"/>
          <w:szCs w:val="32"/>
        </w:rPr>
      </w:pPr>
      <w:r>
        <w:t>Clients’</w:t>
      </w:r>
      <w:r w:rsidR="00AD4C48">
        <w:t xml:space="preserve"> </w:t>
      </w:r>
      <w:r w:rsidR="009D1CE8">
        <w:t>preferences influence the fashion industry. McKinsey</w:t>
      </w:r>
      <w:r w:rsidR="00454653">
        <w:t xml:space="preserve"> &amp; Company</w:t>
      </w:r>
      <w:r w:rsidR="009D1CE8">
        <w:t xml:space="preserve"> (2025) highlights that the sector is shaped by evolving customer behaviour. Customers now place greater </w:t>
      </w:r>
      <w:r w:rsidR="004C0A60">
        <w:t>awareness</w:t>
      </w:r>
      <w:r w:rsidR="009D1CE8">
        <w:t xml:space="preserve"> on sustainability and product quality (McKinsey</w:t>
      </w:r>
      <w:r w:rsidR="00A2234C">
        <w:t xml:space="preserve"> &amp; Company</w:t>
      </w:r>
      <w:r w:rsidR="009D1CE8">
        <w:t xml:space="preserve">, 2023). Ethical production and concerns related to modern slavery are also becoming more significant (Lusty and Richards, 2024). These trends create opportunities for TOAST because the brand focuses on slow fashion, craftsmanship and repair services. However, economic uncertainty may encourage </w:t>
      </w:r>
      <w:r w:rsidR="00BC7897">
        <w:t>clients</w:t>
      </w:r>
      <w:r w:rsidR="009D1CE8">
        <w:t xml:space="preserve"> to choose cheaper alternatives (Colasante et al., 2025).</w:t>
      </w:r>
    </w:p>
    <w:p w14:paraId="092E114A" w14:textId="7AA8A53F" w:rsidR="00796F5D" w:rsidRPr="00161882" w:rsidRDefault="004F5F8E" w:rsidP="00020C66">
      <w:pPr>
        <w:rPr>
          <w:u w:val="single"/>
        </w:rPr>
      </w:pPr>
      <w:r w:rsidRPr="00161882">
        <w:rPr>
          <w:u w:val="single"/>
        </w:rPr>
        <w:t xml:space="preserve">Technological Factors </w:t>
      </w:r>
    </w:p>
    <w:p w14:paraId="73EA6F32" w14:textId="6510A930" w:rsidR="005619AF" w:rsidRDefault="005619AF" w:rsidP="00020C66">
      <w:pPr>
        <w:rPr>
          <w:sz w:val="32"/>
          <w:szCs w:val="32"/>
        </w:rPr>
      </w:pPr>
      <w:r>
        <w:t>Technological developments such as e-commerce, digital marketing and data analytics are transforming retail operations (Verhoef et al., 2021). Customers increasingly expect integrated online and offline shopping, fast delivery, and easy returns. Retailers therefore need to invest in digital systems and logistics technologies to remain competitive</w:t>
      </w:r>
      <w:r w:rsidR="00341285">
        <w:t>.</w:t>
      </w:r>
      <w:r>
        <w:t xml:space="preserve"> (</w:t>
      </w:r>
      <w:r w:rsidR="00B074CA">
        <w:t>Slack and Brandon-Jones, 2019</w:t>
      </w:r>
      <w:r>
        <w:t>) While TOAST has expanded its warehouse operations, some logistics processes may still rely on manual work, which could limit efficiency. Greater investment in digital warehouse systems could improve operational performance and support future growth.</w:t>
      </w:r>
    </w:p>
    <w:p w14:paraId="35E053DA" w14:textId="39834A7D" w:rsidR="007C71F9" w:rsidRPr="00161882" w:rsidRDefault="00A60AF9" w:rsidP="00020C66">
      <w:pPr>
        <w:rPr>
          <w:u w:val="single"/>
        </w:rPr>
      </w:pPr>
      <w:r w:rsidRPr="00161882">
        <w:rPr>
          <w:u w:val="single"/>
        </w:rPr>
        <w:t xml:space="preserve">Economic Factors </w:t>
      </w:r>
    </w:p>
    <w:p w14:paraId="1B194823" w14:textId="11004043" w:rsidR="00EB1834" w:rsidRDefault="006334E6" w:rsidP="00020C66">
      <w:pPr>
        <w:rPr>
          <w:sz w:val="32"/>
          <w:szCs w:val="32"/>
        </w:rPr>
      </w:pPr>
      <w:r>
        <w:t>Post-Brexit regulations increased trade complexity for UK companies</w:t>
      </w:r>
      <w:r w:rsidR="003368E7">
        <w:t>.</w:t>
      </w:r>
      <w:r>
        <w:t xml:space="preserve"> (Office, 2023) TOAST’s bonded warehouse and US warehouse help reduce customs costs and improve cash flow.</w:t>
      </w:r>
    </w:p>
    <w:p w14:paraId="1CC5E38E" w14:textId="4DBBC9E2" w:rsidR="00DB7CED" w:rsidRPr="00161882" w:rsidRDefault="00DB7CED" w:rsidP="00020C66">
      <w:pPr>
        <w:rPr>
          <w:u w:val="single"/>
        </w:rPr>
      </w:pPr>
      <w:r w:rsidRPr="00161882">
        <w:rPr>
          <w:u w:val="single"/>
        </w:rPr>
        <w:t>Environmental</w:t>
      </w:r>
      <w:r w:rsidR="00F2796D" w:rsidRPr="00161882">
        <w:rPr>
          <w:u w:val="single"/>
        </w:rPr>
        <w:t xml:space="preserve"> Factors </w:t>
      </w:r>
    </w:p>
    <w:p w14:paraId="3578867D" w14:textId="5267C270" w:rsidR="00BF46A8" w:rsidRDefault="00BF46A8" w:rsidP="00020C66">
      <w:pPr>
        <w:rPr>
          <w:sz w:val="32"/>
          <w:szCs w:val="32"/>
        </w:rPr>
      </w:pPr>
      <w:r>
        <w:t xml:space="preserve">Environmental regulations and </w:t>
      </w:r>
      <w:r w:rsidR="00E0105B">
        <w:t>customers’</w:t>
      </w:r>
      <w:r>
        <w:t xml:space="preserve"> expectations are increasing in the fashion industry (Weber, 2025; Lu et al., 2022). TOAST responds through repair services, reduced </w:t>
      </w:r>
      <w:r w:rsidR="00257439">
        <w:t>overproduction,</w:t>
      </w:r>
      <w:r>
        <w:t xml:space="preserve"> and biodegradable packaging.</w:t>
      </w:r>
    </w:p>
    <w:p w14:paraId="7F91A98B" w14:textId="100EBB91" w:rsidR="000600A6" w:rsidRPr="00161882" w:rsidRDefault="00DD1320" w:rsidP="00020C66">
      <w:pPr>
        <w:rPr>
          <w:u w:val="single"/>
        </w:rPr>
      </w:pPr>
      <w:r w:rsidRPr="00161882">
        <w:rPr>
          <w:u w:val="single"/>
        </w:rPr>
        <w:t xml:space="preserve">Political Factors </w:t>
      </w:r>
    </w:p>
    <w:p w14:paraId="1FBF99EA" w14:textId="297931CF" w:rsidR="00291B6C" w:rsidRDefault="00FE3222" w:rsidP="00020C66">
      <w:pPr>
        <w:rPr>
          <w:sz w:val="32"/>
          <w:szCs w:val="32"/>
        </w:rPr>
      </w:pPr>
      <w:r>
        <w:t>Brexit has affected labour availability in the UK logistics sector. The end of free movement reduced the number of EU workers in warehouse and distribution jobs, which has increased labour shortages and labour costs (Sumption, 2022). In addition, TOAST must prepare for stricter sustainability regulations in the European Union, such as the Digital Product Passport and rules against greenwashing</w:t>
      </w:r>
      <w:r w:rsidR="003368E7">
        <w:t>.</w:t>
      </w:r>
      <w:r>
        <w:t xml:space="preserve"> (Karabulut, Çalıkoğlu and Bulut, 2025).</w:t>
      </w:r>
    </w:p>
    <w:p w14:paraId="0DF5F6B0" w14:textId="73A26A3E" w:rsidR="00966B91" w:rsidRPr="00161882" w:rsidRDefault="3B8F15E4" w:rsidP="44B60DB8">
      <w:pPr>
        <w:pStyle w:val="Heading1"/>
        <w:rPr>
          <w:color w:val="000000" w:themeColor="text1"/>
          <w:sz w:val="32"/>
          <w:szCs w:val="32"/>
        </w:rPr>
      </w:pPr>
      <w:bookmarkStart w:id="5" w:name="_Toc224748790"/>
      <w:r w:rsidRPr="00161882">
        <w:rPr>
          <w:color w:val="000000" w:themeColor="text1"/>
          <w:sz w:val="32"/>
          <w:szCs w:val="32"/>
        </w:rPr>
        <w:lastRenderedPageBreak/>
        <w:t>3.</w:t>
      </w:r>
      <w:r w:rsidR="002367DF">
        <w:rPr>
          <w:color w:val="000000" w:themeColor="text1"/>
          <w:sz w:val="32"/>
          <w:szCs w:val="32"/>
        </w:rPr>
        <w:t>2</w:t>
      </w:r>
      <w:r w:rsidRPr="00161882">
        <w:rPr>
          <w:color w:val="000000" w:themeColor="text1"/>
          <w:sz w:val="32"/>
          <w:szCs w:val="32"/>
        </w:rPr>
        <w:t xml:space="preserve"> </w:t>
      </w:r>
      <w:r w:rsidR="00966B91" w:rsidRPr="00161882">
        <w:rPr>
          <w:color w:val="000000" w:themeColor="text1"/>
          <w:sz w:val="32"/>
          <w:szCs w:val="32"/>
        </w:rPr>
        <w:t>Porter Five Forces</w:t>
      </w:r>
      <w:bookmarkEnd w:id="5"/>
      <w:r w:rsidR="00966B91" w:rsidRPr="00161882">
        <w:rPr>
          <w:color w:val="000000" w:themeColor="text1"/>
          <w:sz w:val="32"/>
          <w:szCs w:val="32"/>
        </w:rPr>
        <w:t xml:space="preserve"> </w:t>
      </w:r>
    </w:p>
    <w:p w14:paraId="2758ADB8" w14:textId="24D05EA2" w:rsidR="002250A7" w:rsidRDefault="002250A7" w:rsidP="002250A7">
      <w:r>
        <w:t>As Porter (2008</w:t>
      </w:r>
      <w:r w:rsidR="0018531B">
        <w:t>, p. 25</w:t>
      </w:r>
      <w:r>
        <w:t>) argues, “</w:t>
      </w:r>
      <w:r w:rsidR="00221B2F">
        <w:t>The</w:t>
      </w:r>
      <w:r>
        <w:t xml:space="preserve"> essence of strategy is coping with competition.” Consequently, Porter’s Five Forces framework will be applied to evaluate TOAST’s competitive position and its potential for long-term profitability.</w:t>
      </w:r>
    </w:p>
    <w:p w14:paraId="2BCC9054" w14:textId="46C19443" w:rsidR="00552C3E" w:rsidRPr="00FD2C03" w:rsidRDefault="00FD2C03" w:rsidP="00FD2C03">
      <w:pPr>
        <w:rPr>
          <w:u w:val="single"/>
        </w:rPr>
      </w:pPr>
      <w:r w:rsidRPr="00FD2C03">
        <w:rPr>
          <w:u w:val="single"/>
        </w:rPr>
        <w:t xml:space="preserve">1. </w:t>
      </w:r>
      <w:r w:rsidR="00052E12" w:rsidRPr="00FD2C03">
        <w:rPr>
          <w:u w:val="single"/>
        </w:rPr>
        <w:t xml:space="preserve">Competitive </w:t>
      </w:r>
      <w:r w:rsidR="00981A3D" w:rsidRPr="00FD2C03">
        <w:rPr>
          <w:u w:val="single"/>
        </w:rPr>
        <w:t>Rivalry</w:t>
      </w:r>
      <w:r w:rsidR="00FD0775" w:rsidRPr="00FD2C03">
        <w:rPr>
          <w:u w:val="single"/>
        </w:rPr>
        <w:t xml:space="preserve"> </w:t>
      </w:r>
    </w:p>
    <w:p w14:paraId="0F6C2D5C" w14:textId="1167CF4A" w:rsidR="00D22752" w:rsidRDefault="007E6D04" w:rsidP="00FD2C03">
      <w:pPr>
        <w:rPr>
          <w:rFonts w:ascii="Aptos" w:cs="Times New Roman"/>
        </w:rPr>
      </w:pPr>
      <w:r>
        <w:t xml:space="preserve">TOAST operates in a highly competitive fashion industry where rivalry is </w:t>
      </w:r>
      <w:r w:rsidR="00646906">
        <w:t>high</w:t>
      </w:r>
      <w:r>
        <w:t>. At the same time, fast fashion brands like Primark and Zara create significant price pressure by offering similar styles at lower prices.</w:t>
      </w:r>
      <w:r w:rsidR="001E3041" w:rsidRPr="001E3041">
        <w:t xml:space="preserve"> </w:t>
      </w:r>
      <w:r w:rsidR="001E3041">
        <w:t xml:space="preserve">Similar designs are widely </w:t>
      </w:r>
      <w:r w:rsidR="5AA2610D">
        <w:t>available;</w:t>
      </w:r>
      <w:r w:rsidR="001E3041">
        <w:t xml:space="preserve"> customers can easily switch to cheaper alternatives. This</w:t>
      </w:r>
      <w:r>
        <w:t xml:space="preserve"> increases buyer power and may negatively affect long-term profitability.</w:t>
      </w:r>
      <w:r w:rsidR="44FEBD4D">
        <w:t xml:space="preserve"> </w:t>
      </w:r>
      <w:r w:rsidR="00CF294F">
        <w:fldChar w:fldCharType="begin"/>
      </w:r>
      <w:r w:rsidR="00420C29">
        <w:instrText xml:space="preserve"> ADDIN ZOTERO_ITEM CSL_CITATION {"citationID":"KH4nhL6M","properties":{"formattedCitation":"(Regn\\uc0\\u233{}r Patrick {\\i{}et al.}, 2020)","plainCitation":"(Regnér Patrick et al., 2020)","dontUpdate":true,"noteIndex":0},"citationItems":[{"id":422,"uris":["http://zotero.org/users/17151418/items/2884YQSB"],"itemData":{"id":422,"type":"book","abstract":"Exploring Strategy, 12th edition, by Whittington, Regnér, Angwin, Johnson and Scholes has long been the essential introduction to strategy for the managers of today and tomorrow and has sold over one million copies worldwide. From entrepreneurial start-ups to multinationals, charities to government agencies, this book raises the big questions about organisations - how they prosper, how they grow, how they innovate and how they change. Text and Cases also provides a wealth of extra case studies written by experts in the subject to aid and enrich your understanding. Examples are taken from events and organisations as diverse as Adnams, Siemens, Air Asia, Apple, Handlesbanken, Glastonbury and the Indian Premier League. New to this edition: The 12th edition of Exploring Strategy has been comprehensively updated to help you: Understand clearly the key concepts and tools of strategic management; Explore hot topics, including business models, corporate governance, innovation and entrepreneurship; Learn from case studies on world-famous organisations such as ITV, IKEA, Uber, Airbnb, Alibaba, and the Chinese movie business.-- Provided by publisher.","edition":"Twelfth edition.","ISBN":"978-1-292-28246-6","language":"eng","publisher":"Pearson Education Limited","publisher-place":"Harlow, England","source":"librarysearch.uwtsd.ac.uk","title":"Exploring strategy: text and cases","title-short":"Exploring strategy","author":[{"literal":"Regnér Patrick"},{"literal":"Angwin Duncan"},{"literal":"Johnson Gerry"},{"literal":"Scholes Kevan"},{"literal":"Whittington Richard"}],"issued":{"date-parts":[["2020"]]}}}],"schema":"https://github.com/citation-style-language/schema/raw/master/csl-citation.json"} </w:instrText>
      </w:r>
      <w:r w:rsidR="00CF294F">
        <w:fldChar w:fldCharType="separate"/>
      </w:r>
      <w:r w:rsidR="005076B4" w:rsidRPr="005076B4">
        <w:rPr>
          <w:rFonts w:ascii="Aptos" w:cs="Times New Roman"/>
          <w:kern w:val="0"/>
        </w:rPr>
        <w:t xml:space="preserve">(Regnér </w:t>
      </w:r>
      <w:r w:rsidR="005076B4" w:rsidRPr="44B60DB8">
        <w:rPr>
          <w:rFonts w:ascii="Aptos" w:cs="Times New Roman"/>
          <w:i/>
          <w:iCs/>
          <w:kern w:val="0"/>
        </w:rPr>
        <w:t>et al.</w:t>
      </w:r>
      <w:r w:rsidR="005076B4" w:rsidRPr="005076B4">
        <w:rPr>
          <w:rFonts w:ascii="Aptos" w:cs="Times New Roman"/>
          <w:kern w:val="0"/>
        </w:rPr>
        <w:t>, 2020)</w:t>
      </w:r>
      <w:r w:rsidR="00CF294F">
        <w:fldChar w:fldCharType="end"/>
      </w:r>
    </w:p>
    <w:p w14:paraId="6B9A6AAB" w14:textId="2712D844" w:rsidR="005076B4" w:rsidRPr="00FD2C03" w:rsidRDefault="00FD2C03" w:rsidP="00FD2C03">
      <w:pPr>
        <w:rPr>
          <w:u w:val="single"/>
        </w:rPr>
      </w:pPr>
      <w:r w:rsidRPr="00FD2C03">
        <w:rPr>
          <w:u w:val="single"/>
        </w:rPr>
        <w:t xml:space="preserve">2. </w:t>
      </w:r>
      <w:r w:rsidR="007420FB" w:rsidRPr="00FD2C03">
        <w:rPr>
          <w:u w:val="single"/>
        </w:rPr>
        <w:t xml:space="preserve">Threat of New Entrants </w:t>
      </w:r>
    </w:p>
    <w:p w14:paraId="7DFA85C4" w14:textId="773DA988" w:rsidR="007420FB" w:rsidRDefault="004E7E43" w:rsidP="00FD2C03">
      <w:r>
        <w:t xml:space="preserve">Barriers to entry in the fashion industry are moderate. One of the key factors influencing entry is the increased availability of online sales channels. Following COVID-19, </w:t>
      </w:r>
      <w:r w:rsidR="47DA7F8D">
        <w:t>a sizeable proportion</w:t>
      </w:r>
      <w:r>
        <w:t xml:space="preserve"> of product sales shifted to e-commerce, creating great conditions for new start-ups to enter the market.</w:t>
      </w:r>
      <w:r w:rsidR="00DE4E60">
        <w:t xml:space="preserve"> </w:t>
      </w:r>
      <w:r>
        <w:fldChar w:fldCharType="begin"/>
      </w:r>
      <w:r w:rsidR="00420C29">
        <w:instrText xml:space="preserve"> ADDIN ZOTERO_ITEM CSL_CITATION {"citationID":"KvV8x8tO","properties":{"formattedCitation":"(Laudon and Traver, 2022)","plainCitation":"(Laudon and Traver, 2022)","noteIndex":0},"citationItems":[{"id":447,"uris":["http://zotero.org/users/17151418/items/PMRXNEQH"],"itemData":{"id":447,"type":"book","abstract":"\"E-commerce 2021: business.technology.society 16E provides you with an in-depth introduction to the field of e-commerce. We focus on key concepts, and the latest empirical and financial data, that will help you understand and take advantage of the evolving world of opportunity offered by e-commerce, which is dramatically altering the way business is conducted and driving major shifts in the global economy\"-- Provided by publisher","edition":"Sixteenth edition","ISBN":"978-0-13-693170-6","language":"en","note":"OCLC: 1198085842","publisher":"Pearson","publisher-place":"Hoboken","source":"Open WorldCat","title":"E-commerce: business, technology and society","title-short":"E-commerce","author":[{"family":"Laudon","given":"Kenneth C."},{"family":"Traver","given":"Carol Guercio"}],"issued":{"date-parts":[["2022"]]}}}],"schema":"https://github.com/citation-style-language/schema/raw/master/csl-citation.json"} </w:instrText>
      </w:r>
      <w:r>
        <w:fldChar w:fldCharType="separate"/>
      </w:r>
      <w:r w:rsidR="00217745" w:rsidRPr="44B60DB8">
        <w:rPr>
          <w:noProof/>
        </w:rPr>
        <w:t>(Laudon and Traver, 2022)</w:t>
      </w:r>
      <w:r>
        <w:fldChar w:fldCharType="end"/>
      </w:r>
      <w:r>
        <w:t xml:space="preserve"> In addition, social media platforms make it easier to promote products and build brand awareness. However, this also increases the threat of new entrants, as lower financial requirements to start a business in</w:t>
      </w:r>
      <w:r w:rsidR="00FC1DFF">
        <w:t>crease</w:t>
      </w:r>
      <w:r>
        <w:t xml:space="preserve"> competition within the industry.</w:t>
      </w:r>
      <w:r w:rsidR="00973016">
        <w:t xml:space="preserve"> </w:t>
      </w:r>
      <w:r>
        <w:fldChar w:fldCharType="begin"/>
      </w:r>
      <w:r w:rsidR="00420C29">
        <w:instrText xml:space="preserve"> ADDIN ZOTERO_ITEM CSL_CITATION {"citationID":"0syv0yDo","properties":{"formattedCitation":"(Kapanowsk, 2020)","plainCitation":"(Kapanowsk, 2020)","noteIndex":0},"citationItems":[{"id":448,"uris":["http://zotero.org/users/17151418/items/7I82PI3U"],"itemData":{"id":448,"type":"document","abstract":"In the Box Score article on the charts that changed the word, we learned how business strategy evolved with the Boston Consulting Group's contributions of the growth matrix and experience curve in the 1960s.1 The next chart was developed by Michael Porter in 1979 to reframe the idea of competition or rivalry between companies as one of five forces that shape industry strategy2 By viewing the forces collectively, organizations can understand why some industries were inherently more profitable than others over time. Porter's analysis was a comprehensive review of business strategy to allow organizations to assess their competitive position according to their strength of the five forces and their ability to identify trends, exploit opportunities, and reshape the forces into their favor.3 Introduction to the five forces The development of the five forces originated to assist corporate strategists in understanding competition. Barriers to entry can prevent the level of new entrants that include: capital requirements for fixed and other costs including customer credit, building inventories, and startup costs; customer switching cost represented by changing of enterprise resource planning (ERP) software; demand-side benefits of scale where buyers trust existing companies for critical product; incumbency advantages due to proprietary technology, preferential access to resources, brand identification, and cumulative experience or experience curve;5 restrictive government policy of regulations, which include airlines, liquor retailing, and foreign investment; supply-side economies of scale due to large volumes allowing for lower costs; and unequal access to distribution channels. Bargaining power of buyers Powerful customers can reduce profitability through demanding higher quality, more service, and lower prices, resulting in increased competition between organizations to retain or gain market share.","language":"eng","note":"ISSN: 1092-8057\nissue: 6\npage: 43–47\ncontainer-title: Cost management\nvolume: 34","publisher":"Thomson Reuters Tax &amp; Accounting Inc","publisher-place":"Boston","source":"librarysearch.uwtsd.ac.uk","title":"THE FIVE FORCES THAT SHAPE INDUSTRY COMPETITION","author":[{"family":"Kapanowsk","given":"Gary"}],"issued":{"date-parts":[["2020"]]}}}],"schema":"https://github.com/citation-style-language/schema/raw/master/csl-citation.json"} </w:instrText>
      </w:r>
      <w:r>
        <w:fldChar w:fldCharType="separate"/>
      </w:r>
      <w:r w:rsidR="00060C70" w:rsidRPr="44B60DB8">
        <w:rPr>
          <w:noProof/>
        </w:rPr>
        <w:t>(Kapanowsk, 2020)</w:t>
      </w:r>
      <w:r>
        <w:fldChar w:fldCharType="end"/>
      </w:r>
    </w:p>
    <w:p w14:paraId="5F69F199" w14:textId="32E34F92" w:rsidR="00060C70" w:rsidRPr="00FD2C03" w:rsidRDefault="00BF3401" w:rsidP="00FD2C03">
      <w:pPr>
        <w:rPr>
          <w:u w:val="single"/>
        </w:rPr>
      </w:pPr>
      <w:r w:rsidRPr="00FD2C03">
        <w:rPr>
          <w:u w:val="single"/>
        </w:rPr>
        <w:t xml:space="preserve">3. </w:t>
      </w:r>
      <w:r w:rsidR="008323DE" w:rsidRPr="00FD2C03">
        <w:rPr>
          <w:u w:val="single"/>
        </w:rPr>
        <w:t xml:space="preserve">Supplier Power </w:t>
      </w:r>
    </w:p>
    <w:p w14:paraId="235E5F45" w14:textId="139DD107" w:rsidR="008C7665" w:rsidRDefault="001F6535" w:rsidP="00FD2C03">
      <w:r>
        <w:t>Supplier power for TOAST is moderate even to high. Organisation</w:t>
      </w:r>
      <w:r w:rsidR="00F028F9">
        <w:t xml:space="preserve"> works with around 170 suppliers worldwide (</w:t>
      </w:r>
      <w:r w:rsidR="008844BD">
        <w:t>TOAST</w:t>
      </w:r>
      <w:r w:rsidR="00F028F9">
        <w:t xml:space="preserve">, 2026). The company </w:t>
      </w:r>
      <w:r w:rsidR="3A0F5B69">
        <w:t>relies</w:t>
      </w:r>
      <w:r w:rsidR="00F028F9">
        <w:t xml:space="preserve"> on textile manufacturers, where production often involves handcraft and specialised skills, which increases dependency on certain suppliers. In addition, TOAST’s commitment to ethical sourcing raises supplier power, as not every manufacturer is able to meet ethical labour standards or use sustainable materials. As a result, TOAST cannot easily switch to alternative suppliers. When suitable options are limited, supplier bargaining power increases within the industry.</w:t>
      </w:r>
      <w:r w:rsidR="00973016">
        <w:t xml:space="preserve"> </w:t>
      </w:r>
      <w:r>
        <w:fldChar w:fldCharType="begin"/>
      </w:r>
      <w:r w:rsidR="00420C29">
        <w:instrText xml:space="preserve"> ADDIN ZOTERO_ITEM CSL_CITATION {"citationID":"1pdTNsku","properties":{"formattedCitation":"(Zheng, Ang and Yang, 2024)","plainCitation":"(Zheng, Ang and Yang, 2024)","noteIndex":0},"citationItems":[{"id":451,"uris":["http://zotero.org/users/17151418/items/IG2G88P3"],"itemData":{"id":451,"type":"article-journal","abstract":"Purpose\nResearch on the relationship between customer bargaining power and supplier performance in supplier–customer relationships has flourished in recent decades. This study aims to empirically investigate whether product market overlap (PMO) in a supply chain moderates the effect of customer bargaining power on supplier profitability.\nDesign/methodology/approach\nThis study uses large-scale secondary data from multiple databases. Econometric panel data techniques are used to test the hypotheses.\nFindings\nThe results show that PMO in a supplier–customer relationship and PMO in supplier–supplier relationships both exacerbate the negative effect of the bargaining power of customers on supplier profitability.\nOriginality/value\nThis study contributes to the field of supply chain management. This study brings new insights into the ongoing debate surrounding the relationship between customer bargaining power and supplier profitability. The study also contributes to the literature on supply chain networks by showing the impact of indirect supply chain relationships.","container-title":"The Journal of business &amp; industrial marketing","DOI":"10.1108/JBIM-03-2023-0131","ISSN":"0885-8624","issue":"7","language":"eng","page":"1614–1625","publisher":"Emerald Publishing Limited","publisher-place":"Santa Barbara","source":"librarysearch.uwtsd.ac.uk","title":"Customer bargaining power and supplier profitability: the moderating role of product market overlap","title-short":"Customer bargaining power and supplier profitability","volume":"39","author":[{"family":"Zheng","given":"Rui"},{"family":"Ang","given":"Sheng"},{"family":"Yang","given":"Feng"}],"issued":{"date-parts":[["2024"]]}}}],"schema":"https://github.com/citation-style-language/schema/raw/master/csl-citation.json"} </w:instrText>
      </w:r>
      <w:r>
        <w:fldChar w:fldCharType="separate"/>
      </w:r>
      <w:r w:rsidR="0012281E" w:rsidRPr="44B60DB8">
        <w:rPr>
          <w:noProof/>
        </w:rPr>
        <w:t>(Zheng, Ang and Yang, 2024)</w:t>
      </w:r>
      <w:r>
        <w:fldChar w:fldCharType="end"/>
      </w:r>
    </w:p>
    <w:p w14:paraId="161354C8" w14:textId="03CBBACA" w:rsidR="00B042EA" w:rsidRPr="00FD2C03" w:rsidRDefault="00B042EA" w:rsidP="00FD2C03">
      <w:pPr>
        <w:rPr>
          <w:u w:val="single"/>
        </w:rPr>
      </w:pPr>
      <w:r w:rsidRPr="00FD2C03">
        <w:rPr>
          <w:u w:val="single"/>
        </w:rPr>
        <w:t xml:space="preserve">4. </w:t>
      </w:r>
      <w:r w:rsidR="00A603B5" w:rsidRPr="00FD2C03">
        <w:rPr>
          <w:u w:val="single"/>
        </w:rPr>
        <w:t>Buyer Power</w:t>
      </w:r>
    </w:p>
    <w:p w14:paraId="69954602" w14:textId="1A2FAAC6" w:rsidR="0030491D" w:rsidRDefault="0030491D" w:rsidP="00FD2C03">
      <w:r>
        <w:t>Customers in the fashion industry have many alternatives; therefore, buyer power is high.</w:t>
      </w:r>
      <w:r w:rsidR="000D5513" w:rsidRPr="000D5513">
        <w:t xml:space="preserve"> </w:t>
      </w:r>
      <w:r w:rsidR="000D5513">
        <w:t>Customers have many alternatives, including online brands and second-hand platforms</w:t>
      </w:r>
      <w:r>
        <w:t xml:space="preserve">. Buyers also have easy access to price comparison. Due to inflation and rising living costs, many customers are more careful with their spending. </w:t>
      </w:r>
      <w:r w:rsidR="00601798">
        <w:fldChar w:fldCharType="begin"/>
      </w:r>
      <w:r w:rsidR="00420C29">
        <w:instrText xml:space="preserve"> ADDIN ZOTERO_ITEM CSL_CITATION {"citationID":"wRlImZep","properties":{"formattedCitation":"(Caisl {\\i{}et al.}, 2023)","plainCitation":"(Caisl et al., 2023)","noteIndex":0},"citationItems":[{"id":452,"uris":["http://zotero.org/users/17151418/items/F3ZA33DK"],"itemData":{"id":452,"type":"book","abstract":"Inflation indices such as national Consumer Price Indices (CPI) and the EU Harmonised Index of Consumer Prices (HICP) measure price changes for the overall economy, which may not reflect the inflation experience of an individual household or group of households. This paper contributes to previous studies of the distributive impact of recent high inflation in EU Member States. Using more recent and granular results, it finds a substantial rise in effective inflation dispersion across households and confirms that lower-income households continue to experience higher inflation. This inflation gap remains even after energy prices have eased and when controlling for other household characteristics. Results also show that the distributive impact of inflation on household groups has varied over time, with changes in relative prices influencing the extent of the impact of inflation across population groups. Finally, differences in effective inflation rates have cumulated, particularly for households with lower incomes, those headed by people aged 60 years or more, and those with lower levels of education.","collection-title":"Working paper","ISBN":"978-92-78-43597-4","language":"eng","publisher":"OECD Publishing","publisher-place":"Paris","source":"librarysearch.uwtsd.ac.uk","title":"The uneven impact of high inflation","volume":"no. 18","author":[{"family":"Caisl","given":"Jakub"},{"family":"Hermida","given":"Luiz"},{"family":"Levy","given":"Horacio"},{"family":"Menyhért","given":"Bálint"}],"issued":{"date-parts":[["2023"]]}}}],"schema":"https://github.com/citation-style-language/schema/raw/master/csl-citation.json"} </w:instrText>
      </w:r>
      <w:r w:rsidR="00601798">
        <w:fldChar w:fldCharType="separate"/>
      </w:r>
      <w:r w:rsidR="000B2295" w:rsidRPr="000B2295">
        <w:rPr>
          <w:rFonts w:ascii="Aptos" w:cs="Times New Roman"/>
          <w:kern w:val="0"/>
        </w:rPr>
        <w:t xml:space="preserve">(Caisl </w:t>
      </w:r>
      <w:r w:rsidR="000B2295" w:rsidRPr="44B60DB8">
        <w:rPr>
          <w:rFonts w:ascii="Aptos" w:cs="Times New Roman"/>
          <w:i/>
          <w:iCs/>
          <w:kern w:val="0"/>
        </w:rPr>
        <w:t>et al.</w:t>
      </w:r>
      <w:r w:rsidR="000B2295" w:rsidRPr="000B2295">
        <w:rPr>
          <w:rFonts w:ascii="Aptos" w:cs="Times New Roman"/>
          <w:kern w:val="0"/>
        </w:rPr>
        <w:t>, 2023)</w:t>
      </w:r>
      <w:r w:rsidR="00601798">
        <w:fldChar w:fldCharType="end"/>
      </w:r>
      <w:r w:rsidR="05E6627C">
        <w:t xml:space="preserve"> </w:t>
      </w:r>
      <w:r>
        <w:t>For TOAST, customers need to perceive additional value to justify the higher prices; otherwise, they can easily switch to another brand.</w:t>
      </w:r>
    </w:p>
    <w:p w14:paraId="6108016B" w14:textId="7998BBA1" w:rsidR="000B2295" w:rsidRPr="00FD2C03" w:rsidRDefault="00CA1283" w:rsidP="00FD2C03">
      <w:pPr>
        <w:rPr>
          <w:u w:val="single"/>
        </w:rPr>
      </w:pPr>
      <w:r w:rsidRPr="00FD2C03">
        <w:rPr>
          <w:u w:val="single"/>
        </w:rPr>
        <w:t xml:space="preserve">5. </w:t>
      </w:r>
      <w:r w:rsidR="00F05ACE" w:rsidRPr="00FD2C03">
        <w:rPr>
          <w:u w:val="single"/>
        </w:rPr>
        <w:t xml:space="preserve">Substitutes </w:t>
      </w:r>
    </w:p>
    <w:p w14:paraId="29917377" w14:textId="4B6F61DF" w:rsidR="00CB4ADB" w:rsidRDefault="00FF316E" w:rsidP="00CB4ADB">
      <w:r>
        <w:lastRenderedPageBreak/>
        <w:t>The threat of substitutes is also high. TOAST focuses on a sustainable approach; however, similar sustainability standards can also be found on second-hand platforms such as Vinted, as well as through clothing rental services or alternative brands. If substitutes are widely available, price sensitivity increases, and it becomes more difficult for the company to maintain high profit levels.</w:t>
      </w:r>
      <w:r w:rsidR="0099481A">
        <w:t xml:space="preserve"> </w:t>
      </w:r>
      <w:r w:rsidR="00F135EC">
        <w:fldChar w:fldCharType="begin"/>
      </w:r>
      <w:r w:rsidR="00420C29">
        <w:instrText xml:space="preserve"> ADDIN ZOTERO_ITEM CSL_CITATION {"citationID":"OlGyTJsK","properties":{"formattedCitation":"(Cai {\\i{}et al.}, 2025)","plainCitation":"(Cai et al., 2025)","noteIndex":0},"citationItems":[{"id":453,"uris":["http://zotero.org/users/17151418/items/AEAAKTWC"],"itemData":{"id":453,"type":"article-journal","abstract":"This paper explores how to reduce supply-demand conflicts in supply chains by utilizing complementary products’ unique relationships and shared objectives. Also, it considers the service level concerns of consumers. Primarily employing game theory, this paper analyzes the pricing strategies of complementary products within a three-tier dual-channel supply chain, the relationship between pricing and service levels, and the performance optimization across channels. Numerical results demonstrate that elevated values of α1 indicate heightened consumer sensitivity to manufacturer price fluctuations. To sustain sales volume, manufacturers are compelled to reduce prices, consequently leading to a decline in equilibrium prices within the market. A rise in β1 induces an across-the-board increase in all price tiers, albeit with differential magnitudes. The intensification of channel competition α2 exerts downward pressure on all pricing components. The retailer’s price demonstrates maximal responsiveness to β2 fluctuations, as retailers directly absorb cost variances.","container-title":"Systems (Basel)","DOI":"10.3390/systems13050360","ISSN":"2079-8954","issue":"5","language":"eng","page":"360-","publisher":"MDPI AG","publisher-place":"Basel","source":"librarysearch.uwtsd.ac.uk","title":"Decision-Making in Complementary Products Supply Chain: Game Theory and Sensitivity Analysis","title-short":"Decision-Making in Complementary Products Supply Chain","volume":"13","author":[{"family":"Cai","given":"Jiashu"},{"family":"Wang","given":"Yong"},{"family":"Wang","given":"Xi"},{"family":"Zhang","given":"Jiamin"},{"family":"Wang","given":"Lihui"}],"issued":{"date-parts":[["2025"]]}}}],"schema":"https://github.com/citation-style-language/schema/raw/master/csl-citation.json"} </w:instrText>
      </w:r>
      <w:r w:rsidR="00F135EC">
        <w:fldChar w:fldCharType="separate"/>
      </w:r>
      <w:r w:rsidR="009A2A85" w:rsidRPr="00CB4ADB">
        <w:rPr>
          <w:rFonts w:ascii="Aptos" w:cs="Times New Roman"/>
          <w:kern w:val="0"/>
        </w:rPr>
        <w:t xml:space="preserve">(Cai </w:t>
      </w:r>
      <w:r w:rsidR="009A2A85" w:rsidRPr="00CB4ADB">
        <w:rPr>
          <w:rFonts w:ascii="Aptos" w:cs="Times New Roman"/>
          <w:i/>
          <w:iCs/>
          <w:kern w:val="0"/>
        </w:rPr>
        <w:t>et al.</w:t>
      </w:r>
      <w:r w:rsidR="009A2A85" w:rsidRPr="00CB4ADB">
        <w:rPr>
          <w:rFonts w:ascii="Aptos" w:cs="Times New Roman"/>
          <w:kern w:val="0"/>
        </w:rPr>
        <w:t>, 2025)</w:t>
      </w:r>
      <w:r w:rsidR="00F135EC">
        <w:fldChar w:fldCharType="end"/>
      </w:r>
      <w:bookmarkStart w:id="6" w:name="_Toc224748791"/>
      <w:bookmarkEnd w:id="2"/>
    </w:p>
    <w:p w14:paraId="59AF5C5C" w14:textId="421137AB" w:rsidR="003A632C" w:rsidRPr="00161882" w:rsidRDefault="71A6C7FF" w:rsidP="00CB4ADB">
      <w:pPr>
        <w:rPr>
          <w:color w:val="000000" w:themeColor="text1"/>
          <w:sz w:val="32"/>
          <w:szCs w:val="32"/>
        </w:rPr>
      </w:pPr>
      <w:r w:rsidRPr="00161882">
        <w:rPr>
          <w:color w:val="000000" w:themeColor="text1"/>
          <w:sz w:val="32"/>
          <w:szCs w:val="32"/>
        </w:rPr>
        <w:t>3.</w:t>
      </w:r>
      <w:r w:rsidR="002367DF">
        <w:rPr>
          <w:color w:val="000000" w:themeColor="text1"/>
          <w:sz w:val="32"/>
          <w:szCs w:val="32"/>
        </w:rPr>
        <w:t>3</w:t>
      </w:r>
      <w:r w:rsidRPr="00161882">
        <w:rPr>
          <w:color w:val="000000" w:themeColor="text1"/>
          <w:sz w:val="32"/>
          <w:szCs w:val="32"/>
        </w:rPr>
        <w:t xml:space="preserve"> </w:t>
      </w:r>
      <w:r w:rsidR="00817A82" w:rsidRPr="00161882">
        <w:rPr>
          <w:color w:val="000000" w:themeColor="text1"/>
          <w:sz w:val="32"/>
          <w:szCs w:val="32"/>
        </w:rPr>
        <w:t>Stakeholder Analysis</w:t>
      </w:r>
      <w:bookmarkEnd w:id="6"/>
      <w:r w:rsidR="00817A82" w:rsidRPr="00161882">
        <w:rPr>
          <w:color w:val="000000" w:themeColor="text1"/>
          <w:sz w:val="32"/>
          <w:szCs w:val="32"/>
        </w:rPr>
        <w:t xml:space="preserve"> </w:t>
      </w:r>
    </w:p>
    <w:p w14:paraId="75861807" w14:textId="10E022EB" w:rsidR="00161743" w:rsidRDefault="000C4D63" w:rsidP="00FD2C03">
      <w:r>
        <w:t xml:space="preserve">Stakeholder analysis identifies groups that influence or are affected by organisational decisions. </w:t>
      </w:r>
      <w:r w:rsidR="00A613C0">
        <w:t>To identify the level of power and interest of TOAST stakeholders, Mendelow’s Power–Interest Matrix will be used</w:t>
      </w:r>
      <w:r w:rsidR="00A96070">
        <w:t xml:space="preserve"> , according to </w:t>
      </w:r>
      <w:r w:rsidR="00A96070">
        <w:fldChar w:fldCharType="begin"/>
      </w:r>
      <w:r w:rsidR="004C25CD">
        <w:instrText xml:space="preserve"> ADDIN ZOTERO_ITEM CSL_CITATION {"citationID":"f1XvVfEx","properties":{"formattedCitation":"(Gianotti and Dami\\uc0\\u227{}o da Silva, 2021)","plainCitation":"(Gianotti and Damião da Silva, 2021)","dontUpdate":true,"noteIndex":0},"citationItems":[{"id":499,"uris":["http://zotero.org/users/17151418/items/M5TXR5M6"],"itemData":{"id":499,"type":"article-journal","abstract":"Purpose\nThe purpose of this paper is to set a framework for strategic management of credit card fraud, by mapping its stakeholders within a card issuer and outlining its ideal strategies.\nDesign/methodology/approach\nThe objectives are attained via case study. Primary data was collected by interviewing two fraud risk managers at the card issuer, while secondary data was collected by gathering all investor reports released from 2015 to 2019 by the financial institution. All data were submitted to content analysis and further analyzed using Mendelow’s power/interest matrix.\nFindings\nSeven groups of stakeholders were identified, the expectations of each group uncovered and KPIs proposed to measure how well the financial institution meets those expectations. Strategies to deal with and prioritize groups were outlined, while highlighting the need for repositioning stakeholders identified as potential blockers or facilitators of strategic initiatives and pressure factors in times of low performance.\nPractical implications\nStrategic management of stakeholders is essential for fraud risk managers and researchers to understand what is relevant and what is not. This paper creates a framework for addressing managerial and academic efforts based on stakeholders mapping. Further initiatives in research and practice should consider the following question: “Which stakeholder expectation will be better satisfied?” In case the answer is “none”, it is advised that the initiative be reconsidered.\nOriginality/value\nPrevious literature focusses mostly on the technical challenges, leaving a gap in both literature and practice for using Strategic Management. For the first time in literature, this research combines theories and terminologies from fraud risk management and strategic management.","container-title":"Journal of financial crime","DOI":"10.1108/JFC-06-2020-0121","ISSN":"1359-0790","issue":"1","language":"eng","page":"156–169","publisher":"Emerald Publishing Limited","publisher-place":"London","source":"librarysearch.uwtsd.ac.uk","title":"Strategic management of credit card fraud: stakeholder mapping of a card issuer","title-short":"Strategic management of credit card fraud","volume":"28","author":[{"family":"Gianotti","given":"Enrico"},{"family":"Damião da Silva","given":"Eduardo"}],"issued":{"date-parts":[["2021"]]}}}],"schema":"https://github.com/citation-style-language/schema/raw/master/csl-citation.json"} </w:instrText>
      </w:r>
      <w:r w:rsidR="00A96070">
        <w:fldChar w:fldCharType="separate"/>
      </w:r>
      <w:r w:rsidR="00A96070" w:rsidRPr="00A96070">
        <w:rPr>
          <w:rFonts w:ascii="Aptos" w:cs="Times New Roman"/>
          <w:kern w:val="0"/>
        </w:rPr>
        <w:t>Gianotti and Damião da Silva</w:t>
      </w:r>
      <w:r w:rsidR="00596ADD">
        <w:rPr>
          <w:rFonts w:ascii="Aptos" w:cs="Times New Roman"/>
          <w:kern w:val="0"/>
        </w:rPr>
        <w:t xml:space="preserve"> </w:t>
      </w:r>
      <w:r w:rsidR="00A96070">
        <w:rPr>
          <w:rFonts w:ascii="Aptos" w:cs="Times New Roman"/>
          <w:kern w:val="0"/>
        </w:rPr>
        <w:t>(</w:t>
      </w:r>
      <w:r w:rsidR="00A96070" w:rsidRPr="00A96070">
        <w:rPr>
          <w:rFonts w:ascii="Aptos" w:cs="Times New Roman"/>
          <w:kern w:val="0"/>
        </w:rPr>
        <w:t>2021)</w:t>
      </w:r>
      <w:r w:rsidR="00A96070">
        <w:fldChar w:fldCharType="end"/>
      </w:r>
      <w:r w:rsidR="000C0A6C">
        <w:t xml:space="preserve"> it provides a structured framework for assessing stakeholder significance and identifying suitable management approaches</w:t>
      </w:r>
      <w:r w:rsidR="008B729D">
        <w:t xml:space="preserve"> ,</w:t>
      </w:r>
      <w:r w:rsidR="000C0A6C">
        <w:t>however, the model relies heavily on managers judgement, which may introduce bias or lead to important information being overlooked</w:t>
      </w:r>
      <w:r w:rsidR="005F1C2B">
        <w:t xml:space="preserve"> </w:t>
      </w:r>
      <w:r w:rsidR="008B729D">
        <w:t xml:space="preserve">. </w:t>
      </w:r>
    </w:p>
    <w:p w14:paraId="2E14EE6E" w14:textId="3C7E99F4" w:rsidR="00BA3907" w:rsidRPr="00161882" w:rsidRDefault="002B032F" w:rsidP="00161743">
      <w:pPr>
        <w:rPr>
          <w:b/>
          <w:bCs/>
          <w:u w:val="single"/>
        </w:rPr>
      </w:pPr>
      <w:r w:rsidRPr="00161882">
        <w:rPr>
          <w:rStyle w:val="Strong"/>
          <w:rFonts w:cs="Arial"/>
          <w:b w:val="0"/>
          <w:bCs w:val="0"/>
          <w:u w:val="single"/>
        </w:rPr>
        <w:t>High power</w:t>
      </w:r>
      <w:r w:rsidR="00375A5D" w:rsidRPr="00161882">
        <w:rPr>
          <w:rStyle w:val="Strong"/>
          <w:rFonts w:cs="Arial"/>
          <w:b w:val="0"/>
          <w:bCs w:val="0"/>
          <w:u w:val="single"/>
        </w:rPr>
        <w:t xml:space="preserve"> /</w:t>
      </w:r>
      <w:r w:rsidRPr="00161882">
        <w:rPr>
          <w:rStyle w:val="Strong"/>
          <w:rFonts w:cs="Arial"/>
          <w:b w:val="0"/>
          <w:bCs w:val="0"/>
          <w:u w:val="single"/>
        </w:rPr>
        <w:t xml:space="preserve"> </w:t>
      </w:r>
      <w:r w:rsidR="00375A5D" w:rsidRPr="00161882">
        <w:rPr>
          <w:rStyle w:val="Strong"/>
          <w:rFonts w:cs="Arial"/>
          <w:b w:val="0"/>
          <w:bCs w:val="0"/>
          <w:u w:val="single"/>
        </w:rPr>
        <w:t>H</w:t>
      </w:r>
      <w:r w:rsidRPr="00161882">
        <w:rPr>
          <w:rStyle w:val="Strong"/>
          <w:rFonts w:cs="Arial"/>
          <w:b w:val="0"/>
          <w:bCs w:val="0"/>
          <w:u w:val="single"/>
        </w:rPr>
        <w:t>igh interest</w:t>
      </w:r>
    </w:p>
    <w:p w14:paraId="7B6834AF" w14:textId="494E78C6" w:rsidR="00BA3907" w:rsidRDefault="00BA3907" w:rsidP="002B032F">
      <w:r w:rsidRPr="00BA3907">
        <w:rPr>
          <w:rFonts w:cs="Arial"/>
        </w:rPr>
        <w:t xml:space="preserve">Stakeholders with </w:t>
      </w:r>
      <w:r w:rsidR="002B032F" w:rsidRPr="002B032F">
        <w:rPr>
          <w:rStyle w:val="Strong"/>
          <w:rFonts w:cs="Arial"/>
          <w:b w:val="0"/>
          <w:bCs w:val="0"/>
        </w:rPr>
        <w:t>High power and high interest</w:t>
      </w:r>
      <w:r w:rsidR="002B032F">
        <w:rPr>
          <w:rStyle w:val="Strong"/>
          <w:rFonts w:cs="Arial"/>
        </w:rPr>
        <w:t xml:space="preserve"> </w:t>
      </w:r>
      <w:r w:rsidRPr="00BA3907">
        <w:rPr>
          <w:rFonts w:cs="Arial"/>
        </w:rPr>
        <w:t xml:space="preserve">must be closely </w:t>
      </w:r>
      <w:r w:rsidR="4F0808D7" w:rsidRPr="00BA3907">
        <w:rPr>
          <w:rFonts w:cs="Arial"/>
        </w:rPr>
        <w:t>managed,</w:t>
      </w:r>
      <w:r w:rsidR="00E8357A">
        <w:rPr>
          <w:rFonts w:cs="Arial"/>
        </w:rPr>
        <w:t xml:space="preserve"> according to </w:t>
      </w:r>
      <w:r w:rsidR="006469F7">
        <w:rPr>
          <w:rFonts w:cs="Arial"/>
        </w:rPr>
        <w:fldChar w:fldCharType="begin"/>
      </w:r>
      <w:r w:rsidR="00420C29">
        <w:rPr>
          <w:rFonts w:cs="Arial"/>
        </w:rPr>
        <w:instrText xml:space="preserve"> ADDIN ZOTERO_ITEM CSL_CITATION {"citationID":"Un0EYEqi","properties":{"formattedCitation":"(Azzahra {\\i{}et al.}, 2023)","plainCitation":"(Azzahra et al., 2023)","dontUpdate":true,"noteIndex":0},"citationItems":[{"id":497,"uris":["http://zotero.org/users/17151418/items/HJ54L4C4"],"itemData":{"id":497,"type":"paper-conference","abstract":"The use of stakeholder management is crucial for achieving success in projects, specifically within the domain of e-government project consulting. The aforementioned procedure encompasses the identification of persons, organizations, or entities that possess the capacity to exert influence over a project, comprehending their expectations, and evaluating the probable consequences of their involvement. The development of effective management strategies involves the engagement of stakeholders in decision-making processes, the establishment of ongoing contacts, and the resolution of challenges, all with a focus on prioritizing their needs and expectations. Communication Management Plans are of utmost importance as they serve to ensure the implementation of effective communication methods that facilitate the alignment between stakeholders and project objectives. Within the realm of e-government consulting, the process entails actively involving diverse stakeholders, including IT Governance Boards, Project Managers, and other relevant parties. This is achieved by the use of different techniques, such as the regular dissemination of reports on a weekly basis, conducting surveys, carrying out interviews, and facilitating group discussions on dedicated forums. Stakeholder mapping is an effective method for addressing typical obstacles encountered in stakeholder management. This tool facilitates the classification of stakeholders according to their degrees of interest and power, hence enabling the development of customized engagement strategies. The successful execution of projects, particularly intricate endeavors such as e-government, relies heavily on thorough stakeholder management and well-defined communication protocols. The capacity to discern essential stakeholders, comprehend their issues, and develop efficient lines of communication is crucial in attaining project success.","DOI":"10.1109/CITSM60085.2023.10455566","ISBN":"979-8-3503-0596-8","ISSN":"2770-159X","language":"eng","note":"Book Title: International Conference on Cybe and IT Service Management (Online)","page":"1–5","publisher":"IEEE","source":"librarysearch.uwtsd.ac.uk","title":"Stakeholder Management and Communication Management Plan on E-Government Project","author":[{"family":"Azzahra","given":"Shafira Fatimah"},{"family":"Ramadhane","given":"Titisari"},{"family":"Safitra","given":"Muhammad Fakhrul"},{"family":"Lubis","given":"Muharman"},{"family":"Suakanto","given":"Sinung"}],"issued":{"date-parts":[["2023"]]}}}],"schema":"https://github.com/citation-style-language/schema/raw/master/csl-citation.json"} </w:instrText>
      </w:r>
      <w:r w:rsidR="006469F7">
        <w:rPr>
          <w:rFonts w:cs="Arial"/>
        </w:rPr>
        <w:fldChar w:fldCharType="separate"/>
      </w:r>
      <w:r w:rsidR="006469F7" w:rsidRPr="006469F7">
        <w:rPr>
          <w:rFonts w:ascii="Aptos" w:cs="Times New Roman"/>
          <w:kern w:val="0"/>
        </w:rPr>
        <w:t xml:space="preserve">Azzahra </w:t>
      </w:r>
      <w:r w:rsidR="006469F7" w:rsidRPr="44B60DB8">
        <w:rPr>
          <w:rFonts w:ascii="Aptos" w:cs="Times New Roman"/>
          <w:i/>
          <w:iCs/>
          <w:kern w:val="0"/>
        </w:rPr>
        <w:t>et al.</w:t>
      </w:r>
      <w:r w:rsidR="006469F7" w:rsidRPr="006469F7">
        <w:rPr>
          <w:rFonts w:ascii="Aptos" w:cs="Times New Roman"/>
          <w:kern w:val="0"/>
        </w:rPr>
        <w:t xml:space="preserve"> </w:t>
      </w:r>
      <w:r w:rsidR="006469F7">
        <w:rPr>
          <w:rFonts w:ascii="Aptos" w:cs="Times New Roman"/>
          <w:kern w:val="0"/>
        </w:rPr>
        <w:t>(</w:t>
      </w:r>
      <w:r w:rsidR="006469F7" w:rsidRPr="006469F7">
        <w:rPr>
          <w:rFonts w:ascii="Aptos" w:cs="Times New Roman"/>
          <w:kern w:val="0"/>
        </w:rPr>
        <w:t>2023)</w:t>
      </w:r>
      <w:r w:rsidR="006469F7">
        <w:rPr>
          <w:rFonts w:cs="Arial"/>
        </w:rPr>
        <w:fldChar w:fldCharType="end"/>
      </w:r>
      <w:r w:rsidR="00FF1F03">
        <w:rPr>
          <w:rFonts w:cs="Arial"/>
        </w:rPr>
        <w:t xml:space="preserve"> </w:t>
      </w:r>
      <w:r w:rsidR="00FF1F03">
        <w:t xml:space="preserve">ongoing communication with high-power, high-interest stakeholders is crucial to build trust and address </w:t>
      </w:r>
      <w:r w:rsidR="0498E1ED">
        <w:t>challenges.</w:t>
      </w:r>
      <w:r w:rsidR="00FF1F03">
        <w:rPr>
          <w:rFonts w:cs="Arial"/>
        </w:rPr>
        <w:t xml:space="preserve"> </w:t>
      </w:r>
      <w:r w:rsidR="00A00610">
        <w:t xml:space="preserve">For TOAST, Bestseller falls into this category because it owns the organisation and can influence major strategic </w:t>
      </w:r>
      <w:r w:rsidR="00F10682">
        <w:t>decisions.</w:t>
      </w:r>
      <w:r w:rsidR="00FD4E75">
        <w:t xml:space="preserve"> </w:t>
      </w:r>
    </w:p>
    <w:p w14:paraId="7DA5B236" w14:textId="2B07EE84" w:rsidR="00ED2060" w:rsidRPr="00161882" w:rsidRDefault="00ED2060" w:rsidP="00ED2060">
      <w:pPr>
        <w:rPr>
          <w:rStyle w:val="Strong"/>
          <w:rFonts w:cs="Arial"/>
          <w:b w:val="0"/>
          <w:bCs w:val="0"/>
          <w:u w:val="single"/>
        </w:rPr>
      </w:pPr>
      <w:r w:rsidRPr="00161882">
        <w:rPr>
          <w:rStyle w:val="Strong"/>
          <w:rFonts w:cs="Arial"/>
          <w:b w:val="0"/>
          <w:bCs w:val="0"/>
          <w:u w:val="single"/>
        </w:rPr>
        <w:t>High power / Low interest</w:t>
      </w:r>
    </w:p>
    <w:p w14:paraId="58B2B0CF" w14:textId="5F987C6B" w:rsidR="00ED2060" w:rsidRDefault="00ED2060" w:rsidP="00ED2060">
      <w:r>
        <w:t xml:space="preserve">Stakeholders with high power but lower interest should be kept satisfied, as mentioned by </w:t>
      </w:r>
      <w:r>
        <w:fldChar w:fldCharType="begin"/>
      </w:r>
      <w:r w:rsidR="00420C29">
        <w:instrText xml:space="preserve"> ADDIN ZOTERO_ITEM CSL_CITATION {"citationID":"enrptWck","properties":{"formattedCitation":"(Olatunde, 2024)","plainCitation":"(Olatunde, 2024)","dontUpdate":true,"noteIndex":0},"citationItems":[{"id":496,"uris":["http://zotero.org/users/17151418/items/QAI8GIFY"],"itemData":{"id":496,"type":"article-journal","abstract":"PurposeAdvocates of structured stakeholder management (SM) processes have emphasized the use of the appropriate strategies as the most important process in SM. Yet, research effort in this regard in developing countries has been inadequate. The purpose of the study was to examine the SM strategies used on building projects procured by private corporate organisations in south-western Nigeria to enhance project performance.Design/methodology/approachThe study used a census survey to select 30 projects managers who indicated (from 106 who responded to a first stage questionnaire) that they have participated in structured SM in the study area between 2008 and 2017. A second-stage questionnaire was designed to elicit information from the respondents. Data analysis was done with the use of frequency, percentile and mean score (MS) and analysis of variance (ANOVA).FindingsStakeholders with high power and high interest were managed with the use of “collaborate/partner” strategy (MS = 3.86), stakeholders with high power and low interest were “kept satisfied” (MS = 4.09), stakeholders with low power and high interest were managed by using “keep them informed regularly” strategy (MS = 4.10) and stakeholders with low power and low interest were managed using “monitor and respond when necessary” strategy (M = 3.94). Further results show that static stakeholders with high power were managed by using the “monitor constantly” strategy (MS = 4.11), stakeholders with high power, high legitimacy and high urgency were managed by adopting the “keep satisfied” strategy (MS = 4.26), to manage non-supportive stakeholders, project managers adopted the “keep satisfied” strategy (MS = 4.18) and supportive stakeholders were managed by using “involved” strategy (MS = 4.02). More results showed that there is no significant difference in the opinion of project managers on SM strategies employed irrespective of procurement method.Practical implicationsThe study provided a guide to project managers on the appropriate SM strategies to use for future projects.Originality/valueThe study was an attempt to appraise the SM strategies in relation to the procurement methods and their relationship with project performance.","container-title":"Structural survey","DOI":"10.1108/IJBPA-06-2021-0086","ISSN":"2398-4708","issue":"3","language":"eng","page":"430–447","publisher":"Emerald Group Publishing Limited","publisher-place":"Bingley","source":"librarysearch.uwtsd.ac.uk","title":"Stakeholder management strategies employed on building projects procured by private corporate organisations in south-western Nigeria","volume":"42","author":[{"family":"Olatunde","given":"Nathaniel Ayinde"}],"issued":{"date-parts":[["2024"]]}}}],"schema":"https://github.com/citation-style-language/schema/raw/master/csl-citation.json"} </w:instrText>
      </w:r>
      <w:r>
        <w:fldChar w:fldCharType="separate"/>
      </w:r>
      <w:r w:rsidRPr="44B60DB8">
        <w:rPr>
          <w:noProof/>
        </w:rPr>
        <w:t>Olatunde (2024)</w:t>
      </w:r>
      <w:r>
        <w:fldChar w:fldCharType="end"/>
      </w:r>
      <w:r>
        <w:t xml:space="preserve"> through appropriate but limited communication. </w:t>
      </w:r>
      <w:r w:rsidR="0058647E">
        <w:t xml:space="preserve">For TOAST, this includes </w:t>
      </w:r>
      <w:r w:rsidR="0058647E" w:rsidRPr="44B60DB8">
        <w:rPr>
          <w:rStyle w:val="Strong"/>
          <w:b w:val="0"/>
          <w:bCs w:val="0"/>
        </w:rPr>
        <w:t>employees working in stores, warehouses, and offices</w:t>
      </w:r>
      <w:r w:rsidR="0058647E">
        <w:t xml:space="preserve">. Maintaining </w:t>
      </w:r>
      <w:r w:rsidR="4FEAB126">
        <w:t>effective communication</w:t>
      </w:r>
      <w:r w:rsidR="0058647E">
        <w:t xml:space="preserve"> with employees is important because performance and engagement influence operational efficiency and customer </w:t>
      </w:r>
      <w:r w:rsidR="001F1DF5">
        <w:t>service</w:t>
      </w:r>
      <w:r w:rsidR="004B3DA2">
        <w:t xml:space="preserve"> </w:t>
      </w:r>
      <w:r>
        <w:fldChar w:fldCharType="begin"/>
      </w:r>
      <w:r w:rsidR="00420C29">
        <w:instrText xml:space="preserve"> ADDIN ZOTERO_ITEM CSL_CITATION {"citationID":"LnacN7Fx","properties":{"formattedCitation":"(Philomena Ify, 2024)","plainCitation":"(Philomena Ify, 2024)","noteIndex":0},"citationItems":[{"id":495,"uris":["http://zotero.org/users/17151418/items/3QC6NHSJ"],"itemData":{"id":495,"type":"article-journal","abstract":"Effective communication strategies play a pivotal role in fostering a productive work environment. This paper explores the correlation between communication strategies and employee performance within organisations. By analyzing various communication techniques such as open-door policies, regular team meetings, and digital platforms, this paper looks at how these strategies influence employee engagement, collaboration, and overall productivity. Furthermore, it examines the role of leadership in promoting transparent communication channels and fostering a culture of trust and feedback. Through a review of relevant literature and case studies, this paper highlights the significance of tailored communication approaches in optimizing workplace productivity. The findings suggest that organisations that prioritize clear, timely, and inclusive communication experience higher levels of employee satisfaction, motivation, and performance. Ultimately, this paper underscores the importance of implementing effective communication strategies as a fundamental pillar in enhancing workplace productivity and organisational success.","container-title":"Global Journal of Social Science","DOI":"10.4314/gjss.v23i1.8","ISSN":"1596-6216","issue":"1","language":"eng","page":"97–102","source":"librarysearch.uwtsd.ac.uk","title":"Communication Strategies And Employee Productivity","volume":"23","author":[{"family":"Philomena Ify","given":"Igbokwe"}],"issued":{"date-parts":[["2024"]]}}}],"schema":"https://github.com/citation-style-language/schema/raw/master/csl-citation.json"} </w:instrText>
      </w:r>
      <w:r>
        <w:fldChar w:fldCharType="separate"/>
      </w:r>
      <w:r w:rsidR="004C25CD" w:rsidRPr="44B60DB8">
        <w:rPr>
          <w:noProof/>
        </w:rPr>
        <w:t>(Philomena Ify, 2024)</w:t>
      </w:r>
      <w:r>
        <w:fldChar w:fldCharType="end"/>
      </w:r>
      <w:r w:rsidR="001F1DF5">
        <w:t xml:space="preserve"> </w:t>
      </w:r>
      <w:r w:rsidR="00037494">
        <w:t>Also, government</w:t>
      </w:r>
      <w:r>
        <w:t xml:space="preserve"> regulators, logistics </w:t>
      </w:r>
      <w:r w:rsidR="407BAFC2">
        <w:t>organisations</w:t>
      </w:r>
      <w:r>
        <w:t xml:space="preserve">, and retail property owners, as can influence operations through regulations, distribution systems, or lease agreements. Suppliers are most important here as well as the company heavily depends on suppliers who can meet sustainability and ethical production standards. </w:t>
      </w:r>
    </w:p>
    <w:p w14:paraId="30F4FCB5" w14:textId="77777777" w:rsidR="00745782" w:rsidRPr="00161882" w:rsidRDefault="00ED2060" w:rsidP="008831A8">
      <w:pPr>
        <w:rPr>
          <w:rStyle w:val="Strong"/>
          <w:rFonts w:cs="Arial"/>
          <w:b w:val="0"/>
          <w:bCs w:val="0"/>
          <w:u w:val="single"/>
        </w:rPr>
      </w:pPr>
      <w:r w:rsidRPr="00161882">
        <w:rPr>
          <w:rStyle w:val="Strong"/>
          <w:rFonts w:cs="Arial"/>
          <w:b w:val="0"/>
          <w:bCs w:val="0"/>
          <w:u w:val="single"/>
        </w:rPr>
        <w:t>Low power / High In</w:t>
      </w:r>
      <w:r w:rsidR="00745782" w:rsidRPr="00161882">
        <w:rPr>
          <w:rStyle w:val="Strong"/>
          <w:rFonts w:cs="Arial"/>
          <w:b w:val="0"/>
          <w:bCs w:val="0"/>
          <w:u w:val="single"/>
        </w:rPr>
        <w:t>terest</w:t>
      </w:r>
    </w:p>
    <w:p w14:paraId="3C9512B3" w14:textId="4BB490B4" w:rsidR="001611AC" w:rsidRPr="00C4206D" w:rsidRDefault="001611AC" w:rsidP="008831A8">
      <w:pPr>
        <w:rPr>
          <w:rStyle w:val="Strong"/>
          <w:b w:val="0"/>
          <w:bCs w:val="0"/>
        </w:rPr>
      </w:pPr>
      <w:r>
        <w:t xml:space="preserve">Stakeholders with </w:t>
      </w:r>
      <w:r w:rsidRPr="00C4206D">
        <w:rPr>
          <w:rStyle w:val="Strong"/>
          <w:b w:val="0"/>
          <w:bCs w:val="0"/>
        </w:rPr>
        <w:t>high interest but lower power</w:t>
      </w:r>
      <w:r>
        <w:t xml:space="preserve"> should be kept informed. Customers are an important group</w:t>
      </w:r>
      <w:r w:rsidR="00C4206D">
        <w:t xml:space="preserve"> for TOAST</w:t>
      </w:r>
      <w:r>
        <w:t xml:space="preserve"> because they are highly interested in product quality, </w:t>
      </w:r>
      <w:r w:rsidR="00C4206D">
        <w:t>sustainability,</w:t>
      </w:r>
      <w:r>
        <w:t xml:space="preserve"> and ethical production. If customers are not properly informed or engaged, needs and expectations may be overlooked, which can weaken trust and reduce customer loyalty. As noted by Mendis et al. (2024), when stakeholders with high interest but low power are not involved in decision-making processes,</w:t>
      </w:r>
      <w:r w:rsidR="00C53844">
        <w:t xml:space="preserve"> </w:t>
      </w:r>
      <w:r>
        <w:t>perspectives may be excluded, which can weaken engagement and collaboration.</w:t>
      </w:r>
    </w:p>
    <w:p w14:paraId="5386F155" w14:textId="77777777" w:rsidR="00745782" w:rsidRPr="00161882" w:rsidRDefault="00745782" w:rsidP="00BA3907">
      <w:pPr>
        <w:pStyle w:val="NormalWeb"/>
        <w:rPr>
          <w:rFonts w:asciiTheme="minorHAnsi" w:hAnsiTheme="minorHAnsi" w:cs="Arial"/>
          <w:u w:val="single"/>
        </w:rPr>
      </w:pPr>
      <w:r w:rsidRPr="00161882">
        <w:rPr>
          <w:rFonts w:asciiTheme="minorHAnsi" w:hAnsiTheme="minorHAnsi" w:cs="Arial"/>
          <w:u w:val="single"/>
        </w:rPr>
        <w:lastRenderedPageBreak/>
        <w:t>Low power / Low interest</w:t>
      </w:r>
    </w:p>
    <w:p w14:paraId="45DC4F5D" w14:textId="688B6CDB" w:rsidR="008B729D" w:rsidRPr="00161743" w:rsidRDefault="00AD4173" w:rsidP="00161743">
      <w:r>
        <w:t xml:space="preserve">Stakeholders with low power and low interest require minimal monitoring. For TOAST, this may include the </w:t>
      </w:r>
      <w:r w:rsidR="002F670E">
        <w:t>public</w:t>
      </w:r>
      <w:r>
        <w:t>, who are not directly involved in the organisation but may still influence brand reputation through social and environmental concerns.</w:t>
      </w:r>
    </w:p>
    <w:p w14:paraId="01CFF0A1" w14:textId="70A8D087" w:rsidR="00B3438D" w:rsidRPr="00161882" w:rsidRDefault="00FD2C03" w:rsidP="00161882">
      <w:pPr>
        <w:pStyle w:val="Heading1"/>
        <w:jc w:val="center"/>
        <w:rPr>
          <w:color w:val="000000" w:themeColor="text1"/>
        </w:rPr>
      </w:pPr>
      <w:bookmarkStart w:id="7" w:name="_Toc224748792"/>
      <w:r w:rsidRPr="00161882">
        <w:rPr>
          <w:color w:val="000000" w:themeColor="text1"/>
        </w:rPr>
        <w:t xml:space="preserve">4. </w:t>
      </w:r>
      <w:r w:rsidR="00767C2E" w:rsidRPr="00161882">
        <w:rPr>
          <w:color w:val="000000" w:themeColor="text1"/>
        </w:rPr>
        <w:t xml:space="preserve">Internal Strategic </w:t>
      </w:r>
      <w:bookmarkEnd w:id="7"/>
      <w:r w:rsidR="00221B2F" w:rsidRPr="00161882">
        <w:rPr>
          <w:color w:val="000000" w:themeColor="text1"/>
        </w:rPr>
        <w:t>Capabilit</w:t>
      </w:r>
      <w:r w:rsidR="00221B2F">
        <w:rPr>
          <w:color w:val="000000" w:themeColor="text1"/>
        </w:rPr>
        <w:t>ies</w:t>
      </w:r>
      <w:r w:rsidR="007829F0">
        <w:rPr>
          <w:color w:val="000000" w:themeColor="text1"/>
        </w:rPr>
        <w:t xml:space="preserve"> </w:t>
      </w:r>
    </w:p>
    <w:p w14:paraId="1778757D" w14:textId="13CB914F" w:rsidR="00767C2E" w:rsidRDefault="00CB3BA6" w:rsidP="00767C2E">
      <w:r>
        <w:t xml:space="preserve">According to </w:t>
      </w:r>
      <w:r>
        <w:fldChar w:fldCharType="begin"/>
      </w:r>
      <w:r w:rsidR="00420C29">
        <w:instrText xml:space="preserve"> ADDIN ZOTERO_ITEM CSL_CITATION {"citationID":"aaTUK4qY","properties":{"formattedCitation":"(Muneeb {\\i{}et al.}, 2019)","plainCitation":"(Muneeb et al., 2019)","dontUpdate":true,"noteIndex":0},"citationItems":[{"id":455,"uris":["http://zotero.org/users/17151418/items/USDSQUX7"],"itemData":{"id":455,"type":"article-journal","abstract":"PurposeThe purpose of this paper is to provide insights into the overarching role of learning capabilities by presenting a framework to describe how learning capability development is captured by combining the three main elements of internal marketing orientation, exploratory capabilities and resource recombination.Design/methodology/approachThis is a conceptual paper building upon the theoretical integration approach of Mayer and Sparrowe (2013) to establish competitive empowerment through learning capability development, effective internal response and resources recombination.FindingsThe competitive learning capability model provides a firm’s foundation for theorizing organizational competitive models from an internal perspective, by mastering learning capability development at the centre of the model.Research limitations/implicationsThe paper emphasizes the competitive connotation of learning capabilities as a construct in strategic management. It shows the underlying role of learning across organizational processes; hence, its theoretical significance through the learning capabilities model.Practical implicationsThis paper argues that learning is at the centre of organizational competitiveness. Firms can achieve more fruitful results by continuously implementing resource integration strategies built on their learned experiences.Originality/valueThe principal significance of this paper lies in the achievement of conceptualizing learning from a strategic management perspective. Insight in this area helps bridge organizational efforts in pursuit of competitive advantage by exploiting key core learning competencies embedded in a firm’s resources and capabilities.","container-title":"Asia-Pacific journal of business administration","DOI":"10.1108/APJBA-02-2019-0042","ISSN":"1757-4323","issue":"3","language":"eng","page":"267–287","publisher":"Emerald Group Publishing Limited","publisher-place":"Bingley","source":"librarysearch.uwtsd.ac.uk","title":"Building an integrated conceptual model of competitive learning capability: A strategic management perspective","title-short":"Building an integrated conceptual model of competitive learning capability","volume":"11","author":[{"family":"Muneeb","given":"Dilnaz"},{"family":"Khong","given":"Kok Wei"},{"family":"Ennew","given":"Christine"},{"family":"Avvari","given":"Mohan"}],"issued":{"date-parts":[["2019"]]}}}],"schema":"https://github.com/citation-style-language/schema/raw/master/csl-citation.json"} </w:instrText>
      </w:r>
      <w:r>
        <w:fldChar w:fldCharType="separate"/>
      </w:r>
      <w:r w:rsidRPr="00CB3BA6">
        <w:rPr>
          <w:rFonts w:ascii="Aptos" w:cs="Times New Roman"/>
          <w:kern w:val="0"/>
        </w:rPr>
        <w:t xml:space="preserve">Muneeb </w:t>
      </w:r>
      <w:r w:rsidRPr="44B60DB8">
        <w:rPr>
          <w:rFonts w:ascii="Aptos" w:cs="Times New Roman"/>
          <w:i/>
          <w:iCs/>
          <w:kern w:val="0"/>
        </w:rPr>
        <w:t>et al.</w:t>
      </w:r>
      <w:r w:rsidR="00BA4963">
        <w:rPr>
          <w:rFonts w:ascii="Aptos" w:cs="Times New Roman"/>
          <w:i/>
          <w:iCs/>
          <w:kern w:val="0"/>
        </w:rPr>
        <w:t xml:space="preserve"> </w:t>
      </w:r>
      <w:r>
        <w:rPr>
          <w:rFonts w:ascii="Aptos" w:cs="Times New Roman"/>
          <w:kern w:val="0"/>
        </w:rPr>
        <w:t>(</w:t>
      </w:r>
      <w:r w:rsidRPr="00CB3BA6">
        <w:rPr>
          <w:rFonts w:ascii="Aptos" w:cs="Times New Roman"/>
          <w:kern w:val="0"/>
        </w:rPr>
        <w:t xml:space="preserve"> 2019)</w:t>
      </w:r>
      <w:r>
        <w:fldChar w:fldCharType="end"/>
      </w:r>
      <w:r w:rsidR="003777BA">
        <w:t xml:space="preserve"> internal strategic capability means a company’s ability to use its resources and skills effectively to achieve its goals and stay ahead of competitors</w:t>
      </w:r>
      <w:r w:rsidR="00A22CFA">
        <w:t>.</w:t>
      </w:r>
      <w:r w:rsidR="00EE3D7A">
        <w:t xml:space="preserve"> </w:t>
      </w:r>
      <w:r w:rsidR="00A22CFA">
        <w:t>W</w:t>
      </w:r>
      <w:r w:rsidR="00EE3D7A">
        <w:t>ithout it the business may become disorganised, less competitive, and financially unstable</w:t>
      </w:r>
      <w:r w:rsidR="1C39F367">
        <w:t xml:space="preserve"> </w:t>
      </w:r>
      <w:r w:rsidR="00DC0B2B">
        <w:fldChar w:fldCharType="begin"/>
      </w:r>
      <w:r w:rsidR="00420C29">
        <w:instrText xml:space="preserve"> ADDIN ZOTERO_ITEM CSL_CITATION {"citationID":"jXgqjpE1","properties":{"formattedCitation":"(Muneeb {\\i{}et al.}, 2025)","plainCitation":"(Muneeb et al., 2025)","noteIndex":0},"citationItems":[{"id":458,"uris":["http://zotero.org/users/17151418/items/5T2BHLPJ"],"itemData":{"id":458,"type":"article-journal","abstract":"Purpose\nHigher educational institutions (HEIs) have become dynamic marketing labs to gain international prominence. Built on the dynamic capability theory and the resource-based view, this study aims to explore the application of dynamic capability in the HEIs of the United Arab Emirates. Specifically, this study analyzes relationships between dynamic capabilities, internal marketing orientation (IMO) and educational competitiveness.\nDesign/methodology/approach\nData were collected through an online survey from 349 faculty members across 35 universities, including eight public and 27 private institutions. The model was tested using structural equation modeling in AMOS 24.0.\nFindings\nEmpirical findings reveal that the direct influence of dynamic capabilities on competitiveness was insignificant. However, results reveal a positive relationship between dynamic capabilities and IMO. IMO positively impacts educational competitiveness and mediates the relationship between dynamic capabilities and educational competitiveness, emphasizing the role of internal organizational structures.\nPractical implications\nThe findings suggest that fostering dynamic capabilities and cultivating an IMO can enhance the competitiveness of HEIs. This implies the need for HEIs to focus on internal organizational processes and strategies to maintain competitiveness in the rapidly evolving higher educational landscape.\nOriginality/value\nThis study contributes to the literature by exploring the dynamics between dynamic capabilities, IMO and educational competitiveness in the context of HEIs in the UAE. By extending the literature boundaries, it extends the literature boundaries and offers a strategic roadmap for such institutions.","container-title":"Management research news","DOI":"10.1108/MRR-06-2024-0424","ISSN":"2040-8269","issue":"7","language":"eng","page":"1121–1147","publisher":"Emerald Publishing Limited","publisher-place":"Patrington","source":"librarysearch.uwtsd.ac.uk","title":"Role of dynamic capabilities in driving competitiveness of higher educational institutions","volume":"48","author":[{"family":"Muneeb","given":"Dilnaz"},{"family":"Ahmad","given":"Syed Zamberi"},{"family":"Abu Bakar","given":"Abdul Rahim"},{"family":"Nazir","given":"Owais"}],"issued":{"date-parts":[["2025"]]}}}],"schema":"https://github.com/citation-style-language/schema/raw/master/csl-citation.json"} </w:instrText>
      </w:r>
      <w:r w:rsidR="00DC0B2B">
        <w:fldChar w:fldCharType="separate"/>
      </w:r>
      <w:r w:rsidR="00DC0B2B" w:rsidRPr="00DC0B2B">
        <w:rPr>
          <w:rFonts w:ascii="Aptos" w:cs="Times New Roman"/>
          <w:kern w:val="0"/>
        </w:rPr>
        <w:t xml:space="preserve">(Muneeb </w:t>
      </w:r>
      <w:r w:rsidR="00DC0B2B" w:rsidRPr="44B60DB8">
        <w:rPr>
          <w:rFonts w:ascii="Aptos" w:cs="Times New Roman"/>
          <w:i/>
          <w:iCs/>
          <w:kern w:val="0"/>
        </w:rPr>
        <w:t>et al.</w:t>
      </w:r>
      <w:r w:rsidR="00DC0B2B" w:rsidRPr="00DC0B2B">
        <w:rPr>
          <w:rFonts w:ascii="Aptos" w:cs="Times New Roman"/>
          <w:kern w:val="0"/>
        </w:rPr>
        <w:t>, 2025)</w:t>
      </w:r>
      <w:r w:rsidR="00DC0B2B">
        <w:fldChar w:fldCharType="end"/>
      </w:r>
    </w:p>
    <w:p w14:paraId="0A08C2B0" w14:textId="69091148" w:rsidR="00861969" w:rsidRDefault="001F1EAC" w:rsidP="00767C2E">
      <w:r>
        <w:t xml:space="preserve">To examine </w:t>
      </w:r>
      <w:r w:rsidR="00EE28FF">
        <w:t xml:space="preserve">internal strategic capability of TOAST VRIO framework will be </w:t>
      </w:r>
      <w:r w:rsidR="78AC770F">
        <w:t>utilised,</w:t>
      </w:r>
      <w:r w:rsidR="009A00FE">
        <w:t xml:space="preserve"> </w:t>
      </w:r>
      <w:r w:rsidR="009A00FE">
        <w:fldChar w:fldCharType="begin"/>
      </w:r>
      <w:r w:rsidR="00420C29">
        <w:instrText xml:space="preserve"> ADDIN ZOTERO_ITEM CSL_CITATION {"citationID":"EzOAXi3K","properties":{"formattedCitation":"(Lin {\\i{}et al.}, 2012)","plainCitation":"(Lin et al., 2012)","dontUpdate":true,"noteIndex":0},"citationItems":[{"id":459,"uris":["http://zotero.org/users/17151418/items/ME5EL33V"],"itemData":{"id":459,"type":"article-journal","abstract":"Purpose - The study aims to shed light on how to identify drivers of sustainable competitive advantage under a turbulent and uncertain environment, one of the most crucial challenges faced by resource-based strategists.Design methodology approach - This study introduces a VRIO-based framework to evaluate a firm's internal activities, in which the fuzzy set and utilities functions are adopted to identify the competitive advantage of available resources based on resource-based theory. A case study is conducted to illustrate how the framework can be applied as a tool for exploring the potential competitiveness of a firm's core resources.Findings - The quantitative VRIO-based framework is a useful tool to assist top management to identify a list of potential competitive advantages of the available sources.Originality value - The VRIO-based framework is built through the integration of quantitative and qualitative methods, and this innovative approach is proposed to bridge the gap between resource-based theory and its application.","container-title":"Management decision","DOI":"10.1108/00251741211261999","ISSN":"0025-1747","issue":"8","language":"eng","page":"1396–1411","publisher":"Emerald Group Publishing Limited","publisher-place":"London","source":"librarysearch.uwtsd.ac.uk","title":"A fuzzy quantitative VRIO-based framework for evaluating organizational activities","volume":"50","author":[{"family":"Lin","given":"Chinho"},{"family":"Tsai","given":"Hua-Ling"},{"family":"Wu","given":"Ya-Jung"},{"family":"Kiang","given":"Melody"}],"issued":{"date-parts":[["2012"]]}}}],"schema":"https://github.com/citation-style-language/schema/raw/master/csl-citation.json"} </w:instrText>
      </w:r>
      <w:r w:rsidR="009A00FE">
        <w:fldChar w:fldCharType="separate"/>
      </w:r>
      <w:r w:rsidR="009A00FE" w:rsidRPr="009A00FE">
        <w:rPr>
          <w:rFonts w:ascii="Aptos" w:cs="Times New Roman"/>
          <w:kern w:val="0"/>
        </w:rPr>
        <w:t xml:space="preserve">Lin </w:t>
      </w:r>
      <w:r w:rsidR="009A00FE" w:rsidRPr="44B60DB8">
        <w:rPr>
          <w:rFonts w:ascii="Aptos" w:cs="Times New Roman"/>
          <w:i/>
          <w:iCs/>
          <w:kern w:val="0"/>
        </w:rPr>
        <w:t>et al.</w:t>
      </w:r>
      <w:r w:rsidR="009A00FE" w:rsidRPr="009A00FE">
        <w:rPr>
          <w:rFonts w:ascii="Aptos" w:cs="Times New Roman"/>
          <w:kern w:val="0"/>
        </w:rPr>
        <w:t xml:space="preserve"> </w:t>
      </w:r>
      <w:r w:rsidR="009A00FE">
        <w:rPr>
          <w:rFonts w:ascii="Aptos" w:cs="Times New Roman"/>
          <w:kern w:val="0"/>
        </w:rPr>
        <w:t>(</w:t>
      </w:r>
      <w:r w:rsidR="009A00FE" w:rsidRPr="009A00FE">
        <w:rPr>
          <w:rFonts w:ascii="Aptos" w:cs="Times New Roman"/>
          <w:kern w:val="0"/>
        </w:rPr>
        <w:t>2012)</w:t>
      </w:r>
      <w:r w:rsidR="009A00FE">
        <w:fldChar w:fldCharType="end"/>
      </w:r>
      <w:r w:rsidR="009A00FE">
        <w:t xml:space="preserve"> emphasised that VRIO framework is a strategy tool that helps a company assess its resources and strengths to see whether they can create and maintain a competitive advantage.</w:t>
      </w:r>
    </w:p>
    <w:p w14:paraId="5901F9B4" w14:textId="2DE05370" w:rsidR="00750D60" w:rsidRPr="00FD2C03" w:rsidRDefault="006E6EF0" w:rsidP="00FD2C03">
      <w:pPr>
        <w:rPr>
          <w:u w:val="single"/>
        </w:rPr>
      </w:pPr>
      <w:r w:rsidRPr="00FD2C03">
        <w:rPr>
          <w:u w:val="single"/>
        </w:rPr>
        <w:t xml:space="preserve">Brand Reputation </w:t>
      </w:r>
    </w:p>
    <w:p w14:paraId="4CBD27DC" w14:textId="77777777" w:rsidR="00AC08F8" w:rsidRDefault="004D6981" w:rsidP="00AC08F8">
      <w:r w:rsidRPr="000F2942">
        <w:t xml:space="preserve">TOAST’s brand reputation is one of its main strengths. The company is known as a premium lifestyle brand that focuses on high-quality products, </w:t>
      </w:r>
      <w:r w:rsidR="00471A34" w:rsidRPr="000F2942">
        <w:t>craftsmanship</w:t>
      </w:r>
      <w:r w:rsidRPr="000F2942">
        <w:t>, and sustainability.</w:t>
      </w:r>
      <w:bookmarkStart w:id="8" w:name="_Hlk223537739"/>
    </w:p>
    <w:p w14:paraId="14C0D79D" w14:textId="4C736F32" w:rsidR="00AA565F" w:rsidRDefault="0041514B" w:rsidP="00AC08F8">
      <w:r w:rsidRPr="0041514B">
        <w:t xml:space="preserve">It is valuable because customers are willing to pay higher prices, increasing loyalty and </w:t>
      </w:r>
      <w:r w:rsidR="0067681D">
        <w:t xml:space="preserve">enhancing </w:t>
      </w:r>
      <w:r w:rsidRPr="0041514B">
        <w:t>the perception of high quality and sustainability. It</w:t>
      </w:r>
      <w:r w:rsidR="000F2942" w:rsidRPr="000F2942">
        <w:t xml:space="preserve"> is considered </w:t>
      </w:r>
      <w:r w:rsidR="000F2942" w:rsidRPr="001B4F11">
        <w:rPr>
          <w:rStyle w:val="Strong"/>
          <w:rFonts w:eastAsiaTheme="majorEastAsia"/>
          <w:b w:val="0"/>
          <w:bCs w:val="0"/>
        </w:rPr>
        <w:t>rare</w:t>
      </w:r>
      <w:r w:rsidR="000F2942" w:rsidRPr="000F2942">
        <w:t xml:space="preserve"> because many fashion brands focus on fast production and low prices</w:t>
      </w:r>
      <w:bookmarkEnd w:id="8"/>
      <w:r w:rsidR="00744505">
        <w:t xml:space="preserve"> </w:t>
      </w:r>
      <w:r w:rsidR="000C4569">
        <w:fldChar w:fldCharType="begin"/>
      </w:r>
      <w:r w:rsidR="00420C29">
        <w:instrText xml:space="preserve"> ADDIN ZOTERO_ITEM CSL_CITATION {"citationID":"Pct6FOWo","properties":{"formattedCitation":"(Hall, 2018)","plainCitation":"(Hall, 2018)","noteIndex":0},"citationItems":[{"id":461,"uris":["http://zotero.org/users/17151418/items/FRZHHRHL"],"itemData":{"id":461,"type":"article-journal","abstract":"Fashion in the twenty-first century is typically fast fashion, characterized by mass production, high turnover and goods designed for a short lifespan. The kimono appears to be the antithesis of fast fashion in terms of production and consumption. A kimono takes time to create and usually has a long lifespan. However, in the current global fashion market there has been a growing trend towards slow fashion, which involves longer production times, use of local materials, and a focus on quality and sustainability. Elements within the Japanese fashion industry exhibit this trend but the reality is more complex than simply complying with a set of slow fashion criteria. An examination of the Kyoto kimono-making industry demonstrates a simultaneous speeding up and slowing down of various aspects of Japanese clothing. Rigorous scrutiny reveals the difficulty of categorizing production techniques as either fast or slow fashion. In addition, alternative ways of consuming kimono, that align with slow fashion characteristics, demonstrate that they can change the way consumers view purchases.","container-title":"Fashion theory","DOI":"10.1080/1362704X.2017.1319175","ISSN":"1362-704X","issue":"3","language":"eng","page":"283–307","publisher":"Taylor &amp; Francis Ltd","publisher-place":"Abingdon","source":"librarysearch.uwtsd.ac.uk","title":"Digital Kimono: Fast Fashion, Slow Fashion?","title-short":"Digital Kimono","volume":"22","author":[{"family":"Hall","given":"Jenny"}],"issued":{"date-parts":[["2018"]]}}}],"schema":"https://github.com/citation-style-language/schema/raw/master/csl-citation.json"} </w:instrText>
      </w:r>
      <w:r w:rsidR="000C4569">
        <w:fldChar w:fldCharType="separate"/>
      </w:r>
      <w:r w:rsidR="000C4569">
        <w:rPr>
          <w:noProof/>
        </w:rPr>
        <w:t>(Hall, 2018)</w:t>
      </w:r>
      <w:r w:rsidR="000C4569">
        <w:fldChar w:fldCharType="end"/>
      </w:r>
      <w:r w:rsidR="000F2942" w:rsidRPr="000F2942">
        <w:t xml:space="preserve">, while TOAST focuses on slower, more sustainable </w:t>
      </w:r>
      <w:r w:rsidR="001B4F11" w:rsidRPr="000F2942">
        <w:t>fashion. It</w:t>
      </w:r>
      <w:r w:rsidR="000F2942" w:rsidRPr="000F2942">
        <w:t xml:space="preserve"> is </w:t>
      </w:r>
      <w:r w:rsidR="000F2942" w:rsidRPr="001B4F11">
        <w:rPr>
          <w:rStyle w:val="Strong"/>
          <w:rFonts w:eastAsiaTheme="majorEastAsia"/>
          <w:b w:val="0"/>
          <w:bCs w:val="0"/>
        </w:rPr>
        <w:t>difficult</w:t>
      </w:r>
      <w:r w:rsidR="000F2942" w:rsidRPr="000F2942">
        <w:rPr>
          <w:rStyle w:val="Strong"/>
          <w:rFonts w:eastAsiaTheme="majorEastAsia"/>
        </w:rPr>
        <w:t xml:space="preserve"> </w:t>
      </w:r>
      <w:r w:rsidR="000F2942" w:rsidRPr="001B4F11">
        <w:rPr>
          <w:rStyle w:val="Strong"/>
          <w:rFonts w:eastAsiaTheme="majorEastAsia"/>
          <w:b w:val="0"/>
          <w:bCs w:val="0"/>
        </w:rPr>
        <w:t>to</w:t>
      </w:r>
      <w:r w:rsidR="000F2942" w:rsidRPr="000F2942">
        <w:rPr>
          <w:rStyle w:val="Strong"/>
          <w:rFonts w:eastAsiaTheme="majorEastAsia"/>
        </w:rPr>
        <w:t xml:space="preserve"> </w:t>
      </w:r>
      <w:r w:rsidR="000F2942" w:rsidRPr="001B4F11">
        <w:rPr>
          <w:rStyle w:val="Strong"/>
          <w:rFonts w:eastAsiaTheme="majorEastAsia"/>
          <w:b w:val="0"/>
          <w:bCs w:val="0"/>
        </w:rPr>
        <w:t>imitate</w:t>
      </w:r>
      <w:r w:rsidR="000F2942" w:rsidRPr="000F2942">
        <w:t xml:space="preserve"> because building a strong and trusted brand takes time</w:t>
      </w:r>
      <w:r w:rsidR="00D0596A">
        <w:t xml:space="preserve"> </w:t>
      </w:r>
      <w:r w:rsidR="00B73D33">
        <w:fldChar w:fldCharType="begin"/>
      </w:r>
      <w:r w:rsidR="00420C29">
        <w:instrText xml:space="preserve"> ADDIN ZOTERO_ITEM CSL_CITATION {"citationID":"MQd5WxsP","properties":{"formattedCitation":"(Jailos and Magasi, 2025)","plainCitation":"(Jailos and Magasi, 2025)","noteIndex":0},"citationItems":[{"id":462,"uris":["http://zotero.org/users/17151418/items/LQU9MFD2"],"itemData":{"id":462,"type":"article-journal","abstract":"Grounded in the Relationship Marketing Theory, the study examines the role of product quality, customer service, and brand image in fostering long- term customer loyalty. The study utilized a simple random sampling technique to collect quantitative data from 285 customers. Correlational research design and multiple linear regression were employed to examine relationships among key variables. The findings indicate that strong brand image (β3 = 0.617, P &lt; 0.001), perceived superior product quality (β1 = 0.252, P = 0.001) and effective customer service (β2 = 0.173, P = 0.012), all have a strong significant positive influence on customer loyalty respectively. The findings show that a strong brand image, perceived superior product quality, and effective customer service are decisive factors in fostering customer loyalty in the iron roofing industry, with brand image exerting the most substantial influence. The implication is that businesses should prioritize strategic branding, high-quality products, and exceptional service to secure long-term consumer commitment and competitive advantage. It is recommended that iron sheets manufacturing firms formulate, plan and invest in marketing strategies which substantially capitalize in producing superior quality roofing iron sheets, enhance exceptional reputable brand image and responsive customer service. This study introduces a novel framework linking brand reputation factors and customer loyalty.","container-title":"International review of management and marketing","DOI":"10.32479/irmm.20440","ISSN":"2146-4405","issue":"6","language":"eng","page":"302–313","publisher":"EconJournals","publisher-place":"Mersin","source":"librarysearch.uwtsd.ac.uk","title":"The Impact of Product Quality, Customer Service, and Brand Image on Customer Loyalty","volume":"15","author":[{"family":"Jailos","given":"Herry Mgalilwa"},{"family":"Magasi","given":"Chacha"}],"issued":{"date-parts":[["2025"]]}}}],"schema":"https://github.com/citation-style-language/schema/raw/master/csl-citation.json"} </w:instrText>
      </w:r>
      <w:r w:rsidR="00B73D33">
        <w:fldChar w:fldCharType="separate"/>
      </w:r>
      <w:r w:rsidR="00B73D33">
        <w:rPr>
          <w:noProof/>
        </w:rPr>
        <w:t>(Jailos and Magasi, 2025)</w:t>
      </w:r>
      <w:r w:rsidR="00B73D33">
        <w:fldChar w:fldCharType="end"/>
      </w:r>
      <w:r w:rsidR="000F2942" w:rsidRPr="000F2942">
        <w:t xml:space="preserve"> Even if other companies copy sustainable ideas, they cannot quickly copy years of reputation and customer </w:t>
      </w:r>
      <w:r w:rsidR="001B4F11" w:rsidRPr="000F2942">
        <w:t>trust. Finally</w:t>
      </w:r>
      <w:r w:rsidR="000F2942" w:rsidRPr="000F2942">
        <w:t xml:space="preserve">, TOAST is </w:t>
      </w:r>
      <w:r w:rsidR="000F2942" w:rsidRPr="001B4F11">
        <w:rPr>
          <w:rStyle w:val="Strong"/>
          <w:rFonts w:eastAsiaTheme="majorEastAsia"/>
          <w:b w:val="0"/>
          <w:bCs w:val="0"/>
        </w:rPr>
        <w:t>organised</w:t>
      </w:r>
      <w:r w:rsidR="000F2942" w:rsidRPr="000F2942">
        <w:t xml:space="preserve"> to support its brand through consistent design, marketing, and sustainability communication, which helps maintain its strong market position.</w:t>
      </w:r>
    </w:p>
    <w:p w14:paraId="1A9A4F44" w14:textId="7C0B40DC" w:rsidR="003C4DF0" w:rsidRPr="00FD2C03" w:rsidRDefault="00AB4AEE" w:rsidP="00FD2C03">
      <w:pPr>
        <w:rPr>
          <w:u w:val="single"/>
        </w:rPr>
      </w:pPr>
      <w:r w:rsidRPr="00FD2C03">
        <w:rPr>
          <w:u w:val="single"/>
        </w:rPr>
        <w:t>Sustainability and Repair</w:t>
      </w:r>
      <w:r w:rsidR="006C164E" w:rsidRPr="00FD2C03">
        <w:rPr>
          <w:u w:val="single"/>
        </w:rPr>
        <w:t xml:space="preserve"> </w:t>
      </w:r>
      <w:r w:rsidRPr="00FD2C03">
        <w:rPr>
          <w:u w:val="single"/>
        </w:rPr>
        <w:t xml:space="preserve"> </w:t>
      </w:r>
    </w:p>
    <w:p w14:paraId="4B948E4A" w14:textId="3F733256" w:rsidR="00AA565F" w:rsidRDefault="004D065C" w:rsidP="004D065C">
      <w:r>
        <w:t xml:space="preserve">TOAST’s repair service and commitment to product longevity strengthen its slow-fashion </w:t>
      </w:r>
      <w:r w:rsidR="001F0528">
        <w:t>positioning.</w:t>
      </w:r>
      <w:r w:rsidR="001F0528" w:rsidRPr="00AA565F">
        <w:t xml:space="preserve"> </w:t>
      </w:r>
      <w:bookmarkStart w:id="9" w:name="_Hlk223537967"/>
      <w:r w:rsidR="001F0528" w:rsidRPr="00AA565F">
        <w:t>It</w:t>
      </w:r>
      <w:r w:rsidR="00AA565F" w:rsidRPr="00AA565F">
        <w:t xml:space="preserve"> is </w:t>
      </w:r>
      <w:r w:rsidR="00AA565F" w:rsidRPr="001B4F11">
        <w:rPr>
          <w:rStyle w:val="Strong"/>
          <w:b w:val="0"/>
          <w:bCs w:val="0"/>
        </w:rPr>
        <w:t>valuable</w:t>
      </w:r>
      <w:r w:rsidR="00AA565F" w:rsidRPr="00AA565F">
        <w:t xml:space="preserve"> because more customers care about sustainability, and there is increasing pressure on fashion brands to reduce waste and environmental impact. </w:t>
      </w:r>
      <w:bookmarkEnd w:id="9"/>
      <w:r w:rsidR="00861784">
        <w:fldChar w:fldCharType="begin"/>
      </w:r>
      <w:r w:rsidR="00420C29">
        <w:instrText xml:space="preserve"> ADDIN ZOTERO_ITEM CSL_CITATION {"citationID":"ivSaR0UQ","properties":{"formattedCitation":"(Brydges, Henninger and Hanlon, 2022)","plainCitation":"(Brydges, Henninger and Hanlon, 2022)","noteIndex":0},"citationItems":[{"id":463,"uris":["http://zotero.org/users/17151418/items/4CY7DXAI"],"itemData":{"id":463,"type":"article-journal","abstract":"Over the last thirty years, sustainability has become a growing concern in the fashion industry. While there is agreement among a growing range of actors regarding the need to engage with the social and environmental challenges created by the fashion industry, there is less consent regarding what sustainability entails. Although \"sustainability\" may be intuitively understood, it has different meanings, depending on how it is applied, and who it is applied by. Without a clear-cut definition, sustainability becomes subjective. In this context, there is a need for research at the intersection of brand-sustainability initiatives and their communication to consumers, who play a vital role in this transition. Drawing on a case study of the Swedish fashion industry, we explore how evolving industrial business models and emerging best practices are informed by a robust understanding of sustainability. We evaluate how brands communicate sustainability to consumers across three key sites: brand websites (including corporate social responsibility reports), social media platforms, and in-store campaigns. We found that not only do brands use a range of practices to define sustainability differently, but furthermore, these definitions vary depending on the context. Considering the industry's ongoing history with greenwashing, it is vital to address and confront this issue head on. We argue that there is a need to determine what constitutes sustainability in the fashion industry and, in turn, hold businesses to that standard. As COVID-19 has only magnified and intensified these challenges, the article explores the implications of a more robust approach for both theory and practice.","container-title":"Sustainability : science, practice, &amp; policy","DOI":"10.1080/15487733.2022.2068225","ISSN":"1548-7733","issue":"1","language":"eng","page":"357–370","publisher":"Taylor &amp; Francis","publisher-place":"Philadelphia","source":"librarysearch.uwtsd.ac.uk","title":"Selling sustainability: investigating how Swedish fashion brands communicate sustainability to consumers","title-short":"Selling sustainability","volume":"18","author":[{"family":"Brydges","given":"Taylor"},{"family":"Henninger","given":"Claudia E."},{"family":"Hanlon","given":"Mary"}],"issued":{"date-parts":[["2022"]]}}}],"schema":"https://github.com/citation-style-language/schema/raw/master/csl-citation.json"} </w:instrText>
      </w:r>
      <w:r w:rsidR="00861784">
        <w:fldChar w:fldCharType="separate"/>
      </w:r>
      <w:r w:rsidR="00861784">
        <w:rPr>
          <w:noProof/>
        </w:rPr>
        <w:t>(Brydges, Henninger and Hanlon, 2022)</w:t>
      </w:r>
      <w:r w:rsidR="00861784">
        <w:fldChar w:fldCharType="end"/>
      </w:r>
      <w:r w:rsidR="002E6DBA">
        <w:t xml:space="preserve"> </w:t>
      </w:r>
      <w:r w:rsidR="00AA565F" w:rsidRPr="00AA565F">
        <w:t xml:space="preserve">Offering repairs shows responsibility and meets these expectations. However, it is </w:t>
      </w:r>
      <w:r w:rsidR="00AA565F" w:rsidRPr="001B4F11">
        <w:rPr>
          <w:rStyle w:val="Strong"/>
          <w:b w:val="0"/>
          <w:bCs w:val="0"/>
        </w:rPr>
        <w:t>not</w:t>
      </w:r>
      <w:r w:rsidR="00AA565F" w:rsidRPr="00AA565F">
        <w:rPr>
          <w:rStyle w:val="Strong"/>
        </w:rPr>
        <w:t xml:space="preserve"> </w:t>
      </w:r>
      <w:r w:rsidR="00AA565F" w:rsidRPr="001B4F11">
        <w:rPr>
          <w:rStyle w:val="Strong"/>
          <w:b w:val="0"/>
          <w:bCs w:val="0"/>
        </w:rPr>
        <w:t>rare</w:t>
      </w:r>
      <w:r w:rsidR="00AA565F" w:rsidRPr="00AA565F">
        <w:t xml:space="preserve"> because other brands can also start offering repair services or similar sustainability programmes. It is </w:t>
      </w:r>
      <w:r w:rsidR="00AA565F" w:rsidRPr="001B4F11">
        <w:rPr>
          <w:rStyle w:val="Strong"/>
          <w:b w:val="0"/>
          <w:bCs w:val="0"/>
        </w:rPr>
        <w:t>imitable</w:t>
      </w:r>
      <w:r w:rsidR="00AA565F" w:rsidRPr="00AA565F">
        <w:t xml:space="preserve">, meaning competitors can copy the idea. But building real trust and credibility in sustainability takes time, so it cannot be copied instantly. TOAST is </w:t>
      </w:r>
      <w:r w:rsidR="00AA565F" w:rsidRPr="001B4F11">
        <w:rPr>
          <w:rStyle w:val="Strong"/>
          <w:b w:val="0"/>
          <w:bCs w:val="0"/>
        </w:rPr>
        <w:t>organised</w:t>
      </w:r>
      <w:r w:rsidR="00AA565F" w:rsidRPr="00AA565F">
        <w:t xml:space="preserve"> to support </w:t>
      </w:r>
      <w:r w:rsidR="00AA565F" w:rsidRPr="00AA565F">
        <w:lastRenderedPageBreak/>
        <w:t>this service through its circular model and clear sustainability communication, which helps it run effectively. Overall, this gives TOAST a competitive advantage, but it is likely to be temporary or moderate because competitors can introduce similar initiatives.</w:t>
      </w:r>
    </w:p>
    <w:p w14:paraId="2679B77E" w14:textId="2CCB5540" w:rsidR="00B17C74" w:rsidRPr="00FD2C03" w:rsidRDefault="001351AC" w:rsidP="00FD2C03">
      <w:pPr>
        <w:rPr>
          <w:u w:val="single"/>
        </w:rPr>
      </w:pPr>
      <w:r w:rsidRPr="00FD2C03">
        <w:rPr>
          <w:u w:val="single"/>
        </w:rPr>
        <w:t xml:space="preserve">International Warehouse </w:t>
      </w:r>
    </w:p>
    <w:p w14:paraId="4B9D8A8F" w14:textId="1BE8F26A" w:rsidR="00C47A10" w:rsidRDefault="00C47A10" w:rsidP="44B60DB8">
      <w:pPr>
        <w:pStyle w:val="NormalWeb"/>
        <w:rPr>
          <w:rFonts w:asciiTheme="minorHAnsi" w:hAnsiTheme="minorHAnsi"/>
        </w:rPr>
      </w:pPr>
      <w:r w:rsidRPr="44B60DB8">
        <w:rPr>
          <w:rFonts w:asciiTheme="minorHAnsi" w:hAnsiTheme="minorHAnsi"/>
        </w:rPr>
        <w:t xml:space="preserve">They are </w:t>
      </w:r>
      <w:r w:rsidRPr="44B60DB8">
        <w:rPr>
          <w:rStyle w:val="Strong"/>
          <w:rFonts w:asciiTheme="minorHAnsi" w:eastAsiaTheme="majorEastAsia" w:hAnsiTheme="minorHAnsi"/>
          <w:b w:val="0"/>
          <w:bCs w:val="0"/>
        </w:rPr>
        <w:t>valuable</w:t>
      </w:r>
      <w:r w:rsidRPr="44B60DB8">
        <w:rPr>
          <w:rFonts w:asciiTheme="minorHAnsi" w:hAnsiTheme="minorHAnsi"/>
        </w:rPr>
        <w:t xml:space="preserve"> because they reduce customs costs, improve cash flow, and make returns processing faster and smoother. This supports daily operations and improves overall </w:t>
      </w:r>
      <w:r w:rsidR="00DC5C4B" w:rsidRPr="44B60DB8">
        <w:rPr>
          <w:rFonts w:asciiTheme="minorHAnsi" w:hAnsiTheme="minorHAnsi"/>
        </w:rPr>
        <w:t>efficiency. However</w:t>
      </w:r>
      <w:r w:rsidRPr="44B60DB8">
        <w:rPr>
          <w:rFonts w:asciiTheme="minorHAnsi" w:hAnsiTheme="minorHAnsi"/>
        </w:rPr>
        <w:t xml:space="preserve">, having warehouses in different locations is </w:t>
      </w:r>
      <w:r w:rsidRPr="44B60DB8">
        <w:rPr>
          <w:rStyle w:val="Strong"/>
          <w:rFonts w:asciiTheme="minorHAnsi" w:eastAsiaTheme="majorEastAsia" w:hAnsiTheme="minorHAnsi"/>
          <w:b w:val="0"/>
          <w:bCs w:val="0"/>
        </w:rPr>
        <w:t>not</w:t>
      </w:r>
      <w:r w:rsidRPr="44B60DB8">
        <w:rPr>
          <w:rStyle w:val="Strong"/>
          <w:rFonts w:asciiTheme="minorHAnsi" w:eastAsiaTheme="majorEastAsia" w:hAnsiTheme="minorHAnsi"/>
        </w:rPr>
        <w:t xml:space="preserve"> </w:t>
      </w:r>
      <w:r w:rsidRPr="44B60DB8">
        <w:rPr>
          <w:rStyle w:val="Strong"/>
          <w:rFonts w:asciiTheme="minorHAnsi" w:eastAsiaTheme="majorEastAsia" w:hAnsiTheme="minorHAnsi"/>
          <w:b w:val="0"/>
          <w:bCs w:val="0"/>
        </w:rPr>
        <w:t>rare</w:t>
      </w:r>
      <w:r w:rsidRPr="44B60DB8">
        <w:rPr>
          <w:rFonts w:asciiTheme="minorHAnsi" w:hAnsiTheme="minorHAnsi"/>
        </w:rPr>
        <w:t xml:space="preserve">, since many competitors can set up similar </w:t>
      </w:r>
      <w:r w:rsidR="00DC5C4B" w:rsidRPr="44B60DB8">
        <w:rPr>
          <w:rFonts w:asciiTheme="minorHAnsi" w:hAnsiTheme="minorHAnsi"/>
        </w:rPr>
        <w:t>facilities. It</w:t>
      </w:r>
      <w:r w:rsidRPr="44B60DB8">
        <w:rPr>
          <w:rFonts w:asciiTheme="minorHAnsi" w:hAnsiTheme="minorHAnsi"/>
        </w:rPr>
        <w:t xml:space="preserve"> is also </w:t>
      </w:r>
      <w:r w:rsidRPr="44B60DB8">
        <w:rPr>
          <w:rStyle w:val="Strong"/>
          <w:rFonts w:asciiTheme="minorHAnsi" w:eastAsiaTheme="majorEastAsia" w:hAnsiTheme="minorHAnsi"/>
          <w:b w:val="0"/>
          <w:bCs w:val="0"/>
        </w:rPr>
        <w:t>easy</w:t>
      </w:r>
      <w:r w:rsidRPr="44B60DB8">
        <w:rPr>
          <w:rStyle w:val="Strong"/>
          <w:rFonts w:asciiTheme="minorHAnsi" w:eastAsiaTheme="majorEastAsia" w:hAnsiTheme="minorHAnsi"/>
        </w:rPr>
        <w:t xml:space="preserve"> </w:t>
      </w:r>
      <w:r w:rsidRPr="44B60DB8">
        <w:rPr>
          <w:rStyle w:val="Strong"/>
          <w:rFonts w:asciiTheme="minorHAnsi" w:eastAsiaTheme="majorEastAsia" w:hAnsiTheme="minorHAnsi"/>
          <w:b w:val="0"/>
          <w:bCs w:val="0"/>
        </w:rPr>
        <w:t>to</w:t>
      </w:r>
      <w:r w:rsidRPr="44B60DB8">
        <w:rPr>
          <w:rStyle w:val="Strong"/>
          <w:rFonts w:asciiTheme="minorHAnsi" w:eastAsiaTheme="majorEastAsia" w:hAnsiTheme="minorHAnsi"/>
        </w:rPr>
        <w:t xml:space="preserve"> </w:t>
      </w:r>
      <w:r w:rsidRPr="44B60DB8">
        <w:rPr>
          <w:rStyle w:val="Strong"/>
          <w:rFonts w:asciiTheme="minorHAnsi" w:eastAsiaTheme="majorEastAsia" w:hAnsiTheme="minorHAnsi"/>
          <w:b w:val="0"/>
          <w:bCs w:val="0"/>
        </w:rPr>
        <w:t>imitate</w:t>
      </w:r>
      <w:r w:rsidRPr="44B60DB8">
        <w:rPr>
          <w:rFonts w:asciiTheme="minorHAnsi" w:hAnsiTheme="minorHAnsi"/>
        </w:rPr>
        <w:t xml:space="preserve"> if competitors have enough financial resources to invest in similar logistics </w:t>
      </w:r>
      <w:r w:rsidR="00DC5C4B" w:rsidRPr="44B60DB8">
        <w:rPr>
          <w:rFonts w:asciiTheme="minorHAnsi" w:hAnsiTheme="minorHAnsi"/>
        </w:rPr>
        <w:t>systems. Although</w:t>
      </w:r>
      <w:r w:rsidRPr="44B60DB8">
        <w:rPr>
          <w:rFonts w:asciiTheme="minorHAnsi" w:hAnsiTheme="minorHAnsi"/>
        </w:rPr>
        <w:t xml:space="preserve"> TOAST is organised to use these warehouses effectively, they </w:t>
      </w:r>
      <w:r w:rsidR="566BCC8A" w:rsidRPr="44B60DB8">
        <w:rPr>
          <w:rFonts w:asciiTheme="minorHAnsi" w:hAnsiTheme="minorHAnsi"/>
        </w:rPr>
        <w:t>improve</w:t>
      </w:r>
      <w:r w:rsidRPr="44B60DB8">
        <w:rPr>
          <w:rFonts w:asciiTheme="minorHAnsi" w:hAnsiTheme="minorHAnsi"/>
        </w:rPr>
        <w:t xml:space="preserve"> operational performance rather than creating something unique in the </w:t>
      </w:r>
      <w:r w:rsidR="00DC5C4B" w:rsidRPr="44B60DB8">
        <w:rPr>
          <w:rFonts w:asciiTheme="minorHAnsi" w:hAnsiTheme="minorHAnsi"/>
        </w:rPr>
        <w:t>market. Overall</w:t>
      </w:r>
      <w:r w:rsidRPr="44B60DB8">
        <w:rPr>
          <w:rFonts w:asciiTheme="minorHAnsi" w:hAnsiTheme="minorHAnsi"/>
        </w:rPr>
        <w:t>, this gives TOAST competitive parity</w:t>
      </w:r>
      <w:r w:rsidR="00850DF6" w:rsidRPr="44B60DB8">
        <w:rPr>
          <w:rFonts w:asciiTheme="minorHAnsi" w:hAnsiTheme="minorHAnsi"/>
        </w:rPr>
        <w:t xml:space="preserve"> </w:t>
      </w:r>
      <w:r w:rsidRPr="44B60DB8">
        <w:rPr>
          <w:rFonts w:asciiTheme="minorHAnsi" w:hAnsiTheme="minorHAnsi"/>
        </w:rPr>
        <w:t>or only a temporary advantage, rather than a long-term competitive edge.</w:t>
      </w:r>
      <w:r w:rsidR="00997978" w:rsidRPr="44B60DB8">
        <w:rPr>
          <w:rFonts w:asciiTheme="minorHAnsi" w:hAnsiTheme="minorHAnsi"/>
        </w:rPr>
        <w:t xml:space="preserve"> As noted by </w:t>
      </w:r>
      <w:r w:rsidRPr="44B60DB8">
        <w:rPr>
          <w:rFonts w:asciiTheme="minorHAnsi" w:hAnsiTheme="minorHAnsi"/>
        </w:rPr>
        <w:fldChar w:fldCharType="begin"/>
      </w:r>
      <w:r w:rsidR="00420C29">
        <w:rPr>
          <w:rFonts w:asciiTheme="minorHAnsi" w:hAnsiTheme="minorHAnsi"/>
        </w:rPr>
        <w:instrText xml:space="preserve"> ADDIN ZOTERO_ITEM CSL_CITATION {"citationID":"xHKkqi1M","properties":{"formattedCitation":"(Barney, 1991)","plainCitation":"(Barney, 1991)","dontUpdate":true,"noteIndex":0},"citationItems":[{"id":460,"uris":["http://zotero.org/users/17151418/items/FCAWLUEI"],"itemData":{"id":460,"type":"article-journal","abstract":"Understanding sources of sustained competitive advantage has become a major area of research in strategic management. Building on the assumptions that strategic resources are heterogeneously distributed acrossfirms and that these differences are stable over time, this article examines the link betweenfirm resources and sustained competitive advantage. Four empirical indicators of the potential of firm resources to generate sustained competitive advantage-value, rareness, imitability, and substitutability-are discussed. The model is applied by analyzing the potential of severalfirm resourcesfor generating sustained competitive advantages. The article concludes by examining implications of this firm resource model of sustained competitive advantage for other business disciplines.","container-title":"Journal of management","DOI":"10.1177/014920639101700108","ISSN":"0149-2063","issue":"1","language":"eng","page":"99–120","publisher":"Sage Publications","publisher-place":"Thousand Oaks, CA","source":"librarysearch.uwtsd.ac.uk","title":"Firm Resources and Sustained Competitive Advantage","volume":"17","author":[{"family":"Barney","given":"Jay"}],"issued":{"date-parts":[["1991"]]}}}],"schema":"https://github.com/citation-style-language/schema/raw/master/csl-citation.json"} </w:instrText>
      </w:r>
      <w:r w:rsidRPr="44B60DB8">
        <w:rPr>
          <w:rFonts w:asciiTheme="minorHAnsi" w:hAnsiTheme="minorHAnsi"/>
        </w:rPr>
        <w:fldChar w:fldCharType="separate"/>
      </w:r>
      <w:r w:rsidR="006B6404" w:rsidRPr="44B60DB8">
        <w:rPr>
          <w:rFonts w:asciiTheme="minorHAnsi" w:hAnsiTheme="minorHAnsi"/>
          <w:noProof/>
        </w:rPr>
        <w:t>Barney (1991)</w:t>
      </w:r>
      <w:r w:rsidRPr="44B60DB8">
        <w:rPr>
          <w:rFonts w:asciiTheme="minorHAnsi" w:hAnsiTheme="minorHAnsi"/>
        </w:rPr>
        <w:fldChar w:fldCharType="end"/>
      </w:r>
      <w:r w:rsidR="006B6404" w:rsidRPr="44B60DB8">
        <w:rPr>
          <w:rFonts w:asciiTheme="minorHAnsi" w:hAnsiTheme="minorHAnsi"/>
        </w:rPr>
        <w:t xml:space="preserve"> competitive parity exists when a firm has resources that are valuable but not </w:t>
      </w:r>
      <w:r w:rsidR="730172FC" w:rsidRPr="44B60DB8">
        <w:rPr>
          <w:rFonts w:asciiTheme="minorHAnsi" w:hAnsiTheme="minorHAnsi"/>
        </w:rPr>
        <w:t>unique,</w:t>
      </w:r>
      <w:r w:rsidR="00E5207D" w:rsidRPr="44B60DB8">
        <w:rPr>
          <w:rFonts w:asciiTheme="minorHAnsi" w:hAnsiTheme="minorHAnsi"/>
        </w:rPr>
        <w:t xml:space="preserve"> there resources help company compete </w:t>
      </w:r>
      <w:r w:rsidR="00182225" w:rsidRPr="44B60DB8">
        <w:rPr>
          <w:rFonts w:asciiTheme="minorHAnsi" w:hAnsiTheme="minorHAnsi"/>
        </w:rPr>
        <w:t xml:space="preserve">but do not provide competitive </w:t>
      </w:r>
      <w:r w:rsidR="477A92FC" w:rsidRPr="44B60DB8">
        <w:rPr>
          <w:rFonts w:asciiTheme="minorHAnsi" w:hAnsiTheme="minorHAnsi"/>
        </w:rPr>
        <w:t>advantage.</w:t>
      </w:r>
      <w:r w:rsidR="00182225" w:rsidRPr="44B60DB8">
        <w:rPr>
          <w:rFonts w:asciiTheme="minorHAnsi" w:hAnsiTheme="minorHAnsi"/>
        </w:rPr>
        <w:t xml:space="preserve"> </w:t>
      </w:r>
    </w:p>
    <w:p w14:paraId="22A1266E" w14:textId="1E1FBD9C" w:rsidR="00131218" w:rsidRPr="00FD2C03" w:rsidRDefault="00485635" w:rsidP="00FD2C03">
      <w:pPr>
        <w:rPr>
          <w:u w:val="single"/>
        </w:rPr>
      </w:pPr>
      <w:r w:rsidRPr="00FD2C03">
        <w:rPr>
          <w:u w:val="single"/>
        </w:rPr>
        <w:t xml:space="preserve">Retail Stores and Circle </w:t>
      </w:r>
      <w:r w:rsidR="003B4767" w:rsidRPr="00FD2C03">
        <w:rPr>
          <w:u w:val="single"/>
        </w:rPr>
        <w:t>Integration</w:t>
      </w:r>
    </w:p>
    <w:p w14:paraId="78EB7E10" w14:textId="1D554987" w:rsidR="003B4767" w:rsidRPr="003B4767" w:rsidRDefault="003B4767" w:rsidP="003B4767">
      <w:pPr>
        <w:pStyle w:val="NormalWeb"/>
        <w:rPr>
          <w:rFonts w:asciiTheme="minorHAnsi" w:hAnsiTheme="minorHAnsi"/>
        </w:rPr>
      </w:pPr>
      <w:r w:rsidRPr="003B4767">
        <w:rPr>
          <w:rFonts w:asciiTheme="minorHAnsi" w:hAnsiTheme="minorHAnsi"/>
        </w:rPr>
        <w:t xml:space="preserve">TOAST’s 20 retail stores across the United Kingdom represents an important strategic resource. The stores are valuable because </w:t>
      </w:r>
      <w:r w:rsidR="0011112B">
        <w:rPr>
          <w:rFonts w:asciiTheme="minorHAnsi" w:hAnsiTheme="minorHAnsi"/>
        </w:rPr>
        <w:t xml:space="preserve">improve </w:t>
      </w:r>
      <w:r w:rsidRPr="003B4767">
        <w:rPr>
          <w:rFonts w:asciiTheme="minorHAnsi" w:hAnsiTheme="minorHAnsi"/>
        </w:rPr>
        <w:t>brand visibility and provide direct customer engagement.</w:t>
      </w:r>
      <w:r w:rsidR="00CC19A3">
        <w:rPr>
          <w:rFonts w:asciiTheme="minorHAnsi" w:hAnsiTheme="minorHAnsi"/>
        </w:rPr>
        <w:fldChar w:fldCharType="begin"/>
      </w:r>
      <w:r w:rsidR="00420C29">
        <w:rPr>
          <w:rFonts w:asciiTheme="minorHAnsi" w:hAnsiTheme="minorHAnsi"/>
        </w:rPr>
        <w:instrText xml:space="preserve"> ADDIN ZOTERO_ITEM CSL_CITATION {"citationID":"18omWDY3","properties":{"formattedCitation":"(Sachdeva and Goel, 2024)","plainCitation":"(Sachdeva and Goel, 2024)","noteIndex":0},"citationItems":[{"id":465,"uris":["http://zotero.org/users/17151418/items/K9CGIXPA"],"itemData":{"id":465,"type":"article-journal","abstract":"The physical environment in retail store includes the store exterior, store interior, layout and design, point-of-purchase display, human variables, and customer service features. The physical environment in online portal includes virtual atmospherics, virtual theatrics, virtual layout and design, virtual social presence, and functional features. Retailing that engages customers purposefully either offline, i.e., retail store or online, i.e., online shopping portal, creates a long-lasting impression on them. The present research is attempting to explore the physical elements of shopping environments that influence customers, engage them in several activities and enhance their experience in Delhi, India and Santa Clara County, USA.","container-title":"International journal of Indian culture and business management","DOI":"10.1504/IJICBM.2024.137285","ISSN":"1753-0806","issue":"3","language":"eng","page":"291–309","publisher":"Inderscience Publishers IEL","source":"librarysearch.uwtsd.ac.uk","title":"Impact of customer engagement strategies on shopping in the physical environment: retail stores and online portals (in Delhi and Santa Clara County)","title-short":"Impact of customer engagement strategies on shopping in the physical environment","volume":"31","author":[{"family":"Sachdeva","given":"Ishita"},{"family":"Goel","given":"Sushma"}],"issued":{"date-parts":[["2024"]]}}}],"schema":"https://github.com/citation-style-language/schema/raw/master/csl-citation.json"} </w:instrText>
      </w:r>
      <w:r w:rsidR="00CC19A3">
        <w:rPr>
          <w:rFonts w:asciiTheme="minorHAnsi" w:hAnsiTheme="minorHAnsi"/>
        </w:rPr>
        <w:fldChar w:fldCharType="separate"/>
      </w:r>
      <w:r w:rsidR="00CC19A3">
        <w:rPr>
          <w:rFonts w:asciiTheme="minorHAnsi" w:hAnsiTheme="minorHAnsi"/>
          <w:noProof/>
        </w:rPr>
        <w:t>(Sachdeva and Goel, 2024)</w:t>
      </w:r>
      <w:r w:rsidR="00CC19A3">
        <w:rPr>
          <w:rFonts w:asciiTheme="minorHAnsi" w:hAnsiTheme="minorHAnsi"/>
        </w:rPr>
        <w:fldChar w:fldCharType="end"/>
      </w:r>
      <w:r w:rsidRPr="003B4767">
        <w:rPr>
          <w:rFonts w:asciiTheme="minorHAnsi" w:hAnsiTheme="minorHAnsi"/>
        </w:rPr>
        <w:t xml:space="preserve"> In addition, support the company’s circular programme by allowing customers to return or bring garments for repair.</w:t>
      </w:r>
    </w:p>
    <w:p w14:paraId="58836D79" w14:textId="087C6B45" w:rsidR="00547669" w:rsidRDefault="003B4767" w:rsidP="00547669">
      <w:pPr>
        <w:pStyle w:val="NormalWeb"/>
        <w:rPr>
          <w:rFonts w:asciiTheme="minorHAnsi" w:hAnsiTheme="minorHAnsi"/>
        </w:rPr>
      </w:pPr>
      <w:r w:rsidRPr="003B4767">
        <w:rPr>
          <w:rFonts w:asciiTheme="minorHAnsi" w:hAnsiTheme="minorHAnsi"/>
        </w:rPr>
        <w:t xml:space="preserve">While physical retail stores are not rare in the fashion industry, the integration of stores with a slow-fashion and repair model strengthens TOAST’s differentiated positioning. </w:t>
      </w:r>
      <w:r w:rsidR="00CD065D">
        <w:rPr>
          <w:rFonts w:asciiTheme="minorHAnsi" w:hAnsiTheme="minorHAnsi"/>
        </w:rPr>
        <w:t xml:space="preserve">TOAST instead of </w:t>
      </w:r>
      <w:r w:rsidR="00085145">
        <w:rPr>
          <w:rFonts w:asciiTheme="minorHAnsi" w:hAnsiTheme="minorHAnsi"/>
        </w:rPr>
        <w:t>competing</w:t>
      </w:r>
      <w:r w:rsidR="00E740FE">
        <w:rPr>
          <w:rFonts w:asciiTheme="minorHAnsi" w:hAnsiTheme="minorHAnsi"/>
        </w:rPr>
        <w:t xml:space="preserve"> only on </w:t>
      </w:r>
      <w:r w:rsidR="003C1724">
        <w:rPr>
          <w:rFonts w:asciiTheme="minorHAnsi" w:hAnsiTheme="minorHAnsi"/>
        </w:rPr>
        <w:t>price,</w:t>
      </w:r>
      <w:r w:rsidR="00E740FE">
        <w:rPr>
          <w:rFonts w:asciiTheme="minorHAnsi" w:hAnsiTheme="minorHAnsi"/>
        </w:rPr>
        <w:t xml:space="preserve"> company offer </w:t>
      </w:r>
      <w:r w:rsidR="00085145">
        <w:rPr>
          <w:rFonts w:asciiTheme="minorHAnsi" w:hAnsiTheme="minorHAnsi"/>
        </w:rPr>
        <w:t>unique service</w:t>
      </w:r>
      <w:r w:rsidR="00CA206C">
        <w:rPr>
          <w:rFonts w:asciiTheme="minorHAnsi" w:hAnsiTheme="minorHAnsi"/>
        </w:rPr>
        <w:t xml:space="preserve"> </w:t>
      </w:r>
      <w:r w:rsidR="008B30F5" w:rsidRPr="008B30F5">
        <w:rPr>
          <w:rFonts w:asciiTheme="minorHAnsi" w:hAnsiTheme="minorHAnsi"/>
        </w:rPr>
        <w:t xml:space="preserve">that distinguish it from fast-fashion </w:t>
      </w:r>
      <w:r w:rsidR="00547669" w:rsidRPr="008B30F5">
        <w:rPr>
          <w:rFonts w:asciiTheme="minorHAnsi" w:hAnsiTheme="minorHAnsi"/>
        </w:rPr>
        <w:t>competitors</w:t>
      </w:r>
      <w:r w:rsidR="00547669">
        <w:rPr>
          <w:rFonts w:asciiTheme="minorHAnsi" w:hAnsiTheme="minorHAnsi"/>
        </w:rPr>
        <w:t xml:space="preserve">. </w:t>
      </w:r>
      <w:r w:rsidR="00547669" w:rsidRPr="00547669">
        <w:rPr>
          <w:rFonts w:asciiTheme="minorHAnsi" w:hAnsiTheme="minorHAnsi"/>
        </w:rPr>
        <w:t>TOAST uses its stores not only to sell products but also to support its sustainability strategy, such as allowing customers to return or repair garments.</w:t>
      </w:r>
    </w:p>
    <w:p w14:paraId="7D5032E8" w14:textId="0BF95C2F" w:rsidR="003B4767" w:rsidRPr="004308B0" w:rsidRDefault="00E86314" w:rsidP="003B4767">
      <w:pPr>
        <w:pStyle w:val="NormalWeb"/>
        <w:rPr>
          <w:rFonts w:asciiTheme="minorHAnsi" w:hAnsiTheme="minorHAnsi"/>
        </w:rPr>
      </w:pPr>
      <w:r w:rsidRPr="00247A96">
        <w:rPr>
          <w:rFonts w:asciiTheme="minorHAnsi" w:hAnsiTheme="minorHAnsi"/>
        </w:rPr>
        <w:t xml:space="preserve">The store network is not highly </w:t>
      </w:r>
      <w:r w:rsidR="00AB2475" w:rsidRPr="00247A96">
        <w:rPr>
          <w:rStyle w:val="Strong"/>
          <w:rFonts w:asciiTheme="minorHAnsi" w:eastAsiaTheme="majorEastAsia" w:hAnsiTheme="minorHAnsi"/>
          <w:b w:val="0"/>
          <w:bCs w:val="0"/>
        </w:rPr>
        <w:t>inimitable</w:t>
      </w:r>
      <w:r w:rsidR="00AB2475" w:rsidRPr="00247A96">
        <w:rPr>
          <w:rFonts w:asciiTheme="minorHAnsi" w:hAnsiTheme="minorHAnsi"/>
        </w:rPr>
        <w:t xml:space="preserve"> since</w:t>
      </w:r>
      <w:r w:rsidRPr="00247A96">
        <w:rPr>
          <w:rFonts w:asciiTheme="minorHAnsi" w:hAnsiTheme="minorHAnsi"/>
        </w:rPr>
        <w:t xml:space="preserve"> competitors can open stores. However, combining retail presence with a strong sustainability model may be more difficult to copy </w:t>
      </w:r>
      <w:proofErr w:type="spellStart"/>
      <w:proofErr w:type="gramStart"/>
      <w:r w:rsidRPr="00247A96">
        <w:rPr>
          <w:rFonts w:asciiTheme="minorHAnsi" w:hAnsiTheme="minorHAnsi"/>
        </w:rPr>
        <w:t>quickly.</w:t>
      </w:r>
      <w:r w:rsidR="005450B0" w:rsidRPr="00247A96">
        <w:rPr>
          <w:rFonts w:asciiTheme="minorHAnsi" w:hAnsiTheme="minorHAnsi" w:cs="Arial"/>
        </w:rPr>
        <w:t>Organisation</w:t>
      </w:r>
      <w:proofErr w:type="spellEnd"/>
      <w:proofErr w:type="gramEnd"/>
      <w:r w:rsidR="005450B0" w:rsidRPr="00247A96">
        <w:rPr>
          <w:rFonts w:asciiTheme="minorHAnsi" w:hAnsiTheme="minorHAnsi" w:cs="Arial"/>
        </w:rPr>
        <w:t xml:space="preserve"> is </w:t>
      </w:r>
      <w:r w:rsidR="005450B0" w:rsidRPr="00247A96">
        <w:rPr>
          <w:rStyle w:val="Strong"/>
          <w:rFonts w:asciiTheme="minorHAnsi" w:eastAsiaTheme="majorEastAsia" w:hAnsiTheme="minorHAnsi" w:cs="Arial"/>
          <w:b w:val="0"/>
          <w:bCs w:val="0"/>
        </w:rPr>
        <w:t>organised</w:t>
      </w:r>
      <w:r w:rsidR="005450B0" w:rsidRPr="00247A96">
        <w:rPr>
          <w:rFonts w:asciiTheme="minorHAnsi" w:hAnsiTheme="minorHAnsi" w:cs="Arial"/>
        </w:rPr>
        <w:t xml:space="preserve"> to use its stores effectively, as support both</w:t>
      </w:r>
      <w:r w:rsidR="00B25083" w:rsidRPr="00247A96">
        <w:rPr>
          <w:rFonts w:asciiTheme="minorHAnsi" w:hAnsiTheme="minorHAnsi" w:cs="Arial"/>
        </w:rPr>
        <w:t xml:space="preserve"> selling products and supporting sustainability</w:t>
      </w:r>
      <w:r w:rsidR="00636D97" w:rsidRPr="00247A96">
        <w:rPr>
          <w:rFonts w:asciiTheme="minorHAnsi" w:hAnsiTheme="minorHAnsi" w:cs="Arial"/>
        </w:rPr>
        <w:t xml:space="preserve"> </w:t>
      </w:r>
      <w:r w:rsidR="0057149B" w:rsidRPr="00247A96">
        <w:rPr>
          <w:rFonts w:asciiTheme="minorHAnsi" w:hAnsiTheme="minorHAnsi" w:cs="Arial"/>
        </w:rPr>
        <w:t xml:space="preserve">but </w:t>
      </w:r>
      <w:r w:rsidR="00636D97" w:rsidRPr="00247A96">
        <w:rPr>
          <w:rFonts w:asciiTheme="minorHAnsi" w:hAnsiTheme="minorHAnsi" w:cs="Arial"/>
        </w:rPr>
        <w:t>the effectiveness of the stores in supporting sustainability depends on customer participation in the repair and circular programme.</w:t>
      </w:r>
    </w:p>
    <w:p w14:paraId="58D5D4B8" w14:textId="46E02E64" w:rsidR="00817A82" w:rsidRDefault="00247A96" w:rsidP="00FD2C03">
      <w:r w:rsidRPr="44B60DB8">
        <w:t>Although the stores help strengthen TOAST’s brand and build customer loyalty, loyalty in the fashion industry is not always strong</w:t>
      </w:r>
      <w:r w:rsidR="00520C48">
        <w:t xml:space="preserve"> </w:t>
      </w:r>
      <w:r w:rsidRPr="44B60DB8">
        <w:fldChar w:fldCharType="begin"/>
      </w:r>
      <w:r w:rsidR="00420C29">
        <w:instrText xml:space="preserve"> ADDIN ZOTERO_ITEM CSL_CITATION {"citationID":"MiRHgNKH","properties":{"formattedCitation":"(Ferreira, Rodrigues and Rodrigues, 2019)","plainCitation":"(Ferreira, Rodrigues and Rodrigues, 2019)","noteIndex":0},"citationItems":[{"id":466,"uris":["http://zotero.org/users/17151418/items/IC2LBVPL"],"itemData":{"id":466,"type":"article-journal","abstract":"Framed by the consumer-brand relationship theory, this paper investigates the path from the brand-consumer behaviour interaction to the relationship durability and stability, through brand relationship quality. Specifically, it examines brand experience as an antecedent of brand love, and customer loyalty and satisfaction as outcomes in the retail setting. Based on 560 customers’ responses to a face-to-face questionnaire administered in a fashion brand retail store, research hypotheses were tested using a structural equation model. The findings suggest that brand experience influences brand love, with a higher incidence of sensory and affective dimensions. Brand love, in turn, influences customer loyalty, both directly and indirectly through customer satisfaction. This research contributes to the still understudied relation between brand experience and brand love in the retail context and to the need to understand the satisfaction-loyalty relation involving other variables as predictors. Nevertheless, results are limited to one specific retail fashion brand and generalizations should be taken carefully.","container-title":"Management &amp; marketing (Bucharest, Romania)","DOI":"10.2478/mmcks-2019-0020","ISSN":"2069-8887","issue":"3","language":"eng","page":"278–291","publisher":"Sciendo","publisher-place":"Bucharest","source":"librarysearch.uwtsd.ac.uk","title":"Brand Love as Mediator of the Brand Experience-Satisfaction-Loyalty Relationship in a Retail Fashion Brand","volume":"14","author":[{"family":"Ferreira","given":"Pedro"},{"family":"Rodrigues","given":"Paula"},{"family":"Rodrigues","given":"Pedro"}],"issued":{"date-parts":[["2019"]]}}}],"schema":"https://github.com/citation-style-language/schema/raw/master/csl-citation.json"} </w:instrText>
      </w:r>
      <w:r w:rsidRPr="44B60DB8">
        <w:fldChar w:fldCharType="separate"/>
      </w:r>
      <w:r w:rsidR="00C018F1" w:rsidRPr="44B60DB8">
        <w:rPr>
          <w:noProof/>
        </w:rPr>
        <w:t>(Ferreira, Rodrigues and Rodrigues, 2019)</w:t>
      </w:r>
      <w:r w:rsidRPr="44B60DB8">
        <w:fldChar w:fldCharType="end"/>
      </w:r>
      <w:r w:rsidR="00520C48">
        <w:t>.</w:t>
      </w:r>
      <w:r w:rsidRPr="44B60DB8">
        <w:t xml:space="preserve"> Customers can easily switch to other brands, especially when prices rise or during economic uncertainty. Therefore, the store network gives TOAST some advantage, but it may not last long.</w:t>
      </w:r>
    </w:p>
    <w:p w14:paraId="7DC39AA3" w14:textId="08976AD5" w:rsidR="00117D87" w:rsidRPr="00161882" w:rsidRDefault="00FD2C03" w:rsidP="00161882">
      <w:pPr>
        <w:pStyle w:val="Heading1"/>
        <w:jc w:val="center"/>
        <w:rPr>
          <w:color w:val="000000" w:themeColor="text1"/>
        </w:rPr>
      </w:pPr>
      <w:bookmarkStart w:id="10" w:name="_Toc224748793"/>
      <w:r w:rsidRPr="00161882">
        <w:rPr>
          <w:color w:val="000000" w:themeColor="text1"/>
        </w:rPr>
        <w:lastRenderedPageBreak/>
        <w:t>5</w:t>
      </w:r>
      <w:r w:rsidR="00117D87" w:rsidRPr="00161882">
        <w:rPr>
          <w:color w:val="000000" w:themeColor="text1"/>
        </w:rPr>
        <w:t xml:space="preserve">. </w:t>
      </w:r>
      <w:r w:rsidR="005348ED" w:rsidRPr="00161882">
        <w:rPr>
          <w:color w:val="000000" w:themeColor="text1"/>
        </w:rPr>
        <w:t>Strategy and Competitive Position</w:t>
      </w:r>
      <w:bookmarkEnd w:id="10"/>
    </w:p>
    <w:p w14:paraId="6F094866" w14:textId="3BF2C87B" w:rsidR="00E83BAC" w:rsidRPr="00161882" w:rsidRDefault="00FD2C03" w:rsidP="00FD2C03">
      <w:pPr>
        <w:pStyle w:val="Heading1"/>
        <w:rPr>
          <w:color w:val="000000" w:themeColor="text1"/>
          <w:sz w:val="32"/>
          <w:szCs w:val="32"/>
        </w:rPr>
      </w:pPr>
      <w:bookmarkStart w:id="11" w:name="_Toc224748794"/>
      <w:r w:rsidRPr="00161882">
        <w:rPr>
          <w:color w:val="000000" w:themeColor="text1"/>
          <w:sz w:val="32"/>
          <w:szCs w:val="32"/>
        </w:rPr>
        <w:t xml:space="preserve">5.1 </w:t>
      </w:r>
      <w:r w:rsidR="00E83BAC" w:rsidRPr="00161882">
        <w:rPr>
          <w:color w:val="000000" w:themeColor="text1"/>
          <w:sz w:val="32"/>
          <w:szCs w:val="32"/>
        </w:rPr>
        <w:t>Porter Generic Strategies</w:t>
      </w:r>
      <w:bookmarkEnd w:id="11"/>
      <w:r w:rsidR="00E83BAC" w:rsidRPr="00161882">
        <w:rPr>
          <w:color w:val="000000" w:themeColor="text1"/>
          <w:sz w:val="32"/>
          <w:szCs w:val="32"/>
        </w:rPr>
        <w:t xml:space="preserve"> </w:t>
      </w:r>
    </w:p>
    <w:p w14:paraId="48F6DFD1" w14:textId="522B7BF4" w:rsidR="0089566B" w:rsidRDefault="005B61DA" w:rsidP="00A65A9A">
      <w:r>
        <w:t>According to</w:t>
      </w:r>
      <w:r>
        <w:fldChar w:fldCharType="begin"/>
      </w:r>
      <w:r w:rsidR="00420C29">
        <w:instrText xml:space="preserve"> ADDIN ZOTERO_ITEM CSL_CITATION {"citationID":"YkwPVw5B","properties":{"formattedCitation":"(EBSCOhost and Porter Michael E, 1998a)","plainCitation":"(EBSCOhost and Porter Michael E, 1998a)","dontUpdate":true,"noteIndex":0},"citationItems":[{"id":469,"uris":["http://zotero.org/users/17151418/items/4WWYSPV5"],"itemData":{"id":469,"type":"book","edition":"1st Free Press ed.","ISBN":"978-1-4165-9584-7","language":"eng","publisher":"Free Press","publisher-place":"New York","source":"librarysearch.uwtsd.ac.uk","title":"Competitive advantage: creating and sustaining superior performance : with a new introduction","title-short":"Competitive advantage","author":[{"literal":"EBSCOhost"},{"literal":"Porter Michael E"}],"issued":{"date-parts":[["1998"]]}}}],"schema":"https://github.com/citation-style-language/schema/raw/master/csl-citation.json"} </w:instrText>
      </w:r>
      <w:r>
        <w:fldChar w:fldCharType="separate"/>
      </w:r>
      <w:r w:rsidR="00F2022F" w:rsidRPr="44B60DB8">
        <w:rPr>
          <w:noProof/>
        </w:rPr>
        <w:t xml:space="preserve"> Porter (1998)</w:t>
      </w:r>
      <w:r>
        <w:fldChar w:fldCharType="end"/>
      </w:r>
      <w:r>
        <w:t xml:space="preserve"> organisations can gain a competitive advantage by using three main strategies: cost leadership, differentiation, and </w:t>
      </w:r>
      <w:r w:rsidR="00570A94">
        <w:t>focus.</w:t>
      </w:r>
      <w:r w:rsidR="004F2311">
        <w:t xml:space="preserve"> A company must decide which customer segment the strategy will target</w:t>
      </w:r>
      <w:r w:rsidR="00182389">
        <w:t xml:space="preserve"> and </w:t>
      </w:r>
      <w:r w:rsidR="005D38FE">
        <w:t xml:space="preserve">do it </w:t>
      </w:r>
      <w:r w:rsidR="186C8630">
        <w:t>well.</w:t>
      </w:r>
      <w:r w:rsidR="004F2311">
        <w:t xml:space="preserve"> It can focus on a broad market, offering products to a wide range of customers, or on a narrow market, which allows the company to concentrate on specific customer groups. TOAST </w:t>
      </w:r>
      <w:r w:rsidR="7D24E56F">
        <w:t>promotes</w:t>
      </w:r>
      <w:r w:rsidR="004F2311">
        <w:t xml:space="preserve"> a differentiation strategy. </w:t>
      </w:r>
      <w:r w:rsidR="00520C48">
        <w:t xml:space="preserve">The company offers products that are different or unique compared to its competitors </w:t>
      </w:r>
      <w:r w:rsidR="00520C48" w:rsidRPr="00520C48">
        <w:rPr>
          <w:rStyle w:val="Strong"/>
          <w:b w:val="0"/>
          <w:bCs w:val="0"/>
        </w:rPr>
        <w:t>(</w:t>
      </w:r>
      <w:proofErr w:type="spellStart"/>
      <w:r w:rsidR="00520C48" w:rsidRPr="00520C48">
        <w:rPr>
          <w:rStyle w:val="Strong"/>
          <w:b w:val="0"/>
          <w:bCs w:val="0"/>
        </w:rPr>
        <w:t>Alipoor</w:t>
      </w:r>
      <w:proofErr w:type="spellEnd"/>
      <w:r w:rsidR="00520C48" w:rsidRPr="00520C48">
        <w:rPr>
          <w:rStyle w:val="Strong"/>
          <w:b w:val="0"/>
          <w:bCs w:val="0"/>
        </w:rPr>
        <w:t xml:space="preserve"> and </w:t>
      </w:r>
      <w:proofErr w:type="spellStart"/>
      <w:r w:rsidR="00520C48" w:rsidRPr="00520C48">
        <w:rPr>
          <w:rStyle w:val="Strong"/>
          <w:b w:val="0"/>
          <w:bCs w:val="0"/>
        </w:rPr>
        <w:t>Khodaparasti</w:t>
      </w:r>
      <w:proofErr w:type="spellEnd"/>
      <w:r w:rsidR="00520C48" w:rsidRPr="00520C48">
        <w:rPr>
          <w:rStyle w:val="Strong"/>
          <w:b w:val="0"/>
          <w:bCs w:val="0"/>
        </w:rPr>
        <w:t>, 2024).</w:t>
      </w:r>
      <w:r w:rsidR="00520C48">
        <w:t xml:space="preserve"> Because the product is distinctive, customers are willing to pay a higher </w:t>
      </w:r>
      <w:r w:rsidR="00824480">
        <w:t>price. In</w:t>
      </w:r>
      <w:r w:rsidR="00A532A1">
        <w:t xml:space="preserve"> contrast, a cost leadership strategy requires a company to maintain the lowest cost structure in the industry while still ensuring that product quality meets market standards (</w:t>
      </w:r>
      <w:proofErr w:type="spellStart"/>
      <w:r w:rsidR="00A532A1">
        <w:t>Prajogo</w:t>
      </w:r>
      <w:proofErr w:type="spellEnd"/>
      <w:r w:rsidR="00A532A1">
        <w:t xml:space="preserve">, 2007). In comparison </w:t>
      </w:r>
      <w:r>
        <w:fldChar w:fldCharType="begin"/>
      </w:r>
      <w:r w:rsidR="00420C29">
        <w:instrText xml:space="preserve"> ADDIN ZOTERO_ITEM CSL_CITATION {"citationID":"9aHBKpgi","properties":{"formattedCitation":"(Toften and Hammervoll, 2010)","plainCitation":"(Toften and Hammervoll, 2010)","dontUpdate":true,"noteIndex":0},"citationItems":[{"id":468,"uris":["http://zotero.org/users/17151418/items/9BPB22J8"],"itemData":{"id":468,"type":"article-journal","abstract":"Purpose - The limited academic literature available on niche marketing has mainly focused on market-specific factors, and the discussion has in particular centred on the characteristics of what a niche is and what causes it to exist. In an attempt to fill this gap in the literature, the purpose of this paper is to identify the strategic capabilities of niche firms.Design methodology approach - In this paper, aspects regarding niche marketing and strategic capability are identified and briefly discussed with reference to the existing literature. Next, the methodology for the research at hand is presented, followed by a discussion of its findings. The paper then continues with the conclusion of this research, followed by pinpointing some of its limitations and providing recommendations for future research.Findings - All the investigated case firms follow a focused differentiation strategy to achieve a sustainable competitive advantage. The focus aspect of the niche firms' strategy is mirrored in the reported narrow geographic market focus, which could be limited to only one country, a limited number of customers - one sole customer in one case - or a limited number of customer types. With regard to strategic capabilities, the results were rather similar across cases, particularly for each pair of case firms within similar sectors (wine, organic salmon, and stockfish). From the case firms' point of view, it is clear that having access to high-quality raw material is critical to their strategy of delivering high-quality products. Finally, many of the identified resources and competences appear rather static, or fixed over several years.Originality value - The strategic capabilities as identified in this paper can be described and placed at different stages within the firms' value chains. Each stage has its own set of important strategic capabilities. These stages are: inbound logistics, production or refinement, and marketing and sales.","container-title":"Marketing intelligence &amp; planning","DOI":"10.1108/02634501011078138","ISSN":"0263-4503","issue":"6","language":"eng","page":"736–753","publisher":"Emerald Group Publishing Limited","publisher-place":"Bradford","source":"librarysearch.uwtsd.ac.uk","title":"Niche marketing and strategic capabilities: an exploratory study of specialised firms","title-short":"Niche marketing and strategic capabilities","volume":"28","author":[{"family":"Toften","given":"Kjell"},{"family":"Hammervoll","given":"Trond"}],"issued":{"date-parts":[["2010"]]}}}],"schema":"https://github.com/citation-style-language/schema/raw/master/csl-citation.json"} </w:instrText>
      </w:r>
      <w:r>
        <w:fldChar w:fldCharType="separate"/>
      </w:r>
      <w:r w:rsidR="00A532A1" w:rsidRPr="44B60DB8">
        <w:rPr>
          <w:noProof/>
        </w:rPr>
        <w:t>Toften and Hammervoll (2010)</w:t>
      </w:r>
      <w:r>
        <w:fldChar w:fldCharType="end"/>
      </w:r>
      <w:r w:rsidR="00A532A1">
        <w:t xml:space="preserve"> mentioned that a focus strategy targets a niche market rather than the entire market. </w:t>
      </w:r>
      <w:r w:rsidR="00A65A9A">
        <w:t xml:space="preserve"> </w:t>
      </w:r>
      <w:r w:rsidR="00AF65EA">
        <w:t>A focus strategy has two types: cost focus, where a company offers the lowest price to a specific customer group, and differentiation focus, where a company offers a unique product to a specific group.</w:t>
      </w:r>
      <w:r w:rsidR="004C6429">
        <w:t xml:space="preserve"> </w:t>
      </w:r>
    </w:p>
    <w:p w14:paraId="0E00321E" w14:textId="6F822E2C" w:rsidR="00C803B4" w:rsidRPr="00161882" w:rsidRDefault="00161882" w:rsidP="009F670D">
      <w:pPr>
        <w:pStyle w:val="Heading1"/>
        <w:rPr>
          <w:color w:val="000000" w:themeColor="text1"/>
          <w:sz w:val="32"/>
          <w:szCs w:val="32"/>
        </w:rPr>
      </w:pPr>
      <w:bookmarkStart w:id="12" w:name="_Toc224748795"/>
      <w:r w:rsidRPr="00161882">
        <w:rPr>
          <w:color w:val="000000" w:themeColor="text1"/>
          <w:sz w:val="32"/>
          <w:szCs w:val="32"/>
        </w:rPr>
        <w:t>5</w:t>
      </w:r>
      <w:r w:rsidR="009F670D" w:rsidRPr="00161882">
        <w:rPr>
          <w:color w:val="000000" w:themeColor="text1"/>
          <w:sz w:val="32"/>
          <w:szCs w:val="32"/>
        </w:rPr>
        <w:t>.</w:t>
      </w:r>
      <w:r w:rsidR="004F1273" w:rsidRPr="00161882">
        <w:rPr>
          <w:color w:val="000000" w:themeColor="text1"/>
          <w:sz w:val="32"/>
          <w:szCs w:val="32"/>
        </w:rPr>
        <w:t xml:space="preserve">2 </w:t>
      </w:r>
      <w:r w:rsidR="009F670D" w:rsidRPr="00161882">
        <w:rPr>
          <w:color w:val="000000" w:themeColor="text1"/>
          <w:sz w:val="32"/>
          <w:szCs w:val="32"/>
        </w:rPr>
        <w:t>TOAST Strategic Approach</w:t>
      </w:r>
      <w:bookmarkEnd w:id="12"/>
      <w:r w:rsidR="009F670D" w:rsidRPr="00161882">
        <w:rPr>
          <w:color w:val="000000" w:themeColor="text1"/>
          <w:sz w:val="32"/>
          <w:szCs w:val="32"/>
        </w:rPr>
        <w:t xml:space="preserve"> </w:t>
      </w:r>
    </w:p>
    <w:p w14:paraId="065199B0" w14:textId="76D2E88B" w:rsidR="0054535F" w:rsidRDefault="0054535F" w:rsidP="0089566B">
      <w:r>
        <w:t xml:space="preserve">TOAST </w:t>
      </w:r>
      <w:r w:rsidR="00885D7B">
        <w:t>differentiate</w:t>
      </w:r>
      <w:r>
        <w:t xml:space="preserve"> </w:t>
      </w:r>
      <w:r w:rsidR="00255D84">
        <w:t xml:space="preserve">using product </w:t>
      </w:r>
      <w:r w:rsidR="00BA0F5B">
        <w:t>features,</w:t>
      </w:r>
      <w:r w:rsidR="002C3D33">
        <w:t xml:space="preserve"> focuses on high-quality materials, craftsmanship, sustainability, and timeless design.</w:t>
      </w:r>
      <w:r w:rsidR="00C32430">
        <w:t xml:space="preserve"> As a result, the company </w:t>
      </w:r>
      <w:r w:rsidR="00BA0F5B">
        <w:t>can</w:t>
      </w:r>
      <w:r w:rsidR="00C32430">
        <w:t xml:space="preserve"> charge premium prices and attract middle- to upper-income consumers who appreciate durable and ethically produced products.</w:t>
      </w:r>
      <w:r w:rsidR="00603B39" w:rsidRPr="00603B39">
        <w:t xml:space="preserve"> </w:t>
      </w:r>
      <w:r w:rsidR="00603B39">
        <w:t>In contrast to fast-fashion retailers that compete through speed and low cost, TOAST prioritises product durability and brand authenticity. This differentiation strategy responds to the growing awareness of social and environmental issues in the fashion sector.</w:t>
      </w:r>
    </w:p>
    <w:p w14:paraId="2049320F" w14:textId="77777777" w:rsidR="004A7AFE" w:rsidRDefault="004A7AFE" w:rsidP="004A7AFE">
      <w:r>
        <w:t>TOAST focuses on a specific group of customers who care about ethical production and durable products. This suggests that the company also follows a focused differentiation strategy by targeting a niche market interested in slow fashion and sustainability.</w:t>
      </w:r>
    </w:p>
    <w:p w14:paraId="06A6CD42" w14:textId="13FC1D3D" w:rsidR="00FB6C16" w:rsidRPr="00161882" w:rsidRDefault="00161882" w:rsidP="00FB6C16">
      <w:pPr>
        <w:pStyle w:val="Heading1"/>
        <w:rPr>
          <w:color w:val="000000" w:themeColor="text1"/>
          <w:sz w:val="32"/>
          <w:szCs w:val="32"/>
        </w:rPr>
      </w:pPr>
      <w:bookmarkStart w:id="13" w:name="_Toc224748796"/>
      <w:r w:rsidRPr="00161882">
        <w:rPr>
          <w:color w:val="000000" w:themeColor="text1"/>
          <w:sz w:val="32"/>
          <w:szCs w:val="32"/>
        </w:rPr>
        <w:t xml:space="preserve">5.3 </w:t>
      </w:r>
      <w:r w:rsidR="00116A27" w:rsidRPr="00161882">
        <w:rPr>
          <w:color w:val="000000" w:themeColor="text1"/>
          <w:sz w:val="32"/>
          <w:szCs w:val="32"/>
        </w:rPr>
        <w:t>Competitors</w:t>
      </w:r>
      <w:bookmarkEnd w:id="13"/>
      <w:r w:rsidR="00FB6C16" w:rsidRPr="00161882">
        <w:rPr>
          <w:color w:val="000000" w:themeColor="text1"/>
          <w:sz w:val="32"/>
          <w:szCs w:val="32"/>
        </w:rPr>
        <w:t xml:space="preserve"> </w:t>
      </w:r>
    </w:p>
    <w:p w14:paraId="4C794FA9" w14:textId="6143C5FC" w:rsidR="0089566B" w:rsidRPr="0089566B" w:rsidRDefault="00B136D3" w:rsidP="0089566B">
      <w:r>
        <w:t xml:space="preserve">Fast-fashion companies such as Zara or H&amp;M have adopted a cost leadership approach. According to </w:t>
      </w:r>
      <w:proofErr w:type="spellStart"/>
      <w:r>
        <w:t>Arianpoor</w:t>
      </w:r>
      <w:proofErr w:type="spellEnd"/>
      <w:r>
        <w:t xml:space="preserve"> and </w:t>
      </w:r>
      <w:proofErr w:type="spellStart"/>
      <w:r>
        <w:t>Moghaddampoor</w:t>
      </w:r>
      <w:proofErr w:type="spellEnd"/>
      <w:r>
        <w:t xml:space="preserve"> (2024), firms applying cost leadership optimise sales per inventory ratio to improve supply chain performance. These companies </w:t>
      </w:r>
      <w:r w:rsidR="79A8CD0B">
        <w:t>compete</w:t>
      </w:r>
      <w:r>
        <w:t xml:space="preserve"> by offering low prices and introducing new collections very </w:t>
      </w:r>
      <w:r w:rsidR="00741DE0">
        <w:t>quickly. This</w:t>
      </w:r>
      <w:r w:rsidR="00FB6C16">
        <w:t xml:space="preserve"> strategy focuses on speed and high production volumes to follow short-term trends. However, this model is often criticised for creating large amounts of waste and contributing to environmental problems.</w:t>
      </w:r>
      <w:r w:rsidR="00CE37AE">
        <w:t xml:space="preserve"> </w:t>
      </w:r>
      <w:r w:rsidR="00E7362A">
        <w:t>(Santa Rosa Lana and Duarte, 2025)</w:t>
      </w:r>
      <w:r w:rsidR="00CE37AE">
        <w:t xml:space="preserve"> </w:t>
      </w:r>
    </w:p>
    <w:p w14:paraId="1DF84927" w14:textId="54398902" w:rsidR="00604348" w:rsidRPr="0089566B" w:rsidRDefault="00604348" w:rsidP="0089566B">
      <w:r>
        <w:lastRenderedPageBreak/>
        <w:t xml:space="preserve">In contrast, TOAST </w:t>
      </w:r>
      <w:r w:rsidR="00186503">
        <w:t>i</w:t>
      </w:r>
      <w:r>
        <w:t>nstead of competing on price, the company focuses on high-quality materials, durability, and sustainability. Its slow-fashion model, together with repair services and circular initiatives, allows TOAST to differentiate itself from fast-fashion competitors and target customers who value long-lasting and ethically produced clothing.</w:t>
      </w:r>
    </w:p>
    <w:p w14:paraId="5353C0BF" w14:textId="5634A37E" w:rsidR="00552835" w:rsidRPr="00161882" w:rsidRDefault="00161882" w:rsidP="00552835">
      <w:pPr>
        <w:pStyle w:val="Heading1"/>
        <w:rPr>
          <w:color w:val="000000" w:themeColor="text1"/>
          <w:sz w:val="32"/>
          <w:szCs w:val="32"/>
        </w:rPr>
      </w:pPr>
      <w:bookmarkStart w:id="14" w:name="_Toc224748797"/>
      <w:r w:rsidRPr="00161882">
        <w:rPr>
          <w:color w:val="000000" w:themeColor="text1"/>
          <w:sz w:val="32"/>
          <w:szCs w:val="32"/>
        </w:rPr>
        <w:t xml:space="preserve">5.4 </w:t>
      </w:r>
      <w:r w:rsidR="00552835" w:rsidRPr="00161882">
        <w:rPr>
          <w:color w:val="000000" w:themeColor="text1"/>
          <w:sz w:val="32"/>
          <w:szCs w:val="32"/>
        </w:rPr>
        <w:t>Strengths and Weaknesses</w:t>
      </w:r>
      <w:bookmarkEnd w:id="14"/>
      <w:r w:rsidR="00552835" w:rsidRPr="00161882">
        <w:rPr>
          <w:color w:val="000000" w:themeColor="text1"/>
          <w:sz w:val="32"/>
          <w:szCs w:val="32"/>
        </w:rPr>
        <w:t xml:space="preserve"> </w:t>
      </w:r>
    </w:p>
    <w:p w14:paraId="2A0F9F74" w14:textId="5F594A4F" w:rsidR="001A017F" w:rsidRDefault="00DB21A9" w:rsidP="00552835">
      <w:r>
        <w:t xml:space="preserve">Although differentiation allows TOAST to charge higher prices and build a strong brand identity, it also creates risks. Premium products may become less attractive during periods of economic </w:t>
      </w:r>
      <w:r w:rsidR="004600AC">
        <w:t>uncertainty when</w:t>
      </w:r>
      <w:r>
        <w:t xml:space="preserve"> </w:t>
      </w:r>
      <w:r w:rsidR="00767FCD">
        <w:t xml:space="preserve">costumers </w:t>
      </w:r>
      <w:r>
        <w:t xml:space="preserve">prioritise lower prices. In addition, changing customer behaviour, including growing demand for convenience, fast </w:t>
      </w:r>
      <w:r w:rsidR="5AF1A274">
        <w:t>delivery,</w:t>
      </w:r>
      <w:r>
        <w:t xml:space="preserve"> and lower prices</w:t>
      </w:r>
      <w:r w:rsidR="00761379">
        <w:t xml:space="preserve"> </w:t>
      </w:r>
      <w:r w:rsidR="00761379">
        <w:fldChar w:fldCharType="begin"/>
      </w:r>
      <w:r w:rsidR="00420C29">
        <w:instrText xml:space="preserve"> ADDIN ZOTERO_ITEM CSL_CITATION {"citationID":"N2eIr5UL","properties":{"formattedCitation":"(Cui {\\i{}et al.}, 2024)","plainCitation":"(Cui et al., 2024)","noteIndex":0},"citationItems":[{"id":475,"uris":["http://zotero.org/users/17151418/items/VF7U9X2V"],"itemData":{"id":475,"type":"article-journal","abstract":"Problem definition\n:\nOnline retailers have to provide customers with an estimate of how fast an order can be delivered before they decide to make the purchase. Retailers can strategically adjust this delivery speed promise online without changing offline infrastructure, and doing so may fundamentally impact business outcomes. It can influence consumers’ purchasing decisions and postpurchase experiences, often in the opposite direction. On one hand, an aggressive (i.e., faster) delivery estimate could ensure that more customers meet their deadlines and thus, may increase their purchases ex ante. On the other hand, an aggressive estimate tends to overpromise, potentially leading to a longer than expected wait time, which can lower customer satisfaction and increase product returns ex post. In this research, we estimate the causal effect of retailers’ delivery speed promise on customer behaviors and business performance.\nMethodology/results\n:\nCollaborating with\nCollage.com\n, an online retailer that sells customized photo products across the United States, we exogenously varied the disclosed delivery speed estimates online while keeping the physical delivery speed unchanged. Using the difference-in-differences identification strategy, we find that a faster promise increases sales and profits, but it also increases product returns and reduces customer retention. In addition, we propose a data-driven model that uses the estimated parameters to optimize delivery promises to maximize customer lifetime value.\nManagerial implications\n:\nOur findings provide managerial insights and a data-driven policy that retailers can leverage to optimize and customize their delivery promises.\nFunding:\nT. Sun acknowledges research support from CKGSB Research Institute.\nSupplemental Material:\nThe online appendix is available at\nhttps://doi.org/10.1287/msom.2021.0174\n.","container-title":"Manufacturing &amp; service operations management","DOI":"10.1287/msom.2021.0174","ISSN":"1523-4614","issue":"1","language":"eng","page":"233–251","publisher":"INFORMS","publisher-place":"Linthicum","source":"librarysearch.uwtsd.ac.uk","title":"Sooner or Later? Promising Delivery Speed in Online Retail","title-short":"Sooner or Later?","volume":"26","author":[{"family":"Cui","given":"Ruomeng"},{"family":"Lu","given":"Zhikun"},{"family":"Sun","given":"Tianshu"},{"family":"Golden","given":"Joseph M."}],"issued":{"date-parts":[["2024"]]}}}],"schema":"https://github.com/citation-style-language/schema/raw/master/csl-citation.json"} </w:instrText>
      </w:r>
      <w:r w:rsidR="00761379">
        <w:fldChar w:fldCharType="separate"/>
      </w:r>
      <w:r w:rsidR="002E3C4E" w:rsidRPr="002E3C4E">
        <w:rPr>
          <w:rFonts w:ascii="Aptos" w:cs="Times New Roman"/>
          <w:kern w:val="0"/>
        </w:rPr>
        <w:t xml:space="preserve">(Cui </w:t>
      </w:r>
      <w:r w:rsidR="002E3C4E" w:rsidRPr="44B60DB8">
        <w:rPr>
          <w:rFonts w:ascii="Aptos" w:cs="Times New Roman"/>
          <w:i/>
          <w:iCs/>
          <w:kern w:val="0"/>
        </w:rPr>
        <w:t>et al.</w:t>
      </w:r>
      <w:r w:rsidR="002E3C4E" w:rsidRPr="002E3C4E">
        <w:rPr>
          <w:rFonts w:ascii="Aptos" w:cs="Times New Roman"/>
          <w:kern w:val="0"/>
        </w:rPr>
        <w:t>, 2024)</w:t>
      </w:r>
      <w:r w:rsidR="00761379">
        <w:fldChar w:fldCharType="end"/>
      </w:r>
      <w:r>
        <w:t xml:space="preserve"> may make it slower and more sustainable fashion models to compete with fast-fashion brands. </w:t>
      </w:r>
    </w:p>
    <w:p w14:paraId="7A55000F" w14:textId="5EF73381" w:rsidR="00A22CFA" w:rsidRDefault="004E6845" w:rsidP="00A22CFA">
      <w:r>
        <w:t xml:space="preserve">The slow fashion model is based on customers buying fewer but higher-quality products. While this approach supports sustainability goals, it may also limit sales volume compared to fast-fashion retailers that rely on frequent purchases and rapidly changing trends. Producing larger quantities of clothing often reduces production costs and increases turnover, giving fast-fashion companies a competitive advantage. </w:t>
      </w:r>
      <w:r w:rsidR="007E7E7D">
        <w:fldChar w:fldCharType="begin"/>
      </w:r>
      <w:r w:rsidR="00420C29">
        <w:instrText xml:space="preserve"> ADDIN ZOTERO_ITEM CSL_CITATION {"citationID":"daF9Xvct","properties":{"formattedCitation":"(Williams, 2022)","plainCitation":"(Williams, 2022)","noteIndex":0},"citationItems":[{"id":476,"uris":["http://zotero.org/users/17151418/items/PZAII47C"],"itemData":{"id":476,"type":"article-journal","abstract":"Fast fashion is a controversial topic in both academia and among the general population due to its perceived benefits for consumers in developed countries and consequences for the workers in developing countries. This paper explores the effects of fast fashion from environmental, social, and economic perspectives to determine whether fast fashion and its processes generate a net positive or net negative impact on society. This is accomplished by collecting and analyzing current research on the topics of fast fashion and sweatshops and synthesizing this data into a cohesive paper than provides a holistic outlook on the effects of fast fashion. The conclusion of this paper, based on the findings, is that fast fashion offers a net positive impact.","container-title":"Journal for Global Business and Community","DOI":"10.56020/001c.36873","issue":"1","journalAbbreviation":"Journal for Global Business &amp; Community","language":"en","publisher":"Consortium for Undergraduate International Business Education","source":"jgbc.scholasticahq.com","title":"Appalling or Advantageous? Exploring the Impacts of Fast Fashion From Environmental, Social, and Economic Perspectives","title-short":"Appalling or Advantageous?","URL":"https://jgbc.scholasticahq.com/article/36873-appalling-or-advantageous-exploring-the-impacts-of-fast-fashion-from-environmental-social-and-economic-perspectives","volume":"13","author":[{"family":"Williams","given":"Emma"}],"accessed":{"date-parts":[["2026",3,10]]},"issued":{"date-parts":[["2022",7,6]]}}}],"schema":"https://github.com/citation-style-language/schema/raw/master/csl-citation.json"} </w:instrText>
      </w:r>
      <w:r w:rsidR="007E7E7D">
        <w:fldChar w:fldCharType="separate"/>
      </w:r>
      <w:r w:rsidR="00D16C3E">
        <w:rPr>
          <w:noProof/>
        </w:rPr>
        <w:t>(Williams, 2022)</w:t>
      </w:r>
      <w:r w:rsidR="007E7E7D">
        <w:fldChar w:fldCharType="end"/>
      </w:r>
      <w:r w:rsidR="00B81D82" w:rsidRPr="00B81D82">
        <w:t xml:space="preserve"> </w:t>
      </w:r>
    </w:p>
    <w:p w14:paraId="178AB951" w14:textId="24954847" w:rsidR="008766CE" w:rsidRDefault="002E1180" w:rsidP="008766CE">
      <w:r w:rsidRPr="44B60DB8">
        <w:t>I</w:t>
      </w:r>
      <w:r w:rsidR="00B91346" w:rsidRPr="44B60DB8">
        <w:t xml:space="preserve">ncreasing pressure related to sustainable practices has encouraged even fast-fashion companies to introduce more environmentally responsible initiatives. For example, </w:t>
      </w:r>
      <w:r w:rsidR="00B91346" w:rsidRPr="44B60DB8">
        <w:rPr>
          <w:rStyle w:val="whitespace-normal"/>
          <w:rFonts w:eastAsiaTheme="majorEastAsia"/>
        </w:rPr>
        <w:t>Zara</w:t>
      </w:r>
      <w:r w:rsidR="00B91346" w:rsidRPr="44B60DB8">
        <w:t xml:space="preserve"> allows customers to return old clothing so it can be resold or recycled.</w:t>
      </w:r>
      <w:r w:rsidR="00E76935" w:rsidRPr="44B60DB8">
        <w:t xml:space="preserve"> </w:t>
      </w:r>
      <w:r w:rsidRPr="44B60DB8">
        <w:fldChar w:fldCharType="begin"/>
      </w:r>
      <w:r w:rsidR="00420C29">
        <w:instrText xml:space="preserve"> ADDIN ZOTERO_ITEM CSL_CITATION {"citationID":"YAhY3ZBa","properties":{"formattedCitation":"({\\i{}Zara Pre-owned / Donation | ZARA United Kingdom}, no date)","plainCitation":"(Zara Pre-owned / Donation | ZARA United Kingdom, no date)","dontUpdate":true,"noteIndex":0},"citationItems":[{"id":480,"uris":["http://zotero.org/users/17151418/items/6LS83AK6"],"itemData":{"id":480,"type":"webpage","title":"Zara Pre-owned / Donation | ZARA United Kingdom","URL":"https://www.zara.com/uk/en/preowned-donate-mkt5798.html","accessed":{"date-parts":[["2026",3,10]]}}}],"schema":"https://github.com/citation-style-language/schema/raw/master/csl-citation.json"} </w:instrText>
      </w:r>
      <w:r w:rsidRPr="44B60DB8">
        <w:fldChar w:fldCharType="separate"/>
      </w:r>
      <w:r w:rsidR="002D0EB0" w:rsidRPr="44B60DB8">
        <w:t>(</w:t>
      </w:r>
      <w:r w:rsidR="15E48B57" w:rsidRPr="44B60DB8">
        <w:rPr>
          <w:i/>
          <w:iCs/>
        </w:rPr>
        <w:t>Z</w:t>
      </w:r>
      <w:r w:rsidR="003617A0">
        <w:rPr>
          <w:i/>
          <w:iCs/>
        </w:rPr>
        <w:t>ARA</w:t>
      </w:r>
      <w:r w:rsidR="15E48B57" w:rsidRPr="44B60DB8">
        <w:rPr>
          <w:i/>
          <w:iCs/>
        </w:rPr>
        <w:t>,</w:t>
      </w:r>
      <w:r w:rsidR="002D0EB0" w:rsidRPr="44B60DB8">
        <w:t xml:space="preserve"> 2026)</w:t>
      </w:r>
      <w:r w:rsidRPr="44B60DB8">
        <w:fldChar w:fldCharType="end"/>
      </w:r>
      <w:r w:rsidR="00B91346" w:rsidRPr="44B60DB8">
        <w:t xml:space="preserve"> This approach reflects a </w:t>
      </w:r>
      <w:r w:rsidR="00B91346" w:rsidRPr="44B60DB8">
        <w:rPr>
          <w:rStyle w:val="Strong"/>
          <w:rFonts w:eastAsiaTheme="majorEastAsia"/>
          <w:b w:val="0"/>
          <w:bCs w:val="0"/>
        </w:rPr>
        <w:t>circular economy</w:t>
      </w:r>
      <w:r w:rsidR="00B91346" w:rsidRPr="44B60DB8">
        <w:rPr>
          <w:rStyle w:val="Strong"/>
          <w:rFonts w:eastAsiaTheme="majorEastAsia"/>
        </w:rPr>
        <w:t xml:space="preserve"> </w:t>
      </w:r>
      <w:r w:rsidR="00B91346" w:rsidRPr="44B60DB8">
        <w:rPr>
          <w:rStyle w:val="Strong"/>
          <w:rFonts w:eastAsiaTheme="majorEastAsia"/>
          <w:b w:val="0"/>
          <w:bCs w:val="0"/>
        </w:rPr>
        <w:t>strategy</w:t>
      </w:r>
      <w:r w:rsidR="00B91346" w:rsidRPr="44B60DB8">
        <w:rPr>
          <w:b/>
          <w:bCs/>
        </w:rPr>
        <w:t>,</w:t>
      </w:r>
      <w:r w:rsidR="00B91346" w:rsidRPr="44B60DB8">
        <w:t xml:space="preserve"> where companies encourage customers to return used products so they can be reused, </w:t>
      </w:r>
      <w:r w:rsidR="5613A4F4" w:rsidRPr="44B60DB8">
        <w:t>repaired,</w:t>
      </w:r>
      <w:r w:rsidR="00B91346" w:rsidRPr="44B60DB8">
        <w:t xml:space="preserve"> or recycled, extending the product life cycle</w:t>
      </w:r>
      <w:r w:rsidR="00A64EC2">
        <w:t>.</w:t>
      </w:r>
      <w:r w:rsidR="00682193" w:rsidRPr="44B60DB8">
        <w:t xml:space="preserve"> </w:t>
      </w:r>
      <w:r w:rsidRPr="44B60DB8">
        <w:fldChar w:fldCharType="begin"/>
      </w:r>
      <w:r w:rsidR="00420C29">
        <w:instrText xml:space="preserve"> ADDIN ZOTERO_ITEM CSL_CITATION {"citationID":"UfD70N8e","properties":{"formattedCitation":"(Geissdoerfer {\\i{}et al.}, 2017)","plainCitation":"(Geissdoerfer et al., 2017)","noteIndex":0},"citationItems":[{"id":478,"uris":["http://zotero.org/users/17151418/items/5MNWHD7U"],"itemData":{"id":478,"type":"article-journal","abstract":"While the terms Circular Economy and sustainability are increasingly gaining traction with academia, industry, and policymakers, the similarities and differences between both concepts remain ambiguous. The relationship between the concepts is not made explicit in literature, which is blurring their conceptual contours and constrains the efficacy of using the approaches in research and practice. This research addresses this gap and aims to provide conceptual clarity by distinguishing the terms and synthesising the different types of relationships between them. We conducted an extensive literature review, employing bibliometric analysis and snowballing techniques to investigate the state of the art in the field and synthesise the similarities, differences and relationships between both terms. We identified eight different relationship types in the literature and illustrated the most evident similarities and differences between both concepts.","container-title":"Journal of cleaner production","DOI":"10.1016/j.jclepro.2016.12.048","ISSN":"0959-6526","language":"eng","page":"757–768","publisher":"Elsevier Ltd","source":"librarysearch.uwtsd.ac.uk","title":"The Circular Economy – A new sustainability paradigm?","volume":"143","author":[{"family":"Geissdoerfer","given":"Martin"},{"family":"Savaget","given":"Paulo"},{"family":"Bocken","given":"Nancy MP"},{"family":"Hultink","given":"Erik Jan"}],"issued":{"date-parts":[["2017"]]}}}],"schema":"https://github.com/citation-style-language/schema/raw/master/csl-citation.json"} </w:instrText>
      </w:r>
      <w:r w:rsidRPr="44B60DB8">
        <w:fldChar w:fldCharType="separate"/>
      </w:r>
      <w:r w:rsidR="009238B2" w:rsidRPr="44B60DB8">
        <w:t>(</w:t>
      </w:r>
      <w:proofErr w:type="spellStart"/>
      <w:r w:rsidR="009238B2" w:rsidRPr="44B60DB8">
        <w:t>Geissdoerfer</w:t>
      </w:r>
      <w:proofErr w:type="spellEnd"/>
      <w:r w:rsidR="009238B2" w:rsidRPr="44B60DB8">
        <w:t xml:space="preserve"> </w:t>
      </w:r>
      <w:r w:rsidR="009238B2" w:rsidRPr="44B60DB8">
        <w:rPr>
          <w:i/>
          <w:iCs/>
        </w:rPr>
        <w:t>et al.</w:t>
      </w:r>
      <w:r w:rsidR="009238B2" w:rsidRPr="44B60DB8">
        <w:t>, 2017)</w:t>
      </w:r>
      <w:r w:rsidRPr="44B60DB8">
        <w:fldChar w:fldCharType="end"/>
      </w:r>
      <w:r w:rsidR="008B67D7" w:rsidRPr="44B60DB8">
        <w:t xml:space="preserve"> For TOAST </w:t>
      </w:r>
      <w:r w:rsidR="00B60527" w:rsidRPr="44B60DB8">
        <w:t xml:space="preserve">there could be potential risk of </w:t>
      </w:r>
      <w:r w:rsidR="207B0842" w:rsidRPr="44B60DB8">
        <w:t>drift.</w:t>
      </w:r>
      <w:r w:rsidR="00B60527" w:rsidRPr="44B60DB8">
        <w:t xml:space="preserve"> </w:t>
      </w:r>
      <w:r w:rsidR="00AD30AA" w:rsidRPr="44B60DB8">
        <w:t xml:space="preserve">According to </w:t>
      </w:r>
      <w:r w:rsidR="00A55107">
        <w:t>Whittington, Scholes and Johnson</w:t>
      </w:r>
      <w:r w:rsidR="00A55107" w:rsidRPr="44B60DB8">
        <w:t xml:space="preserve"> </w:t>
      </w:r>
      <w:r w:rsidR="00AE5849" w:rsidRPr="44B60DB8">
        <w:t>(2012)</w:t>
      </w:r>
      <w:r w:rsidR="002935EF" w:rsidRPr="44B60DB8">
        <w:t xml:space="preserve"> s</w:t>
      </w:r>
      <w:r w:rsidR="00AD30AA" w:rsidRPr="44B60DB8">
        <w:t>trategic drift happens when a company’s strategy no longer fits changes in the market or external environment.</w:t>
      </w:r>
      <w:r w:rsidR="00965E60" w:rsidRPr="44B60DB8">
        <w:t xml:space="preserve"> </w:t>
      </w:r>
      <w:r w:rsidR="00C071F5" w:rsidRPr="44B60DB8">
        <w:t xml:space="preserve">This usually happens when organisations continue using the same strategy </w:t>
      </w:r>
      <w:r w:rsidR="00287709" w:rsidRPr="44B60DB8">
        <w:t>even though</w:t>
      </w:r>
      <w:r w:rsidR="00C071F5" w:rsidRPr="44B60DB8">
        <w:t xml:space="preserve"> the market and competitors are changing</w:t>
      </w:r>
      <w:r w:rsidR="00287709" w:rsidRPr="44B60DB8">
        <w:t>. It may occur because companies become overconfident</w:t>
      </w:r>
      <w:r w:rsidR="00173B24" w:rsidRPr="44B60DB8">
        <w:t xml:space="preserve"> </w:t>
      </w:r>
      <w:r w:rsidR="00424391" w:rsidRPr="44B60DB8">
        <w:t xml:space="preserve">or </w:t>
      </w:r>
      <w:r w:rsidR="00287709" w:rsidRPr="44B60DB8">
        <w:t>are afraid of making changes</w:t>
      </w:r>
      <w:r w:rsidR="00D73670">
        <w:t>.</w:t>
      </w:r>
    </w:p>
    <w:p w14:paraId="65EB26C2" w14:textId="1CF4ECD0" w:rsidR="00552835" w:rsidRDefault="00D73670" w:rsidP="00552835">
      <w:r>
        <w:t>I</w:t>
      </w:r>
      <w:r w:rsidR="00FD4DC2">
        <w:t>ncreasing competition and changing c</w:t>
      </w:r>
      <w:r w:rsidR="007616B7">
        <w:t>ustomer</w:t>
      </w:r>
      <w:r w:rsidR="00FD4DC2">
        <w:t xml:space="preserve"> expectations mean that </w:t>
      </w:r>
      <w:r>
        <w:t>TOAST</w:t>
      </w:r>
      <w:r w:rsidR="00FD4DC2">
        <w:t xml:space="preserve"> must continuously adapt its strategy to maintain its competitive advantage.</w:t>
      </w:r>
    </w:p>
    <w:p w14:paraId="26FD694E" w14:textId="5186B196" w:rsidR="00700B78" w:rsidRPr="00161882" w:rsidRDefault="00161882" w:rsidP="00161882">
      <w:pPr>
        <w:pStyle w:val="Heading1"/>
        <w:jc w:val="center"/>
        <w:rPr>
          <w:color w:val="000000" w:themeColor="text1"/>
        </w:rPr>
      </w:pPr>
      <w:bookmarkStart w:id="15" w:name="_Toc224748798"/>
      <w:r w:rsidRPr="00161882">
        <w:rPr>
          <w:color w:val="000000" w:themeColor="text1"/>
        </w:rPr>
        <w:lastRenderedPageBreak/>
        <w:t xml:space="preserve">6. </w:t>
      </w:r>
      <w:r w:rsidR="007B70F2" w:rsidRPr="00161882">
        <w:rPr>
          <w:color w:val="000000" w:themeColor="text1"/>
        </w:rPr>
        <w:t xml:space="preserve">Strategic </w:t>
      </w:r>
      <w:r w:rsidR="00181F7C" w:rsidRPr="00161882">
        <w:rPr>
          <w:color w:val="000000" w:themeColor="text1"/>
        </w:rPr>
        <w:t>Direction</w:t>
      </w:r>
      <w:bookmarkEnd w:id="15"/>
    </w:p>
    <w:p w14:paraId="3932626B" w14:textId="260C8154" w:rsidR="00181F7C" w:rsidRPr="00D53494" w:rsidRDefault="00D53494" w:rsidP="005B5F67">
      <w:pPr>
        <w:pStyle w:val="Heading1"/>
        <w:rPr>
          <w:color w:val="000000" w:themeColor="text1"/>
          <w:sz w:val="32"/>
          <w:szCs w:val="32"/>
        </w:rPr>
      </w:pPr>
      <w:bookmarkStart w:id="16" w:name="_Toc224748799"/>
      <w:r w:rsidRPr="00D53494">
        <w:rPr>
          <w:color w:val="000000" w:themeColor="text1"/>
          <w:sz w:val="32"/>
          <w:szCs w:val="32"/>
        </w:rPr>
        <w:t xml:space="preserve">6.1 </w:t>
      </w:r>
      <w:r w:rsidR="005B5F67" w:rsidRPr="00D53494">
        <w:rPr>
          <w:color w:val="000000" w:themeColor="text1"/>
          <w:sz w:val="32"/>
          <w:szCs w:val="32"/>
        </w:rPr>
        <w:t xml:space="preserve">Strategic </w:t>
      </w:r>
      <w:r w:rsidR="006809E4" w:rsidRPr="00D53494">
        <w:rPr>
          <w:color w:val="000000" w:themeColor="text1"/>
          <w:sz w:val="32"/>
          <w:szCs w:val="32"/>
        </w:rPr>
        <w:t>Alignment</w:t>
      </w:r>
      <w:bookmarkEnd w:id="16"/>
      <w:r w:rsidR="007B7209" w:rsidRPr="00D53494">
        <w:rPr>
          <w:color w:val="000000" w:themeColor="text1"/>
          <w:sz w:val="32"/>
          <w:szCs w:val="32"/>
        </w:rPr>
        <w:t xml:space="preserve"> </w:t>
      </w:r>
    </w:p>
    <w:p w14:paraId="17002AFB" w14:textId="323B3685" w:rsidR="00B60D94" w:rsidRDefault="00B60D94" w:rsidP="00B60D94">
      <w:r>
        <w:t xml:space="preserve"> As noted by </w:t>
      </w:r>
      <w:r>
        <w:fldChar w:fldCharType="begin"/>
      </w:r>
      <w:r w:rsidR="00420C29">
        <w:instrText xml:space="preserve"> ADDIN ZOTERO_ITEM CSL_CITATION {"citationID":"hgzqfkiq","properties":{"formattedCitation":"(Koopman, 1999)","plainCitation":"(Koopman, 1999)","dontUpdate":true,"noteIndex":0},"citationItems":[{"id":485,"uris":["http://zotero.org/users/17151418/items/JNB5DXVC"],"itemData":{"id":485,"type":"document","abstract":"Alignment is the creation and development of structures, processes, and culture than stimulate people inside a company to make the right choices in the thousands of actions and decisions they confront each day. Good execution is not possible without this alignment. Once it has a strategy in mind, a company should dedicate itself to perhaps 15 key programs that develop structures, processes and culture required to make that strategy work. Senior management should focus on those 15 programs and stop wasting time in meetings and workshops identifying and evaluating so-called strategic threats to the business. The real threat to most companies is not a strategic threat from outside. Instead, it is their own failure to align their organization with their strategy and thus ensure good execution.","language":"eng","note":"ISSN: 0045-5156\nissue: 3\nnumber-of-pages: 14-\ncontainer-title: Canadian manager\nvolume: 24","publisher":"Canadian Institute of Management","publisher-place":"Toronto","source":"librarysearch.uwtsd.ac.uk","title":"Effective alignment: strategy cannot succeed without it","title-short":"Effective alignment","author":[{"family":"Koopman","given":"John C."}],"issued":{"date-parts":[["1999"]]}}}],"schema":"https://github.com/citation-style-language/schema/raw/master/csl-citation.json"} </w:instrText>
      </w:r>
      <w:r>
        <w:fldChar w:fldCharType="separate"/>
      </w:r>
      <w:r>
        <w:rPr>
          <w:noProof/>
        </w:rPr>
        <w:t>Koopman (1999)</w:t>
      </w:r>
      <w:r>
        <w:fldChar w:fldCharType="end"/>
      </w:r>
      <w:r>
        <w:t xml:space="preserve"> Organisational strategy, leadership decisions, company systems, and culture should all work together and be connected to the same goal to achieve strategic alignment. If these elements are missing, the organisation becomes weaker because employees may work hard but not towards the same objectives. In this situation, it is important for the company to effectively use its resources and capabilities to work more efficiently and direct effort towards the same goals. </w:t>
      </w:r>
    </w:p>
    <w:p w14:paraId="09B0F2F1" w14:textId="12E084C6" w:rsidR="000C4E45" w:rsidRDefault="0041742D" w:rsidP="00B60D94">
      <w:r>
        <w:t xml:space="preserve">TOAST’s current strategy </w:t>
      </w:r>
      <w:r w:rsidR="5E3A1D50">
        <w:t>is</w:t>
      </w:r>
      <w:r>
        <w:t xml:space="preserve"> aligned with its mission and brand values, which focus on slow fashion and sustainability. In addition, TOAST has developed circular initiatives such as </w:t>
      </w:r>
      <w:r w:rsidRPr="44B60DB8">
        <w:rPr>
          <w:rStyle w:val="Strong"/>
          <w:b w:val="0"/>
          <w:bCs w:val="0"/>
        </w:rPr>
        <w:t>TOAST Circle</w:t>
      </w:r>
      <w:r>
        <w:t xml:space="preserve">, which includes repair services, clothing exchange events, and the resale of used garments. These initiatives support the company’s sustainability values while also increasing customer. </w:t>
      </w:r>
      <w:r w:rsidR="003D605C">
        <w:t>However, as more fashion brands adopt similar sustainability initiatives, TOAST may need to continue improving its strategy to stay different from competitors.</w:t>
      </w:r>
    </w:p>
    <w:p w14:paraId="0EA3DE7C" w14:textId="605C99EA" w:rsidR="00357E0A" w:rsidRDefault="003B1377" w:rsidP="00B60D94">
      <w:r>
        <w:t>TOAST also publishes a Social Conscience Report, which provides information about material sourcing, environmental impact, and ethical supply chains. This increases transparency and helps customers understand how the company operates</w:t>
      </w:r>
      <w:r w:rsidR="003D51D2">
        <w:t xml:space="preserve">. In addition, TOAST supports craftsmanship through initiatives such as the </w:t>
      </w:r>
      <w:r w:rsidR="003D51D2" w:rsidRPr="003D51D2">
        <w:rPr>
          <w:rStyle w:val="Strong"/>
          <w:b w:val="0"/>
          <w:bCs w:val="0"/>
        </w:rPr>
        <w:t>New</w:t>
      </w:r>
      <w:r w:rsidR="003D51D2">
        <w:rPr>
          <w:rStyle w:val="Strong"/>
        </w:rPr>
        <w:t xml:space="preserve"> </w:t>
      </w:r>
      <w:r w:rsidR="003D51D2" w:rsidRPr="003D51D2">
        <w:rPr>
          <w:rStyle w:val="Strong"/>
          <w:b w:val="0"/>
          <w:bCs w:val="0"/>
        </w:rPr>
        <w:t>Makers</w:t>
      </w:r>
      <w:r w:rsidR="003D51D2">
        <w:rPr>
          <w:rStyle w:val="Strong"/>
        </w:rPr>
        <w:t xml:space="preserve"> </w:t>
      </w:r>
      <w:r w:rsidR="003D51D2" w:rsidRPr="003D51D2">
        <w:rPr>
          <w:rStyle w:val="Strong"/>
          <w:b w:val="0"/>
          <w:bCs w:val="0"/>
        </w:rPr>
        <w:t>programme</w:t>
      </w:r>
      <w:r w:rsidR="003D51D2">
        <w:t>, which supports emerging artisans and helps them develop their careers</w:t>
      </w:r>
      <w:r w:rsidR="007054C0">
        <w:t>.</w:t>
      </w:r>
      <w:r w:rsidR="003D51D2">
        <w:t xml:space="preserve"> (TOAST, 2026)</w:t>
      </w:r>
      <w:r w:rsidR="007054C0">
        <w:t xml:space="preserve"> </w:t>
      </w:r>
      <w:r>
        <w:t>The company also organises workshops and publishes creative content that connects the brand with customers who are interested in culture</w:t>
      </w:r>
      <w:r w:rsidR="00115272">
        <w:t xml:space="preserve"> and</w:t>
      </w:r>
      <w:r>
        <w:t xml:space="preserve"> </w:t>
      </w:r>
      <w:r w:rsidR="00DC4629">
        <w:t>sustainability.</w:t>
      </w:r>
      <w:r w:rsidR="00115272">
        <w:t xml:space="preserve"> </w:t>
      </w:r>
      <w:r w:rsidR="008A08FD">
        <w:t>However, focusing on slow fashion and lower production volumes may also limit the company’s potential for rapid growth compared to fast-fashion competitors.</w:t>
      </w:r>
    </w:p>
    <w:p w14:paraId="556025D2" w14:textId="62582A54" w:rsidR="00F673C4" w:rsidRPr="00D53494" w:rsidRDefault="00D53494" w:rsidP="00931FDE">
      <w:pPr>
        <w:pStyle w:val="Heading1"/>
        <w:rPr>
          <w:color w:val="000000" w:themeColor="text1"/>
          <w:sz w:val="32"/>
          <w:szCs w:val="32"/>
        </w:rPr>
      </w:pPr>
      <w:bookmarkStart w:id="17" w:name="_Toc224748800"/>
      <w:r w:rsidRPr="00D53494">
        <w:rPr>
          <w:color w:val="000000" w:themeColor="text1"/>
          <w:sz w:val="32"/>
          <w:szCs w:val="32"/>
        </w:rPr>
        <w:t xml:space="preserve">6.2 </w:t>
      </w:r>
      <w:r w:rsidR="00931FDE" w:rsidRPr="00D53494">
        <w:rPr>
          <w:color w:val="000000" w:themeColor="text1"/>
          <w:sz w:val="32"/>
          <w:szCs w:val="32"/>
        </w:rPr>
        <w:t>Organisational Inertia</w:t>
      </w:r>
      <w:bookmarkEnd w:id="17"/>
      <w:r w:rsidR="00931FDE" w:rsidRPr="00D53494">
        <w:rPr>
          <w:color w:val="000000" w:themeColor="text1"/>
          <w:sz w:val="32"/>
          <w:szCs w:val="32"/>
        </w:rPr>
        <w:t xml:space="preserve"> </w:t>
      </w:r>
    </w:p>
    <w:p w14:paraId="5EDD0C9E" w14:textId="6505E3DF" w:rsidR="00931FDE" w:rsidRDefault="001A7C75" w:rsidP="00B60D94">
      <w:r>
        <w:t xml:space="preserve">As noted by </w:t>
      </w:r>
      <w:r>
        <w:fldChar w:fldCharType="begin"/>
      </w:r>
      <w:r w:rsidR="00420C29">
        <w:instrText xml:space="preserve"> ADDIN ZOTERO_ITEM CSL_CITATION {"citationID":"tGv0I3tc","properties":{"formattedCitation":"(Teofilus {\\i{}et al.}, 2022)","plainCitation":"(Teofilus et al., 2022)","dontUpdate":true,"noteIndex":0},"citationItems":[{"id":483,"uris":["http://zotero.org/users/17151418/items/B3NDIEL9"],"itemData":{"id":483,"type":"article-journal","abstract":"The ability to transform on a regular basis is critical in the effort to adapt to external challenges; however, changes to an organization’s fundamental characteristics may increase the likelihood of failure. Because of this, organizational restructuring efforts appear to engender cynicism, which appears to be one of the most significant obstacles facing contemporary businesses, particularly in this area. Organizational inertia is the term used to describe this aversion to change, as well as the desire to maintain the current status quo. A new organizational culture capable of combating the incidence of organizational stagnation is required by massive social, economic, and technological difficulties, and firms that employ the concept of empowering leadership will be able to meet these challenges. For the purposes of this study, a framework for discussing the phenomena of organizational cynicism was developed and implemented.","container-title":"Frontiers in psychology","DOI":"10.3389/fpsyg.2022.839266","ISSN":"1664-1078","language":"eng","page":"839266-","publisher":"Frontiers Media S.A","publisher-place":"Switzerland","source":"librarysearch.uwtsd.ac.uk","title":"Managing Organizational Inertia: Indonesian Family Business Perspective","title-short":"Managing Organizational Inertia","volume":"13","author":[{"family":"Teofilus","given":"Teofilus"},{"family":"Ardyan","given":"Elia"},{"family":"Sutrisno","given":"Timotius F. C. W."},{"family":"Sabar","given":"Sabar"},{"family":"Sutanto","given":"Verrell"}],"issued":{"date-parts":[["2022"]]}}}],"schema":"https://github.com/citation-style-language/schema/raw/master/csl-citation.json"} </w:instrText>
      </w:r>
      <w:r>
        <w:fldChar w:fldCharType="separate"/>
      </w:r>
      <w:r w:rsidRPr="001A7C75">
        <w:rPr>
          <w:rFonts w:ascii="Aptos" w:cs="Times New Roman"/>
          <w:kern w:val="0"/>
        </w:rPr>
        <w:t xml:space="preserve">Teofilus </w:t>
      </w:r>
      <w:r w:rsidRPr="001A7C75">
        <w:rPr>
          <w:rFonts w:ascii="Aptos" w:cs="Times New Roman"/>
          <w:i/>
          <w:iCs/>
          <w:kern w:val="0"/>
        </w:rPr>
        <w:t>et al.</w:t>
      </w:r>
      <w:r w:rsidRPr="001A7C75">
        <w:rPr>
          <w:rFonts w:ascii="Aptos" w:cs="Times New Roman"/>
          <w:kern w:val="0"/>
        </w:rPr>
        <w:t xml:space="preserve"> </w:t>
      </w:r>
      <w:r>
        <w:rPr>
          <w:rFonts w:ascii="Aptos" w:cs="Times New Roman"/>
          <w:kern w:val="0"/>
        </w:rPr>
        <w:t>(</w:t>
      </w:r>
      <w:r w:rsidRPr="001A7C75">
        <w:rPr>
          <w:rFonts w:ascii="Aptos" w:cs="Times New Roman"/>
          <w:kern w:val="0"/>
        </w:rPr>
        <w:t>2022)</w:t>
      </w:r>
      <w:r>
        <w:fldChar w:fldCharType="end"/>
      </w:r>
      <w:r>
        <w:t xml:space="preserve"> </w:t>
      </w:r>
      <w:r w:rsidR="00B14187">
        <w:t>organisational inertia happens when companies are slow to change strategy despite changes in the environment.</w:t>
      </w:r>
      <w:r w:rsidR="00D614E4">
        <w:t xml:space="preserve"> </w:t>
      </w:r>
      <w:r w:rsidR="002C29CE">
        <w:t>This can happen because companies are afraid of change, become overconfident in current strategy, or have systems that are too rigid to adapt.</w:t>
      </w:r>
      <w:r w:rsidR="00056270">
        <w:t xml:space="preserve"> As a result, organisations may struggle to respond to new market trends and could lose competitiveness over time.</w:t>
      </w:r>
      <w:r w:rsidR="00E9496F">
        <w:t xml:space="preserve"> </w:t>
      </w:r>
      <w:r w:rsidR="00F85519">
        <w:fldChar w:fldCharType="begin"/>
      </w:r>
      <w:r w:rsidR="00420C29">
        <w:instrText xml:space="preserve"> ADDIN ZOTERO_ITEM CSL_CITATION {"citationID":"nOpSIMeY","properties":{"formattedCitation":"(Whittington Richard, Scholes Kevan, and Johnson Gerry, 2012)","plainCitation":"(Whittington Richard, Scholes Kevan, and Johnson Gerry, 2012)","noteIndex":0},"citationItems":[{"id":482,"uris":["http://zotero.org/users/17151418/items/RTGIRUXE"],"itemData":{"id":482,"type":"book","abstract":"Were you looking for the book with access to MyStrategyLab? This product is the book alone, and does NOT come with access to MyStrategyLab. Buy Fundamentals of Strategy, 2/e with MyStrategyLab and The Strategy Experience simulation (ISBN 9780273757337) if you need access to the MyStrategyLab as well, and save money on this brilliant resource.   Fundamentals of Strategy is a concise version of the market-leading text Exploring Strategy. It has been developed for students on short courses in strategy - for example, doing an initial course at undergraduate, postgraduate or post-experience level, or studying strategy as part of a wider degree in the arts, sciences or engineering.  The book comprises 10 chapters, and focuses on the analysis and formulation of strategy.    .","edition":"2nd ed.","ISBN":"978-0-273-75860-0","language":"eng","publisher":"Financial Times /Prentice Hall","publisher-place":"Place of publication not identified","source":"librarysearch.uwtsd.ac.uk","title":"Fundamentals of strategy","author":[{"literal":"Whittington Richard"},{"literal":"Scholes Kevan"},{"literal":"Johnson Gerry"}],"issued":{"date-parts":[["2012"]]}}}],"schema":"https://github.com/citation-style-language/schema/raw/master/csl-citation.json"} </w:instrText>
      </w:r>
      <w:r w:rsidR="00F85519">
        <w:fldChar w:fldCharType="separate"/>
      </w:r>
      <w:r w:rsidR="00F81C5D">
        <w:rPr>
          <w:noProof/>
        </w:rPr>
        <w:t xml:space="preserve">(Whittington , Scholes </w:t>
      </w:r>
      <w:r w:rsidR="00553761">
        <w:rPr>
          <w:noProof/>
        </w:rPr>
        <w:t>and</w:t>
      </w:r>
      <w:r w:rsidR="00F81C5D">
        <w:rPr>
          <w:noProof/>
        </w:rPr>
        <w:t xml:space="preserve"> </w:t>
      </w:r>
      <w:r w:rsidR="00553761">
        <w:rPr>
          <w:noProof/>
        </w:rPr>
        <w:t>Johnson</w:t>
      </w:r>
      <w:r w:rsidR="00F81C5D">
        <w:rPr>
          <w:noProof/>
        </w:rPr>
        <w:t>, 2012)</w:t>
      </w:r>
      <w:r w:rsidR="00F85519">
        <w:fldChar w:fldCharType="end"/>
      </w:r>
    </w:p>
    <w:p w14:paraId="73366B7F" w14:textId="7B91533D" w:rsidR="00F81C5D" w:rsidRDefault="004E0C56" w:rsidP="00B60D94">
      <w:r>
        <w:t xml:space="preserve">In the case of TOAST, the strong focus on slow fashion and sustainability is an important part of the brand identity. However, this commitment may also reduce flexibility if market conditions change. For example, if competitors offer cheaper sustainable </w:t>
      </w:r>
      <w:r>
        <w:lastRenderedPageBreak/>
        <w:t>products or increase production speed, TOAST may struggle to adapt without changing its core strategy.</w:t>
      </w:r>
    </w:p>
    <w:p w14:paraId="7DCF601D" w14:textId="73E0CA2F" w:rsidR="00F120C1" w:rsidRPr="00D53494" w:rsidRDefault="00D53494" w:rsidP="00F4260E">
      <w:pPr>
        <w:pStyle w:val="Heading1"/>
        <w:rPr>
          <w:color w:val="000000" w:themeColor="text1"/>
          <w:sz w:val="32"/>
          <w:szCs w:val="32"/>
        </w:rPr>
      </w:pPr>
      <w:bookmarkStart w:id="18" w:name="_Toc224748801"/>
      <w:r w:rsidRPr="00D53494">
        <w:rPr>
          <w:color w:val="000000" w:themeColor="text1"/>
          <w:sz w:val="32"/>
          <w:szCs w:val="32"/>
        </w:rPr>
        <w:t xml:space="preserve">6.3 </w:t>
      </w:r>
      <w:r w:rsidR="00F4260E" w:rsidRPr="00D53494">
        <w:rPr>
          <w:color w:val="000000" w:themeColor="text1"/>
          <w:sz w:val="32"/>
          <w:szCs w:val="32"/>
        </w:rPr>
        <w:t xml:space="preserve">Strategic </w:t>
      </w:r>
      <w:r w:rsidR="00B050E4" w:rsidRPr="00D53494">
        <w:rPr>
          <w:color w:val="000000" w:themeColor="text1"/>
          <w:sz w:val="32"/>
          <w:szCs w:val="32"/>
        </w:rPr>
        <w:t>Options for the Future</w:t>
      </w:r>
      <w:bookmarkEnd w:id="18"/>
      <w:r w:rsidR="00B050E4" w:rsidRPr="00D53494">
        <w:rPr>
          <w:color w:val="000000" w:themeColor="text1"/>
          <w:sz w:val="32"/>
          <w:szCs w:val="32"/>
        </w:rPr>
        <w:t xml:space="preserve"> </w:t>
      </w:r>
    </w:p>
    <w:p w14:paraId="5FE6565C" w14:textId="382B6496" w:rsidR="00846149" w:rsidRDefault="004E3F2C" w:rsidP="00D53494">
      <w:r>
        <w:t xml:space="preserve">To assess the proposed strategic options, the SAF framework will be applied </w:t>
      </w:r>
      <w:r>
        <w:fldChar w:fldCharType="begin"/>
      </w:r>
      <w:r w:rsidR="00420C29">
        <w:instrText xml:space="preserve"> ADDIN ZOTERO_ITEM CSL_CITATION {"citationID":"qlOWCGRQ","properties":{"formattedCitation":"(Lynch Richard L, 2018)","plainCitation":"(Lynch Richard L, 2018)","dontUpdate":true,"noteIndex":0},"citationItems":[{"id":489,"uris":["http://zotero.org/users/17151418/items/FPGDJINH"],"itemData":{"id":489,"type":"book","abstract":"Strategic Management is a core strategy textbook, covering all the major topics particularly from a global perspective. It delivers comprehensive coverage of the subject in an easy-to-read style with extensive examples and a range of free support material that will help you learn actively and effectively. This eighth edition of Strategic Management builds on proven strengths ... · over 70 short case studies to provide easily accessible illustrations of strategy in practice and additional cases available online to provide more in-depth examples of recent strategic decisions involving Sony, Apple and industry sectors · a continuous contrast between prescriptive and emergent views of strategy to highlight the key debates within the discipline · emphasis on practice throughout with features to help you turn theory into practice · major international strategy cases from Europe, Africa, China, India, Middle East and the Americas · clear exploration of the key concepts · comprehensive, logical structure to guide you through this complex subject · Specialist chapters on public/third sector strategy, green strategy and sustainability, entrepreneurial strategy and international and global strategy New for the eighth edition : - Dynamic capabilities and resource renewal explored in a revised and updated chapter - Emergent strategy completely revised in two new chapters, one focusing on innovation, and technology and the other exploring knowledge and learning - New material on innovation and strategy in uncertain environments - Case studies from large and small organisations from Google, Spotify and Cadbury to Snapchat, Uber and green energy companies with 14 new cases and many cases updated This new edition also includes a wealth of free, online, open-access learning resources. Use these materials to enhance and test your knowledge to improve your grades. Online resources include web based cases with indicative answers, chapter based support material, long cases and multiple-choice questions. Richard Lynch is Emeritus Professor of Strategic Management at Middlesex University, London. He is an active researcher, lecturer and consultant, particularly in the area of global strategy and sustainable strategy.","edition":"Eighth edition.","ISBN":"978-1-292-21143-5","language":"eng","publisher":"Pearson","publisher-place":"Harlow, England","source":"librarysearch.uwtsd.ac.uk","title":"Strategic management","author":[{"literal":"Lynch Richard L"}],"issued":{"date-parts":[["2018"]]}}}],"schema":"https://github.com/citation-style-language/schema/raw/master/csl-citation.json"} </w:instrText>
      </w:r>
      <w:r>
        <w:fldChar w:fldCharType="separate"/>
      </w:r>
      <w:r>
        <w:rPr>
          <w:noProof/>
        </w:rPr>
        <w:t>(Lynch</w:t>
      </w:r>
      <w:r w:rsidR="00355B6A">
        <w:rPr>
          <w:noProof/>
        </w:rPr>
        <w:t>,</w:t>
      </w:r>
      <w:r>
        <w:rPr>
          <w:noProof/>
        </w:rPr>
        <w:t xml:space="preserve"> 2018)</w:t>
      </w:r>
      <w:r>
        <w:fldChar w:fldCharType="end"/>
      </w:r>
      <w:r>
        <w:t xml:space="preserve"> to evaluate whether the strategy fits the external environment, is acceptable to stakeholders, and can be realistically implemented by the </w:t>
      </w:r>
      <w:r w:rsidR="00846149">
        <w:t xml:space="preserve">organisation. </w:t>
      </w:r>
    </w:p>
    <w:p w14:paraId="395611CD" w14:textId="58398862" w:rsidR="00D53494" w:rsidRPr="00D53494" w:rsidRDefault="00D53494" w:rsidP="00D53494">
      <w:pPr>
        <w:pStyle w:val="Heading1"/>
        <w:rPr>
          <w:color w:val="000000" w:themeColor="text1"/>
          <w:sz w:val="24"/>
          <w:szCs w:val="24"/>
          <w:u w:val="single"/>
        </w:rPr>
      </w:pPr>
      <w:bookmarkStart w:id="19" w:name="_Toc224748802"/>
      <w:r w:rsidRPr="00D53494">
        <w:rPr>
          <w:color w:val="000000" w:themeColor="text1"/>
          <w:sz w:val="24"/>
          <w:szCs w:val="24"/>
          <w:u w:val="single"/>
        </w:rPr>
        <w:t>6.3.1 Increase Brand Awareness</w:t>
      </w:r>
      <w:bookmarkEnd w:id="19"/>
    </w:p>
    <w:p w14:paraId="6F2D73B8" w14:textId="61A0B9CC" w:rsidR="001B599E" w:rsidRDefault="00D53494" w:rsidP="00D53494">
      <w:r>
        <w:t xml:space="preserve"> </w:t>
      </w:r>
      <w:r w:rsidR="00846149">
        <w:t>Possible</w:t>
      </w:r>
      <w:r w:rsidR="004978F1">
        <w:t xml:space="preserve"> strategic option for TOAST is to increase brand awareness through stronger marketing and community engagement. Although the company has a strong brand identity and loyal </w:t>
      </w:r>
      <w:r w:rsidR="00D47E42">
        <w:t>customers,</w:t>
      </w:r>
      <w:r w:rsidR="004978F1">
        <w:t xml:space="preserve"> many c</w:t>
      </w:r>
      <w:r w:rsidR="007B699C">
        <w:t>ustomers</w:t>
      </w:r>
      <w:r w:rsidR="004978F1">
        <w:t xml:space="preserve"> are still not familiar with the brand compared to larger fashion retailers. </w:t>
      </w:r>
      <w:r w:rsidR="00427F32">
        <w:t xml:space="preserve">As noted by </w:t>
      </w:r>
      <w:r w:rsidR="00427F32">
        <w:fldChar w:fldCharType="begin"/>
      </w:r>
      <w:r w:rsidR="00420C29">
        <w:instrText xml:space="preserve"> ADDIN ZOTERO_ITEM CSL_CITATION {"citationID":"uONAnBKH","properties":{"formattedCitation":"(So {\\i{}et al.}, 2018)","plainCitation":"(So et al., 2018)","dontUpdate":true,"noteIndex":0},"citationItems":[{"id":491,"uris":["http://zotero.org/users/17151418/items/B3CH9DQD"],"itemData":{"id":491,"type":"article-journal","abstract":"Despite consumers’ increasing use of social media channels to make their travel experiences more visible to people within their social networks, brand management research in the tourism literature lacks a clear understanding of how social visibility of consumption affects consumer perceptions of their relationships with the brand. Drawing upon social identity theory and the theory of conspicuous consumption, this study extends the current brand management literature by investigating the role of consumption’s social visibility in the formation of customer brand identification in the era of social media. Using the airline industry as the study context, this study suggests that social visibility of consumption leads to cognitive, affective, and evaluative identifications. The results also indicate that the three components of customer brand identification interact with each other in realizing positive word of mouth communication. The findings highlight the significant benefits of making customers’ travel experiences socially visible to people around them.","container-title":"Journal of travel research","DOI":"10.1177/0047287517718354","ISSN":"0047-2875","issue":"6","language":"eng","page":"727–742","publisher":"SAGE PUBLICATIONS, INC","publisher-place":"Boulder","source":"librarysearch.uwtsd.ac.uk","title":"Brand Management in the Era of Social Media: Social Visibility of Consumption and Customer Brand Identification","title-short":"Brand Management in the Era of Social Media","volume":"57","author":[{"family":"So","given":"Kevin Kam Fung"},{"family":"Wu","given":"Laurie"},{"family":"Xiong","given":"Lina"},{"family":"King","given":"Ceridwyn"}],"issued":{"date-parts":[["2018"]]}}}],"schema":"https://github.com/citation-style-language/schema/raw/master/csl-citation.json"} </w:instrText>
      </w:r>
      <w:r w:rsidR="00427F32">
        <w:fldChar w:fldCharType="separate"/>
      </w:r>
      <w:r w:rsidR="00427F32" w:rsidRPr="00D53494">
        <w:rPr>
          <w:rFonts w:ascii="Aptos" w:cs="Times New Roman"/>
          <w:kern w:val="0"/>
        </w:rPr>
        <w:t xml:space="preserve">So </w:t>
      </w:r>
      <w:r w:rsidR="00427F32" w:rsidRPr="00D53494">
        <w:rPr>
          <w:rFonts w:ascii="Aptos" w:cs="Times New Roman"/>
          <w:i/>
          <w:iCs/>
          <w:kern w:val="0"/>
        </w:rPr>
        <w:t>et al.</w:t>
      </w:r>
      <w:r w:rsidR="00427F32" w:rsidRPr="00D53494">
        <w:rPr>
          <w:rFonts w:ascii="Aptos" w:cs="Times New Roman"/>
          <w:kern w:val="0"/>
        </w:rPr>
        <w:t xml:space="preserve"> (2018)</w:t>
      </w:r>
      <w:r w:rsidR="00427F32">
        <w:fldChar w:fldCharType="end"/>
      </w:r>
      <w:r w:rsidR="00427F32">
        <w:t xml:space="preserve"> i</w:t>
      </w:r>
      <w:r w:rsidR="004978F1">
        <w:t xml:space="preserve">ncreasing brand visibility could help TOAST attract new customers and expand its market </w:t>
      </w:r>
      <w:r w:rsidR="00D47E42">
        <w:t xml:space="preserve">expansion. </w:t>
      </w:r>
    </w:p>
    <w:p w14:paraId="6A83809A" w14:textId="74F4195D" w:rsidR="000B58EC" w:rsidRDefault="000B58EC" w:rsidP="00D53494">
      <w:r>
        <w:t>Expanding</w:t>
      </w:r>
      <w:r w:rsidR="007829F0">
        <w:t xml:space="preserve"> workshops</w:t>
      </w:r>
      <w:r>
        <w:t xml:space="preserve"> together with stronger digital marketing and social media presence, could help increase brand recognition and strengthen customer relationships.</w:t>
      </w:r>
      <w:r w:rsidR="005E0A57">
        <w:t xml:space="preserve"> Customer relationships are important because they increase loyalty, encourage repeat purchases, and help build long-term trust with the brand.</w:t>
      </w:r>
      <w:r w:rsidR="007120D6">
        <w:t xml:space="preserve"> </w:t>
      </w:r>
      <w:r w:rsidR="00E303FE">
        <w:fldChar w:fldCharType="begin"/>
      </w:r>
      <w:r w:rsidR="00420C29">
        <w:instrText xml:space="preserve"> ADDIN ZOTERO_ITEM CSL_CITATION {"citationID":"HO2ysXx2","properties":{"formattedCitation":"(Garc\\uc0\\u237{}a-Nieto, Ram\\uc0\\u243{}n-Jer\\uc0\\u243{}nimo and Fl\\uc0\\u243{}rez-L\\uc0\\u243{}pez, 2025)","plainCitation":"(García-Nieto, Ramón-Jerónimo and Flórez-López, 2025)","noteIndex":0},"citationItems":[{"id":490,"uris":["http://zotero.org/users/17151418/items/MLM5DQ3N"],"itemData":{"id":490,"type":"article-journal","abstract":"This study examines the collaborative impact of Customer Relationship Management (CRM) between shopping mall management and retailers on customer traffic. Through a multiple case study involving 30 interviews with managers from various traditional shopping malls and factory outlets, the research highlights how tailored CRM strategies, such as tenant mix, accessibility, and customer engagement, foster customer satisfaction and loyalty, ultimately affect performance. Mall management focuses on attracting visitors by building a strong mall image and creating partnerships, whereas retailers emphasize customer retention through loyalty programs and personalized services. The study finds that proactive, collaborative CRM efforts, such as setting shared objectives and aligning strategies, significantly enhance customer experience and mall performance. However, existing CRM measurement systems often overlook the integrated nature of mall and retailer relationships, limiting the assessment of CRM outcomes. This research proposes an integrated model to assess CRM effectiveness across multiple organizational levels, providing insights into optimizing CRM policies to drive customer satisfaction, retention, and mall success. Limitations include the study's focus on physical malls, with future research suggested to explore CRM adaptations bridging physical retail and e-commerce environments.","container-title":"Administrative sciences","DOI":"10.3390/admsci15010031","ISSN":"2076-3387","issue":"1","language":"eng","page":"1–22","publisher":"MDPI","publisher-place":"Basel","source":"librarysearch.uwtsd.ac.uk","title":"Effectiveness of customer relationship management in shopping malls: Mall-retailer collaboration empirics","title-short":"Effectiveness of customer relationship management in shopping malls","volume":"15","author":[{"family":"García-Nieto","given":"Manuel"},{"family":"Ramón-Jerónimo","given":"Juan Manuel"},{"family":"Flórez-López","given":"Raquel"}],"issued":{"date-parts":[["2025"]]}}}],"schema":"https://github.com/citation-style-language/schema/raw/master/csl-citation.json"} </w:instrText>
      </w:r>
      <w:r w:rsidR="00E303FE">
        <w:fldChar w:fldCharType="separate"/>
      </w:r>
      <w:r w:rsidR="004B41E9" w:rsidRPr="00D53494">
        <w:rPr>
          <w:rFonts w:ascii="Aptos" w:cs="Times New Roman"/>
          <w:kern w:val="0"/>
        </w:rPr>
        <w:t>(García-Nieto, Ramón-Jerónimo and Flórez-López, 2025)</w:t>
      </w:r>
      <w:r w:rsidR="00E303FE">
        <w:fldChar w:fldCharType="end"/>
      </w:r>
    </w:p>
    <w:p w14:paraId="6C8656D0" w14:textId="14A9B3C0" w:rsidR="0029305B" w:rsidRDefault="0029305B" w:rsidP="00D53494">
      <w:r>
        <w:t xml:space="preserve">In terms of </w:t>
      </w:r>
      <w:r w:rsidRPr="00D53494">
        <w:rPr>
          <w:rStyle w:val="Strong"/>
          <w:b w:val="0"/>
          <w:bCs w:val="0"/>
        </w:rPr>
        <w:t>suitability</w:t>
      </w:r>
      <w:r>
        <w:t xml:space="preserve">, this option fits TOAST’s sustainability-focused brand </w:t>
      </w:r>
      <w:r w:rsidR="0062074C">
        <w:t>goals.</w:t>
      </w:r>
      <w:r>
        <w:t xml:space="preserve"> </w:t>
      </w:r>
      <w:r w:rsidRPr="00D53494">
        <w:rPr>
          <w:rStyle w:val="Strong"/>
          <w:b w:val="0"/>
          <w:bCs w:val="0"/>
        </w:rPr>
        <w:t>Acceptability</w:t>
      </w:r>
      <w:r>
        <w:t xml:space="preserve"> is likely to be high because stronger brand awareness may improve customer loyalty and support long-term growth. </w:t>
      </w:r>
      <w:r w:rsidRPr="00D53494">
        <w:rPr>
          <w:rStyle w:val="Strong"/>
          <w:b w:val="0"/>
          <w:bCs w:val="0"/>
        </w:rPr>
        <w:t>Feasibility</w:t>
      </w:r>
      <w:r>
        <w:t xml:space="preserve"> is also realistic since the company already has experience with creative content and community engagement. However, increased marketing investment may raise operational </w:t>
      </w:r>
      <w:r w:rsidR="006E2D70">
        <w:t>costs.</w:t>
      </w:r>
      <w:r w:rsidR="005C4AFE">
        <w:t xml:space="preserve"> </w:t>
      </w:r>
    </w:p>
    <w:p w14:paraId="72797886" w14:textId="77777777" w:rsidR="002367DF" w:rsidRPr="002367DF" w:rsidRDefault="00D53494" w:rsidP="002367DF">
      <w:pPr>
        <w:pStyle w:val="Heading1"/>
        <w:rPr>
          <w:color w:val="000000" w:themeColor="text1"/>
          <w:sz w:val="24"/>
          <w:szCs w:val="24"/>
          <w:u w:val="single"/>
        </w:rPr>
      </w:pPr>
      <w:bookmarkStart w:id="20" w:name="_Toc224748803"/>
      <w:r w:rsidRPr="002367DF">
        <w:rPr>
          <w:color w:val="000000" w:themeColor="text1"/>
          <w:sz w:val="24"/>
          <w:szCs w:val="24"/>
          <w:u w:val="single"/>
        </w:rPr>
        <w:t>6.3.2</w:t>
      </w:r>
      <w:r w:rsidR="002367DF" w:rsidRPr="002367DF">
        <w:rPr>
          <w:color w:val="000000" w:themeColor="text1"/>
          <w:sz w:val="24"/>
          <w:szCs w:val="24"/>
          <w:u w:val="single"/>
        </w:rPr>
        <w:t xml:space="preserve"> Introduce a More Affordable Product Line</w:t>
      </w:r>
      <w:bookmarkEnd w:id="20"/>
    </w:p>
    <w:p w14:paraId="6F521CC1" w14:textId="03E17EA6" w:rsidR="00196CFB" w:rsidRDefault="002367DF" w:rsidP="00D53494">
      <w:r>
        <w:t xml:space="preserve"> </w:t>
      </w:r>
      <w:r w:rsidR="00D53494">
        <w:t xml:space="preserve"> </w:t>
      </w:r>
      <w:r w:rsidR="0067159D">
        <w:t>Another possible strategic option for TOAST is to introduce a more affordable product line while maintaining its sustainability values and use of responsible materials.</w:t>
      </w:r>
      <w:r w:rsidR="001F4D1B" w:rsidRPr="001F4D1B">
        <w:t xml:space="preserve"> </w:t>
      </w:r>
      <w:r w:rsidR="001F4D1B">
        <w:t xml:space="preserve">Currently, TOAST </w:t>
      </w:r>
      <w:r w:rsidR="4B2FB133">
        <w:t>targets</w:t>
      </w:r>
      <w:r w:rsidR="001F4D1B">
        <w:t xml:space="preserve"> middle- and upper-income customers due to its premium pricing strategy. </w:t>
      </w:r>
      <w:r w:rsidR="001800EC">
        <w:t xml:space="preserve">Demand for sustainable clothing is increasing among </w:t>
      </w:r>
      <w:r w:rsidR="2E9B1CDB">
        <w:t>customers,</w:t>
      </w:r>
      <w:r w:rsidR="5FC4D41C">
        <w:t xml:space="preserve"> but</w:t>
      </w:r>
      <w:r w:rsidR="001800EC">
        <w:t xml:space="preserve"> price often stay </w:t>
      </w:r>
      <w:r w:rsidR="6D2360FE">
        <w:t>a key factor</w:t>
      </w:r>
      <w:r w:rsidR="001800EC">
        <w:t xml:space="preserve"> influencing purchasing </w:t>
      </w:r>
      <w:r w:rsidR="7627E41B">
        <w:t>decisions.</w:t>
      </w:r>
      <w:r w:rsidR="00B02D3C">
        <w:t xml:space="preserve"> </w:t>
      </w:r>
      <w:r w:rsidR="00B02D3C">
        <w:fldChar w:fldCharType="begin"/>
      </w:r>
      <w:r w:rsidR="00420C29">
        <w:instrText xml:space="preserve"> ADDIN ZOTERO_ITEM CSL_CITATION {"citationID":"Si1YEsvq","properties":{"formattedCitation":"(Kaur {\\i{}et al.}, 2026)","plainCitation":"(Kaur et al., 2026)","noteIndex":0},"citationItems":[{"id":488,"uris":["http://zotero.org/users/17151418/items/TV49JNJR"],"itemData":{"id":488,"type":"article-journal","abstract":"Purpose The purpose of this study is to examine the motivators and demotivators influencing millennials’ purchase of sustainable clothing, providing insights into their consumer behavior. The burgeoning sustainable clothing market promises to address sustainability challenges within the fashion industry, making a nuanced understanding of these factors crucial. Design/methodology/approach This study uses interpretative phenomenological analysis (IPA) based on a sample size of 17 millennials in India. It is a qualitative approach that delves into consumers’ personal experiences. By focusing on individual perspectives, this technique enables researchers to extract common themes from the data, providing profound insights. Findings Millennials are driven to purchase sustainable clothing by moral responsibility, environmental concern, biodiversity conservation, pricing, brand appeal, social recognition, self-satisfaction, comfort, quality, durability, well-being, timeless designs and waste reduction. However, limited variety, color options and awareness hinder their adoption. Practical implications Fashion brands must expand variety, provide clear sustainability labels, educate consumers, leverage social influencers and align marketing with consumers’ ethical values to boost sustainable fashion adoption. Moreover, educators should embed sustainability in interdisciplinary learning to build environmental awareness and ethical responsibility. Originality/value This study provides pioneering insights into the purchasing decisions of millennials, framed within the value–belief–norm theory. This is a novel study to examine motivators and demotivators related to sustainable clothing and suggest solutions to encourage the purchase of sustainable clothing to attain sustainable development goal 12. To the best of the authors’ knowledge, this is also one of the first studies on sustainable clothing, using IPA as the research methodology.","container-title":"Social responsibility journal","DOI":"10.1108/SRJ-09-2024-0621","ISSN":"1747-1117","issue":"1","language":"eng","page":"114–133","publisher":"Emerald Group Publishing Limited","publisher-place":"Bingley","source":"librarysearch.uwtsd.ac.uk","title":"Exploring Indian millennials’ sustainable clothing purchase decisions: a qualitative study","title-short":"Exploring Indian millennials’ sustainable clothing purchase decisions","volume":"22","author":[{"family":"Kaur","given":"Mandeep"},{"family":"Mittal","given":"Shweta"},{"family":"Kaur","given":"Amarjeet"},{"family":"Chaudhary","given":"Narendra Singh"}],"issued":{"date-parts":[["2026"]]}}}],"schema":"https://github.com/citation-style-language/schema/raw/master/csl-citation.json"} </w:instrText>
      </w:r>
      <w:r w:rsidR="00B02D3C">
        <w:fldChar w:fldCharType="separate"/>
      </w:r>
      <w:r w:rsidR="00B02D3C" w:rsidRPr="00D53494">
        <w:rPr>
          <w:rFonts w:ascii="Aptos" w:cs="Times New Roman"/>
          <w:kern w:val="0"/>
        </w:rPr>
        <w:t xml:space="preserve">(Kaur </w:t>
      </w:r>
      <w:r w:rsidR="00B02D3C" w:rsidRPr="00D53494">
        <w:rPr>
          <w:rFonts w:ascii="Aptos" w:cs="Times New Roman"/>
          <w:i/>
          <w:iCs/>
          <w:kern w:val="0"/>
        </w:rPr>
        <w:t>et al.</w:t>
      </w:r>
      <w:r w:rsidR="00B02D3C" w:rsidRPr="00D53494">
        <w:rPr>
          <w:rFonts w:ascii="Aptos" w:cs="Times New Roman"/>
          <w:kern w:val="0"/>
        </w:rPr>
        <w:t>, 2026)</w:t>
      </w:r>
      <w:r w:rsidR="00B02D3C">
        <w:fldChar w:fldCharType="end"/>
      </w:r>
      <w:r w:rsidR="009B4B3E">
        <w:t xml:space="preserve"> </w:t>
      </w:r>
      <w:r w:rsidR="0062074C">
        <w:t>Introducing a slightly more affordable range could help TOAST reach a wider customer segment</w:t>
      </w:r>
      <w:r w:rsidR="002A4E4F">
        <w:t xml:space="preserve">. </w:t>
      </w:r>
      <w:r w:rsidR="00A51F97">
        <w:t>By offering sustainable clothing at slightly lower prices, TOAST could attract a wider market while still differentiating itself from fast-fashion brands.</w:t>
      </w:r>
    </w:p>
    <w:p w14:paraId="76D1148D" w14:textId="77777777" w:rsidR="00233262" w:rsidRDefault="00747AD2" w:rsidP="00D53494">
      <w:r>
        <w:t xml:space="preserve">In terms of </w:t>
      </w:r>
      <w:r w:rsidRPr="00D53494">
        <w:rPr>
          <w:rStyle w:val="Strong"/>
          <w:b w:val="0"/>
          <w:bCs w:val="0"/>
        </w:rPr>
        <w:t>suitability</w:t>
      </w:r>
      <w:r>
        <w:t xml:space="preserve">, this option responds to growing demand for sustainable fashion and could help TOAST reach a wider customer segment. </w:t>
      </w:r>
      <w:r w:rsidRPr="00D53494">
        <w:rPr>
          <w:rStyle w:val="Strong"/>
          <w:b w:val="0"/>
          <w:bCs w:val="0"/>
        </w:rPr>
        <w:t>Acceptability</w:t>
      </w:r>
      <w:r>
        <w:t xml:space="preserve"> may also be high, as more affordable sustainable products could attract new customers. </w:t>
      </w:r>
      <w:r w:rsidRPr="00D53494">
        <w:rPr>
          <w:rStyle w:val="Strong"/>
          <w:b w:val="0"/>
          <w:bCs w:val="0"/>
        </w:rPr>
        <w:t>Feasibility</w:t>
      </w:r>
      <w:r>
        <w:t xml:space="preserve"> is realistic if the company simplifies designs or adjusts production processes to reduce </w:t>
      </w:r>
      <w:r>
        <w:lastRenderedPageBreak/>
        <w:t>costs</w:t>
      </w:r>
      <w:r w:rsidR="009B7F88">
        <w:t>. However, lowering prices may weaken the premium brand image or require reducing craftsmanship elements because of high production costs, which are an important part of what differentiates the company in the market.</w:t>
      </w:r>
    </w:p>
    <w:p w14:paraId="1955D859" w14:textId="77777777" w:rsidR="00233262" w:rsidRDefault="00233262" w:rsidP="002A4E4F">
      <w:pPr>
        <w:pStyle w:val="ListParagraph"/>
        <w:ind w:left="1080"/>
      </w:pPr>
    </w:p>
    <w:p w14:paraId="30F1C1A3" w14:textId="14D5EF5C" w:rsidR="00A51F97" w:rsidRPr="002367DF" w:rsidRDefault="00D53494" w:rsidP="002367DF">
      <w:pPr>
        <w:pStyle w:val="Heading1"/>
        <w:jc w:val="center"/>
        <w:rPr>
          <w:color w:val="000000" w:themeColor="text1"/>
        </w:rPr>
      </w:pPr>
      <w:bookmarkStart w:id="21" w:name="_Toc224748804"/>
      <w:r w:rsidRPr="002367DF">
        <w:rPr>
          <w:color w:val="000000" w:themeColor="text1"/>
        </w:rPr>
        <w:t xml:space="preserve">7. </w:t>
      </w:r>
      <w:r w:rsidR="00D13ABB" w:rsidRPr="002367DF">
        <w:rPr>
          <w:color w:val="000000" w:themeColor="text1"/>
        </w:rPr>
        <w:t>Conclusion</w:t>
      </w:r>
      <w:bookmarkEnd w:id="21"/>
    </w:p>
    <w:p w14:paraId="2B8C66AE" w14:textId="224E9A31" w:rsidR="004661B8" w:rsidRPr="005B7C8D" w:rsidRDefault="004661B8" w:rsidP="004661B8">
      <w:pPr>
        <w:pStyle w:val="NormalWeb"/>
        <w:rPr>
          <w:rFonts w:asciiTheme="minorHAnsi" w:hAnsiTheme="minorHAnsi"/>
        </w:rPr>
      </w:pPr>
      <w:r w:rsidRPr="005B7C8D">
        <w:rPr>
          <w:rFonts w:asciiTheme="minorHAnsi" w:hAnsiTheme="minorHAnsi"/>
        </w:rPr>
        <w:t xml:space="preserve">This report analysed the strategic capability of TOAST by examining both its external environment and internal resources. The analysis showed that the company operates in a highly competitive fashion industry influenced by changing customer behaviour, technological development, environmental </w:t>
      </w:r>
      <w:r w:rsidR="005B7C8D" w:rsidRPr="005B7C8D">
        <w:rPr>
          <w:rFonts w:asciiTheme="minorHAnsi" w:hAnsiTheme="minorHAnsi"/>
        </w:rPr>
        <w:t>pressures,</w:t>
      </w:r>
      <w:r w:rsidRPr="005B7C8D">
        <w:rPr>
          <w:rFonts w:asciiTheme="minorHAnsi" w:hAnsiTheme="minorHAnsi"/>
        </w:rPr>
        <w:t xml:space="preserve"> and economic conditions. However, economic uncertainty and price sensitivity may also create challenges for premium brands.</w:t>
      </w:r>
    </w:p>
    <w:p w14:paraId="444BF8E1" w14:textId="3B7DFE9A" w:rsidR="004661B8" w:rsidRPr="005B7C8D" w:rsidRDefault="00A22CFA" w:rsidP="004661B8">
      <w:pPr>
        <w:pStyle w:val="NormalWeb"/>
        <w:rPr>
          <w:rFonts w:asciiTheme="minorHAnsi" w:hAnsiTheme="minorHAnsi"/>
        </w:rPr>
      </w:pPr>
      <w:r w:rsidRPr="00A22CFA">
        <w:rPr>
          <w:rFonts w:asciiTheme="minorHAnsi" w:hAnsiTheme="minorHAnsi"/>
        </w:rPr>
        <w:t xml:space="preserve">Porter’s Five Forces analysis showed that the fashion industry is highly competitive due to fast-fashion retailers offering lower prices and rapid product turnover. Buyer power and substitutes such as second-hand platforms also increase competitive </w:t>
      </w:r>
      <w:r w:rsidRPr="00A22CFA">
        <w:rPr>
          <w:rFonts w:asciiTheme="minorHAnsi" w:hAnsiTheme="minorHAnsi"/>
        </w:rPr>
        <w:t>pressure.</w:t>
      </w:r>
      <w:r w:rsidRPr="005B7C8D">
        <w:rPr>
          <w:rFonts w:asciiTheme="minorHAnsi" w:hAnsiTheme="minorHAnsi"/>
        </w:rPr>
        <w:t xml:space="preserve"> Despite</w:t>
      </w:r>
      <w:r w:rsidR="004661B8" w:rsidRPr="005B7C8D">
        <w:rPr>
          <w:rFonts w:asciiTheme="minorHAnsi" w:hAnsiTheme="minorHAnsi"/>
        </w:rPr>
        <w:t xml:space="preserve"> these challenges, TOAST maintains a differentiated market position based on sustainability, craftsmanship and product durability.</w:t>
      </w:r>
    </w:p>
    <w:p w14:paraId="31979725" w14:textId="77777777" w:rsidR="004661B8" w:rsidRPr="005B7C8D" w:rsidRDefault="004661B8" w:rsidP="004661B8">
      <w:pPr>
        <w:pStyle w:val="NormalWeb"/>
        <w:rPr>
          <w:rFonts w:asciiTheme="minorHAnsi" w:hAnsiTheme="minorHAnsi"/>
        </w:rPr>
      </w:pPr>
      <w:r w:rsidRPr="005B7C8D">
        <w:rPr>
          <w:rFonts w:asciiTheme="minorHAnsi" w:hAnsiTheme="minorHAnsi"/>
        </w:rPr>
        <w:t>The VRIO analysis showed that several internal resources contribute to TOAST’s competitive position. Brand reputation and sustainability initiatives support the company’s differentiation strategy and help attract customers who value ethical and high-quality products. However, some resources, such as warehouse operations and retail stores, provide operational support rather than a long-term competitive advantage.</w:t>
      </w:r>
    </w:p>
    <w:p w14:paraId="1F8E4441" w14:textId="77777777" w:rsidR="004661B8" w:rsidRDefault="004661B8" w:rsidP="004661B8">
      <w:pPr>
        <w:pStyle w:val="NormalWeb"/>
        <w:rPr>
          <w:rFonts w:asciiTheme="minorHAnsi" w:hAnsiTheme="minorHAnsi"/>
        </w:rPr>
      </w:pPr>
      <w:r w:rsidRPr="005B7C8D">
        <w:rPr>
          <w:rFonts w:asciiTheme="minorHAnsi" w:hAnsiTheme="minorHAnsi"/>
        </w:rPr>
        <w:t>The analysis also highlighted potential strategic risks. As sustainability becomes more common in the fashion industry, TOAST may face strategic drift if competitors introduce similar initiatives or offer more affordable alternatives. In addition, organisational inertia could limit the company’s ability to adapt quickly to changing market conditions.</w:t>
      </w:r>
    </w:p>
    <w:p w14:paraId="096635FF" w14:textId="4E608A5C" w:rsidR="009E4084" w:rsidRPr="009E4084" w:rsidRDefault="009E4084" w:rsidP="004661B8">
      <w:pPr>
        <w:pStyle w:val="NormalWeb"/>
        <w:rPr>
          <w:rFonts w:asciiTheme="minorHAnsi" w:hAnsiTheme="minorHAnsi"/>
        </w:rPr>
      </w:pPr>
      <w:r w:rsidRPr="009E4084">
        <w:rPr>
          <w:rFonts w:asciiTheme="minorHAnsi" w:hAnsiTheme="minorHAnsi"/>
        </w:rPr>
        <w:t xml:space="preserve">Two strategic options were proposed for the future. Increasing brand awareness through stronger marketing and community engagement could help attract new customers and strengthen relationships with existing ones. Introducing a more affordable sustainable product line could also expand the customer base, although this may involve risks related to brand positioning. </w:t>
      </w:r>
      <w:r w:rsidRPr="007E461C">
        <w:rPr>
          <w:rStyle w:val="Strong"/>
          <w:rFonts w:asciiTheme="minorHAnsi" w:eastAsiaTheme="majorEastAsia" w:hAnsiTheme="minorHAnsi"/>
          <w:b w:val="0"/>
          <w:bCs w:val="0"/>
        </w:rPr>
        <w:t>Based on the analysis, increasing brand awareness through stronger marketing and community engagement seems to be the most suitable option for TOAST. This approach supports the company’s sustainability values while helping attract new customers</w:t>
      </w:r>
      <w:r w:rsidRPr="009E4084">
        <w:rPr>
          <w:rStyle w:val="Strong"/>
          <w:rFonts w:asciiTheme="minorHAnsi" w:eastAsiaTheme="majorEastAsia" w:hAnsiTheme="minorHAnsi"/>
        </w:rPr>
        <w:t xml:space="preserve"> </w:t>
      </w:r>
      <w:r w:rsidRPr="007E461C">
        <w:rPr>
          <w:rStyle w:val="Strong"/>
          <w:rFonts w:asciiTheme="minorHAnsi" w:eastAsiaTheme="majorEastAsia" w:hAnsiTheme="minorHAnsi"/>
          <w:b w:val="0"/>
          <w:bCs w:val="0"/>
        </w:rPr>
        <w:t>without damaging its premium brand</w:t>
      </w:r>
      <w:r w:rsidRPr="009E4084">
        <w:rPr>
          <w:rStyle w:val="Strong"/>
          <w:rFonts w:asciiTheme="minorHAnsi" w:eastAsiaTheme="majorEastAsia" w:hAnsiTheme="minorHAnsi"/>
        </w:rPr>
        <w:t xml:space="preserve"> </w:t>
      </w:r>
      <w:r w:rsidRPr="007E461C">
        <w:rPr>
          <w:rStyle w:val="Strong"/>
          <w:rFonts w:asciiTheme="minorHAnsi" w:eastAsiaTheme="majorEastAsia" w:hAnsiTheme="minorHAnsi"/>
          <w:b w:val="0"/>
          <w:bCs w:val="0"/>
        </w:rPr>
        <w:t>image</w:t>
      </w:r>
      <w:r w:rsidRPr="009E4084">
        <w:rPr>
          <w:rStyle w:val="Strong"/>
          <w:rFonts w:asciiTheme="minorHAnsi" w:eastAsiaTheme="majorEastAsia" w:hAnsiTheme="minorHAnsi"/>
        </w:rPr>
        <w:t>.</w:t>
      </w:r>
      <w:r w:rsidRPr="009E4084">
        <w:rPr>
          <w:rFonts w:asciiTheme="minorHAnsi" w:hAnsiTheme="minorHAnsi"/>
        </w:rPr>
        <w:t xml:space="preserve"> </w:t>
      </w:r>
      <w:r w:rsidR="004E69DE" w:rsidRPr="004E69DE">
        <w:rPr>
          <w:rFonts w:asciiTheme="minorHAnsi" w:hAnsiTheme="minorHAnsi"/>
        </w:rPr>
        <w:t>Overall, maintaining strategic adaptability will be important for TOAST’s long-term competitiveness in a changing fashion industry.</w:t>
      </w:r>
    </w:p>
    <w:p w14:paraId="5C430972" w14:textId="2AE72A58" w:rsidR="00F671B9" w:rsidRPr="002367DF" w:rsidRDefault="002367DF" w:rsidP="009A2348">
      <w:pPr>
        <w:pStyle w:val="Heading1"/>
        <w:jc w:val="center"/>
        <w:rPr>
          <w:color w:val="000000" w:themeColor="text1"/>
        </w:rPr>
      </w:pPr>
      <w:bookmarkStart w:id="22" w:name="_Toc224748805"/>
      <w:r w:rsidRPr="002367DF">
        <w:rPr>
          <w:color w:val="000000" w:themeColor="text1"/>
        </w:rPr>
        <w:lastRenderedPageBreak/>
        <w:t xml:space="preserve">8. </w:t>
      </w:r>
      <w:r w:rsidR="00AB2475" w:rsidRPr="002367DF">
        <w:rPr>
          <w:color w:val="000000" w:themeColor="text1"/>
        </w:rPr>
        <w:t>R</w:t>
      </w:r>
      <w:r w:rsidR="00F671B9" w:rsidRPr="002367DF">
        <w:rPr>
          <w:color w:val="000000" w:themeColor="text1"/>
        </w:rPr>
        <w:t>eferences</w:t>
      </w:r>
      <w:bookmarkEnd w:id="22"/>
    </w:p>
    <w:p w14:paraId="0F078E11" w14:textId="77777777" w:rsidR="00130320" w:rsidRPr="00130320" w:rsidRDefault="00130320" w:rsidP="00130320">
      <w:pPr>
        <w:pStyle w:val="NormalWeb"/>
        <w:numPr>
          <w:ilvl w:val="0"/>
          <w:numId w:val="24"/>
        </w:numPr>
        <w:rPr>
          <w:rFonts w:asciiTheme="minorHAnsi" w:hAnsiTheme="minorHAnsi"/>
        </w:rPr>
      </w:pPr>
      <w:proofErr w:type="spellStart"/>
      <w:r w:rsidRPr="00130320">
        <w:rPr>
          <w:rFonts w:asciiTheme="minorHAnsi" w:hAnsiTheme="minorHAnsi"/>
        </w:rPr>
        <w:t>Arianpoor</w:t>
      </w:r>
      <w:proofErr w:type="spellEnd"/>
      <w:r w:rsidRPr="00130320">
        <w:rPr>
          <w:rFonts w:asciiTheme="minorHAnsi" w:hAnsiTheme="minorHAnsi"/>
        </w:rPr>
        <w:t xml:space="preserve">, A. and </w:t>
      </w:r>
      <w:proofErr w:type="spellStart"/>
      <w:r w:rsidRPr="00130320">
        <w:rPr>
          <w:rFonts w:asciiTheme="minorHAnsi" w:hAnsiTheme="minorHAnsi"/>
        </w:rPr>
        <w:t>Moghaddampoor</w:t>
      </w:r>
      <w:proofErr w:type="spellEnd"/>
      <w:r w:rsidRPr="00130320">
        <w:rPr>
          <w:rFonts w:asciiTheme="minorHAnsi" w:hAnsiTheme="minorHAnsi"/>
        </w:rPr>
        <w:t xml:space="preserve">, B. (2024) ‘The impact of cost leadership strategy and differentiation strategy on supply chain management efficiency’, </w:t>
      </w:r>
      <w:r w:rsidRPr="00130320">
        <w:rPr>
          <w:rStyle w:val="Emphasis"/>
          <w:rFonts w:asciiTheme="minorHAnsi" w:eastAsiaTheme="majorEastAsia" w:hAnsiTheme="minorHAnsi"/>
        </w:rPr>
        <w:t>Journal of General Management</w:t>
      </w:r>
      <w:r w:rsidRPr="00130320">
        <w:rPr>
          <w:rFonts w:asciiTheme="minorHAnsi" w:hAnsiTheme="minorHAnsi"/>
        </w:rPr>
        <w:t xml:space="preserve"> [Preprint]. Available at: </w:t>
      </w:r>
      <w:hyperlink r:id="rId8" w:tgtFrame="_new" w:history="1">
        <w:r w:rsidRPr="00130320">
          <w:rPr>
            <w:rStyle w:val="Hyperlink"/>
            <w:rFonts w:asciiTheme="minorHAnsi" w:eastAsiaTheme="majorEastAsia" w:hAnsiTheme="minorHAnsi"/>
          </w:rPr>
          <w:t>https://doi.org/10.1177/03063070241285145</w:t>
        </w:r>
      </w:hyperlink>
      <w:r w:rsidRPr="00130320">
        <w:rPr>
          <w:rFonts w:asciiTheme="minorHAnsi" w:hAnsiTheme="minorHAnsi"/>
        </w:rPr>
        <w:t>.</w:t>
      </w:r>
    </w:p>
    <w:p w14:paraId="2FE1C8B1"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Azzahra, S.F. et al. (2023) ‘Stakeholder Management and Communication Management Plan on E-Government Project’. IEEE, pp. 1–5. Available at: </w:t>
      </w:r>
      <w:hyperlink r:id="rId9" w:tgtFrame="_new" w:history="1">
        <w:r w:rsidRPr="00130320">
          <w:rPr>
            <w:rStyle w:val="Hyperlink"/>
            <w:rFonts w:asciiTheme="minorHAnsi" w:eastAsiaTheme="majorEastAsia" w:hAnsiTheme="minorHAnsi"/>
          </w:rPr>
          <w:t>https://doi.org/10.1109/CITSM60085.2023.10455566</w:t>
        </w:r>
      </w:hyperlink>
      <w:r w:rsidRPr="00130320">
        <w:rPr>
          <w:rFonts w:asciiTheme="minorHAnsi" w:hAnsiTheme="minorHAnsi"/>
        </w:rPr>
        <w:t>.</w:t>
      </w:r>
    </w:p>
    <w:p w14:paraId="03DD06B8"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Barney, J. (1991) ‘Firm Resources and Sustained Competitive Advantage’, </w:t>
      </w:r>
      <w:r w:rsidRPr="00130320">
        <w:rPr>
          <w:rStyle w:val="Emphasis"/>
          <w:rFonts w:asciiTheme="minorHAnsi" w:eastAsiaTheme="majorEastAsia" w:hAnsiTheme="minorHAnsi"/>
        </w:rPr>
        <w:t>Journal of Management</w:t>
      </w:r>
      <w:r w:rsidRPr="00130320">
        <w:rPr>
          <w:rFonts w:asciiTheme="minorHAnsi" w:hAnsiTheme="minorHAnsi"/>
        </w:rPr>
        <w:t xml:space="preserve">, 17(1), pp. 99–120. Available at: </w:t>
      </w:r>
      <w:hyperlink r:id="rId10" w:tgtFrame="_new" w:history="1">
        <w:r w:rsidRPr="00130320">
          <w:rPr>
            <w:rStyle w:val="Hyperlink"/>
            <w:rFonts w:asciiTheme="minorHAnsi" w:eastAsiaTheme="majorEastAsia" w:hAnsiTheme="minorHAnsi"/>
          </w:rPr>
          <w:t>https://doi.org/10.1177/014920639101700108</w:t>
        </w:r>
      </w:hyperlink>
      <w:r w:rsidRPr="00130320">
        <w:rPr>
          <w:rFonts w:asciiTheme="minorHAnsi" w:hAnsiTheme="minorHAnsi"/>
        </w:rPr>
        <w:t>.</w:t>
      </w:r>
    </w:p>
    <w:p w14:paraId="51578135"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Brydges, T., Henninger, C.E. and Hanlon, M. (2022) ‘Selling sustainability: investigating how Swedish fashion brands communicate sustainability to consumers’, </w:t>
      </w:r>
      <w:r w:rsidRPr="00130320">
        <w:rPr>
          <w:rStyle w:val="Emphasis"/>
          <w:rFonts w:asciiTheme="minorHAnsi" w:eastAsiaTheme="majorEastAsia" w:hAnsiTheme="minorHAnsi"/>
        </w:rPr>
        <w:t>Sustainability: Science, Practice, &amp; Policy</w:t>
      </w:r>
      <w:r w:rsidRPr="00130320">
        <w:rPr>
          <w:rFonts w:asciiTheme="minorHAnsi" w:hAnsiTheme="minorHAnsi"/>
        </w:rPr>
        <w:t xml:space="preserve">, 18(1), pp. 357–370. Available at: </w:t>
      </w:r>
      <w:hyperlink r:id="rId11" w:tgtFrame="_new" w:history="1">
        <w:r w:rsidRPr="00130320">
          <w:rPr>
            <w:rStyle w:val="Hyperlink"/>
            <w:rFonts w:asciiTheme="minorHAnsi" w:eastAsiaTheme="majorEastAsia" w:hAnsiTheme="minorHAnsi"/>
          </w:rPr>
          <w:t>https://doi.org/10.1080/15487733.2022.2068225</w:t>
        </w:r>
      </w:hyperlink>
      <w:r w:rsidRPr="00130320">
        <w:rPr>
          <w:rFonts w:asciiTheme="minorHAnsi" w:hAnsiTheme="minorHAnsi"/>
        </w:rPr>
        <w:t>.</w:t>
      </w:r>
    </w:p>
    <w:p w14:paraId="2504A938"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Cai, J. et al. (2025) ‘Decision-Making in Complementary Products Supply Chain: Game Theory and Sensitivity Analysis’, </w:t>
      </w:r>
      <w:r w:rsidRPr="00130320">
        <w:rPr>
          <w:rStyle w:val="Emphasis"/>
          <w:rFonts w:asciiTheme="minorHAnsi" w:eastAsiaTheme="majorEastAsia" w:hAnsiTheme="minorHAnsi"/>
        </w:rPr>
        <w:t>Systems (Basel)</w:t>
      </w:r>
      <w:r w:rsidRPr="00130320">
        <w:rPr>
          <w:rFonts w:asciiTheme="minorHAnsi" w:hAnsiTheme="minorHAnsi"/>
        </w:rPr>
        <w:t xml:space="preserve">, 13(5), pp. 360–. Available at: </w:t>
      </w:r>
      <w:hyperlink r:id="rId12" w:tgtFrame="_new" w:history="1">
        <w:r w:rsidRPr="00130320">
          <w:rPr>
            <w:rStyle w:val="Hyperlink"/>
            <w:rFonts w:asciiTheme="minorHAnsi" w:eastAsiaTheme="majorEastAsia" w:hAnsiTheme="minorHAnsi"/>
          </w:rPr>
          <w:t>https://doi.org/10.3390/systems13050360</w:t>
        </w:r>
      </w:hyperlink>
      <w:r w:rsidRPr="00130320">
        <w:rPr>
          <w:rFonts w:asciiTheme="minorHAnsi" w:hAnsiTheme="minorHAnsi"/>
        </w:rPr>
        <w:t>.</w:t>
      </w:r>
    </w:p>
    <w:p w14:paraId="3EDC9073"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Caisl, J. et al. (2023) </w:t>
      </w:r>
      <w:r w:rsidRPr="00130320">
        <w:rPr>
          <w:rStyle w:val="Emphasis"/>
          <w:rFonts w:asciiTheme="minorHAnsi" w:eastAsiaTheme="majorEastAsia" w:hAnsiTheme="minorHAnsi"/>
        </w:rPr>
        <w:t>The uneven impact of high inflation</w:t>
      </w:r>
      <w:r w:rsidRPr="00130320">
        <w:rPr>
          <w:rFonts w:asciiTheme="minorHAnsi" w:hAnsiTheme="minorHAnsi"/>
        </w:rPr>
        <w:t>. Paris: OECD Publishing (Working paper).</w:t>
      </w:r>
    </w:p>
    <w:p w14:paraId="2E9E7414"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Colasante, A. et al. (2025) ‘How consumer shopping habits affect willingness to embrace sustainable fashion’, </w:t>
      </w:r>
      <w:r w:rsidRPr="00130320">
        <w:rPr>
          <w:rStyle w:val="Emphasis"/>
          <w:rFonts w:asciiTheme="minorHAnsi" w:eastAsiaTheme="majorEastAsia" w:hAnsiTheme="minorHAnsi"/>
        </w:rPr>
        <w:t>Applied Economics Letters</w:t>
      </w:r>
      <w:r w:rsidRPr="00130320">
        <w:rPr>
          <w:rFonts w:asciiTheme="minorHAnsi" w:hAnsiTheme="minorHAnsi"/>
        </w:rPr>
        <w:t xml:space="preserve">, 32(6), pp. 850–855. Available at: </w:t>
      </w:r>
      <w:hyperlink r:id="rId13" w:tgtFrame="_new" w:history="1">
        <w:r w:rsidRPr="00130320">
          <w:rPr>
            <w:rStyle w:val="Hyperlink"/>
            <w:rFonts w:asciiTheme="minorHAnsi" w:eastAsiaTheme="majorEastAsia" w:hAnsiTheme="minorHAnsi"/>
          </w:rPr>
          <w:t>https://doi.org/10.1080/13504851.2023.2290578</w:t>
        </w:r>
      </w:hyperlink>
      <w:r w:rsidRPr="00130320">
        <w:rPr>
          <w:rFonts w:asciiTheme="minorHAnsi" w:hAnsiTheme="minorHAnsi"/>
        </w:rPr>
        <w:t>.</w:t>
      </w:r>
    </w:p>
    <w:p w14:paraId="0FD7F71D"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Cui, R. et al. (2024) ‘Sooner or Later? Promising Delivery Speed in Online Retail’, </w:t>
      </w:r>
      <w:r w:rsidRPr="00130320">
        <w:rPr>
          <w:rStyle w:val="Emphasis"/>
          <w:rFonts w:asciiTheme="minorHAnsi" w:eastAsiaTheme="majorEastAsia" w:hAnsiTheme="minorHAnsi"/>
        </w:rPr>
        <w:t>Manufacturing &amp; Service Operations Management</w:t>
      </w:r>
      <w:r w:rsidRPr="00130320">
        <w:rPr>
          <w:rFonts w:asciiTheme="minorHAnsi" w:hAnsiTheme="minorHAnsi"/>
        </w:rPr>
        <w:t xml:space="preserve">, 26(1), pp. 233–251. Available at: </w:t>
      </w:r>
      <w:hyperlink r:id="rId14" w:tgtFrame="_new" w:history="1">
        <w:r w:rsidRPr="00130320">
          <w:rPr>
            <w:rStyle w:val="Hyperlink"/>
            <w:rFonts w:asciiTheme="minorHAnsi" w:eastAsiaTheme="majorEastAsia" w:hAnsiTheme="minorHAnsi"/>
          </w:rPr>
          <w:t>https://doi.org/10.1287/msom.2021.0174</w:t>
        </w:r>
      </w:hyperlink>
      <w:r w:rsidRPr="00130320">
        <w:rPr>
          <w:rFonts w:asciiTheme="minorHAnsi" w:hAnsiTheme="minorHAnsi"/>
        </w:rPr>
        <w:t>.</w:t>
      </w:r>
    </w:p>
    <w:p w14:paraId="6B2FD0D3"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FashionNetwork.com (2018) </w:t>
      </w:r>
      <w:r w:rsidRPr="00130320">
        <w:rPr>
          <w:rStyle w:val="Emphasis"/>
          <w:rFonts w:asciiTheme="minorHAnsi" w:eastAsiaTheme="majorEastAsia" w:hAnsiTheme="minorHAnsi"/>
        </w:rPr>
        <w:t>French Connection to sell Toast to Bestseller</w:t>
      </w:r>
      <w:r w:rsidRPr="00130320">
        <w:rPr>
          <w:rFonts w:asciiTheme="minorHAnsi" w:hAnsiTheme="minorHAnsi"/>
        </w:rPr>
        <w:t xml:space="preserve">. Available at: </w:t>
      </w:r>
      <w:hyperlink r:id="rId15" w:tgtFrame="_new" w:history="1">
        <w:r w:rsidRPr="00130320">
          <w:rPr>
            <w:rStyle w:val="Hyperlink"/>
            <w:rFonts w:asciiTheme="minorHAnsi" w:eastAsiaTheme="majorEastAsia" w:hAnsiTheme="minorHAnsi"/>
          </w:rPr>
          <w:t>https://uk.fashionnetwork.com/news/French-connection-to-sell-toast-to-bestseller,965929.html</w:t>
        </w:r>
      </w:hyperlink>
      <w:r w:rsidRPr="00130320">
        <w:rPr>
          <w:rFonts w:asciiTheme="minorHAnsi" w:hAnsiTheme="minorHAnsi"/>
        </w:rPr>
        <w:t xml:space="preserve"> (Accessed: 27 January 2026).</w:t>
      </w:r>
    </w:p>
    <w:p w14:paraId="246B1ED2"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Ferreira, P., Rodrigues, P. and Rodrigues, P. (2019) ‘Brand Love as Mediator of the Brand Experience-Satisfaction-Loyalty Relationship in a Retail Fashion Brand’, </w:t>
      </w:r>
      <w:r w:rsidRPr="00130320">
        <w:rPr>
          <w:rStyle w:val="Emphasis"/>
          <w:rFonts w:asciiTheme="minorHAnsi" w:eastAsiaTheme="majorEastAsia" w:hAnsiTheme="minorHAnsi"/>
        </w:rPr>
        <w:t>Management &amp; Marketing</w:t>
      </w:r>
      <w:r w:rsidRPr="00130320">
        <w:rPr>
          <w:rFonts w:asciiTheme="minorHAnsi" w:hAnsiTheme="minorHAnsi"/>
        </w:rPr>
        <w:t xml:space="preserve">, 14(3), pp. 278–291. Available at: </w:t>
      </w:r>
      <w:hyperlink r:id="rId16" w:tgtFrame="_new" w:history="1">
        <w:r w:rsidRPr="00130320">
          <w:rPr>
            <w:rStyle w:val="Hyperlink"/>
            <w:rFonts w:asciiTheme="minorHAnsi" w:eastAsiaTheme="majorEastAsia" w:hAnsiTheme="minorHAnsi"/>
          </w:rPr>
          <w:t>https://doi.org/10.2478/mmcks-2019-0020</w:t>
        </w:r>
      </w:hyperlink>
      <w:r w:rsidRPr="00130320">
        <w:rPr>
          <w:rFonts w:asciiTheme="minorHAnsi" w:hAnsiTheme="minorHAnsi"/>
        </w:rPr>
        <w:t>.</w:t>
      </w:r>
    </w:p>
    <w:p w14:paraId="3C8A34FB"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García-Nieto, M., Ramón-Jerónimo, J.M. and Flórez-López, R. (2025) ‘Effectiveness of customer relationship management in shopping malls: Mall-retailer collaboration empirics’, </w:t>
      </w:r>
      <w:r w:rsidRPr="00130320">
        <w:rPr>
          <w:rStyle w:val="Emphasis"/>
          <w:rFonts w:asciiTheme="minorHAnsi" w:eastAsiaTheme="majorEastAsia" w:hAnsiTheme="minorHAnsi"/>
        </w:rPr>
        <w:t>Administrative Sciences</w:t>
      </w:r>
      <w:r w:rsidRPr="00130320">
        <w:rPr>
          <w:rFonts w:asciiTheme="minorHAnsi" w:hAnsiTheme="minorHAnsi"/>
        </w:rPr>
        <w:t xml:space="preserve">, 15(1), pp. 1–22. Available at: </w:t>
      </w:r>
      <w:hyperlink r:id="rId17" w:tgtFrame="_new" w:history="1">
        <w:r w:rsidRPr="00130320">
          <w:rPr>
            <w:rStyle w:val="Hyperlink"/>
            <w:rFonts w:asciiTheme="minorHAnsi" w:eastAsiaTheme="majorEastAsia" w:hAnsiTheme="minorHAnsi"/>
          </w:rPr>
          <w:t>https://doi.org/10.3390/admsci15010031</w:t>
        </w:r>
      </w:hyperlink>
      <w:r w:rsidRPr="00130320">
        <w:rPr>
          <w:rFonts w:asciiTheme="minorHAnsi" w:hAnsiTheme="minorHAnsi"/>
        </w:rPr>
        <w:t>.</w:t>
      </w:r>
    </w:p>
    <w:p w14:paraId="1D1F6118" w14:textId="77777777" w:rsidR="00130320" w:rsidRPr="00130320" w:rsidRDefault="00130320" w:rsidP="00130320">
      <w:pPr>
        <w:pStyle w:val="NormalWeb"/>
        <w:numPr>
          <w:ilvl w:val="0"/>
          <w:numId w:val="24"/>
        </w:numPr>
        <w:rPr>
          <w:rFonts w:asciiTheme="minorHAnsi" w:hAnsiTheme="minorHAnsi"/>
        </w:rPr>
      </w:pPr>
      <w:proofErr w:type="spellStart"/>
      <w:r w:rsidRPr="00130320">
        <w:rPr>
          <w:rFonts w:asciiTheme="minorHAnsi" w:hAnsiTheme="minorHAnsi"/>
        </w:rPr>
        <w:t>Geissdoerfer</w:t>
      </w:r>
      <w:proofErr w:type="spellEnd"/>
      <w:r w:rsidRPr="00130320">
        <w:rPr>
          <w:rFonts w:asciiTheme="minorHAnsi" w:hAnsiTheme="minorHAnsi"/>
        </w:rPr>
        <w:t xml:space="preserve">, M. et al. (2017) ‘The Circular Economy – A new sustainability paradigm?’, </w:t>
      </w:r>
      <w:r w:rsidRPr="00130320">
        <w:rPr>
          <w:rStyle w:val="Emphasis"/>
          <w:rFonts w:asciiTheme="minorHAnsi" w:eastAsiaTheme="majorEastAsia" w:hAnsiTheme="minorHAnsi"/>
        </w:rPr>
        <w:t>Journal of Cleaner Production</w:t>
      </w:r>
      <w:r w:rsidRPr="00130320">
        <w:rPr>
          <w:rFonts w:asciiTheme="minorHAnsi" w:hAnsiTheme="minorHAnsi"/>
        </w:rPr>
        <w:t xml:space="preserve">, 143, pp. 757–768. Available at: </w:t>
      </w:r>
      <w:hyperlink r:id="rId18" w:tgtFrame="_new" w:history="1">
        <w:r w:rsidRPr="00130320">
          <w:rPr>
            <w:rStyle w:val="Hyperlink"/>
            <w:rFonts w:asciiTheme="minorHAnsi" w:eastAsiaTheme="majorEastAsia" w:hAnsiTheme="minorHAnsi"/>
          </w:rPr>
          <w:t>https://doi.org/10.1016/j.jclepro.2016.12.048</w:t>
        </w:r>
      </w:hyperlink>
      <w:r w:rsidRPr="00130320">
        <w:rPr>
          <w:rFonts w:asciiTheme="minorHAnsi" w:hAnsiTheme="minorHAnsi"/>
        </w:rPr>
        <w:t>.</w:t>
      </w:r>
    </w:p>
    <w:p w14:paraId="57DC9C60"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Gianotti, E. and Damião da Silva, E. (2021) ‘Strategic management of credit card fraud: stakeholder mapping of a card issuer’, </w:t>
      </w:r>
      <w:r w:rsidRPr="00130320">
        <w:rPr>
          <w:rStyle w:val="Emphasis"/>
          <w:rFonts w:asciiTheme="minorHAnsi" w:eastAsiaTheme="majorEastAsia" w:hAnsiTheme="minorHAnsi"/>
        </w:rPr>
        <w:t>Journal of Financial Crime</w:t>
      </w:r>
      <w:r w:rsidRPr="00130320">
        <w:rPr>
          <w:rFonts w:asciiTheme="minorHAnsi" w:hAnsiTheme="minorHAnsi"/>
        </w:rPr>
        <w:t xml:space="preserve">, 28(1), pp. 156–169. Available at: </w:t>
      </w:r>
      <w:hyperlink r:id="rId19" w:tgtFrame="_new" w:history="1">
        <w:r w:rsidRPr="00130320">
          <w:rPr>
            <w:rStyle w:val="Hyperlink"/>
            <w:rFonts w:asciiTheme="minorHAnsi" w:eastAsiaTheme="majorEastAsia" w:hAnsiTheme="minorHAnsi"/>
          </w:rPr>
          <w:t>https://doi.org/10.1108/JFC-06-2020-0121</w:t>
        </w:r>
      </w:hyperlink>
      <w:r w:rsidRPr="00130320">
        <w:rPr>
          <w:rFonts w:asciiTheme="minorHAnsi" w:hAnsiTheme="minorHAnsi"/>
        </w:rPr>
        <w:t>.</w:t>
      </w:r>
    </w:p>
    <w:p w14:paraId="4567F3BA"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Grant, R.M. (2022) </w:t>
      </w:r>
      <w:r w:rsidRPr="00130320">
        <w:rPr>
          <w:rStyle w:val="Emphasis"/>
          <w:rFonts w:asciiTheme="minorHAnsi" w:eastAsiaTheme="majorEastAsia" w:hAnsiTheme="minorHAnsi"/>
        </w:rPr>
        <w:t>Contemporary strategy analysis</w:t>
      </w:r>
      <w:r w:rsidRPr="00130320">
        <w:rPr>
          <w:rFonts w:asciiTheme="minorHAnsi" w:hAnsiTheme="minorHAnsi"/>
        </w:rPr>
        <w:t xml:space="preserve">. 11th </w:t>
      </w:r>
      <w:proofErr w:type="spellStart"/>
      <w:r w:rsidRPr="00130320">
        <w:rPr>
          <w:rFonts w:asciiTheme="minorHAnsi" w:hAnsiTheme="minorHAnsi"/>
        </w:rPr>
        <w:t>edn</w:t>
      </w:r>
      <w:proofErr w:type="spellEnd"/>
      <w:r w:rsidRPr="00130320">
        <w:rPr>
          <w:rFonts w:asciiTheme="minorHAnsi" w:hAnsiTheme="minorHAnsi"/>
        </w:rPr>
        <w:t>. Hoboken: Wiley.</w:t>
      </w:r>
    </w:p>
    <w:p w14:paraId="3FFE1324"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lastRenderedPageBreak/>
        <w:t xml:space="preserve">Hall, J. (2018) ‘Digital Kimono: Fast Fashion, Slow Fashion?’, </w:t>
      </w:r>
      <w:r w:rsidRPr="00130320">
        <w:rPr>
          <w:rStyle w:val="Emphasis"/>
          <w:rFonts w:asciiTheme="minorHAnsi" w:eastAsiaTheme="majorEastAsia" w:hAnsiTheme="minorHAnsi"/>
        </w:rPr>
        <w:t>Fashion Theory</w:t>
      </w:r>
      <w:r w:rsidRPr="00130320">
        <w:rPr>
          <w:rFonts w:asciiTheme="minorHAnsi" w:hAnsiTheme="minorHAnsi"/>
        </w:rPr>
        <w:t xml:space="preserve">, 22(3), pp. 283–307. Available at: </w:t>
      </w:r>
      <w:hyperlink r:id="rId20" w:tgtFrame="_new" w:history="1">
        <w:r w:rsidRPr="00130320">
          <w:rPr>
            <w:rStyle w:val="Hyperlink"/>
            <w:rFonts w:asciiTheme="minorHAnsi" w:eastAsiaTheme="majorEastAsia" w:hAnsiTheme="minorHAnsi"/>
          </w:rPr>
          <w:t>https://doi.org/10.1080/1362704X.2017.1319175</w:t>
        </w:r>
      </w:hyperlink>
      <w:r w:rsidRPr="00130320">
        <w:rPr>
          <w:rFonts w:asciiTheme="minorHAnsi" w:hAnsiTheme="minorHAnsi"/>
        </w:rPr>
        <w:t>.</w:t>
      </w:r>
    </w:p>
    <w:p w14:paraId="11312D7D" w14:textId="77777777" w:rsidR="00130320" w:rsidRPr="00130320" w:rsidRDefault="00130320" w:rsidP="00130320">
      <w:pPr>
        <w:pStyle w:val="NormalWeb"/>
        <w:numPr>
          <w:ilvl w:val="0"/>
          <w:numId w:val="24"/>
        </w:numPr>
        <w:rPr>
          <w:rFonts w:asciiTheme="minorHAnsi" w:hAnsiTheme="minorHAnsi"/>
        </w:rPr>
      </w:pPr>
      <w:proofErr w:type="spellStart"/>
      <w:r w:rsidRPr="00130320">
        <w:rPr>
          <w:rFonts w:asciiTheme="minorHAnsi" w:hAnsiTheme="minorHAnsi"/>
        </w:rPr>
        <w:t>Jailos</w:t>
      </w:r>
      <w:proofErr w:type="spellEnd"/>
      <w:r w:rsidRPr="00130320">
        <w:rPr>
          <w:rFonts w:asciiTheme="minorHAnsi" w:hAnsiTheme="minorHAnsi"/>
        </w:rPr>
        <w:t xml:space="preserve">, H.M. and Magasi, C. (2025) ‘The Impact of Product Quality, Customer Service, and Brand Image on Customer Loyalty’, </w:t>
      </w:r>
      <w:r w:rsidRPr="00130320">
        <w:rPr>
          <w:rStyle w:val="Emphasis"/>
          <w:rFonts w:asciiTheme="minorHAnsi" w:eastAsiaTheme="majorEastAsia" w:hAnsiTheme="minorHAnsi"/>
        </w:rPr>
        <w:t>International Review of Management and Marketing</w:t>
      </w:r>
      <w:r w:rsidRPr="00130320">
        <w:rPr>
          <w:rFonts w:asciiTheme="minorHAnsi" w:hAnsiTheme="minorHAnsi"/>
        </w:rPr>
        <w:t xml:space="preserve">, 15(6), pp. 302–313. Available at: </w:t>
      </w:r>
      <w:hyperlink r:id="rId21" w:tgtFrame="_new" w:history="1">
        <w:r w:rsidRPr="00130320">
          <w:rPr>
            <w:rStyle w:val="Hyperlink"/>
            <w:rFonts w:asciiTheme="minorHAnsi" w:eastAsiaTheme="majorEastAsia" w:hAnsiTheme="minorHAnsi"/>
          </w:rPr>
          <w:t>https://doi.org/10.32479/irmm.20440</w:t>
        </w:r>
      </w:hyperlink>
      <w:r w:rsidRPr="00130320">
        <w:rPr>
          <w:rFonts w:asciiTheme="minorHAnsi" w:hAnsiTheme="minorHAnsi"/>
        </w:rPr>
        <w:t>.</w:t>
      </w:r>
    </w:p>
    <w:p w14:paraId="26AACCFC" w14:textId="77777777" w:rsidR="00130320" w:rsidRPr="00130320" w:rsidRDefault="00130320" w:rsidP="00130320">
      <w:pPr>
        <w:pStyle w:val="NormalWeb"/>
        <w:numPr>
          <w:ilvl w:val="0"/>
          <w:numId w:val="24"/>
        </w:numPr>
        <w:rPr>
          <w:rFonts w:asciiTheme="minorHAnsi" w:hAnsiTheme="minorHAnsi"/>
        </w:rPr>
      </w:pPr>
      <w:proofErr w:type="spellStart"/>
      <w:r w:rsidRPr="00130320">
        <w:rPr>
          <w:rFonts w:asciiTheme="minorHAnsi" w:hAnsiTheme="minorHAnsi"/>
        </w:rPr>
        <w:t>Kafoe</w:t>
      </w:r>
      <w:proofErr w:type="spellEnd"/>
      <w:r w:rsidRPr="00130320">
        <w:rPr>
          <w:rFonts w:asciiTheme="minorHAnsi" w:hAnsiTheme="minorHAnsi"/>
        </w:rPr>
        <w:t xml:space="preserve">, A.S. (2024) ‘Holistic Competitive Strategy: Embracing a Holistic Approach to Establishing a Competitive Edge’, </w:t>
      </w:r>
      <w:r w:rsidRPr="00130320">
        <w:rPr>
          <w:rStyle w:val="Emphasis"/>
          <w:rFonts w:asciiTheme="minorHAnsi" w:eastAsiaTheme="majorEastAsia" w:hAnsiTheme="minorHAnsi"/>
        </w:rPr>
        <w:t>Land Forces Academy Review</w:t>
      </w:r>
      <w:r w:rsidRPr="00130320">
        <w:rPr>
          <w:rFonts w:asciiTheme="minorHAnsi" w:hAnsiTheme="minorHAnsi"/>
        </w:rPr>
        <w:t xml:space="preserve">, 29(4), pp. 550–562. Available at: </w:t>
      </w:r>
      <w:hyperlink r:id="rId22" w:tgtFrame="_new" w:history="1">
        <w:r w:rsidRPr="00130320">
          <w:rPr>
            <w:rStyle w:val="Hyperlink"/>
            <w:rFonts w:asciiTheme="minorHAnsi" w:eastAsiaTheme="majorEastAsia" w:hAnsiTheme="minorHAnsi"/>
          </w:rPr>
          <w:t>https://doi.org/10.2478/raft-2024-0057</w:t>
        </w:r>
      </w:hyperlink>
      <w:r w:rsidRPr="00130320">
        <w:rPr>
          <w:rFonts w:asciiTheme="minorHAnsi" w:hAnsiTheme="minorHAnsi"/>
        </w:rPr>
        <w:t>.</w:t>
      </w:r>
    </w:p>
    <w:p w14:paraId="01869859"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Kapanowsk, G. (2020) ‘The Five Forces That Shape Industry Competition’, </w:t>
      </w:r>
      <w:r w:rsidRPr="00130320">
        <w:rPr>
          <w:rStyle w:val="Emphasis"/>
          <w:rFonts w:asciiTheme="minorHAnsi" w:eastAsiaTheme="majorEastAsia" w:hAnsiTheme="minorHAnsi"/>
        </w:rPr>
        <w:t>Cost Management</w:t>
      </w:r>
      <w:r w:rsidRPr="00130320">
        <w:rPr>
          <w:rFonts w:asciiTheme="minorHAnsi" w:hAnsiTheme="minorHAnsi"/>
        </w:rPr>
        <w:t>. Boston: Thomson Reuters.</w:t>
      </w:r>
    </w:p>
    <w:p w14:paraId="238F35AC"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Karabulut, A.N., Çalıkoğlu, G. and Bulut, Z.A. (2025) ‘Discussing and Reviewing the Digital Product Passport: An Up-to-Date Bibliometric Analysis’, </w:t>
      </w:r>
      <w:r w:rsidRPr="00130320">
        <w:rPr>
          <w:rStyle w:val="Emphasis"/>
          <w:rFonts w:asciiTheme="minorHAnsi" w:eastAsiaTheme="majorEastAsia" w:hAnsiTheme="minorHAnsi"/>
        </w:rPr>
        <w:t>Systems (Basel)</w:t>
      </w:r>
      <w:r w:rsidRPr="00130320">
        <w:rPr>
          <w:rFonts w:asciiTheme="minorHAnsi" w:hAnsiTheme="minorHAnsi"/>
        </w:rPr>
        <w:t xml:space="preserve">, 13(11), pp. 930–. Available at: </w:t>
      </w:r>
      <w:hyperlink r:id="rId23" w:tgtFrame="_new" w:history="1">
        <w:r w:rsidRPr="00130320">
          <w:rPr>
            <w:rStyle w:val="Hyperlink"/>
            <w:rFonts w:asciiTheme="minorHAnsi" w:eastAsiaTheme="majorEastAsia" w:hAnsiTheme="minorHAnsi"/>
          </w:rPr>
          <w:t>https://doi.org/10.3390/systems13110930</w:t>
        </w:r>
      </w:hyperlink>
      <w:r w:rsidRPr="00130320">
        <w:rPr>
          <w:rFonts w:asciiTheme="minorHAnsi" w:hAnsiTheme="minorHAnsi"/>
        </w:rPr>
        <w:t>.</w:t>
      </w:r>
    </w:p>
    <w:p w14:paraId="480AC8D3"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Kaur, M. et al. (2026) ‘Exploring Indian millennials’ sustainable clothing purchase decisions’, </w:t>
      </w:r>
      <w:r w:rsidRPr="00130320">
        <w:rPr>
          <w:rStyle w:val="Emphasis"/>
          <w:rFonts w:asciiTheme="minorHAnsi" w:eastAsiaTheme="majorEastAsia" w:hAnsiTheme="minorHAnsi"/>
        </w:rPr>
        <w:t>Social Responsibility Journal</w:t>
      </w:r>
      <w:r w:rsidRPr="00130320">
        <w:rPr>
          <w:rFonts w:asciiTheme="minorHAnsi" w:hAnsiTheme="minorHAnsi"/>
        </w:rPr>
        <w:t xml:space="preserve">, 22(1), pp. 114–133. Available at: </w:t>
      </w:r>
      <w:hyperlink r:id="rId24" w:tgtFrame="_new" w:history="1">
        <w:r w:rsidRPr="00130320">
          <w:rPr>
            <w:rStyle w:val="Hyperlink"/>
            <w:rFonts w:asciiTheme="minorHAnsi" w:eastAsiaTheme="majorEastAsia" w:hAnsiTheme="minorHAnsi"/>
          </w:rPr>
          <w:t>https://doi.org/10.1108/SRJ-09-2024-0621</w:t>
        </w:r>
      </w:hyperlink>
      <w:r w:rsidRPr="00130320">
        <w:rPr>
          <w:rFonts w:asciiTheme="minorHAnsi" w:hAnsiTheme="minorHAnsi"/>
        </w:rPr>
        <w:t>.</w:t>
      </w:r>
    </w:p>
    <w:p w14:paraId="60C7149D"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Kim, D.-Y. and Davis, S.M. (2019) ‘Acquisition experience and production resource efficiency’, </w:t>
      </w:r>
      <w:r w:rsidRPr="00130320">
        <w:rPr>
          <w:rStyle w:val="Emphasis"/>
          <w:rFonts w:asciiTheme="minorHAnsi" w:eastAsiaTheme="majorEastAsia" w:hAnsiTheme="minorHAnsi"/>
        </w:rPr>
        <w:t>Journal of Manufacturing Technology Management</w:t>
      </w:r>
      <w:r w:rsidRPr="00130320">
        <w:rPr>
          <w:rFonts w:asciiTheme="minorHAnsi" w:hAnsiTheme="minorHAnsi"/>
        </w:rPr>
        <w:t>, 30(4), pp. 772–795.</w:t>
      </w:r>
    </w:p>
    <w:p w14:paraId="506EB7FB"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Koopman, J.C. (1999) ‘Effective alignment: strategy cannot succeed without it’, </w:t>
      </w:r>
      <w:r w:rsidRPr="00130320">
        <w:rPr>
          <w:rStyle w:val="Emphasis"/>
          <w:rFonts w:asciiTheme="minorHAnsi" w:eastAsiaTheme="majorEastAsia" w:hAnsiTheme="minorHAnsi"/>
        </w:rPr>
        <w:t>Canadian Manager</w:t>
      </w:r>
      <w:r w:rsidRPr="00130320">
        <w:rPr>
          <w:rFonts w:asciiTheme="minorHAnsi" w:hAnsiTheme="minorHAnsi"/>
        </w:rPr>
        <w:t>.</w:t>
      </w:r>
    </w:p>
    <w:p w14:paraId="4294F612"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Laudon, K.C. and Traver, C.G. (2022) </w:t>
      </w:r>
      <w:r w:rsidRPr="00130320">
        <w:rPr>
          <w:rStyle w:val="Emphasis"/>
          <w:rFonts w:asciiTheme="minorHAnsi" w:eastAsiaTheme="majorEastAsia" w:hAnsiTheme="minorHAnsi"/>
        </w:rPr>
        <w:t>E-commerce: Business, Technology and Society</w:t>
      </w:r>
      <w:r w:rsidRPr="00130320">
        <w:rPr>
          <w:rFonts w:asciiTheme="minorHAnsi" w:hAnsiTheme="minorHAnsi"/>
        </w:rPr>
        <w:t xml:space="preserve">. 16th </w:t>
      </w:r>
      <w:proofErr w:type="spellStart"/>
      <w:r w:rsidRPr="00130320">
        <w:rPr>
          <w:rFonts w:asciiTheme="minorHAnsi" w:hAnsiTheme="minorHAnsi"/>
        </w:rPr>
        <w:t>edn</w:t>
      </w:r>
      <w:proofErr w:type="spellEnd"/>
      <w:r w:rsidRPr="00130320">
        <w:rPr>
          <w:rFonts w:asciiTheme="minorHAnsi" w:hAnsiTheme="minorHAnsi"/>
        </w:rPr>
        <w:t>. Hoboken: Pearson.</w:t>
      </w:r>
    </w:p>
    <w:p w14:paraId="67B0DADE"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Lin, C. et al. (2012) ‘A fuzzy quantitative VRIO-based framework for evaluating organisational activities’, </w:t>
      </w:r>
      <w:r w:rsidRPr="00130320">
        <w:rPr>
          <w:rStyle w:val="Emphasis"/>
          <w:rFonts w:asciiTheme="minorHAnsi" w:eastAsiaTheme="majorEastAsia" w:hAnsiTheme="minorHAnsi"/>
        </w:rPr>
        <w:t>Management Decision</w:t>
      </w:r>
      <w:r w:rsidRPr="00130320">
        <w:rPr>
          <w:rFonts w:asciiTheme="minorHAnsi" w:hAnsiTheme="minorHAnsi"/>
        </w:rPr>
        <w:t>, 50(8), pp. 1396–1411.</w:t>
      </w:r>
    </w:p>
    <w:p w14:paraId="06C957AF"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Lu, X. et al. (2022) ‘How Does Young Consumers’ Greenwashing Perception Impact Their Green Purchase Intention’, </w:t>
      </w:r>
      <w:r w:rsidRPr="00130320">
        <w:rPr>
          <w:rStyle w:val="Emphasis"/>
          <w:rFonts w:asciiTheme="minorHAnsi" w:eastAsiaTheme="majorEastAsia" w:hAnsiTheme="minorHAnsi"/>
        </w:rPr>
        <w:t>Sustainability</w:t>
      </w:r>
      <w:r w:rsidRPr="00130320">
        <w:rPr>
          <w:rFonts w:asciiTheme="minorHAnsi" w:hAnsiTheme="minorHAnsi"/>
        </w:rPr>
        <w:t>, 14(20).</w:t>
      </w:r>
    </w:p>
    <w:p w14:paraId="753590AA"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Lusty, N. and Richards, H. (2024) ‘Modern slavery legislation and the limits of ethical fashion’, </w:t>
      </w:r>
      <w:r w:rsidRPr="00130320">
        <w:rPr>
          <w:rStyle w:val="Emphasis"/>
          <w:rFonts w:asciiTheme="minorHAnsi" w:eastAsiaTheme="majorEastAsia" w:hAnsiTheme="minorHAnsi"/>
        </w:rPr>
        <w:t>Cultural Studies</w:t>
      </w:r>
      <w:r w:rsidRPr="00130320">
        <w:rPr>
          <w:rFonts w:asciiTheme="minorHAnsi" w:hAnsiTheme="minorHAnsi"/>
        </w:rPr>
        <w:t>, 38(2), pp. 322–347.</w:t>
      </w:r>
    </w:p>
    <w:p w14:paraId="22FBBD86"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Lynch, R.L. (2018) </w:t>
      </w:r>
      <w:r w:rsidRPr="00130320">
        <w:rPr>
          <w:rStyle w:val="Emphasis"/>
          <w:rFonts w:asciiTheme="minorHAnsi" w:eastAsiaTheme="majorEastAsia" w:hAnsiTheme="minorHAnsi"/>
        </w:rPr>
        <w:t>Strategic Management</w:t>
      </w:r>
      <w:r w:rsidRPr="00130320">
        <w:rPr>
          <w:rFonts w:asciiTheme="minorHAnsi" w:hAnsiTheme="minorHAnsi"/>
        </w:rPr>
        <w:t xml:space="preserve">. 8th </w:t>
      </w:r>
      <w:proofErr w:type="spellStart"/>
      <w:r w:rsidRPr="00130320">
        <w:rPr>
          <w:rFonts w:asciiTheme="minorHAnsi" w:hAnsiTheme="minorHAnsi"/>
        </w:rPr>
        <w:t>edn</w:t>
      </w:r>
      <w:proofErr w:type="spellEnd"/>
      <w:r w:rsidRPr="00130320">
        <w:rPr>
          <w:rFonts w:asciiTheme="minorHAnsi" w:hAnsiTheme="minorHAnsi"/>
        </w:rPr>
        <w:t>. Harlow: Pearson.</w:t>
      </w:r>
    </w:p>
    <w:p w14:paraId="2EA28995"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McKinsey &amp; Company (2023) </w:t>
      </w:r>
      <w:r w:rsidRPr="00130320">
        <w:rPr>
          <w:rStyle w:val="Emphasis"/>
          <w:rFonts w:asciiTheme="minorHAnsi" w:eastAsiaTheme="majorEastAsia" w:hAnsiTheme="minorHAnsi"/>
        </w:rPr>
        <w:t>The State of Fashion 2023: Holding onto growth as global clouds gather</w:t>
      </w:r>
      <w:r w:rsidRPr="00130320">
        <w:rPr>
          <w:rFonts w:asciiTheme="minorHAnsi" w:hAnsiTheme="minorHAnsi"/>
        </w:rPr>
        <w:t xml:space="preserve">. Available at: </w:t>
      </w:r>
      <w:hyperlink r:id="rId25" w:tgtFrame="_new" w:history="1">
        <w:r w:rsidRPr="00130320">
          <w:rPr>
            <w:rStyle w:val="Hyperlink"/>
            <w:rFonts w:asciiTheme="minorHAnsi" w:eastAsiaTheme="majorEastAsia" w:hAnsiTheme="minorHAnsi"/>
          </w:rPr>
          <w:t>https://www.mckinsey.com</w:t>
        </w:r>
      </w:hyperlink>
      <w:r w:rsidRPr="00130320">
        <w:rPr>
          <w:rFonts w:asciiTheme="minorHAnsi" w:hAnsiTheme="minorHAnsi"/>
        </w:rPr>
        <w:t xml:space="preserve"> (Accessed: 26 February 2026).</w:t>
      </w:r>
    </w:p>
    <w:p w14:paraId="2C84F30B"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McKinsey &amp; Company (2025) </w:t>
      </w:r>
      <w:r w:rsidRPr="00130320">
        <w:rPr>
          <w:rStyle w:val="Emphasis"/>
          <w:rFonts w:asciiTheme="minorHAnsi" w:eastAsiaTheme="majorEastAsia" w:hAnsiTheme="minorHAnsi"/>
        </w:rPr>
        <w:t>State of the Consumer trends report 2025</w:t>
      </w:r>
      <w:r w:rsidRPr="00130320">
        <w:rPr>
          <w:rFonts w:asciiTheme="minorHAnsi" w:hAnsiTheme="minorHAnsi"/>
        </w:rPr>
        <w:t xml:space="preserve">. Available at: </w:t>
      </w:r>
      <w:hyperlink r:id="rId26" w:tgtFrame="_new" w:history="1">
        <w:r w:rsidRPr="00130320">
          <w:rPr>
            <w:rStyle w:val="Hyperlink"/>
            <w:rFonts w:asciiTheme="minorHAnsi" w:eastAsiaTheme="majorEastAsia" w:hAnsiTheme="minorHAnsi"/>
          </w:rPr>
          <w:t>https://www.mckinsey.com</w:t>
        </w:r>
      </w:hyperlink>
      <w:r w:rsidRPr="00130320">
        <w:rPr>
          <w:rFonts w:asciiTheme="minorHAnsi" w:hAnsiTheme="minorHAnsi"/>
        </w:rPr>
        <w:t xml:space="preserve"> (Accessed: 26 March 2026).</w:t>
      </w:r>
    </w:p>
    <w:p w14:paraId="036CC5A4"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Mendis, K. et al. (2024) ‘Effective Stakeholder Management for Inclusive Post-Flood Management’, </w:t>
      </w:r>
      <w:r w:rsidRPr="00130320">
        <w:rPr>
          <w:rStyle w:val="Emphasis"/>
          <w:rFonts w:asciiTheme="minorHAnsi" w:eastAsiaTheme="majorEastAsia" w:hAnsiTheme="minorHAnsi"/>
        </w:rPr>
        <w:t>Water</w:t>
      </w:r>
      <w:r w:rsidRPr="00130320">
        <w:rPr>
          <w:rFonts w:asciiTheme="minorHAnsi" w:hAnsiTheme="minorHAnsi"/>
        </w:rPr>
        <w:t>, 16(10).</w:t>
      </w:r>
    </w:p>
    <w:p w14:paraId="7EE6D37B"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Muneeb, D. et al. (2019) ‘Building an integrated conceptual model of competitive learning capability’, </w:t>
      </w:r>
      <w:r w:rsidRPr="00130320">
        <w:rPr>
          <w:rStyle w:val="Emphasis"/>
          <w:rFonts w:asciiTheme="minorHAnsi" w:eastAsiaTheme="majorEastAsia" w:hAnsiTheme="minorHAnsi"/>
        </w:rPr>
        <w:t>Asia-Pacific Journal of Business Administration</w:t>
      </w:r>
      <w:r w:rsidRPr="00130320">
        <w:rPr>
          <w:rFonts w:asciiTheme="minorHAnsi" w:hAnsiTheme="minorHAnsi"/>
        </w:rPr>
        <w:t>, 11(3).</w:t>
      </w:r>
    </w:p>
    <w:p w14:paraId="784C0AA5"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Muneeb, D. et al. (2025) ‘Role of dynamic capabilities in driving competitiveness’, </w:t>
      </w:r>
      <w:r w:rsidRPr="00130320">
        <w:rPr>
          <w:rStyle w:val="Emphasis"/>
          <w:rFonts w:asciiTheme="minorHAnsi" w:eastAsiaTheme="majorEastAsia" w:hAnsiTheme="minorHAnsi"/>
        </w:rPr>
        <w:t>Management Research News</w:t>
      </w:r>
      <w:r w:rsidRPr="00130320">
        <w:rPr>
          <w:rFonts w:asciiTheme="minorHAnsi" w:hAnsiTheme="minorHAnsi"/>
        </w:rPr>
        <w:t>, 48(7).</w:t>
      </w:r>
    </w:p>
    <w:p w14:paraId="18414A9D"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Office, C. (2023) </w:t>
      </w:r>
      <w:r w:rsidRPr="00130320">
        <w:rPr>
          <w:rStyle w:val="Emphasis"/>
          <w:rFonts w:asciiTheme="minorHAnsi" w:eastAsiaTheme="majorEastAsia" w:hAnsiTheme="minorHAnsi"/>
        </w:rPr>
        <w:t>Border Target Operating Model</w:t>
      </w:r>
      <w:r w:rsidRPr="00130320">
        <w:rPr>
          <w:rFonts w:asciiTheme="minorHAnsi" w:hAnsiTheme="minorHAnsi"/>
        </w:rPr>
        <w:t>.</w:t>
      </w:r>
    </w:p>
    <w:p w14:paraId="1BD82774"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Olatunde, N.A. (2024) ‘Stakeholder management strategies’, </w:t>
      </w:r>
      <w:r w:rsidRPr="00130320">
        <w:rPr>
          <w:rStyle w:val="Emphasis"/>
          <w:rFonts w:asciiTheme="minorHAnsi" w:eastAsiaTheme="majorEastAsia" w:hAnsiTheme="minorHAnsi"/>
        </w:rPr>
        <w:t>Structural Survey</w:t>
      </w:r>
      <w:r w:rsidRPr="00130320">
        <w:rPr>
          <w:rFonts w:asciiTheme="minorHAnsi" w:hAnsiTheme="minorHAnsi"/>
        </w:rPr>
        <w:t>, 42(3).</w:t>
      </w:r>
    </w:p>
    <w:p w14:paraId="4E6E4C61" w14:textId="23365F3C"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lastRenderedPageBreak/>
        <w:t xml:space="preserve">Philomena </w:t>
      </w:r>
      <w:proofErr w:type="spellStart"/>
      <w:r w:rsidRPr="00130320">
        <w:rPr>
          <w:rFonts w:asciiTheme="minorHAnsi" w:hAnsiTheme="minorHAnsi"/>
        </w:rPr>
        <w:t>Ify</w:t>
      </w:r>
      <w:proofErr w:type="spellEnd"/>
      <w:r w:rsidRPr="00130320">
        <w:rPr>
          <w:rFonts w:asciiTheme="minorHAnsi" w:hAnsiTheme="minorHAnsi"/>
        </w:rPr>
        <w:t xml:space="preserve">, I. (2024) ‘Communication Strategies </w:t>
      </w:r>
      <w:r w:rsidR="007120D6" w:rsidRPr="00130320">
        <w:rPr>
          <w:rFonts w:asciiTheme="minorHAnsi" w:hAnsiTheme="minorHAnsi"/>
        </w:rPr>
        <w:t>and</w:t>
      </w:r>
      <w:r w:rsidRPr="00130320">
        <w:rPr>
          <w:rFonts w:asciiTheme="minorHAnsi" w:hAnsiTheme="minorHAnsi"/>
        </w:rPr>
        <w:t xml:space="preserve"> Employee Productivity’, </w:t>
      </w:r>
      <w:r w:rsidRPr="00130320">
        <w:rPr>
          <w:rStyle w:val="Emphasis"/>
          <w:rFonts w:asciiTheme="minorHAnsi" w:eastAsiaTheme="majorEastAsia" w:hAnsiTheme="minorHAnsi"/>
        </w:rPr>
        <w:t>Global Journal of Social Science</w:t>
      </w:r>
      <w:r w:rsidRPr="00130320">
        <w:rPr>
          <w:rFonts w:asciiTheme="minorHAnsi" w:hAnsiTheme="minorHAnsi"/>
        </w:rPr>
        <w:t>, 23(1).</w:t>
      </w:r>
    </w:p>
    <w:p w14:paraId="78750AC3"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Porter, M.E. (1998) </w:t>
      </w:r>
      <w:r w:rsidRPr="00130320">
        <w:rPr>
          <w:rStyle w:val="Emphasis"/>
          <w:rFonts w:asciiTheme="minorHAnsi" w:eastAsiaTheme="majorEastAsia" w:hAnsiTheme="minorHAnsi"/>
        </w:rPr>
        <w:t>Competitive Advantage: Creating and Sustaining Superior Performance</w:t>
      </w:r>
      <w:r w:rsidRPr="00130320">
        <w:rPr>
          <w:rFonts w:asciiTheme="minorHAnsi" w:hAnsiTheme="minorHAnsi"/>
        </w:rPr>
        <w:t>. New York: Free Press.</w:t>
      </w:r>
    </w:p>
    <w:p w14:paraId="3D2ADFC3"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Porter, M.E. (2008) </w:t>
      </w:r>
      <w:r w:rsidRPr="00130320">
        <w:rPr>
          <w:rStyle w:val="Emphasis"/>
          <w:rFonts w:asciiTheme="minorHAnsi" w:eastAsiaTheme="majorEastAsia" w:hAnsiTheme="minorHAnsi"/>
        </w:rPr>
        <w:t>On Competition</w:t>
      </w:r>
      <w:r w:rsidRPr="00130320">
        <w:rPr>
          <w:rFonts w:asciiTheme="minorHAnsi" w:hAnsiTheme="minorHAnsi"/>
        </w:rPr>
        <w:t>. Boston: Harvard Business School Publishing.</w:t>
      </w:r>
    </w:p>
    <w:p w14:paraId="30D71E86" w14:textId="77777777" w:rsidR="00130320" w:rsidRPr="00130320" w:rsidRDefault="00130320" w:rsidP="00130320">
      <w:pPr>
        <w:pStyle w:val="NormalWeb"/>
        <w:numPr>
          <w:ilvl w:val="0"/>
          <w:numId w:val="24"/>
        </w:numPr>
        <w:rPr>
          <w:rFonts w:asciiTheme="minorHAnsi" w:hAnsiTheme="minorHAnsi"/>
        </w:rPr>
      </w:pPr>
      <w:proofErr w:type="spellStart"/>
      <w:r w:rsidRPr="00130320">
        <w:rPr>
          <w:rFonts w:asciiTheme="minorHAnsi" w:hAnsiTheme="minorHAnsi"/>
        </w:rPr>
        <w:t>Prajogo</w:t>
      </w:r>
      <w:proofErr w:type="spellEnd"/>
      <w:r w:rsidRPr="00130320">
        <w:rPr>
          <w:rFonts w:asciiTheme="minorHAnsi" w:hAnsiTheme="minorHAnsi"/>
        </w:rPr>
        <w:t xml:space="preserve">, D.I. (2007) ‘The relationship between competitive strategies and product quality’, </w:t>
      </w:r>
      <w:r w:rsidRPr="00130320">
        <w:rPr>
          <w:rStyle w:val="Emphasis"/>
          <w:rFonts w:asciiTheme="minorHAnsi" w:eastAsiaTheme="majorEastAsia" w:hAnsiTheme="minorHAnsi"/>
        </w:rPr>
        <w:t>Industrial Management &amp; Data Systems</w:t>
      </w:r>
      <w:r w:rsidRPr="00130320">
        <w:rPr>
          <w:rFonts w:asciiTheme="minorHAnsi" w:hAnsiTheme="minorHAnsi"/>
        </w:rPr>
        <w:t>, 107(1).</w:t>
      </w:r>
    </w:p>
    <w:p w14:paraId="47BAB69F"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Regnér, P. et al. (2020) </w:t>
      </w:r>
      <w:r w:rsidRPr="00130320">
        <w:rPr>
          <w:rStyle w:val="Emphasis"/>
          <w:rFonts w:asciiTheme="minorHAnsi" w:eastAsiaTheme="majorEastAsia" w:hAnsiTheme="minorHAnsi"/>
        </w:rPr>
        <w:t>Exploring Strategy: Text and Cases</w:t>
      </w:r>
      <w:r w:rsidRPr="00130320">
        <w:rPr>
          <w:rFonts w:asciiTheme="minorHAnsi" w:hAnsiTheme="minorHAnsi"/>
        </w:rPr>
        <w:t xml:space="preserve">. 12th </w:t>
      </w:r>
      <w:proofErr w:type="spellStart"/>
      <w:r w:rsidRPr="00130320">
        <w:rPr>
          <w:rFonts w:asciiTheme="minorHAnsi" w:hAnsiTheme="minorHAnsi"/>
        </w:rPr>
        <w:t>edn</w:t>
      </w:r>
      <w:proofErr w:type="spellEnd"/>
      <w:r w:rsidRPr="00130320">
        <w:rPr>
          <w:rFonts w:asciiTheme="minorHAnsi" w:hAnsiTheme="minorHAnsi"/>
        </w:rPr>
        <w:t>. Harlow: Pearson.</w:t>
      </w:r>
    </w:p>
    <w:p w14:paraId="60FCD796"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Sachdeva, I. and Goel, S. (2024) ‘Impact of customer engagement strategies’, </w:t>
      </w:r>
      <w:r w:rsidRPr="00130320">
        <w:rPr>
          <w:rStyle w:val="Emphasis"/>
          <w:rFonts w:asciiTheme="minorHAnsi" w:eastAsiaTheme="majorEastAsia" w:hAnsiTheme="minorHAnsi"/>
        </w:rPr>
        <w:t>International Journal of Indian Culture and Business Management</w:t>
      </w:r>
      <w:r w:rsidRPr="00130320">
        <w:rPr>
          <w:rFonts w:asciiTheme="minorHAnsi" w:hAnsiTheme="minorHAnsi"/>
        </w:rPr>
        <w:t>, 31(3).</w:t>
      </w:r>
    </w:p>
    <w:p w14:paraId="5EE78FEC"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Santa Rosa Lana, G. and Afonso </w:t>
      </w:r>
      <w:proofErr w:type="spellStart"/>
      <w:r w:rsidRPr="00130320">
        <w:rPr>
          <w:rFonts w:asciiTheme="minorHAnsi" w:hAnsiTheme="minorHAnsi"/>
        </w:rPr>
        <w:t>Brardo</w:t>
      </w:r>
      <w:proofErr w:type="spellEnd"/>
      <w:r w:rsidRPr="00130320">
        <w:rPr>
          <w:rFonts w:asciiTheme="minorHAnsi" w:hAnsiTheme="minorHAnsi"/>
        </w:rPr>
        <w:t xml:space="preserve"> Duarte, P. (2025) ‘Ethical Challenges in the Fast Fashion Industry’, </w:t>
      </w:r>
      <w:r w:rsidRPr="00130320">
        <w:rPr>
          <w:rStyle w:val="Emphasis"/>
          <w:rFonts w:asciiTheme="minorHAnsi" w:eastAsiaTheme="majorEastAsia" w:hAnsiTheme="minorHAnsi"/>
        </w:rPr>
        <w:t>Revista de Economía y Política</w:t>
      </w:r>
      <w:r w:rsidRPr="00130320">
        <w:rPr>
          <w:rFonts w:asciiTheme="minorHAnsi" w:hAnsiTheme="minorHAnsi"/>
        </w:rPr>
        <w:t>, (41).</w:t>
      </w:r>
    </w:p>
    <w:p w14:paraId="7489494B"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Slack, N. and Brandon-Jones, A. (2019) </w:t>
      </w:r>
      <w:r w:rsidRPr="00130320">
        <w:rPr>
          <w:rStyle w:val="Emphasis"/>
          <w:rFonts w:asciiTheme="minorHAnsi" w:eastAsiaTheme="majorEastAsia" w:hAnsiTheme="minorHAnsi"/>
        </w:rPr>
        <w:t>Operations Management</w:t>
      </w:r>
      <w:r w:rsidRPr="00130320">
        <w:rPr>
          <w:rFonts w:asciiTheme="minorHAnsi" w:hAnsiTheme="minorHAnsi"/>
        </w:rPr>
        <w:t xml:space="preserve">. 9th </w:t>
      </w:r>
      <w:proofErr w:type="spellStart"/>
      <w:r w:rsidRPr="00130320">
        <w:rPr>
          <w:rFonts w:asciiTheme="minorHAnsi" w:hAnsiTheme="minorHAnsi"/>
        </w:rPr>
        <w:t>edn</w:t>
      </w:r>
      <w:proofErr w:type="spellEnd"/>
      <w:r w:rsidRPr="00130320">
        <w:rPr>
          <w:rFonts w:asciiTheme="minorHAnsi" w:hAnsiTheme="minorHAnsi"/>
        </w:rPr>
        <w:t>. Harlow: Pearson.</w:t>
      </w:r>
    </w:p>
    <w:p w14:paraId="51CDA60D"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So, K.K.F. et al. (2018) ‘Brand Management in the Era of Social Media’, </w:t>
      </w:r>
      <w:r w:rsidRPr="00130320">
        <w:rPr>
          <w:rStyle w:val="Emphasis"/>
          <w:rFonts w:asciiTheme="minorHAnsi" w:eastAsiaTheme="majorEastAsia" w:hAnsiTheme="minorHAnsi"/>
        </w:rPr>
        <w:t>Journal of Travel Research</w:t>
      </w:r>
      <w:r w:rsidRPr="00130320">
        <w:rPr>
          <w:rFonts w:asciiTheme="minorHAnsi" w:hAnsiTheme="minorHAnsi"/>
        </w:rPr>
        <w:t>, 57(6).</w:t>
      </w:r>
    </w:p>
    <w:p w14:paraId="59681876"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Sumption, M. (2022) ‘Shortages, high-demand occupations, and the post-Brexit UK immigration system’, </w:t>
      </w:r>
      <w:r w:rsidRPr="00130320">
        <w:rPr>
          <w:rStyle w:val="Emphasis"/>
          <w:rFonts w:asciiTheme="minorHAnsi" w:eastAsiaTheme="majorEastAsia" w:hAnsiTheme="minorHAnsi"/>
        </w:rPr>
        <w:t>Oxford Review of Economic Policy</w:t>
      </w:r>
      <w:r w:rsidRPr="00130320">
        <w:rPr>
          <w:rFonts w:asciiTheme="minorHAnsi" w:hAnsiTheme="minorHAnsi"/>
        </w:rPr>
        <w:t>, 38(1).</w:t>
      </w:r>
    </w:p>
    <w:p w14:paraId="097F5B9C"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Teofilus, T. et al. (2022) ‘Managing Organizational Inertia’, </w:t>
      </w:r>
      <w:r w:rsidRPr="00130320">
        <w:rPr>
          <w:rStyle w:val="Emphasis"/>
          <w:rFonts w:asciiTheme="minorHAnsi" w:eastAsiaTheme="majorEastAsia" w:hAnsiTheme="minorHAnsi"/>
        </w:rPr>
        <w:t>Frontiers in Psychology</w:t>
      </w:r>
      <w:r w:rsidRPr="00130320">
        <w:rPr>
          <w:rFonts w:asciiTheme="minorHAnsi" w:hAnsiTheme="minorHAnsi"/>
        </w:rPr>
        <w:t>, 13.</w:t>
      </w:r>
    </w:p>
    <w:p w14:paraId="75EA22FF"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TOAST (2024) </w:t>
      </w:r>
      <w:r w:rsidRPr="00130320">
        <w:rPr>
          <w:rStyle w:val="Emphasis"/>
          <w:rFonts w:asciiTheme="minorHAnsi" w:eastAsiaTheme="majorEastAsia" w:hAnsiTheme="minorHAnsi"/>
        </w:rPr>
        <w:t>Social Conscience Report 2024</w:t>
      </w:r>
      <w:r w:rsidRPr="00130320">
        <w:rPr>
          <w:rFonts w:asciiTheme="minorHAnsi" w:hAnsiTheme="minorHAnsi"/>
        </w:rPr>
        <w:t xml:space="preserve">. Available at: </w:t>
      </w:r>
      <w:hyperlink r:id="rId27" w:tgtFrame="_new" w:history="1">
        <w:r w:rsidRPr="00130320">
          <w:rPr>
            <w:rStyle w:val="Hyperlink"/>
            <w:rFonts w:asciiTheme="minorHAnsi" w:eastAsiaTheme="majorEastAsia" w:hAnsiTheme="minorHAnsi"/>
          </w:rPr>
          <w:t>https://cdn.shopify.com</w:t>
        </w:r>
      </w:hyperlink>
      <w:r w:rsidRPr="00130320">
        <w:rPr>
          <w:rFonts w:asciiTheme="minorHAnsi" w:hAnsiTheme="minorHAnsi"/>
        </w:rPr>
        <w:t xml:space="preserve"> (Accessed: 27 January 2026).</w:t>
      </w:r>
    </w:p>
    <w:p w14:paraId="324D7ABD"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TOAST (2026) </w:t>
      </w:r>
      <w:r w:rsidRPr="00130320">
        <w:rPr>
          <w:rStyle w:val="Emphasis"/>
          <w:rFonts w:asciiTheme="minorHAnsi" w:eastAsiaTheme="majorEastAsia" w:hAnsiTheme="minorHAnsi"/>
        </w:rPr>
        <w:t>About us</w:t>
      </w:r>
      <w:r w:rsidRPr="00130320">
        <w:rPr>
          <w:rFonts w:asciiTheme="minorHAnsi" w:hAnsiTheme="minorHAnsi"/>
        </w:rPr>
        <w:t xml:space="preserve">. Available at: </w:t>
      </w:r>
      <w:hyperlink r:id="rId28" w:tgtFrame="_new" w:history="1">
        <w:r w:rsidRPr="00130320">
          <w:rPr>
            <w:rStyle w:val="Hyperlink"/>
            <w:rFonts w:asciiTheme="minorHAnsi" w:eastAsiaTheme="majorEastAsia" w:hAnsiTheme="minorHAnsi"/>
          </w:rPr>
          <w:t>https://www.toa.st/pages/about-us</w:t>
        </w:r>
      </w:hyperlink>
      <w:r w:rsidRPr="00130320">
        <w:rPr>
          <w:rFonts w:asciiTheme="minorHAnsi" w:hAnsiTheme="minorHAnsi"/>
        </w:rPr>
        <w:t xml:space="preserve"> (Accessed: 27 January 2026).</w:t>
      </w:r>
    </w:p>
    <w:p w14:paraId="616A5FED"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TOAST (2026) </w:t>
      </w:r>
      <w:r w:rsidRPr="00130320">
        <w:rPr>
          <w:rStyle w:val="Emphasis"/>
          <w:rFonts w:asciiTheme="minorHAnsi" w:eastAsiaTheme="majorEastAsia" w:hAnsiTheme="minorHAnsi"/>
        </w:rPr>
        <w:t>Be a New Maker</w:t>
      </w:r>
      <w:r w:rsidRPr="00130320">
        <w:rPr>
          <w:rFonts w:asciiTheme="minorHAnsi" w:hAnsiTheme="minorHAnsi"/>
        </w:rPr>
        <w:t xml:space="preserve">. Available at: </w:t>
      </w:r>
      <w:hyperlink r:id="rId29" w:tgtFrame="_new" w:history="1">
        <w:r w:rsidRPr="00130320">
          <w:rPr>
            <w:rStyle w:val="Hyperlink"/>
            <w:rFonts w:asciiTheme="minorHAnsi" w:eastAsiaTheme="majorEastAsia" w:hAnsiTheme="minorHAnsi"/>
          </w:rPr>
          <w:t>https://www.toa.st/pages/be-a-new-maker</w:t>
        </w:r>
      </w:hyperlink>
      <w:r w:rsidRPr="00130320">
        <w:rPr>
          <w:rFonts w:asciiTheme="minorHAnsi" w:hAnsiTheme="minorHAnsi"/>
        </w:rPr>
        <w:t xml:space="preserve"> (Accessed: 13 March 2026).</w:t>
      </w:r>
    </w:p>
    <w:p w14:paraId="48EEFAF0"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TOAST (2026) </w:t>
      </w:r>
      <w:r w:rsidRPr="00130320">
        <w:rPr>
          <w:rStyle w:val="Emphasis"/>
          <w:rFonts w:asciiTheme="minorHAnsi" w:eastAsiaTheme="majorEastAsia" w:hAnsiTheme="minorHAnsi"/>
        </w:rPr>
        <w:t>Suppliers</w:t>
      </w:r>
      <w:r w:rsidRPr="00130320">
        <w:rPr>
          <w:rFonts w:asciiTheme="minorHAnsi" w:hAnsiTheme="minorHAnsi"/>
        </w:rPr>
        <w:t xml:space="preserve">. Available at: </w:t>
      </w:r>
      <w:hyperlink r:id="rId30" w:tgtFrame="_new" w:history="1">
        <w:r w:rsidRPr="00130320">
          <w:rPr>
            <w:rStyle w:val="Hyperlink"/>
            <w:rFonts w:asciiTheme="minorHAnsi" w:eastAsiaTheme="majorEastAsia" w:hAnsiTheme="minorHAnsi"/>
          </w:rPr>
          <w:t>https://us.toa.st/pages/suppliers</w:t>
        </w:r>
      </w:hyperlink>
      <w:r w:rsidRPr="00130320">
        <w:rPr>
          <w:rFonts w:asciiTheme="minorHAnsi" w:hAnsiTheme="minorHAnsi"/>
        </w:rPr>
        <w:t xml:space="preserve"> (Accessed: 28 February 2026).</w:t>
      </w:r>
    </w:p>
    <w:p w14:paraId="131D9BFD"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Toften, K. and </w:t>
      </w:r>
      <w:proofErr w:type="spellStart"/>
      <w:r w:rsidRPr="00130320">
        <w:rPr>
          <w:rFonts w:asciiTheme="minorHAnsi" w:hAnsiTheme="minorHAnsi"/>
        </w:rPr>
        <w:t>Hammervoll</w:t>
      </w:r>
      <w:proofErr w:type="spellEnd"/>
      <w:r w:rsidRPr="00130320">
        <w:rPr>
          <w:rFonts w:asciiTheme="minorHAnsi" w:hAnsiTheme="minorHAnsi"/>
        </w:rPr>
        <w:t xml:space="preserve">, T. (2010) ‘Niche marketing and strategic capabilities’, </w:t>
      </w:r>
      <w:r w:rsidRPr="00130320">
        <w:rPr>
          <w:rStyle w:val="Emphasis"/>
          <w:rFonts w:asciiTheme="minorHAnsi" w:eastAsiaTheme="majorEastAsia" w:hAnsiTheme="minorHAnsi"/>
        </w:rPr>
        <w:t>Marketing Intelligence &amp; Planning</w:t>
      </w:r>
      <w:r w:rsidRPr="00130320">
        <w:rPr>
          <w:rFonts w:asciiTheme="minorHAnsi" w:hAnsiTheme="minorHAnsi"/>
        </w:rPr>
        <w:t>, 28(6).</w:t>
      </w:r>
    </w:p>
    <w:p w14:paraId="71F5E15E"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Turkan </w:t>
      </w:r>
      <w:proofErr w:type="spellStart"/>
      <w:r w:rsidRPr="00130320">
        <w:rPr>
          <w:rFonts w:asciiTheme="minorHAnsi" w:hAnsiTheme="minorHAnsi"/>
        </w:rPr>
        <w:t>Alipoor</w:t>
      </w:r>
      <w:proofErr w:type="spellEnd"/>
      <w:r w:rsidRPr="00130320">
        <w:rPr>
          <w:rFonts w:asciiTheme="minorHAnsi" w:hAnsiTheme="minorHAnsi"/>
        </w:rPr>
        <w:t xml:space="preserve"> and Ramin Bashir </w:t>
      </w:r>
      <w:proofErr w:type="spellStart"/>
      <w:r w:rsidRPr="00130320">
        <w:rPr>
          <w:rFonts w:asciiTheme="minorHAnsi" w:hAnsiTheme="minorHAnsi"/>
        </w:rPr>
        <w:t>Khodaparasti</w:t>
      </w:r>
      <w:proofErr w:type="spellEnd"/>
      <w:r w:rsidRPr="00130320">
        <w:rPr>
          <w:rFonts w:asciiTheme="minorHAnsi" w:hAnsiTheme="minorHAnsi"/>
        </w:rPr>
        <w:t xml:space="preserve"> (2024) ‘The antecedents of differentiation strategies’, </w:t>
      </w:r>
      <w:r w:rsidRPr="00130320">
        <w:rPr>
          <w:rStyle w:val="Emphasis"/>
          <w:rFonts w:asciiTheme="minorHAnsi" w:eastAsiaTheme="majorEastAsia" w:hAnsiTheme="minorHAnsi"/>
        </w:rPr>
        <w:t>Strategic Management Studies</w:t>
      </w:r>
      <w:r w:rsidRPr="00130320">
        <w:rPr>
          <w:rFonts w:asciiTheme="minorHAnsi" w:hAnsiTheme="minorHAnsi"/>
        </w:rPr>
        <w:t>, 15(57).</w:t>
      </w:r>
    </w:p>
    <w:p w14:paraId="00D3D6A7"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Verhoef, P.C. et al. (2021) ‘Digital transformation’, </w:t>
      </w:r>
      <w:r w:rsidRPr="00130320">
        <w:rPr>
          <w:rStyle w:val="Emphasis"/>
          <w:rFonts w:asciiTheme="minorHAnsi" w:eastAsiaTheme="majorEastAsia" w:hAnsiTheme="minorHAnsi"/>
        </w:rPr>
        <w:t>Journal of Business Research</w:t>
      </w:r>
      <w:r w:rsidRPr="00130320">
        <w:rPr>
          <w:rFonts w:asciiTheme="minorHAnsi" w:hAnsiTheme="minorHAnsi"/>
        </w:rPr>
        <w:t>, 122.</w:t>
      </w:r>
    </w:p>
    <w:p w14:paraId="59DE6FC0"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Weber, M. (2025) ‘Seam-</w:t>
      </w:r>
      <w:proofErr w:type="spellStart"/>
      <w:r w:rsidRPr="00130320">
        <w:rPr>
          <w:rFonts w:asciiTheme="minorHAnsi" w:hAnsiTheme="minorHAnsi"/>
        </w:rPr>
        <w:t>ingly</w:t>
      </w:r>
      <w:proofErr w:type="spellEnd"/>
      <w:r w:rsidRPr="00130320">
        <w:rPr>
          <w:rFonts w:asciiTheme="minorHAnsi" w:hAnsiTheme="minorHAnsi"/>
        </w:rPr>
        <w:t xml:space="preserve"> compliant or creating consciously’, </w:t>
      </w:r>
      <w:r w:rsidRPr="00130320">
        <w:rPr>
          <w:rStyle w:val="Emphasis"/>
          <w:rFonts w:asciiTheme="minorHAnsi" w:eastAsiaTheme="majorEastAsia" w:hAnsiTheme="minorHAnsi"/>
        </w:rPr>
        <w:t>The International Lawyer</w:t>
      </w:r>
      <w:r w:rsidRPr="00130320">
        <w:rPr>
          <w:rFonts w:asciiTheme="minorHAnsi" w:hAnsiTheme="minorHAnsi"/>
        </w:rPr>
        <w:t>, 58(1).</w:t>
      </w:r>
    </w:p>
    <w:p w14:paraId="45720399"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Whittington, R., Scholes, K. and Johnson, G. (2012) </w:t>
      </w:r>
      <w:r w:rsidRPr="00130320">
        <w:rPr>
          <w:rStyle w:val="Emphasis"/>
          <w:rFonts w:asciiTheme="minorHAnsi" w:eastAsiaTheme="majorEastAsia" w:hAnsiTheme="minorHAnsi"/>
        </w:rPr>
        <w:t>Fundamentals of Strategy</w:t>
      </w:r>
      <w:r w:rsidRPr="00130320">
        <w:rPr>
          <w:rFonts w:asciiTheme="minorHAnsi" w:hAnsiTheme="minorHAnsi"/>
        </w:rPr>
        <w:t xml:space="preserve">. 2nd </w:t>
      </w:r>
      <w:proofErr w:type="spellStart"/>
      <w:r w:rsidRPr="00130320">
        <w:rPr>
          <w:rFonts w:asciiTheme="minorHAnsi" w:hAnsiTheme="minorHAnsi"/>
        </w:rPr>
        <w:t>edn</w:t>
      </w:r>
      <w:proofErr w:type="spellEnd"/>
      <w:r w:rsidRPr="00130320">
        <w:rPr>
          <w:rFonts w:asciiTheme="minorHAnsi" w:hAnsiTheme="minorHAnsi"/>
        </w:rPr>
        <w:t>.</w:t>
      </w:r>
    </w:p>
    <w:p w14:paraId="4200EAA2"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Williams, E. (2022) ‘Appalling or Advantageous?’, </w:t>
      </w:r>
      <w:r w:rsidRPr="00130320">
        <w:rPr>
          <w:rStyle w:val="Emphasis"/>
          <w:rFonts w:asciiTheme="minorHAnsi" w:eastAsiaTheme="majorEastAsia" w:hAnsiTheme="minorHAnsi"/>
        </w:rPr>
        <w:t>Journal for Global Business and Community</w:t>
      </w:r>
      <w:r w:rsidRPr="00130320">
        <w:rPr>
          <w:rFonts w:asciiTheme="minorHAnsi" w:hAnsiTheme="minorHAnsi"/>
        </w:rPr>
        <w:t>, 13(1).</w:t>
      </w:r>
    </w:p>
    <w:p w14:paraId="383631D4"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Worthington, I. (2006) </w:t>
      </w:r>
      <w:r w:rsidRPr="00130320">
        <w:rPr>
          <w:rStyle w:val="Emphasis"/>
          <w:rFonts w:asciiTheme="minorHAnsi" w:eastAsiaTheme="majorEastAsia" w:hAnsiTheme="minorHAnsi"/>
        </w:rPr>
        <w:t>The Business Environment</w:t>
      </w:r>
      <w:r w:rsidRPr="00130320">
        <w:rPr>
          <w:rFonts w:asciiTheme="minorHAnsi" w:hAnsiTheme="minorHAnsi"/>
        </w:rPr>
        <w:t xml:space="preserve">. 5th </w:t>
      </w:r>
      <w:proofErr w:type="spellStart"/>
      <w:r w:rsidRPr="00130320">
        <w:rPr>
          <w:rFonts w:asciiTheme="minorHAnsi" w:hAnsiTheme="minorHAnsi"/>
        </w:rPr>
        <w:t>edn</w:t>
      </w:r>
      <w:proofErr w:type="spellEnd"/>
      <w:r w:rsidRPr="00130320">
        <w:rPr>
          <w:rFonts w:asciiTheme="minorHAnsi" w:hAnsiTheme="minorHAnsi"/>
        </w:rPr>
        <w:t>. Harlow: Pearson.</w:t>
      </w:r>
    </w:p>
    <w:p w14:paraId="122257DA"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ZARA (2026) </w:t>
      </w:r>
      <w:r w:rsidRPr="00130320">
        <w:rPr>
          <w:rStyle w:val="Emphasis"/>
          <w:rFonts w:asciiTheme="minorHAnsi" w:eastAsiaTheme="majorEastAsia" w:hAnsiTheme="minorHAnsi"/>
        </w:rPr>
        <w:t>Zara Pre-owned / Donation</w:t>
      </w:r>
      <w:r w:rsidRPr="00130320">
        <w:rPr>
          <w:rFonts w:asciiTheme="minorHAnsi" w:hAnsiTheme="minorHAnsi"/>
        </w:rPr>
        <w:t xml:space="preserve">. Available at: </w:t>
      </w:r>
      <w:hyperlink r:id="rId31" w:tgtFrame="_new" w:history="1">
        <w:r w:rsidRPr="00130320">
          <w:rPr>
            <w:rStyle w:val="Hyperlink"/>
            <w:rFonts w:asciiTheme="minorHAnsi" w:eastAsiaTheme="majorEastAsia" w:hAnsiTheme="minorHAnsi"/>
          </w:rPr>
          <w:t>https://www.zara.com</w:t>
        </w:r>
      </w:hyperlink>
      <w:r w:rsidRPr="00130320">
        <w:rPr>
          <w:rFonts w:asciiTheme="minorHAnsi" w:hAnsiTheme="minorHAnsi"/>
        </w:rPr>
        <w:t xml:space="preserve"> (Accessed: 10 March 2026).</w:t>
      </w:r>
    </w:p>
    <w:p w14:paraId="4A9104C3" w14:textId="77777777" w:rsidR="00130320" w:rsidRPr="00130320" w:rsidRDefault="00130320" w:rsidP="00130320">
      <w:pPr>
        <w:pStyle w:val="NormalWeb"/>
        <w:numPr>
          <w:ilvl w:val="0"/>
          <w:numId w:val="24"/>
        </w:numPr>
        <w:rPr>
          <w:rFonts w:asciiTheme="minorHAnsi" w:hAnsiTheme="minorHAnsi"/>
        </w:rPr>
      </w:pPr>
      <w:r w:rsidRPr="00130320">
        <w:rPr>
          <w:rFonts w:asciiTheme="minorHAnsi" w:hAnsiTheme="minorHAnsi"/>
        </w:rPr>
        <w:t xml:space="preserve">Zheng, R., Ang, S. and Yang, F. (2024) ‘Customer bargaining power and supplier profitability’, </w:t>
      </w:r>
      <w:r w:rsidRPr="00130320">
        <w:rPr>
          <w:rStyle w:val="Emphasis"/>
          <w:rFonts w:asciiTheme="minorHAnsi" w:eastAsiaTheme="majorEastAsia" w:hAnsiTheme="minorHAnsi"/>
        </w:rPr>
        <w:t>Journal of Business &amp; Industrial Marketing</w:t>
      </w:r>
      <w:r w:rsidRPr="00130320">
        <w:rPr>
          <w:rFonts w:asciiTheme="minorHAnsi" w:hAnsiTheme="minorHAnsi"/>
        </w:rPr>
        <w:t>, 39(7).</w:t>
      </w:r>
    </w:p>
    <w:p w14:paraId="0BD431FF" w14:textId="3E26CD1A" w:rsidR="00F671B9" w:rsidRPr="00130320" w:rsidRDefault="00F671B9" w:rsidP="00593992">
      <w:pPr>
        <w:pStyle w:val="Bibliography"/>
      </w:pPr>
    </w:p>
    <w:sectPr w:rsidR="00F671B9" w:rsidRPr="00130320" w:rsidSect="00FE60FB">
      <w:footerReference w:type="even" r:id="rId32"/>
      <w:footerReference w:type="default" r:id="rId33"/>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35F64B" w14:textId="77777777" w:rsidR="002D11A8" w:rsidRDefault="002D11A8" w:rsidP="00FE60FB">
      <w:pPr>
        <w:spacing w:after="0" w:line="240" w:lineRule="auto"/>
      </w:pPr>
      <w:r>
        <w:separator/>
      </w:r>
    </w:p>
  </w:endnote>
  <w:endnote w:type="continuationSeparator" w:id="0">
    <w:p w14:paraId="672E63BA" w14:textId="77777777" w:rsidR="002D11A8" w:rsidRDefault="002D11A8" w:rsidP="00FE60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71068667"/>
      <w:docPartObj>
        <w:docPartGallery w:val="Page Numbers (Bottom of Page)"/>
        <w:docPartUnique/>
      </w:docPartObj>
    </w:sdtPr>
    <w:sdtContent>
      <w:p w14:paraId="14115CDD" w14:textId="7EC3EF1C" w:rsidR="008C3CA1" w:rsidRDefault="008C3CA1" w:rsidP="00F672D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E155957" w14:textId="77777777" w:rsidR="008C3CA1" w:rsidRDefault="008C3C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1305196"/>
      <w:docPartObj>
        <w:docPartGallery w:val="Page Numbers (Bottom of Page)"/>
        <w:docPartUnique/>
      </w:docPartObj>
    </w:sdtPr>
    <w:sdtContent>
      <w:p w14:paraId="48E855BE" w14:textId="7FD13C1E" w:rsidR="008C3CA1" w:rsidRDefault="008C3CA1" w:rsidP="00F672D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AA9A33E" w14:textId="77777777" w:rsidR="008C3CA1" w:rsidRDefault="008C3C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1411D8" w14:textId="77777777" w:rsidR="002D11A8" w:rsidRDefault="002D11A8" w:rsidP="00FE60FB">
      <w:pPr>
        <w:spacing w:after="0" w:line="240" w:lineRule="auto"/>
      </w:pPr>
      <w:r>
        <w:separator/>
      </w:r>
    </w:p>
  </w:footnote>
  <w:footnote w:type="continuationSeparator" w:id="0">
    <w:p w14:paraId="71D128A1" w14:textId="77777777" w:rsidR="002D11A8" w:rsidRDefault="002D11A8" w:rsidP="00FE60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1136E"/>
    <w:multiLevelType w:val="hybridMultilevel"/>
    <w:tmpl w:val="1E66A2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771A13"/>
    <w:multiLevelType w:val="hybridMultilevel"/>
    <w:tmpl w:val="DB8E4F0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FF150BB"/>
    <w:multiLevelType w:val="hybridMultilevel"/>
    <w:tmpl w:val="18B641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279CCA"/>
    <w:multiLevelType w:val="hybridMultilevel"/>
    <w:tmpl w:val="FFFFFFFF"/>
    <w:lvl w:ilvl="0" w:tplc="C620578A">
      <w:start w:val="1"/>
      <w:numFmt w:val="decimal"/>
      <w:lvlText w:val="%1."/>
      <w:lvlJc w:val="left"/>
      <w:pPr>
        <w:ind w:left="720" w:hanging="360"/>
      </w:pPr>
    </w:lvl>
    <w:lvl w:ilvl="1" w:tplc="E0164E22">
      <w:start w:val="1"/>
      <w:numFmt w:val="lowerLetter"/>
      <w:lvlText w:val="%2."/>
      <w:lvlJc w:val="left"/>
      <w:pPr>
        <w:ind w:left="1440" w:hanging="360"/>
      </w:pPr>
    </w:lvl>
    <w:lvl w:ilvl="2" w:tplc="D5D032F0">
      <w:start w:val="1"/>
      <w:numFmt w:val="lowerRoman"/>
      <w:lvlText w:val="%3."/>
      <w:lvlJc w:val="right"/>
      <w:pPr>
        <w:ind w:left="2160" w:hanging="180"/>
      </w:pPr>
    </w:lvl>
    <w:lvl w:ilvl="3" w:tplc="7D8C016A">
      <w:start w:val="1"/>
      <w:numFmt w:val="decimal"/>
      <w:lvlText w:val="%4."/>
      <w:lvlJc w:val="left"/>
      <w:pPr>
        <w:ind w:left="2880" w:hanging="360"/>
      </w:pPr>
    </w:lvl>
    <w:lvl w:ilvl="4" w:tplc="7C3EFC84">
      <w:start w:val="1"/>
      <w:numFmt w:val="lowerLetter"/>
      <w:lvlText w:val="%5."/>
      <w:lvlJc w:val="left"/>
      <w:pPr>
        <w:ind w:left="3600" w:hanging="360"/>
      </w:pPr>
    </w:lvl>
    <w:lvl w:ilvl="5" w:tplc="FB42D1B6">
      <w:start w:val="1"/>
      <w:numFmt w:val="lowerRoman"/>
      <w:lvlText w:val="%6."/>
      <w:lvlJc w:val="right"/>
      <w:pPr>
        <w:ind w:left="4320" w:hanging="180"/>
      </w:pPr>
    </w:lvl>
    <w:lvl w:ilvl="6" w:tplc="C8805C34">
      <w:start w:val="1"/>
      <w:numFmt w:val="decimal"/>
      <w:lvlText w:val="%7."/>
      <w:lvlJc w:val="left"/>
      <w:pPr>
        <w:ind w:left="5040" w:hanging="360"/>
      </w:pPr>
    </w:lvl>
    <w:lvl w:ilvl="7" w:tplc="99BC491A">
      <w:start w:val="1"/>
      <w:numFmt w:val="lowerLetter"/>
      <w:lvlText w:val="%8."/>
      <w:lvlJc w:val="left"/>
      <w:pPr>
        <w:ind w:left="5760" w:hanging="360"/>
      </w:pPr>
    </w:lvl>
    <w:lvl w:ilvl="8" w:tplc="DA0EDFF0">
      <w:start w:val="1"/>
      <w:numFmt w:val="lowerRoman"/>
      <w:lvlText w:val="%9."/>
      <w:lvlJc w:val="right"/>
      <w:pPr>
        <w:ind w:left="6480" w:hanging="180"/>
      </w:pPr>
    </w:lvl>
  </w:abstractNum>
  <w:abstractNum w:abstractNumId="4" w15:restartNumberingAfterBreak="0">
    <w:nsid w:val="1FD73971"/>
    <w:multiLevelType w:val="hybridMultilevel"/>
    <w:tmpl w:val="B204EF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380B78"/>
    <w:multiLevelType w:val="hybridMultilevel"/>
    <w:tmpl w:val="359C259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24894EF4"/>
    <w:multiLevelType w:val="hybridMultilevel"/>
    <w:tmpl w:val="44C211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E20BE4"/>
    <w:multiLevelType w:val="hybridMultilevel"/>
    <w:tmpl w:val="5316F6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A1228AE"/>
    <w:multiLevelType w:val="hybridMultilevel"/>
    <w:tmpl w:val="ACC8E2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B822F6"/>
    <w:multiLevelType w:val="hybridMultilevel"/>
    <w:tmpl w:val="E26E28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E4834B4"/>
    <w:multiLevelType w:val="hybridMultilevel"/>
    <w:tmpl w:val="4718D1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3A87AD5"/>
    <w:multiLevelType w:val="hybridMultilevel"/>
    <w:tmpl w:val="03228B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491650"/>
    <w:multiLevelType w:val="hybridMultilevel"/>
    <w:tmpl w:val="4322C58C"/>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A2F63AF"/>
    <w:multiLevelType w:val="hybridMultilevel"/>
    <w:tmpl w:val="4120E2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AEA9541"/>
    <w:multiLevelType w:val="hybridMultilevel"/>
    <w:tmpl w:val="FFFFFFFF"/>
    <w:lvl w:ilvl="0" w:tplc="5D68C35E">
      <w:start w:val="1"/>
      <w:numFmt w:val="decimal"/>
      <w:lvlText w:val="%1."/>
      <w:lvlJc w:val="left"/>
      <w:pPr>
        <w:ind w:left="720" w:hanging="360"/>
      </w:pPr>
    </w:lvl>
    <w:lvl w:ilvl="1" w:tplc="6E7C20E8">
      <w:start w:val="1"/>
      <w:numFmt w:val="lowerLetter"/>
      <w:lvlText w:val="%2."/>
      <w:lvlJc w:val="left"/>
      <w:pPr>
        <w:ind w:left="1440" w:hanging="360"/>
      </w:pPr>
    </w:lvl>
    <w:lvl w:ilvl="2" w:tplc="D3D2CC00">
      <w:start w:val="1"/>
      <w:numFmt w:val="lowerRoman"/>
      <w:lvlText w:val="%3."/>
      <w:lvlJc w:val="right"/>
      <w:pPr>
        <w:ind w:left="2160" w:hanging="180"/>
      </w:pPr>
    </w:lvl>
    <w:lvl w:ilvl="3" w:tplc="8FA2A32E">
      <w:start w:val="1"/>
      <w:numFmt w:val="decimal"/>
      <w:lvlText w:val="%4."/>
      <w:lvlJc w:val="left"/>
      <w:pPr>
        <w:ind w:left="2880" w:hanging="360"/>
      </w:pPr>
    </w:lvl>
    <w:lvl w:ilvl="4" w:tplc="8364348A">
      <w:start w:val="1"/>
      <w:numFmt w:val="lowerLetter"/>
      <w:lvlText w:val="%5."/>
      <w:lvlJc w:val="left"/>
      <w:pPr>
        <w:ind w:left="3600" w:hanging="360"/>
      </w:pPr>
    </w:lvl>
    <w:lvl w:ilvl="5" w:tplc="0E344852">
      <w:start w:val="1"/>
      <w:numFmt w:val="lowerRoman"/>
      <w:lvlText w:val="%6."/>
      <w:lvlJc w:val="right"/>
      <w:pPr>
        <w:ind w:left="4320" w:hanging="180"/>
      </w:pPr>
    </w:lvl>
    <w:lvl w:ilvl="6" w:tplc="FD5A0F52">
      <w:start w:val="1"/>
      <w:numFmt w:val="decimal"/>
      <w:lvlText w:val="%7."/>
      <w:lvlJc w:val="left"/>
      <w:pPr>
        <w:ind w:left="5040" w:hanging="360"/>
      </w:pPr>
    </w:lvl>
    <w:lvl w:ilvl="7" w:tplc="2A9C0444">
      <w:start w:val="1"/>
      <w:numFmt w:val="lowerLetter"/>
      <w:lvlText w:val="%8."/>
      <w:lvlJc w:val="left"/>
      <w:pPr>
        <w:ind w:left="5760" w:hanging="360"/>
      </w:pPr>
    </w:lvl>
    <w:lvl w:ilvl="8" w:tplc="1AEE6052">
      <w:start w:val="1"/>
      <w:numFmt w:val="lowerRoman"/>
      <w:lvlText w:val="%9."/>
      <w:lvlJc w:val="right"/>
      <w:pPr>
        <w:ind w:left="6480" w:hanging="180"/>
      </w:pPr>
    </w:lvl>
  </w:abstractNum>
  <w:abstractNum w:abstractNumId="15" w15:restartNumberingAfterBreak="0">
    <w:nsid w:val="42F028FA"/>
    <w:multiLevelType w:val="hybridMultilevel"/>
    <w:tmpl w:val="3BDCF34A"/>
    <w:lvl w:ilvl="0" w:tplc="BD1EC29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444E2C92"/>
    <w:multiLevelType w:val="hybridMultilevel"/>
    <w:tmpl w:val="22BCF6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9EB6E47"/>
    <w:multiLevelType w:val="hybridMultilevel"/>
    <w:tmpl w:val="D6B0962E"/>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A0974C3"/>
    <w:multiLevelType w:val="multilevel"/>
    <w:tmpl w:val="600AE4D2"/>
    <w:lvl w:ilvl="0">
      <w:start w:val="4"/>
      <w:numFmt w:val="decimal"/>
      <w:lvlText w:val="%1"/>
      <w:lvlJc w:val="left"/>
      <w:pPr>
        <w:ind w:left="520" w:hanging="52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498" w:hanging="1080"/>
      </w:pPr>
      <w:rPr>
        <w:rFonts w:hint="default"/>
      </w:rPr>
    </w:lvl>
    <w:lvl w:ilvl="3">
      <w:start w:val="1"/>
      <w:numFmt w:val="decimal"/>
      <w:lvlText w:val="%1.%2.%3.%4"/>
      <w:lvlJc w:val="left"/>
      <w:pPr>
        <w:ind w:left="3567" w:hanging="1440"/>
      </w:pPr>
      <w:rPr>
        <w:rFonts w:hint="default"/>
      </w:rPr>
    </w:lvl>
    <w:lvl w:ilvl="4">
      <w:start w:val="1"/>
      <w:numFmt w:val="decimal"/>
      <w:lvlText w:val="%1.%2.%3.%4.%5"/>
      <w:lvlJc w:val="left"/>
      <w:pPr>
        <w:ind w:left="4636" w:hanging="1800"/>
      </w:pPr>
      <w:rPr>
        <w:rFonts w:hint="default"/>
      </w:rPr>
    </w:lvl>
    <w:lvl w:ilvl="5">
      <w:start w:val="1"/>
      <w:numFmt w:val="decimal"/>
      <w:lvlText w:val="%1.%2.%3.%4.%5.%6"/>
      <w:lvlJc w:val="left"/>
      <w:pPr>
        <w:ind w:left="5345" w:hanging="1800"/>
      </w:pPr>
      <w:rPr>
        <w:rFonts w:hint="default"/>
      </w:rPr>
    </w:lvl>
    <w:lvl w:ilvl="6">
      <w:start w:val="1"/>
      <w:numFmt w:val="decimal"/>
      <w:lvlText w:val="%1.%2.%3.%4.%5.%6.%7"/>
      <w:lvlJc w:val="left"/>
      <w:pPr>
        <w:ind w:left="6414" w:hanging="2160"/>
      </w:pPr>
      <w:rPr>
        <w:rFonts w:hint="default"/>
      </w:rPr>
    </w:lvl>
    <w:lvl w:ilvl="7">
      <w:start w:val="1"/>
      <w:numFmt w:val="decimal"/>
      <w:lvlText w:val="%1.%2.%3.%4.%5.%6.%7.%8"/>
      <w:lvlJc w:val="left"/>
      <w:pPr>
        <w:ind w:left="7483" w:hanging="2520"/>
      </w:pPr>
      <w:rPr>
        <w:rFonts w:hint="default"/>
      </w:rPr>
    </w:lvl>
    <w:lvl w:ilvl="8">
      <w:start w:val="1"/>
      <w:numFmt w:val="decimal"/>
      <w:lvlText w:val="%1.%2.%3.%4.%5.%6.%7.%8.%9"/>
      <w:lvlJc w:val="left"/>
      <w:pPr>
        <w:ind w:left="8552" w:hanging="2880"/>
      </w:pPr>
      <w:rPr>
        <w:rFonts w:hint="default"/>
      </w:rPr>
    </w:lvl>
  </w:abstractNum>
  <w:abstractNum w:abstractNumId="19" w15:restartNumberingAfterBreak="0">
    <w:nsid w:val="4DBA1E25"/>
    <w:multiLevelType w:val="multilevel"/>
    <w:tmpl w:val="EA14C14E"/>
    <w:lvl w:ilvl="0">
      <w:start w:val="4"/>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89" w:hanging="1080"/>
      </w:pPr>
      <w:rPr>
        <w:rFonts w:hint="default"/>
      </w:rPr>
    </w:lvl>
    <w:lvl w:ilvl="3">
      <w:start w:val="1"/>
      <w:numFmt w:val="decimal"/>
      <w:isLgl/>
      <w:lvlText w:val="%1.%2.%3.%4"/>
      <w:lvlJc w:val="left"/>
      <w:pPr>
        <w:ind w:left="2149" w:hanging="1440"/>
      </w:pPr>
      <w:rPr>
        <w:rFonts w:hint="default"/>
      </w:rPr>
    </w:lvl>
    <w:lvl w:ilvl="4">
      <w:start w:val="1"/>
      <w:numFmt w:val="decimal"/>
      <w:isLgl/>
      <w:lvlText w:val="%1.%2.%3.%4.%5"/>
      <w:lvlJc w:val="left"/>
      <w:pPr>
        <w:ind w:left="2509" w:hanging="1800"/>
      </w:pPr>
      <w:rPr>
        <w:rFonts w:hint="default"/>
      </w:rPr>
    </w:lvl>
    <w:lvl w:ilvl="5">
      <w:start w:val="1"/>
      <w:numFmt w:val="decimal"/>
      <w:isLgl/>
      <w:lvlText w:val="%1.%2.%3.%4.%5.%6"/>
      <w:lvlJc w:val="left"/>
      <w:pPr>
        <w:ind w:left="2509" w:hanging="1800"/>
      </w:pPr>
      <w:rPr>
        <w:rFonts w:hint="default"/>
      </w:rPr>
    </w:lvl>
    <w:lvl w:ilvl="6">
      <w:start w:val="1"/>
      <w:numFmt w:val="decimal"/>
      <w:isLgl/>
      <w:lvlText w:val="%1.%2.%3.%4.%5.%6.%7"/>
      <w:lvlJc w:val="left"/>
      <w:pPr>
        <w:ind w:left="2869" w:hanging="2160"/>
      </w:pPr>
      <w:rPr>
        <w:rFonts w:hint="default"/>
      </w:rPr>
    </w:lvl>
    <w:lvl w:ilvl="7">
      <w:start w:val="1"/>
      <w:numFmt w:val="decimal"/>
      <w:isLgl/>
      <w:lvlText w:val="%1.%2.%3.%4.%5.%6.%7.%8"/>
      <w:lvlJc w:val="left"/>
      <w:pPr>
        <w:ind w:left="3229" w:hanging="2520"/>
      </w:pPr>
      <w:rPr>
        <w:rFonts w:hint="default"/>
      </w:rPr>
    </w:lvl>
    <w:lvl w:ilvl="8">
      <w:start w:val="1"/>
      <w:numFmt w:val="decimal"/>
      <w:isLgl/>
      <w:lvlText w:val="%1.%2.%3.%4.%5.%6.%7.%8.%9"/>
      <w:lvlJc w:val="left"/>
      <w:pPr>
        <w:ind w:left="3589" w:hanging="2880"/>
      </w:pPr>
      <w:rPr>
        <w:rFonts w:hint="default"/>
      </w:rPr>
    </w:lvl>
  </w:abstractNum>
  <w:abstractNum w:abstractNumId="20" w15:restartNumberingAfterBreak="0">
    <w:nsid w:val="4E87F33F"/>
    <w:multiLevelType w:val="hybridMultilevel"/>
    <w:tmpl w:val="FFFFFFFF"/>
    <w:lvl w:ilvl="0" w:tplc="76AC409C">
      <w:start w:val="1"/>
      <w:numFmt w:val="decimal"/>
      <w:lvlText w:val="%1."/>
      <w:lvlJc w:val="left"/>
      <w:pPr>
        <w:ind w:left="720" w:hanging="360"/>
      </w:pPr>
    </w:lvl>
    <w:lvl w:ilvl="1" w:tplc="1018DC3A">
      <w:start w:val="1"/>
      <w:numFmt w:val="lowerLetter"/>
      <w:lvlText w:val="%2."/>
      <w:lvlJc w:val="left"/>
      <w:pPr>
        <w:ind w:left="1440" w:hanging="360"/>
      </w:pPr>
    </w:lvl>
    <w:lvl w:ilvl="2" w:tplc="449ED014">
      <w:start w:val="1"/>
      <w:numFmt w:val="lowerRoman"/>
      <w:lvlText w:val="%3."/>
      <w:lvlJc w:val="right"/>
      <w:pPr>
        <w:ind w:left="2160" w:hanging="180"/>
      </w:pPr>
    </w:lvl>
    <w:lvl w:ilvl="3" w:tplc="4E8223B0">
      <w:start w:val="1"/>
      <w:numFmt w:val="decimal"/>
      <w:lvlText w:val="%4."/>
      <w:lvlJc w:val="left"/>
      <w:pPr>
        <w:ind w:left="2880" w:hanging="360"/>
      </w:pPr>
    </w:lvl>
    <w:lvl w:ilvl="4" w:tplc="98125EEE">
      <w:start w:val="1"/>
      <w:numFmt w:val="lowerLetter"/>
      <w:lvlText w:val="%5."/>
      <w:lvlJc w:val="left"/>
      <w:pPr>
        <w:ind w:left="3600" w:hanging="360"/>
      </w:pPr>
    </w:lvl>
    <w:lvl w:ilvl="5" w:tplc="36B42730">
      <w:start w:val="1"/>
      <w:numFmt w:val="lowerRoman"/>
      <w:lvlText w:val="%6."/>
      <w:lvlJc w:val="right"/>
      <w:pPr>
        <w:ind w:left="4320" w:hanging="180"/>
      </w:pPr>
    </w:lvl>
    <w:lvl w:ilvl="6" w:tplc="C366AB6C">
      <w:start w:val="1"/>
      <w:numFmt w:val="decimal"/>
      <w:lvlText w:val="%7."/>
      <w:lvlJc w:val="left"/>
      <w:pPr>
        <w:ind w:left="5040" w:hanging="360"/>
      </w:pPr>
    </w:lvl>
    <w:lvl w:ilvl="7" w:tplc="B9A6B6DA">
      <w:start w:val="1"/>
      <w:numFmt w:val="lowerLetter"/>
      <w:lvlText w:val="%8."/>
      <w:lvlJc w:val="left"/>
      <w:pPr>
        <w:ind w:left="5760" w:hanging="360"/>
      </w:pPr>
    </w:lvl>
    <w:lvl w:ilvl="8" w:tplc="55E2590A">
      <w:start w:val="1"/>
      <w:numFmt w:val="lowerRoman"/>
      <w:lvlText w:val="%9."/>
      <w:lvlJc w:val="right"/>
      <w:pPr>
        <w:ind w:left="6480" w:hanging="180"/>
      </w:pPr>
    </w:lvl>
  </w:abstractNum>
  <w:abstractNum w:abstractNumId="21" w15:restartNumberingAfterBreak="0">
    <w:nsid w:val="4F152B64"/>
    <w:multiLevelType w:val="hybridMultilevel"/>
    <w:tmpl w:val="124C3278"/>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78E36D"/>
    <w:multiLevelType w:val="hybridMultilevel"/>
    <w:tmpl w:val="FFFFFFFF"/>
    <w:lvl w:ilvl="0" w:tplc="C3D67EE0">
      <w:start w:val="1"/>
      <w:numFmt w:val="decimal"/>
      <w:lvlText w:val="%1."/>
      <w:lvlJc w:val="left"/>
      <w:pPr>
        <w:ind w:left="720" w:hanging="360"/>
      </w:pPr>
    </w:lvl>
    <w:lvl w:ilvl="1" w:tplc="C1BAA5F8">
      <w:start w:val="1"/>
      <w:numFmt w:val="lowerLetter"/>
      <w:lvlText w:val="%2."/>
      <w:lvlJc w:val="left"/>
      <w:pPr>
        <w:ind w:left="1440" w:hanging="360"/>
      </w:pPr>
    </w:lvl>
    <w:lvl w:ilvl="2" w:tplc="AC4A1B6E">
      <w:start w:val="1"/>
      <w:numFmt w:val="lowerRoman"/>
      <w:lvlText w:val="%3."/>
      <w:lvlJc w:val="right"/>
      <w:pPr>
        <w:ind w:left="2160" w:hanging="180"/>
      </w:pPr>
    </w:lvl>
    <w:lvl w:ilvl="3" w:tplc="CFE8733C">
      <w:start w:val="1"/>
      <w:numFmt w:val="decimal"/>
      <w:lvlText w:val="%4."/>
      <w:lvlJc w:val="left"/>
      <w:pPr>
        <w:ind w:left="2880" w:hanging="360"/>
      </w:pPr>
    </w:lvl>
    <w:lvl w:ilvl="4" w:tplc="67F6E110">
      <w:start w:val="1"/>
      <w:numFmt w:val="lowerLetter"/>
      <w:lvlText w:val="%5."/>
      <w:lvlJc w:val="left"/>
      <w:pPr>
        <w:ind w:left="3600" w:hanging="360"/>
      </w:pPr>
    </w:lvl>
    <w:lvl w:ilvl="5" w:tplc="C26AED06">
      <w:start w:val="1"/>
      <w:numFmt w:val="lowerRoman"/>
      <w:lvlText w:val="%6."/>
      <w:lvlJc w:val="right"/>
      <w:pPr>
        <w:ind w:left="4320" w:hanging="180"/>
      </w:pPr>
    </w:lvl>
    <w:lvl w:ilvl="6" w:tplc="9DE6F538">
      <w:start w:val="1"/>
      <w:numFmt w:val="decimal"/>
      <w:lvlText w:val="%7."/>
      <w:lvlJc w:val="left"/>
      <w:pPr>
        <w:ind w:left="5040" w:hanging="360"/>
      </w:pPr>
    </w:lvl>
    <w:lvl w:ilvl="7" w:tplc="10A6F630">
      <w:start w:val="1"/>
      <w:numFmt w:val="lowerLetter"/>
      <w:lvlText w:val="%8."/>
      <w:lvlJc w:val="left"/>
      <w:pPr>
        <w:ind w:left="5760" w:hanging="360"/>
      </w:pPr>
    </w:lvl>
    <w:lvl w:ilvl="8" w:tplc="38BC07F4">
      <w:start w:val="1"/>
      <w:numFmt w:val="lowerRoman"/>
      <w:lvlText w:val="%9."/>
      <w:lvlJc w:val="right"/>
      <w:pPr>
        <w:ind w:left="6480" w:hanging="180"/>
      </w:pPr>
    </w:lvl>
  </w:abstractNum>
  <w:abstractNum w:abstractNumId="23" w15:restartNumberingAfterBreak="0">
    <w:nsid w:val="7B0BCED0"/>
    <w:multiLevelType w:val="hybridMultilevel"/>
    <w:tmpl w:val="FFFFFFFF"/>
    <w:lvl w:ilvl="0" w:tplc="7C08D390">
      <w:start w:val="1"/>
      <w:numFmt w:val="decimal"/>
      <w:lvlText w:val="%1."/>
      <w:lvlJc w:val="left"/>
      <w:pPr>
        <w:ind w:left="720" w:hanging="360"/>
      </w:pPr>
    </w:lvl>
    <w:lvl w:ilvl="1" w:tplc="C62061B6">
      <w:start w:val="1"/>
      <w:numFmt w:val="lowerLetter"/>
      <w:lvlText w:val="%2."/>
      <w:lvlJc w:val="left"/>
      <w:pPr>
        <w:ind w:left="1440" w:hanging="360"/>
      </w:pPr>
    </w:lvl>
    <w:lvl w:ilvl="2" w:tplc="15C6AA16">
      <w:start w:val="1"/>
      <w:numFmt w:val="lowerRoman"/>
      <w:lvlText w:val="%3."/>
      <w:lvlJc w:val="right"/>
      <w:pPr>
        <w:ind w:left="2160" w:hanging="180"/>
      </w:pPr>
    </w:lvl>
    <w:lvl w:ilvl="3" w:tplc="7D12A488">
      <w:start w:val="1"/>
      <w:numFmt w:val="decimal"/>
      <w:lvlText w:val="%4."/>
      <w:lvlJc w:val="left"/>
      <w:pPr>
        <w:ind w:left="2880" w:hanging="360"/>
      </w:pPr>
    </w:lvl>
    <w:lvl w:ilvl="4" w:tplc="60622E44">
      <w:start w:val="1"/>
      <w:numFmt w:val="lowerLetter"/>
      <w:lvlText w:val="%5."/>
      <w:lvlJc w:val="left"/>
      <w:pPr>
        <w:ind w:left="3600" w:hanging="360"/>
      </w:pPr>
    </w:lvl>
    <w:lvl w:ilvl="5" w:tplc="7124CE18">
      <w:start w:val="1"/>
      <w:numFmt w:val="lowerRoman"/>
      <w:lvlText w:val="%6."/>
      <w:lvlJc w:val="right"/>
      <w:pPr>
        <w:ind w:left="4320" w:hanging="180"/>
      </w:pPr>
    </w:lvl>
    <w:lvl w:ilvl="6" w:tplc="2C42411A">
      <w:start w:val="1"/>
      <w:numFmt w:val="decimal"/>
      <w:lvlText w:val="%7."/>
      <w:lvlJc w:val="left"/>
      <w:pPr>
        <w:ind w:left="5040" w:hanging="360"/>
      </w:pPr>
    </w:lvl>
    <w:lvl w:ilvl="7" w:tplc="EB92E236">
      <w:start w:val="1"/>
      <w:numFmt w:val="lowerLetter"/>
      <w:lvlText w:val="%8."/>
      <w:lvlJc w:val="left"/>
      <w:pPr>
        <w:ind w:left="5760" w:hanging="360"/>
      </w:pPr>
    </w:lvl>
    <w:lvl w:ilvl="8" w:tplc="CDD876DC">
      <w:start w:val="1"/>
      <w:numFmt w:val="lowerRoman"/>
      <w:lvlText w:val="%9."/>
      <w:lvlJc w:val="right"/>
      <w:pPr>
        <w:ind w:left="6480" w:hanging="180"/>
      </w:pPr>
    </w:lvl>
  </w:abstractNum>
  <w:num w:numId="1" w16cid:durableId="227230640">
    <w:abstractNumId w:val="22"/>
  </w:num>
  <w:num w:numId="2" w16cid:durableId="906768288">
    <w:abstractNumId w:val="23"/>
  </w:num>
  <w:num w:numId="3" w16cid:durableId="1022708495">
    <w:abstractNumId w:val="14"/>
  </w:num>
  <w:num w:numId="4" w16cid:durableId="1895891091">
    <w:abstractNumId w:val="3"/>
  </w:num>
  <w:num w:numId="5" w16cid:durableId="319503713">
    <w:abstractNumId w:val="20"/>
  </w:num>
  <w:num w:numId="6" w16cid:durableId="2014600946">
    <w:abstractNumId w:val="11"/>
  </w:num>
  <w:num w:numId="7" w16cid:durableId="1610234517">
    <w:abstractNumId w:val="10"/>
  </w:num>
  <w:num w:numId="8" w16cid:durableId="1563983200">
    <w:abstractNumId w:val="2"/>
  </w:num>
  <w:num w:numId="9" w16cid:durableId="2089692041">
    <w:abstractNumId w:val="13"/>
  </w:num>
  <w:num w:numId="10" w16cid:durableId="1206452278">
    <w:abstractNumId w:val="21"/>
  </w:num>
  <w:num w:numId="11" w16cid:durableId="1628468038">
    <w:abstractNumId w:val="19"/>
  </w:num>
  <w:num w:numId="12" w16cid:durableId="77216058">
    <w:abstractNumId w:val="18"/>
  </w:num>
  <w:num w:numId="13" w16cid:durableId="1162888784">
    <w:abstractNumId w:val="12"/>
  </w:num>
  <w:num w:numId="14" w16cid:durableId="1451168491">
    <w:abstractNumId w:val="17"/>
  </w:num>
  <w:num w:numId="15" w16cid:durableId="2082021375">
    <w:abstractNumId w:val="7"/>
  </w:num>
  <w:num w:numId="16" w16cid:durableId="851182063">
    <w:abstractNumId w:val="15"/>
  </w:num>
  <w:num w:numId="17" w16cid:durableId="687415822">
    <w:abstractNumId w:val="9"/>
  </w:num>
  <w:num w:numId="18" w16cid:durableId="1561361396">
    <w:abstractNumId w:val="0"/>
  </w:num>
  <w:num w:numId="19" w16cid:durableId="1339190876">
    <w:abstractNumId w:val="4"/>
  </w:num>
  <w:num w:numId="20" w16cid:durableId="694503399">
    <w:abstractNumId w:val="6"/>
  </w:num>
  <w:num w:numId="21" w16cid:durableId="497892152">
    <w:abstractNumId w:val="5"/>
  </w:num>
  <w:num w:numId="22" w16cid:durableId="2129734274">
    <w:abstractNumId w:val="1"/>
  </w:num>
  <w:num w:numId="23" w16cid:durableId="121118385">
    <w:abstractNumId w:val="8"/>
  </w:num>
  <w:num w:numId="24" w16cid:durableId="193882748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384"/>
    <w:rsid w:val="000014FF"/>
    <w:rsid w:val="0000381E"/>
    <w:rsid w:val="00011C4B"/>
    <w:rsid w:val="000121E0"/>
    <w:rsid w:val="00020C66"/>
    <w:rsid w:val="00026F62"/>
    <w:rsid w:val="000272C7"/>
    <w:rsid w:val="00036086"/>
    <w:rsid w:val="00037494"/>
    <w:rsid w:val="000417AD"/>
    <w:rsid w:val="0004451F"/>
    <w:rsid w:val="00045420"/>
    <w:rsid w:val="00050A38"/>
    <w:rsid w:val="00052917"/>
    <w:rsid w:val="00052E12"/>
    <w:rsid w:val="00054D16"/>
    <w:rsid w:val="00056270"/>
    <w:rsid w:val="000600A6"/>
    <w:rsid w:val="0006035F"/>
    <w:rsid w:val="00060C70"/>
    <w:rsid w:val="00062841"/>
    <w:rsid w:val="0007471C"/>
    <w:rsid w:val="0007755F"/>
    <w:rsid w:val="00077F26"/>
    <w:rsid w:val="00080FD5"/>
    <w:rsid w:val="00081074"/>
    <w:rsid w:val="00085145"/>
    <w:rsid w:val="00087B77"/>
    <w:rsid w:val="00092899"/>
    <w:rsid w:val="000957B9"/>
    <w:rsid w:val="0009736F"/>
    <w:rsid w:val="000A05E6"/>
    <w:rsid w:val="000A6877"/>
    <w:rsid w:val="000A6D7E"/>
    <w:rsid w:val="000B14FB"/>
    <w:rsid w:val="000B2295"/>
    <w:rsid w:val="000B58EC"/>
    <w:rsid w:val="000B6335"/>
    <w:rsid w:val="000B72BC"/>
    <w:rsid w:val="000C0A6C"/>
    <w:rsid w:val="000C0C7B"/>
    <w:rsid w:val="000C4569"/>
    <w:rsid w:val="000C4D63"/>
    <w:rsid w:val="000C4E45"/>
    <w:rsid w:val="000D41C7"/>
    <w:rsid w:val="000D5513"/>
    <w:rsid w:val="000D5672"/>
    <w:rsid w:val="000D6F4C"/>
    <w:rsid w:val="000E0894"/>
    <w:rsid w:val="000E222E"/>
    <w:rsid w:val="000E548E"/>
    <w:rsid w:val="000E5AC7"/>
    <w:rsid w:val="000F2942"/>
    <w:rsid w:val="000F3829"/>
    <w:rsid w:val="00100675"/>
    <w:rsid w:val="00101EFE"/>
    <w:rsid w:val="00102419"/>
    <w:rsid w:val="0011025A"/>
    <w:rsid w:val="0011112B"/>
    <w:rsid w:val="00114D74"/>
    <w:rsid w:val="00115272"/>
    <w:rsid w:val="00115C64"/>
    <w:rsid w:val="00116A27"/>
    <w:rsid w:val="00117ACF"/>
    <w:rsid w:val="00117D87"/>
    <w:rsid w:val="0012281E"/>
    <w:rsid w:val="00125BEE"/>
    <w:rsid w:val="0012753D"/>
    <w:rsid w:val="00130320"/>
    <w:rsid w:val="001304D4"/>
    <w:rsid w:val="00131218"/>
    <w:rsid w:val="00133E13"/>
    <w:rsid w:val="001351AC"/>
    <w:rsid w:val="001352CB"/>
    <w:rsid w:val="00136E4E"/>
    <w:rsid w:val="001537E9"/>
    <w:rsid w:val="00153D45"/>
    <w:rsid w:val="00155915"/>
    <w:rsid w:val="00156709"/>
    <w:rsid w:val="0016073A"/>
    <w:rsid w:val="00160E98"/>
    <w:rsid w:val="001611AC"/>
    <w:rsid w:val="00161743"/>
    <w:rsid w:val="00161882"/>
    <w:rsid w:val="0016353F"/>
    <w:rsid w:val="00163B55"/>
    <w:rsid w:val="001716CA"/>
    <w:rsid w:val="00172884"/>
    <w:rsid w:val="00173B24"/>
    <w:rsid w:val="0017651F"/>
    <w:rsid w:val="0017779B"/>
    <w:rsid w:val="001800EC"/>
    <w:rsid w:val="00181F7C"/>
    <w:rsid w:val="00182225"/>
    <w:rsid w:val="00182389"/>
    <w:rsid w:val="0018531B"/>
    <w:rsid w:val="00186503"/>
    <w:rsid w:val="00187BF0"/>
    <w:rsid w:val="00190D26"/>
    <w:rsid w:val="00191E17"/>
    <w:rsid w:val="00194CC3"/>
    <w:rsid w:val="00196CFB"/>
    <w:rsid w:val="001A017F"/>
    <w:rsid w:val="001A1064"/>
    <w:rsid w:val="001A118D"/>
    <w:rsid w:val="001A132B"/>
    <w:rsid w:val="001A23AB"/>
    <w:rsid w:val="001A2ACD"/>
    <w:rsid w:val="001A4197"/>
    <w:rsid w:val="001A7C75"/>
    <w:rsid w:val="001B2C89"/>
    <w:rsid w:val="001B43A6"/>
    <w:rsid w:val="001B48BE"/>
    <w:rsid w:val="001B4F11"/>
    <w:rsid w:val="001B599E"/>
    <w:rsid w:val="001C052D"/>
    <w:rsid w:val="001C2736"/>
    <w:rsid w:val="001C4907"/>
    <w:rsid w:val="001D5DDA"/>
    <w:rsid w:val="001D62CF"/>
    <w:rsid w:val="001E112F"/>
    <w:rsid w:val="001E2F04"/>
    <w:rsid w:val="001E3041"/>
    <w:rsid w:val="001E5F80"/>
    <w:rsid w:val="001F0528"/>
    <w:rsid w:val="001F1DF5"/>
    <w:rsid w:val="001F1EAC"/>
    <w:rsid w:val="001F3E70"/>
    <w:rsid w:val="001F4D1B"/>
    <w:rsid w:val="001F5F72"/>
    <w:rsid w:val="001F6535"/>
    <w:rsid w:val="00200507"/>
    <w:rsid w:val="002009CF"/>
    <w:rsid w:val="00202EA4"/>
    <w:rsid w:val="002039E7"/>
    <w:rsid w:val="00204B78"/>
    <w:rsid w:val="00206F9F"/>
    <w:rsid w:val="00214314"/>
    <w:rsid w:val="00217745"/>
    <w:rsid w:val="00221B2F"/>
    <w:rsid w:val="00223E19"/>
    <w:rsid w:val="002240FE"/>
    <w:rsid w:val="002250A7"/>
    <w:rsid w:val="0023236C"/>
    <w:rsid w:val="0023273D"/>
    <w:rsid w:val="00233262"/>
    <w:rsid w:val="002355DB"/>
    <w:rsid w:val="002367DF"/>
    <w:rsid w:val="00247A96"/>
    <w:rsid w:val="00255D84"/>
    <w:rsid w:val="00257439"/>
    <w:rsid w:val="0026259E"/>
    <w:rsid w:val="002629FC"/>
    <w:rsid w:val="00263790"/>
    <w:rsid w:val="00263D7A"/>
    <w:rsid w:val="002644AC"/>
    <w:rsid w:val="00273AB8"/>
    <w:rsid w:val="00276A00"/>
    <w:rsid w:val="00277115"/>
    <w:rsid w:val="002830BB"/>
    <w:rsid w:val="00283C57"/>
    <w:rsid w:val="00283CA5"/>
    <w:rsid w:val="00287709"/>
    <w:rsid w:val="00291B6C"/>
    <w:rsid w:val="00291DD8"/>
    <w:rsid w:val="0029305B"/>
    <w:rsid w:val="002935EF"/>
    <w:rsid w:val="0029375F"/>
    <w:rsid w:val="00295BE0"/>
    <w:rsid w:val="0029602A"/>
    <w:rsid w:val="002960F2"/>
    <w:rsid w:val="0029777B"/>
    <w:rsid w:val="002A02BD"/>
    <w:rsid w:val="002A4E4F"/>
    <w:rsid w:val="002B032F"/>
    <w:rsid w:val="002B57D2"/>
    <w:rsid w:val="002B6A2B"/>
    <w:rsid w:val="002C03B6"/>
    <w:rsid w:val="002C29CE"/>
    <w:rsid w:val="002C3D33"/>
    <w:rsid w:val="002C653B"/>
    <w:rsid w:val="002D0EB0"/>
    <w:rsid w:val="002D11A8"/>
    <w:rsid w:val="002D1402"/>
    <w:rsid w:val="002D7447"/>
    <w:rsid w:val="002E1180"/>
    <w:rsid w:val="002E1DBA"/>
    <w:rsid w:val="002E3C4E"/>
    <w:rsid w:val="002E3CD7"/>
    <w:rsid w:val="002E6DBA"/>
    <w:rsid w:val="002F0FC2"/>
    <w:rsid w:val="002F2526"/>
    <w:rsid w:val="002F670E"/>
    <w:rsid w:val="0030224A"/>
    <w:rsid w:val="00302D07"/>
    <w:rsid w:val="003043F5"/>
    <w:rsid w:val="0030491D"/>
    <w:rsid w:val="003068ED"/>
    <w:rsid w:val="003072E2"/>
    <w:rsid w:val="00314430"/>
    <w:rsid w:val="0032118B"/>
    <w:rsid w:val="003214B9"/>
    <w:rsid w:val="00322B89"/>
    <w:rsid w:val="00322DE6"/>
    <w:rsid w:val="003337D7"/>
    <w:rsid w:val="003368E7"/>
    <w:rsid w:val="00341285"/>
    <w:rsid w:val="003420D0"/>
    <w:rsid w:val="00346BDF"/>
    <w:rsid w:val="00355B6A"/>
    <w:rsid w:val="00357E0A"/>
    <w:rsid w:val="003617A0"/>
    <w:rsid w:val="0036365B"/>
    <w:rsid w:val="00371CC4"/>
    <w:rsid w:val="00372329"/>
    <w:rsid w:val="0037332D"/>
    <w:rsid w:val="00373EE7"/>
    <w:rsid w:val="0037490C"/>
    <w:rsid w:val="003757C0"/>
    <w:rsid w:val="00375A5D"/>
    <w:rsid w:val="00377759"/>
    <w:rsid w:val="003777BA"/>
    <w:rsid w:val="00377F93"/>
    <w:rsid w:val="003857B8"/>
    <w:rsid w:val="00391490"/>
    <w:rsid w:val="0039385F"/>
    <w:rsid w:val="00395002"/>
    <w:rsid w:val="00395FF1"/>
    <w:rsid w:val="0039718D"/>
    <w:rsid w:val="003A546A"/>
    <w:rsid w:val="003A632C"/>
    <w:rsid w:val="003A67C9"/>
    <w:rsid w:val="003B1377"/>
    <w:rsid w:val="003B4110"/>
    <w:rsid w:val="003B4767"/>
    <w:rsid w:val="003B4AEA"/>
    <w:rsid w:val="003B5DF5"/>
    <w:rsid w:val="003C1724"/>
    <w:rsid w:val="003C4DF0"/>
    <w:rsid w:val="003D3239"/>
    <w:rsid w:val="003D51D2"/>
    <w:rsid w:val="003D605C"/>
    <w:rsid w:val="003E1227"/>
    <w:rsid w:val="003E2AC9"/>
    <w:rsid w:val="003E33FA"/>
    <w:rsid w:val="003E494F"/>
    <w:rsid w:val="003E4A8C"/>
    <w:rsid w:val="003E698B"/>
    <w:rsid w:val="003F1A4D"/>
    <w:rsid w:val="003F3E18"/>
    <w:rsid w:val="003F5B17"/>
    <w:rsid w:val="00402D34"/>
    <w:rsid w:val="00410BE9"/>
    <w:rsid w:val="004116B6"/>
    <w:rsid w:val="0041514B"/>
    <w:rsid w:val="00415336"/>
    <w:rsid w:val="00415DCF"/>
    <w:rsid w:val="0041633F"/>
    <w:rsid w:val="00416B7B"/>
    <w:rsid w:val="0041742D"/>
    <w:rsid w:val="00420C29"/>
    <w:rsid w:val="00421599"/>
    <w:rsid w:val="00422A98"/>
    <w:rsid w:val="00424391"/>
    <w:rsid w:val="00427F32"/>
    <w:rsid w:val="004308B0"/>
    <w:rsid w:val="00431E54"/>
    <w:rsid w:val="00432DAA"/>
    <w:rsid w:val="00435869"/>
    <w:rsid w:val="004367F1"/>
    <w:rsid w:val="00437650"/>
    <w:rsid w:val="00440164"/>
    <w:rsid w:val="00442A65"/>
    <w:rsid w:val="0044469C"/>
    <w:rsid w:val="00445809"/>
    <w:rsid w:val="004479A1"/>
    <w:rsid w:val="0045021E"/>
    <w:rsid w:val="004532B3"/>
    <w:rsid w:val="00454653"/>
    <w:rsid w:val="004600AC"/>
    <w:rsid w:val="00463CCA"/>
    <w:rsid w:val="004661B8"/>
    <w:rsid w:val="004662AC"/>
    <w:rsid w:val="0046640A"/>
    <w:rsid w:val="00467072"/>
    <w:rsid w:val="00471279"/>
    <w:rsid w:val="00471A34"/>
    <w:rsid w:val="00471AA9"/>
    <w:rsid w:val="0047379A"/>
    <w:rsid w:val="00481A6E"/>
    <w:rsid w:val="00485635"/>
    <w:rsid w:val="004904B6"/>
    <w:rsid w:val="004927E7"/>
    <w:rsid w:val="00493117"/>
    <w:rsid w:val="004948E2"/>
    <w:rsid w:val="004978F1"/>
    <w:rsid w:val="004A221B"/>
    <w:rsid w:val="004A7AFE"/>
    <w:rsid w:val="004A7C8D"/>
    <w:rsid w:val="004B1AB7"/>
    <w:rsid w:val="004B3DA2"/>
    <w:rsid w:val="004B3EFA"/>
    <w:rsid w:val="004B41E9"/>
    <w:rsid w:val="004B5FC4"/>
    <w:rsid w:val="004B71B7"/>
    <w:rsid w:val="004C065A"/>
    <w:rsid w:val="004C0773"/>
    <w:rsid w:val="004C0A60"/>
    <w:rsid w:val="004C1A24"/>
    <w:rsid w:val="004C25CD"/>
    <w:rsid w:val="004C2E1E"/>
    <w:rsid w:val="004C51E4"/>
    <w:rsid w:val="004C6429"/>
    <w:rsid w:val="004C7C26"/>
    <w:rsid w:val="004D065C"/>
    <w:rsid w:val="004D0E25"/>
    <w:rsid w:val="004D1073"/>
    <w:rsid w:val="004D6981"/>
    <w:rsid w:val="004E0C56"/>
    <w:rsid w:val="004E38D1"/>
    <w:rsid w:val="004E3F2C"/>
    <w:rsid w:val="004E6845"/>
    <w:rsid w:val="004E69DE"/>
    <w:rsid w:val="004E7CC6"/>
    <w:rsid w:val="004E7E43"/>
    <w:rsid w:val="004F1273"/>
    <w:rsid w:val="004F1570"/>
    <w:rsid w:val="004F230E"/>
    <w:rsid w:val="004F2311"/>
    <w:rsid w:val="004F5F8E"/>
    <w:rsid w:val="005004F1"/>
    <w:rsid w:val="005033ED"/>
    <w:rsid w:val="00505113"/>
    <w:rsid w:val="00505F4A"/>
    <w:rsid w:val="00507614"/>
    <w:rsid w:val="005076B4"/>
    <w:rsid w:val="0051786F"/>
    <w:rsid w:val="00517AEE"/>
    <w:rsid w:val="00520C48"/>
    <w:rsid w:val="0052331C"/>
    <w:rsid w:val="00524D07"/>
    <w:rsid w:val="00526CA2"/>
    <w:rsid w:val="005348ED"/>
    <w:rsid w:val="005357AC"/>
    <w:rsid w:val="0053647D"/>
    <w:rsid w:val="00542316"/>
    <w:rsid w:val="00542FB5"/>
    <w:rsid w:val="0054367A"/>
    <w:rsid w:val="005450B0"/>
    <w:rsid w:val="0054535F"/>
    <w:rsid w:val="00547669"/>
    <w:rsid w:val="00552835"/>
    <w:rsid w:val="00552C3E"/>
    <w:rsid w:val="00553761"/>
    <w:rsid w:val="00553AF6"/>
    <w:rsid w:val="00555AF2"/>
    <w:rsid w:val="005619AF"/>
    <w:rsid w:val="00562F3E"/>
    <w:rsid w:val="00566265"/>
    <w:rsid w:val="00566E7B"/>
    <w:rsid w:val="00570A94"/>
    <w:rsid w:val="00570B8B"/>
    <w:rsid w:val="00570D1C"/>
    <w:rsid w:val="0057149B"/>
    <w:rsid w:val="005730EA"/>
    <w:rsid w:val="005766FC"/>
    <w:rsid w:val="0057794C"/>
    <w:rsid w:val="00577C88"/>
    <w:rsid w:val="005810AA"/>
    <w:rsid w:val="0058582D"/>
    <w:rsid w:val="0058647E"/>
    <w:rsid w:val="00593992"/>
    <w:rsid w:val="005956AB"/>
    <w:rsid w:val="00596ADD"/>
    <w:rsid w:val="0059792B"/>
    <w:rsid w:val="005A4A7B"/>
    <w:rsid w:val="005A7A9A"/>
    <w:rsid w:val="005B3186"/>
    <w:rsid w:val="005B5C6D"/>
    <w:rsid w:val="005B5F67"/>
    <w:rsid w:val="005B61DA"/>
    <w:rsid w:val="005B61E2"/>
    <w:rsid w:val="005B66AB"/>
    <w:rsid w:val="005B719B"/>
    <w:rsid w:val="005B7C8D"/>
    <w:rsid w:val="005C0482"/>
    <w:rsid w:val="005C09B0"/>
    <w:rsid w:val="005C14C7"/>
    <w:rsid w:val="005C1CE3"/>
    <w:rsid w:val="005C302B"/>
    <w:rsid w:val="005C3E04"/>
    <w:rsid w:val="005C40AA"/>
    <w:rsid w:val="005C412C"/>
    <w:rsid w:val="005C43B3"/>
    <w:rsid w:val="005C4AFE"/>
    <w:rsid w:val="005D05B1"/>
    <w:rsid w:val="005D1786"/>
    <w:rsid w:val="005D1B07"/>
    <w:rsid w:val="005D1C1D"/>
    <w:rsid w:val="005D2F9F"/>
    <w:rsid w:val="005D38FE"/>
    <w:rsid w:val="005D78FD"/>
    <w:rsid w:val="005E0A57"/>
    <w:rsid w:val="005E55F3"/>
    <w:rsid w:val="005E642F"/>
    <w:rsid w:val="005F07CA"/>
    <w:rsid w:val="005F1C2B"/>
    <w:rsid w:val="005F2E30"/>
    <w:rsid w:val="005F54D7"/>
    <w:rsid w:val="005F56A8"/>
    <w:rsid w:val="005F63BA"/>
    <w:rsid w:val="00601798"/>
    <w:rsid w:val="00603B39"/>
    <w:rsid w:val="00604348"/>
    <w:rsid w:val="00604512"/>
    <w:rsid w:val="00604968"/>
    <w:rsid w:val="00604DD8"/>
    <w:rsid w:val="006116C3"/>
    <w:rsid w:val="00611C1B"/>
    <w:rsid w:val="006124B0"/>
    <w:rsid w:val="0062074C"/>
    <w:rsid w:val="00621A33"/>
    <w:rsid w:val="0063096C"/>
    <w:rsid w:val="006309BC"/>
    <w:rsid w:val="006334E6"/>
    <w:rsid w:val="006351E3"/>
    <w:rsid w:val="00636D97"/>
    <w:rsid w:val="006437D2"/>
    <w:rsid w:val="00644944"/>
    <w:rsid w:val="00646906"/>
    <w:rsid w:val="006469F7"/>
    <w:rsid w:val="00647862"/>
    <w:rsid w:val="00653B71"/>
    <w:rsid w:val="00655A54"/>
    <w:rsid w:val="00656C50"/>
    <w:rsid w:val="00656E9D"/>
    <w:rsid w:val="006623E0"/>
    <w:rsid w:val="00662AED"/>
    <w:rsid w:val="0067090A"/>
    <w:rsid w:val="00670DC8"/>
    <w:rsid w:val="0067159D"/>
    <w:rsid w:val="0067681D"/>
    <w:rsid w:val="006809E4"/>
    <w:rsid w:val="00680AC4"/>
    <w:rsid w:val="00680EBF"/>
    <w:rsid w:val="00681660"/>
    <w:rsid w:val="00682193"/>
    <w:rsid w:val="006851DF"/>
    <w:rsid w:val="0069021C"/>
    <w:rsid w:val="0069380C"/>
    <w:rsid w:val="0069444E"/>
    <w:rsid w:val="00695966"/>
    <w:rsid w:val="006A3F03"/>
    <w:rsid w:val="006A417D"/>
    <w:rsid w:val="006B0855"/>
    <w:rsid w:val="006B2D20"/>
    <w:rsid w:val="006B4A21"/>
    <w:rsid w:val="006B5C93"/>
    <w:rsid w:val="006B6404"/>
    <w:rsid w:val="006B6864"/>
    <w:rsid w:val="006B7283"/>
    <w:rsid w:val="006C164E"/>
    <w:rsid w:val="006C17AE"/>
    <w:rsid w:val="006C2D81"/>
    <w:rsid w:val="006C3F68"/>
    <w:rsid w:val="006C4556"/>
    <w:rsid w:val="006C655B"/>
    <w:rsid w:val="006D4FC8"/>
    <w:rsid w:val="006E1F30"/>
    <w:rsid w:val="006E2D70"/>
    <w:rsid w:val="006E3ACC"/>
    <w:rsid w:val="006E3B41"/>
    <w:rsid w:val="006E51F5"/>
    <w:rsid w:val="006E6EF0"/>
    <w:rsid w:val="006F2260"/>
    <w:rsid w:val="006F2481"/>
    <w:rsid w:val="006F2E99"/>
    <w:rsid w:val="006F78D6"/>
    <w:rsid w:val="00700B78"/>
    <w:rsid w:val="00701923"/>
    <w:rsid w:val="00703491"/>
    <w:rsid w:val="007054C0"/>
    <w:rsid w:val="0071081B"/>
    <w:rsid w:val="007120D6"/>
    <w:rsid w:val="007151E5"/>
    <w:rsid w:val="0071746F"/>
    <w:rsid w:val="00717AF1"/>
    <w:rsid w:val="00721E51"/>
    <w:rsid w:val="00732766"/>
    <w:rsid w:val="00737E0F"/>
    <w:rsid w:val="007419D8"/>
    <w:rsid w:val="00741DE0"/>
    <w:rsid w:val="007420FB"/>
    <w:rsid w:val="00743B4E"/>
    <w:rsid w:val="00744505"/>
    <w:rsid w:val="00745782"/>
    <w:rsid w:val="00745C13"/>
    <w:rsid w:val="00747AD2"/>
    <w:rsid w:val="00750D60"/>
    <w:rsid w:val="00751B21"/>
    <w:rsid w:val="0075306F"/>
    <w:rsid w:val="0075338A"/>
    <w:rsid w:val="00754C06"/>
    <w:rsid w:val="00755180"/>
    <w:rsid w:val="007577CE"/>
    <w:rsid w:val="00761379"/>
    <w:rsid w:val="007616B7"/>
    <w:rsid w:val="0076561A"/>
    <w:rsid w:val="00766AB9"/>
    <w:rsid w:val="0076780C"/>
    <w:rsid w:val="00767C2E"/>
    <w:rsid w:val="00767FCD"/>
    <w:rsid w:val="00770845"/>
    <w:rsid w:val="00774FFE"/>
    <w:rsid w:val="007777D8"/>
    <w:rsid w:val="00780663"/>
    <w:rsid w:val="007829F0"/>
    <w:rsid w:val="00787836"/>
    <w:rsid w:val="00796F5D"/>
    <w:rsid w:val="007A4303"/>
    <w:rsid w:val="007A458D"/>
    <w:rsid w:val="007A48BE"/>
    <w:rsid w:val="007B17B4"/>
    <w:rsid w:val="007B2C9E"/>
    <w:rsid w:val="007B3A02"/>
    <w:rsid w:val="007B699C"/>
    <w:rsid w:val="007B70F2"/>
    <w:rsid w:val="007B7209"/>
    <w:rsid w:val="007C56C8"/>
    <w:rsid w:val="007C71F9"/>
    <w:rsid w:val="007D0D57"/>
    <w:rsid w:val="007D2021"/>
    <w:rsid w:val="007D5911"/>
    <w:rsid w:val="007E3EA9"/>
    <w:rsid w:val="007E461C"/>
    <w:rsid w:val="007E6D04"/>
    <w:rsid w:val="007E7844"/>
    <w:rsid w:val="007E7E7D"/>
    <w:rsid w:val="007F6BA0"/>
    <w:rsid w:val="00802973"/>
    <w:rsid w:val="00810384"/>
    <w:rsid w:val="00817A82"/>
    <w:rsid w:val="00822C42"/>
    <w:rsid w:val="0082306A"/>
    <w:rsid w:val="00824480"/>
    <w:rsid w:val="00827FFD"/>
    <w:rsid w:val="008323DE"/>
    <w:rsid w:val="008428E8"/>
    <w:rsid w:val="00845B75"/>
    <w:rsid w:val="00845F3F"/>
    <w:rsid w:val="00846149"/>
    <w:rsid w:val="008465CB"/>
    <w:rsid w:val="00850DF6"/>
    <w:rsid w:val="00851ED0"/>
    <w:rsid w:val="008542EC"/>
    <w:rsid w:val="00856360"/>
    <w:rsid w:val="00861784"/>
    <w:rsid w:val="00861969"/>
    <w:rsid w:val="00862144"/>
    <w:rsid w:val="00863320"/>
    <w:rsid w:val="0086564F"/>
    <w:rsid w:val="00866F80"/>
    <w:rsid w:val="0087393B"/>
    <w:rsid w:val="008752BF"/>
    <w:rsid w:val="008766CE"/>
    <w:rsid w:val="008803C8"/>
    <w:rsid w:val="00880872"/>
    <w:rsid w:val="00881277"/>
    <w:rsid w:val="008831A8"/>
    <w:rsid w:val="00884085"/>
    <w:rsid w:val="008844BD"/>
    <w:rsid w:val="00885B60"/>
    <w:rsid w:val="00885D7B"/>
    <w:rsid w:val="0088729D"/>
    <w:rsid w:val="00893FC2"/>
    <w:rsid w:val="0089528E"/>
    <w:rsid w:val="0089566B"/>
    <w:rsid w:val="00896B64"/>
    <w:rsid w:val="008A08FD"/>
    <w:rsid w:val="008A1253"/>
    <w:rsid w:val="008B30F5"/>
    <w:rsid w:val="008B4628"/>
    <w:rsid w:val="008B67D7"/>
    <w:rsid w:val="008B729D"/>
    <w:rsid w:val="008B74C0"/>
    <w:rsid w:val="008C05D6"/>
    <w:rsid w:val="008C101B"/>
    <w:rsid w:val="008C3CA1"/>
    <w:rsid w:val="008C49BE"/>
    <w:rsid w:val="008C52B4"/>
    <w:rsid w:val="008C5E31"/>
    <w:rsid w:val="008C6534"/>
    <w:rsid w:val="008C7665"/>
    <w:rsid w:val="008D16CE"/>
    <w:rsid w:val="008D1E3E"/>
    <w:rsid w:val="008D2B13"/>
    <w:rsid w:val="008E6550"/>
    <w:rsid w:val="008F2012"/>
    <w:rsid w:val="008F2FDF"/>
    <w:rsid w:val="00900552"/>
    <w:rsid w:val="00901352"/>
    <w:rsid w:val="009019BD"/>
    <w:rsid w:val="00901FCE"/>
    <w:rsid w:val="00902EAF"/>
    <w:rsid w:val="00914933"/>
    <w:rsid w:val="00916278"/>
    <w:rsid w:val="00917749"/>
    <w:rsid w:val="009217F7"/>
    <w:rsid w:val="009238B2"/>
    <w:rsid w:val="00927A96"/>
    <w:rsid w:val="00931FDE"/>
    <w:rsid w:val="00932E0F"/>
    <w:rsid w:val="00935336"/>
    <w:rsid w:val="00937198"/>
    <w:rsid w:val="00940DA5"/>
    <w:rsid w:val="00943189"/>
    <w:rsid w:val="0094406F"/>
    <w:rsid w:val="00945F3B"/>
    <w:rsid w:val="00947802"/>
    <w:rsid w:val="009562DF"/>
    <w:rsid w:val="00960E0E"/>
    <w:rsid w:val="00964CD8"/>
    <w:rsid w:val="00965E60"/>
    <w:rsid w:val="00965F7E"/>
    <w:rsid w:val="009667C3"/>
    <w:rsid w:val="00966B91"/>
    <w:rsid w:val="0097189A"/>
    <w:rsid w:val="00973016"/>
    <w:rsid w:val="00974C83"/>
    <w:rsid w:val="0097524B"/>
    <w:rsid w:val="00975488"/>
    <w:rsid w:val="00975D22"/>
    <w:rsid w:val="00981A3D"/>
    <w:rsid w:val="00983783"/>
    <w:rsid w:val="0098448F"/>
    <w:rsid w:val="00992B2E"/>
    <w:rsid w:val="0099481A"/>
    <w:rsid w:val="00994BD1"/>
    <w:rsid w:val="00996612"/>
    <w:rsid w:val="00997978"/>
    <w:rsid w:val="009A00FE"/>
    <w:rsid w:val="009A2348"/>
    <w:rsid w:val="009A2490"/>
    <w:rsid w:val="009A2A85"/>
    <w:rsid w:val="009A5D80"/>
    <w:rsid w:val="009A73B2"/>
    <w:rsid w:val="009A7C52"/>
    <w:rsid w:val="009B4B3E"/>
    <w:rsid w:val="009B7E58"/>
    <w:rsid w:val="009B7F88"/>
    <w:rsid w:val="009C0292"/>
    <w:rsid w:val="009C2379"/>
    <w:rsid w:val="009C3C25"/>
    <w:rsid w:val="009C5665"/>
    <w:rsid w:val="009C63FA"/>
    <w:rsid w:val="009D0811"/>
    <w:rsid w:val="009D127A"/>
    <w:rsid w:val="009D1CE8"/>
    <w:rsid w:val="009D3093"/>
    <w:rsid w:val="009D366A"/>
    <w:rsid w:val="009D557E"/>
    <w:rsid w:val="009E02C7"/>
    <w:rsid w:val="009E0E74"/>
    <w:rsid w:val="009E4084"/>
    <w:rsid w:val="009E51A4"/>
    <w:rsid w:val="009E6602"/>
    <w:rsid w:val="009F670D"/>
    <w:rsid w:val="009F6725"/>
    <w:rsid w:val="009F710D"/>
    <w:rsid w:val="009F7B37"/>
    <w:rsid w:val="009F7E04"/>
    <w:rsid w:val="00A00610"/>
    <w:rsid w:val="00A028A5"/>
    <w:rsid w:val="00A0392A"/>
    <w:rsid w:val="00A07E7C"/>
    <w:rsid w:val="00A16F0C"/>
    <w:rsid w:val="00A178A7"/>
    <w:rsid w:val="00A20AC6"/>
    <w:rsid w:val="00A2234C"/>
    <w:rsid w:val="00A22CFA"/>
    <w:rsid w:val="00A237D0"/>
    <w:rsid w:val="00A26E04"/>
    <w:rsid w:val="00A30F83"/>
    <w:rsid w:val="00A339FE"/>
    <w:rsid w:val="00A33DD3"/>
    <w:rsid w:val="00A3497E"/>
    <w:rsid w:val="00A40079"/>
    <w:rsid w:val="00A407BC"/>
    <w:rsid w:val="00A409B8"/>
    <w:rsid w:val="00A4404B"/>
    <w:rsid w:val="00A474DC"/>
    <w:rsid w:val="00A51F97"/>
    <w:rsid w:val="00A532A1"/>
    <w:rsid w:val="00A53870"/>
    <w:rsid w:val="00A5469F"/>
    <w:rsid w:val="00A55107"/>
    <w:rsid w:val="00A5530A"/>
    <w:rsid w:val="00A603B5"/>
    <w:rsid w:val="00A60AF9"/>
    <w:rsid w:val="00A613C0"/>
    <w:rsid w:val="00A61F44"/>
    <w:rsid w:val="00A64EC2"/>
    <w:rsid w:val="00A64F7A"/>
    <w:rsid w:val="00A64FD0"/>
    <w:rsid w:val="00A65A9A"/>
    <w:rsid w:val="00A676F6"/>
    <w:rsid w:val="00A706C6"/>
    <w:rsid w:val="00A70FEC"/>
    <w:rsid w:val="00A716E8"/>
    <w:rsid w:val="00A741A0"/>
    <w:rsid w:val="00A7608D"/>
    <w:rsid w:val="00A7697E"/>
    <w:rsid w:val="00A77712"/>
    <w:rsid w:val="00A83A78"/>
    <w:rsid w:val="00A83C5F"/>
    <w:rsid w:val="00A85331"/>
    <w:rsid w:val="00A95406"/>
    <w:rsid w:val="00A96070"/>
    <w:rsid w:val="00AA1D77"/>
    <w:rsid w:val="00AA2893"/>
    <w:rsid w:val="00AA565F"/>
    <w:rsid w:val="00AA781F"/>
    <w:rsid w:val="00AB2475"/>
    <w:rsid w:val="00AB3C55"/>
    <w:rsid w:val="00AB4AEE"/>
    <w:rsid w:val="00AB6B9D"/>
    <w:rsid w:val="00AB6F00"/>
    <w:rsid w:val="00AC0702"/>
    <w:rsid w:val="00AC08F8"/>
    <w:rsid w:val="00AC5358"/>
    <w:rsid w:val="00AD16F2"/>
    <w:rsid w:val="00AD2AF2"/>
    <w:rsid w:val="00AD30AA"/>
    <w:rsid w:val="00AD4173"/>
    <w:rsid w:val="00AD4782"/>
    <w:rsid w:val="00AD4C48"/>
    <w:rsid w:val="00AD504E"/>
    <w:rsid w:val="00AD5437"/>
    <w:rsid w:val="00AD5C71"/>
    <w:rsid w:val="00AD5CD6"/>
    <w:rsid w:val="00AD7C77"/>
    <w:rsid w:val="00AE090B"/>
    <w:rsid w:val="00AE4BE1"/>
    <w:rsid w:val="00AE5849"/>
    <w:rsid w:val="00AF071C"/>
    <w:rsid w:val="00AF21B3"/>
    <w:rsid w:val="00AF2A4D"/>
    <w:rsid w:val="00AF3334"/>
    <w:rsid w:val="00AF3366"/>
    <w:rsid w:val="00AF65C9"/>
    <w:rsid w:val="00AF65EA"/>
    <w:rsid w:val="00B02D3C"/>
    <w:rsid w:val="00B042EA"/>
    <w:rsid w:val="00B050E4"/>
    <w:rsid w:val="00B05644"/>
    <w:rsid w:val="00B0648E"/>
    <w:rsid w:val="00B06976"/>
    <w:rsid w:val="00B074CA"/>
    <w:rsid w:val="00B0763F"/>
    <w:rsid w:val="00B126E3"/>
    <w:rsid w:val="00B12D7B"/>
    <w:rsid w:val="00B136D3"/>
    <w:rsid w:val="00B14187"/>
    <w:rsid w:val="00B17C74"/>
    <w:rsid w:val="00B20026"/>
    <w:rsid w:val="00B25083"/>
    <w:rsid w:val="00B308DB"/>
    <w:rsid w:val="00B3438D"/>
    <w:rsid w:val="00B34EAB"/>
    <w:rsid w:val="00B40421"/>
    <w:rsid w:val="00B4527C"/>
    <w:rsid w:val="00B50AA3"/>
    <w:rsid w:val="00B51FC4"/>
    <w:rsid w:val="00B53AD8"/>
    <w:rsid w:val="00B545F4"/>
    <w:rsid w:val="00B56613"/>
    <w:rsid w:val="00B56C0E"/>
    <w:rsid w:val="00B60527"/>
    <w:rsid w:val="00B60D94"/>
    <w:rsid w:val="00B6242D"/>
    <w:rsid w:val="00B67E09"/>
    <w:rsid w:val="00B73D33"/>
    <w:rsid w:val="00B75B55"/>
    <w:rsid w:val="00B766F0"/>
    <w:rsid w:val="00B81584"/>
    <w:rsid w:val="00B81D82"/>
    <w:rsid w:val="00B8274F"/>
    <w:rsid w:val="00B8389C"/>
    <w:rsid w:val="00B84E80"/>
    <w:rsid w:val="00B85B54"/>
    <w:rsid w:val="00B91346"/>
    <w:rsid w:val="00B9375D"/>
    <w:rsid w:val="00BA0F5B"/>
    <w:rsid w:val="00BA3693"/>
    <w:rsid w:val="00BA3907"/>
    <w:rsid w:val="00BA4963"/>
    <w:rsid w:val="00BA623C"/>
    <w:rsid w:val="00BB1192"/>
    <w:rsid w:val="00BB4310"/>
    <w:rsid w:val="00BB4471"/>
    <w:rsid w:val="00BB6629"/>
    <w:rsid w:val="00BB68E2"/>
    <w:rsid w:val="00BB7996"/>
    <w:rsid w:val="00BB7B9C"/>
    <w:rsid w:val="00BC2397"/>
    <w:rsid w:val="00BC6FEA"/>
    <w:rsid w:val="00BC7897"/>
    <w:rsid w:val="00BD0A7F"/>
    <w:rsid w:val="00BD12D0"/>
    <w:rsid w:val="00BD34A3"/>
    <w:rsid w:val="00BE4570"/>
    <w:rsid w:val="00BE5652"/>
    <w:rsid w:val="00BE686A"/>
    <w:rsid w:val="00BE7FDA"/>
    <w:rsid w:val="00BF3401"/>
    <w:rsid w:val="00BF46A8"/>
    <w:rsid w:val="00BF6635"/>
    <w:rsid w:val="00C018F1"/>
    <w:rsid w:val="00C02505"/>
    <w:rsid w:val="00C02A02"/>
    <w:rsid w:val="00C048B3"/>
    <w:rsid w:val="00C04914"/>
    <w:rsid w:val="00C04A12"/>
    <w:rsid w:val="00C04D1E"/>
    <w:rsid w:val="00C071F5"/>
    <w:rsid w:val="00C07680"/>
    <w:rsid w:val="00C1378A"/>
    <w:rsid w:val="00C14E83"/>
    <w:rsid w:val="00C158C0"/>
    <w:rsid w:val="00C171AC"/>
    <w:rsid w:val="00C25C95"/>
    <w:rsid w:val="00C30E36"/>
    <w:rsid w:val="00C32430"/>
    <w:rsid w:val="00C35A08"/>
    <w:rsid w:val="00C36092"/>
    <w:rsid w:val="00C37981"/>
    <w:rsid w:val="00C4041C"/>
    <w:rsid w:val="00C41776"/>
    <w:rsid w:val="00C41CF7"/>
    <w:rsid w:val="00C4204B"/>
    <w:rsid w:val="00C4206D"/>
    <w:rsid w:val="00C45C49"/>
    <w:rsid w:val="00C47A10"/>
    <w:rsid w:val="00C509D5"/>
    <w:rsid w:val="00C5129E"/>
    <w:rsid w:val="00C51FFF"/>
    <w:rsid w:val="00C53844"/>
    <w:rsid w:val="00C53BB8"/>
    <w:rsid w:val="00C60D60"/>
    <w:rsid w:val="00C641FD"/>
    <w:rsid w:val="00C66D47"/>
    <w:rsid w:val="00C67886"/>
    <w:rsid w:val="00C736C5"/>
    <w:rsid w:val="00C75A5C"/>
    <w:rsid w:val="00C76C22"/>
    <w:rsid w:val="00C775F5"/>
    <w:rsid w:val="00C803B4"/>
    <w:rsid w:val="00C85BEE"/>
    <w:rsid w:val="00C87537"/>
    <w:rsid w:val="00C91146"/>
    <w:rsid w:val="00C939A1"/>
    <w:rsid w:val="00C95988"/>
    <w:rsid w:val="00C96F1C"/>
    <w:rsid w:val="00CA1283"/>
    <w:rsid w:val="00CA206C"/>
    <w:rsid w:val="00CA5696"/>
    <w:rsid w:val="00CA67AB"/>
    <w:rsid w:val="00CB381C"/>
    <w:rsid w:val="00CB3BA6"/>
    <w:rsid w:val="00CB4ADB"/>
    <w:rsid w:val="00CB4E14"/>
    <w:rsid w:val="00CC0E77"/>
    <w:rsid w:val="00CC19A3"/>
    <w:rsid w:val="00CC59A1"/>
    <w:rsid w:val="00CD065D"/>
    <w:rsid w:val="00CD36C9"/>
    <w:rsid w:val="00CD4FD6"/>
    <w:rsid w:val="00CD68F3"/>
    <w:rsid w:val="00CD73E0"/>
    <w:rsid w:val="00CE37AE"/>
    <w:rsid w:val="00CE63A4"/>
    <w:rsid w:val="00CF01A6"/>
    <w:rsid w:val="00CF294F"/>
    <w:rsid w:val="00CF6293"/>
    <w:rsid w:val="00D00DFC"/>
    <w:rsid w:val="00D00EC9"/>
    <w:rsid w:val="00D01419"/>
    <w:rsid w:val="00D026C4"/>
    <w:rsid w:val="00D036CA"/>
    <w:rsid w:val="00D0596A"/>
    <w:rsid w:val="00D06E9D"/>
    <w:rsid w:val="00D07F78"/>
    <w:rsid w:val="00D10B31"/>
    <w:rsid w:val="00D13ABB"/>
    <w:rsid w:val="00D16C3E"/>
    <w:rsid w:val="00D2194B"/>
    <w:rsid w:val="00D22752"/>
    <w:rsid w:val="00D2501D"/>
    <w:rsid w:val="00D26389"/>
    <w:rsid w:val="00D313C4"/>
    <w:rsid w:val="00D31E2D"/>
    <w:rsid w:val="00D34DD1"/>
    <w:rsid w:val="00D35024"/>
    <w:rsid w:val="00D36118"/>
    <w:rsid w:val="00D367B3"/>
    <w:rsid w:val="00D42B2D"/>
    <w:rsid w:val="00D45262"/>
    <w:rsid w:val="00D469BE"/>
    <w:rsid w:val="00D47AB0"/>
    <w:rsid w:val="00D47E42"/>
    <w:rsid w:val="00D50F5D"/>
    <w:rsid w:val="00D52762"/>
    <w:rsid w:val="00D52A16"/>
    <w:rsid w:val="00D53494"/>
    <w:rsid w:val="00D53DFC"/>
    <w:rsid w:val="00D55608"/>
    <w:rsid w:val="00D57655"/>
    <w:rsid w:val="00D614E4"/>
    <w:rsid w:val="00D6232D"/>
    <w:rsid w:val="00D63937"/>
    <w:rsid w:val="00D6470D"/>
    <w:rsid w:val="00D73670"/>
    <w:rsid w:val="00D73C6A"/>
    <w:rsid w:val="00D744F9"/>
    <w:rsid w:val="00D7555C"/>
    <w:rsid w:val="00D77918"/>
    <w:rsid w:val="00D77A91"/>
    <w:rsid w:val="00D8245A"/>
    <w:rsid w:val="00D842C8"/>
    <w:rsid w:val="00D90532"/>
    <w:rsid w:val="00D90D46"/>
    <w:rsid w:val="00D90DF1"/>
    <w:rsid w:val="00D932C1"/>
    <w:rsid w:val="00D93B4E"/>
    <w:rsid w:val="00D96D41"/>
    <w:rsid w:val="00D970B8"/>
    <w:rsid w:val="00DA59DC"/>
    <w:rsid w:val="00DA70FA"/>
    <w:rsid w:val="00DA7BC4"/>
    <w:rsid w:val="00DB21A9"/>
    <w:rsid w:val="00DB53F0"/>
    <w:rsid w:val="00DB7901"/>
    <w:rsid w:val="00DB7CED"/>
    <w:rsid w:val="00DC0B2B"/>
    <w:rsid w:val="00DC214F"/>
    <w:rsid w:val="00DC4629"/>
    <w:rsid w:val="00DC5C4B"/>
    <w:rsid w:val="00DD1320"/>
    <w:rsid w:val="00DD1597"/>
    <w:rsid w:val="00DD47E3"/>
    <w:rsid w:val="00DD7161"/>
    <w:rsid w:val="00DD7BC8"/>
    <w:rsid w:val="00DE3B0E"/>
    <w:rsid w:val="00DE4369"/>
    <w:rsid w:val="00DE4417"/>
    <w:rsid w:val="00DE4E60"/>
    <w:rsid w:val="00DF28B6"/>
    <w:rsid w:val="00DF53B1"/>
    <w:rsid w:val="00DF7851"/>
    <w:rsid w:val="00E0105B"/>
    <w:rsid w:val="00E02BEC"/>
    <w:rsid w:val="00E0396B"/>
    <w:rsid w:val="00E104F8"/>
    <w:rsid w:val="00E10725"/>
    <w:rsid w:val="00E123D2"/>
    <w:rsid w:val="00E12650"/>
    <w:rsid w:val="00E1507B"/>
    <w:rsid w:val="00E21F91"/>
    <w:rsid w:val="00E25332"/>
    <w:rsid w:val="00E27F84"/>
    <w:rsid w:val="00E301EC"/>
    <w:rsid w:val="00E303FE"/>
    <w:rsid w:val="00E3203D"/>
    <w:rsid w:val="00E32FA7"/>
    <w:rsid w:val="00E34B48"/>
    <w:rsid w:val="00E40925"/>
    <w:rsid w:val="00E42274"/>
    <w:rsid w:val="00E42A17"/>
    <w:rsid w:val="00E43AE9"/>
    <w:rsid w:val="00E44D59"/>
    <w:rsid w:val="00E44E49"/>
    <w:rsid w:val="00E50667"/>
    <w:rsid w:val="00E5207D"/>
    <w:rsid w:val="00E53356"/>
    <w:rsid w:val="00E53A62"/>
    <w:rsid w:val="00E57BE4"/>
    <w:rsid w:val="00E62F09"/>
    <w:rsid w:val="00E637D5"/>
    <w:rsid w:val="00E65618"/>
    <w:rsid w:val="00E66020"/>
    <w:rsid w:val="00E6612D"/>
    <w:rsid w:val="00E7057B"/>
    <w:rsid w:val="00E7240C"/>
    <w:rsid w:val="00E7362A"/>
    <w:rsid w:val="00E739AC"/>
    <w:rsid w:val="00E740FE"/>
    <w:rsid w:val="00E75682"/>
    <w:rsid w:val="00E76935"/>
    <w:rsid w:val="00E8357A"/>
    <w:rsid w:val="00E83BAC"/>
    <w:rsid w:val="00E83CC4"/>
    <w:rsid w:val="00E86314"/>
    <w:rsid w:val="00E90B71"/>
    <w:rsid w:val="00E91310"/>
    <w:rsid w:val="00E9496F"/>
    <w:rsid w:val="00E95236"/>
    <w:rsid w:val="00E95343"/>
    <w:rsid w:val="00E966FE"/>
    <w:rsid w:val="00E97EF5"/>
    <w:rsid w:val="00EA01B5"/>
    <w:rsid w:val="00EA42F4"/>
    <w:rsid w:val="00EB1834"/>
    <w:rsid w:val="00EB525A"/>
    <w:rsid w:val="00EB6EC8"/>
    <w:rsid w:val="00ED2060"/>
    <w:rsid w:val="00ED77A3"/>
    <w:rsid w:val="00EE0859"/>
    <w:rsid w:val="00EE0C6E"/>
    <w:rsid w:val="00EE28FF"/>
    <w:rsid w:val="00EE3D7A"/>
    <w:rsid w:val="00EE7BA3"/>
    <w:rsid w:val="00EE7E27"/>
    <w:rsid w:val="00EF167D"/>
    <w:rsid w:val="00EF41B8"/>
    <w:rsid w:val="00EF5306"/>
    <w:rsid w:val="00EF7179"/>
    <w:rsid w:val="00F01544"/>
    <w:rsid w:val="00F028F9"/>
    <w:rsid w:val="00F02C62"/>
    <w:rsid w:val="00F035BB"/>
    <w:rsid w:val="00F04983"/>
    <w:rsid w:val="00F04F6A"/>
    <w:rsid w:val="00F05ACE"/>
    <w:rsid w:val="00F07C27"/>
    <w:rsid w:val="00F10682"/>
    <w:rsid w:val="00F10BBD"/>
    <w:rsid w:val="00F120C1"/>
    <w:rsid w:val="00F135EC"/>
    <w:rsid w:val="00F15DA7"/>
    <w:rsid w:val="00F16004"/>
    <w:rsid w:val="00F178F4"/>
    <w:rsid w:val="00F200B5"/>
    <w:rsid w:val="00F2022F"/>
    <w:rsid w:val="00F204A8"/>
    <w:rsid w:val="00F20C0B"/>
    <w:rsid w:val="00F2400D"/>
    <w:rsid w:val="00F27528"/>
    <w:rsid w:val="00F2796D"/>
    <w:rsid w:val="00F328C0"/>
    <w:rsid w:val="00F32B03"/>
    <w:rsid w:val="00F32C44"/>
    <w:rsid w:val="00F4260E"/>
    <w:rsid w:val="00F44A13"/>
    <w:rsid w:val="00F45084"/>
    <w:rsid w:val="00F45C1E"/>
    <w:rsid w:val="00F471F1"/>
    <w:rsid w:val="00F477AC"/>
    <w:rsid w:val="00F551B0"/>
    <w:rsid w:val="00F55EF8"/>
    <w:rsid w:val="00F606C4"/>
    <w:rsid w:val="00F64FFD"/>
    <w:rsid w:val="00F671B9"/>
    <w:rsid w:val="00F673C4"/>
    <w:rsid w:val="00F70A28"/>
    <w:rsid w:val="00F72D0D"/>
    <w:rsid w:val="00F76804"/>
    <w:rsid w:val="00F80B49"/>
    <w:rsid w:val="00F81C5D"/>
    <w:rsid w:val="00F8373D"/>
    <w:rsid w:val="00F83786"/>
    <w:rsid w:val="00F83A78"/>
    <w:rsid w:val="00F85519"/>
    <w:rsid w:val="00F95BE5"/>
    <w:rsid w:val="00F95FC9"/>
    <w:rsid w:val="00FA22FD"/>
    <w:rsid w:val="00FA27BD"/>
    <w:rsid w:val="00FA67A7"/>
    <w:rsid w:val="00FA6AEB"/>
    <w:rsid w:val="00FA6EA7"/>
    <w:rsid w:val="00FB6C16"/>
    <w:rsid w:val="00FC1DFF"/>
    <w:rsid w:val="00FC5180"/>
    <w:rsid w:val="00FD0775"/>
    <w:rsid w:val="00FD2C03"/>
    <w:rsid w:val="00FD4DC2"/>
    <w:rsid w:val="00FD4E75"/>
    <w:rsid w:val="00FD5CF9"/>
    <w:rsid w:val="00FD613E"/>
    <w:rsid w:val="00FD673B"/>
    <w:rsid w:val="00FD7D44"/>
    <w:rsid w:val="00FE3222"/>
    <w:rsid w:val="00FE453C"/>
    <w:rsid w:val="00FE60FB"/>
    <w:rsid w:val="00FE6AFD"/>
    <w:rsid w:val="00FE6EAD"/>
    <w:rsid w:val="00FF0D4A"/>
    <w:rsid w:val="00FF1869"/>
    <w:rsid w:val="00FF1F03"/>
    <w:rsid w:val="00FF316E"/>
    <w:rsid w:val="00FF4D00"/>
    <w:rsid w:val="00FF7068"/>
    <w:rsid w:val="00FF7D27"/>
    <w:rsid w:val="0498E1ED"/>
    <w:rsid w:val="05E6627C"/>
    <w:rsid w:val="06EA9D41"/>
    <w:rsid w:val="1171257B"/>
    <w:rsid w:val="13F56297"/>
    <w:rsid w:val="15E48B57"/>
    <w:rsid w:val="186C8630"/>
    <w:rsid w:val="1C39F367"/>
    <w:rsid w:val="207B0842"/>
    <w:rsid w:val="21F8413B"/>
    <w:rsid w:val="2E9B1CDB"/>
    <w:rsid w:val="37C4B79B"/>
    <w:rsid w:val="3A0F5B69"/>
    <w:rsid w:val="3B8F15E4"/>
    <w:rsid w:val="407BAFC2"/>
    <w:rsid w:val="44B60DB8"/>
    <w:rsid w:val="44FB8837"/>
    <w:rsid w:val="44FEBD4D"/>
    <w:rsid w:val="477A92FC"/>
    <w:rsid w:val="4780268F"/>
    <w:rsid w:val="47DA7F8D"/>
    <w:rsid w:val="4B2FB133"/>
    <w:rsid w:val="4F0808D7"/>
    <w:rsid w:val="4FEAB126"/>
    <w:rsid w:val="536384A2"/>
    <w:rsid w:val="5613A4F4"/>
    <w:rsid w:val="566BCC8A"/>
    <w:rsid w:val="5AA2610D"/>
    <w:rsid w:val="5AF1A274"/>
    <w:rsid w:val="5B250B84"/>
    <w:rsid w:val="5E3A1D50"/>
    <w:rsid w:val="5E6AC80C"/>
    <w:rsid w:val="5FC4D41C"/>
    <w:rsid w:val="604B377B"/>
    <w:rsid w:val="64EA7259"/>
    <w:rsid w:val="6CACF32A"/>
    <w:rsid w:val="6D2360FE"/>
    <w:rsid w:val="71A6C7FF"/>
    <w:rsid w:val="730172FC"/>
    <w:rsid w:val="746B3872"/>
    <w:rsid w:val="7627E41B"/>
    <w:rsid w:val="78363694"/>
    <w:rsid w:val="78AC770F"/>
    <w:rsid w:val="79A8CD0B"/>
    <w:rsid w:val="7D24E56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F4885"/>
  <w15:docId w15:val="{B35EA1D5-66A5-4D54-98B2-8273C4147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9F7"/>
  </w:style>
  <w:style w:type="paragraph" w:styleId="Heading1">
    <w:name w:val="heading 1"/>
    <w:basedOn w:val="Normal"/>
    <w:next w:val="Normal"/>
    <w:link w:val="Heading1Char"/>
    <w:uiPriority w:val="9"/>
    <w:qFormat/>
    <w:rsid w:val="008103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03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03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03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03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03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03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03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03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03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03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03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03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03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03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03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03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0384"/>
    <w:rPr>
      <w:rFonts w:eastAsiaTheme="majorEastAsia" w:cstheme="majorBidi"/>
      <w:color w:val="272727" w:themeColor="text1" w:themeTint="D8"/>
    </w:rPr>
  </w:style>
  <w:style w:type="paragraph" w:styleId="Title">
    <w:name w:val="Title"/>
    <w:basedOn w:val="Normal"/>
    <w:next w:val="Normal"/>
    <w:link w:val="TitleChar"/>
    <w:uiPriority w:val="10"/>
    <w:qFormat/>
    <w:rsid w:val="008103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03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03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03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0384"/>
    <w:pPr>
      <w:spacing w:before="160"/>
      <w:jc w:val="center"/>
    </w:pPr>
    <w:rPr>
      <w:i/>
      <w:iCs/>
      <w:color w:val="404040" w:themeColor="text1" w:themeTint="BF"/>
    </w:rPr>
  </w:style>
  <w:style w:type="character" w:customStyle="1" w:styleId="QuoteChar">
    <w:name w:val="Quote Char"/>
    <w:basedOn w:val="DefaultParagraphFont"/>
    <w:link w:val="Quote"/>
    <w:uiPriority w:val="29"/>
    <w:rsid w:val="00810384"/>
    <w:rPr>
      <w:i/>
      <w:iCs/>
      <w:color w:val="404040" w:themeColor="text1" w:themeTint="BF"/>
    </w:rPr>
  </w:style>
  <w:style w:type="paragraph" w:styleId="ListParagraph">
    <w:name w:val="List Paragraph"/>
    <w:basedOn w:val="Normal"/>
    <w:uiPriority w:val="34"/>
    <w:qFormat/>
    <w:rsid w:val="00810384"/>
    <w:pPr>
      <w:ind w:left="720"/>
      <w:contextualSpacing/>
    </w:pPr>
  </w:style>
  <w:style w:type="character" w:styleId="IntenseEmphasis">
    <w:name w:val="Intense Emphasis"/>
    <w:basedOn w:val="DefaultParagraphFont"/>
    <w:uiPriority w:val="21"/>
    <w:qFormat/>
    <w:rsid w:val="00810384"/>
    <w:rPr>
      <w:i/>
      <w:iCs/>
      <w:color w:val="0F4761" w:themeColor="accent1" w:themeShade="BF"/>
    </w:rPr>
  </w:style>
  <w:style w:type="paragraph" w:styleId="IntenseQuote">
    <w:name w:val="Intense Quote"/>
    <w:basedOn w:val="Normal"/>
    <w:next w:val="Normal"/>
    <w:link w:val="IntenseQuoteChar"/>
    <w:uiPriority w:val="30"/>
    <w:qFormat/>
    <w:rsid w:val="008103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0384"/>
    <w:rPr>
      <w:i/>
      <w:iCs/>
      <w:color w:val="0F4761" w:themeColor="accent1" w:themeShade="BF"/>
    </w:rPr>
  </w:style>
  <w:style w:type="character" w:styleId="IntenseReference">
    <w:name w:val="Intense Reference"/>
    <w:basedOn w:val="DefaultParagraphFont"/>
    <w:uiPriority w:val="32"/>
    <w:qFormat/>
    <w:rsid w:val="00810384"/>
    <w:rPr>
      <w:b/>
      <w:bCs/>
      <w:smallCaps/>
      <w:color w:val="0F4761" w:themeColor="accent1" w:themeShade="BF"/>
      <w:spacing w:val="5"/>
    </w:rPr>
  </w:style>
  <w:style w:type="paragraph" w:styleId="Bibliography">
    <w:name w:val="Bibliography"/>
    <w:basedOn w:val="Normal"/>
    <w:next w:val="Normal"/>
    <w:uiPriority w:val="37"/>
    <w:unhideWhenUsed/>
    <w:rsid w:val="00F671B9"/>
    <w:pPr>
      <w:spacing w:after="240" w:line="240" w:lineRule="auto"/>
    </w:pPr>
  </w:style>
  <w:style w:type="paragraph" w:styleId="NormalWeb">
    <w:name w:val="Normal (Web)"/>
    <w:basedOn w:val="Normal"/>
    <w:uiPriority w:val="99"/>
    <w:unhideWhenUsed/>
    <w:rsid w:val="00E6602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0F2942"/>
    <w:rPr>
      <w:b/>
      <w:bCs/>
    </w:rPr>
  </w:style>
  <w:style w:type="character" w:customStyle="1" w:styleId="whitespace-normal">
    <w:name w:val="whitespace-normal"/>
    <w:basedOn w:val="DefaultParagraphFont"/>
    <w:rsid w:val="004479A1"/>
  </w:style>
  <w:style w:type="character" w:styleId="Hyperlink">
    <w:name w:val="Hyperlink"/>
    <w:basedOn w:val="DefaultParagraphFont"/>
    <w:uiPriority w:val="99"/>
    <w:unhideWhenUsed/>
    <w:rsid w:val="44B60DB8"/>
    <w:rPr>
      <w:color w:val="467886"/>
      <w:u w:val="single"/>
    </w:rPr>
  </w:style>
  <w:style w:type="paragraph" w:styleId="TOC1">
    <w:name w:val="toc 1"/>
    <w:basedOn w:val="Normal"/>
    <w:next w:val="Normal"/>
    <w:uiPriority w:val="39"/>
    <w:unhideWhenUsed/>
    <w:rsid w:val="44B60DB8"/>
    <w:pPr>
      <w:spacing w:before="120" w:after="0"/>
    </w:pPr>
    <w:rPr>
      <w:b/>
      <w:bCs/>
      <w:i/>
      <w:iCs/>
    </w:rPr>
  </w:style>
  <w:style w:type="paragraph" w:styleId="Footer">
    <w:name w:val="footer"/>
    <w:basedOn w:val="Normal"/>
    <w:link w:val="FooterChar"/>
    <w:uiPriority w:val="99"/>
    <w:unhideWhenUsed/>
    <w:rsid w:val="008C3C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3CA1"/>
  </w:style>
  <w:style w:type="character" w:styleId="PageNumber">
    <w:name w:val="page number"/>
    <w:basedOn w:val="DefaultParagraphFont"/>
    <w:uiPriority w:val="99"/>
    <w:semiHidden/>
    <w:unhideWhenUsed/>
    <w:rsid w:val="008C3CA1"/>
  </w:style>
  <w:style w:type="paragraph" w:styleId="TOCHeading">
    <w:name w:val="TOC Heading"/>
    <w:basedOn w:val="Heading1"/>
    <w:next w:val="Normal"/>
    <w:uiPriority w:val="39"/>
    <w:unhideWhenUsed/>
    <w:qFormat/>
    <w:rsid w:val="008C3CA1"/>
    <w:pPr>
      <w:spacing w:before="480" w:after="0" w:line="276" w:lineRule="auto"/>
      <w:outlineLvl w:val="9"/>
    </w:pPr>
    <w:rPr>
      <w:b/>
      <w:bCs/>
      <w:kern w:val="0"/>
      <w:sz w:val="28"/>
      <w:szCs w:val="28"/>
      <w:lang w:val="en-US"/>
      <w14:ligatures w14:val="none"/>
    </w:rPr>
  </w:style>
  <w:style w:type="paragraph" w:styleId="TOC2">
    <w:name w:val="toc 2"/>
    <w:basedOn w:val="Normal"/>
    <w:next w:val="Normal"/>
    <w:autoRedefine/>
    <w:uiPriority w:val="39"/>
    <w:semiHidden/>
    <w:unhideWhenUsed/>
    <w:rsid w:val="008C3CA1"/>
    <w:pPr>
      <w:spacing w:before="120" w:after="0"/>
      <w:ind w:left="240"/>
    </w:pPr>
    <w:rPr>
      <w:b/>
      <w:bCs/>
      <w:sz w:val="22"/>
      <w:szCs w:val="22"/>
    </w:rPr>
  </w:style>
  <w:style w:type="paragraph" w:styleId="TOC3">
    <w:name w:val="toc 3"/>
    <w:basedOn w:val="Normal"/>
    <w:next w:val="Normal"/>
    <w:autoRedefine/>
    <w:uiPriority w:val="39"/>
    <w:semiHidden/>
    <w:unhideWhenUsed/>
    <w:rsid w:val="008C3CA1"/>
    <w:pPr>
      <w:spacing w:after="0"/>
      <w:ind w:left="480"/>
    </w:pPr>
    <w:rPr>
      <w:sz w:val="20"/>
      <w:szCs w:val="20"/>
    </w:rPr>
  </w:style>
  <w:style w:type="paragraph" w:styleId="TOC4">
    <w:name w:val="toc 4"/>
    <w:basedOn w:val="Normal"/>
    <w:next w:val="Normal"/>
    <w:autoRedefine/>
    <w:uiPriority w:val="39"/>
    <w:semiHidden/>
    <w:unhideWhenUsed/>
    <w:rsid w:val="008C3CA1"/>
    <w:pPr>
      <w:spacing w:after="0"/>
      <w:ind w:left="720"/>
    </w:pPr>
    <w:rPr>
      <w:sz w:val="20"/>
      <w:szCs w:val="20"/>
    </w:rPr>
  </w:style>
  <w:style w:type="paragraph" w:styleId="TOC5">
    <w:name w:val="toc 5"/>
    <w:basedOn w:val="Normal"/>
    <w:next w:val="Normal"/>
    <w:autoRedefine/>
    <w:uiPriority w:val="39"/>
    <w:semiHidden/>
    <w:unhideWhenUsed/>
    <w:rsid w:val="008C3CA1"/>
    <w:pPr>
      <w:spacing w:after="0"/>
      <w:ind w:left="960"/>
    </w:pPr>
    <w:rPr>
      <w:sz w:val="20"/>
      <w:szCs w:val="20"/>
    </w:rPr>
  </w:style>
  <w:style w:type="paragraph" w:styleId="TOC6">
    <w:name w:val="toc 6"/>
    <w:basedOn w:val="Normal"/>
    <w:next w:val="Normal"/>
    <w:autoRedefine/>
    <w:uiPriority w:val="39"/>
    <w:semiHidden/>
    <w:unhideWhenUsed/>
    <w:rsid w:val="008C3CA1"/>
    <w:pPr>
      <w:spacing w:after="0"/>
      <w:ind w:left="1200"/>
    </w:pPr>
    <w:rPr>
      <w:sz w:val="20"/>
      <w:szCs w:val="20"/>
    </w:rPr>
  </w:style>
  <w:style w:type="paragraph" w:styleId="TOC7">
    <w:name w:val="toc 7"/>
    <w:basedOn w:val="Normal"/>
    <w:next w:val="Normal"/>
    <w:autoRedefine/>
    <w:uiPriority w:val="39"/>
    <w:semiHidden/>
    <w:unhideWhenUsed/>
    <w:rsid w:val="008C3CA1"/>
    <w:pPr>
      <w:spacing w:after="0"/>
      <w:ind w:left="1440"/>
    </w:pPr>
    <w:rPr>
      <w:sz w:val="20"/>
      <w:szCs w:val="20"/>
    </w:rPr>
  </w:style>
  <w:style w:type="paragraph" w:styleId="TOC8">
    <w:name w:val="toc 8"/>
    <w:basedOn w:val="Normal"/>
    <w:next w:val="Normal"/>
    <w:autoRedefine/>
    <w:uiPriority w:val="39"/>
    <w:semiHidden/>
    <w:unhideWhenUsed/>
    <w:rsid w:val="008C3CA1"/>
    <w:pPr>
      <w:spacing w:after="0"/>
      <w:ind w:left="1680"/>
    </w:pPr>
    <w:rPr>
      <w:sz w:val="20"/>
      <w:szCs w:val="20"/>
    </w:rPr>
  </w:style>
  <w:style w:type="paragraph" w:styleId="TOC9">
    <w:name w:val="toc 9"/>
    <w:basedOn w:val="Normal"/>
    <w:next w:val="Normal"/>
    <w:autoRedefine/>
    <w:uiPriority w:val="39"/>
    <w:semiHidden/>
    <w:unhideWhenUsed/>
    <w:rsid w:val="008C3CA1"/>
    <w:pPr>
      <w:spacing w:after="0"/>
      <w:ind w:left="1920"/>
    </w:pPr>
    <w:rPr>
      <w:sz w:val="20"/>
      <w:szCs w:val="20"/>
    </w:rPr>
  </w:style>
  <w:style w:type="character" w:styleId="Emphasis">
    <w:name w:val="Emphasis"/>
    <w:basedOn w:val="DefaultParagraphFont"/>
    <w:uiPriority w:val="20"/>
    <w:qFormat/>
    <w:rsid w:val="002E1DBA"/>
    <w:rPr>
      <w:i/>
      <w:iCs/>
    </w:rPr>
  </w:style>
  <w:style w:type="paragraph" w:styleId="Header">
    <w:name w:val="header"/>
    <w:basedOn w:val="Normal"/>
    <w:link w:val="HeaderChar"/>
    <w:uiPriority w:val="99"/>
    <w:unhideWhenUsed/>
    <w:rsid w:val="00611C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1C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6937779">
      <w:bodyDiv w:val="1"/>
      <w:marLeft w:val="0"/>
      <w:marRight w:val="0"/>
      <w:marTop w:val="0"/>
      <w:marBottom w:val="0"/>
      <w:divBdr>
        <w:top w:val="none" w:sz="0" w:space="0" w:color="auto"/>
        <w:left w:val="none" w:sz="0" w:space="0" w:color="auto"/>
        <w:bottom w:val="none" w:sz="0" w:space="0" w:color="auto"/>
        <w:right w:val="none" w:sz="0" w:space="0" w:color="auto"/>
      </w:divBdr>
    </w:div>
    <w:div w:id="1317536234">
      <w:bodyDiv w:val="1"/>
      <w:marLeft w:val="0"/>
      <w:marRight w:val="0"/>
      <w:marTop w:val="0"/>
      <w:marBottom w:val="0"/>
      <w:divBdr>
        <w:top w:val="none" w:sz="0" w:space="0" w:color="auto"/>
        <w:left w:val="none" w:sz="0" w:space="0" w:color="auto"/>
        <w:bottom w:val="none" w:sz="0" w:space="0" w:color="auto"/>
        <w:right w:val="none" w:sz="0" w:space="0" w:color="auto"/>
      </w:divBdr>
    </w:div>
    <w:div w:id="1922326613">
      <w:bodyDiv w:val="1"/>
      <w:marLeft w:val="0"/>
      <w:marRight w:val="0"/>
      <w:marTop w:val="0"/>
      <w:marBottom w:val="0"/>
      <w:divBdr>
        <w:top w:val="none" w:sz="0" w:space="0" w:color="auto"/>
        <w:left w:val="none" w:sz="0" w:space="0" w:color="auto"/>
        <w:bottom w:val="none" w:sz="0" w:space="0" w:color="auto"/>
        <w:right w:val="none" w:sz="0" w:space="0" w:color="auto"/>
      </w:divBdr>
    </w:div>
    <w:div w:id="20858803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13504851.2023.2290578" TargetMode="External"/><Relationship Id="rId18" Type="http://schemas.openxmlformats.org/officeDocument/2006/relationships/hyperlink" Target="https://doi.org/10.1016/j.jclepro.2016.12.048" TargetMode="External"/><Relationship Id="rId26" Type="http://schemas.openxmlformats.org/officeDocument/2006/relationships/hyperlink" Target="https://www.mckinsey.com" TargetMode="External"/><Relationship Id="rId3" Type="http://schemas.openxmlformats.org/officeDocument/2006/relationships/styles" Target="styles.xml"/><Relationship Id="rId21" Type="http://schemas.openxmlformats.org/officeDocument/2006/relationships/hyperlink" Target="https://doi.org/10.32479/irmm.20440"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3390/systems13050360" TargetMode="External"/><Relationship Id="rId17" Type="http://schemas.openxmlformats.org/officeDocument/2006/relationships/hyperlink" Target="https://doi.org/10.3390/admsci15010031" TargetMode="External"/><Relationship Id="rId25" Type="http://schemas.openxmlformats.org/officeDocument/2006/relationships/hyperlink" Target="https://www.mckinsey.com"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doi.org/10.2478/mmcks-2019-0020" TargetMode="External"/><Relationship Id="rId20" Type="http://schemas.openxmlformats.org/officeDocument/2006/relationships/hyperlink" Target="https://doi.org/10.1080/1362704X.2017.1319175" TargetMode="External"/><Relationship Id="rId29" Type="http://schemas.openxmlformats.org/officeDocument/2006/relationships/hyperlink" Target="https://www.toa.st/pages/be-a-new-mak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15487733.2022.2068225" TargetMode="External"/><Relationship Id="rId24" Type="http://schemas.openxmlformats.org/officeDocument/2006/relationships/hyperlink" Target="https://doi.org/10.1108/SRJ-09-2024-0621"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uk.fashionnetwork.com/news/French-connection-to-sell-toast-to-bestseller,965929.html" TargetMode="External"/><Relationship Id="rId23" Type="http://schemas.openxmlformats.org/officeDocument/2006/relationships/hyperlink" Target="https://doi.org/10.3390/systems13110930" TargetMode="External"/><Relationship Id="rId28" Type="http://schemas.openxmlformats.org/officeDocument/2006/relationships/hyperlink" Target="https://www.toa.st/pages/about-us" TargetMode="External"/><Relationship Id="rId10" Type="http://schemas.openxmlformats.org/officeDocument/2006/relationships/hyperlink" Target="https://doi.org/10.1177/014920639101700108" TargetMode="External"/><Relationship Id="rId19" Type="http://schemas.openxmlformats.org/officeDocument/2006/relationships/hyperlink" Target="https://doi.org/10.1108/JFC-06-2020-0121" TargetMode="External"/><Relationship Id="rId31" Type="http://schemas.openxmlformats.org/officeDocument/2006/relationships/hyperlink" Target="https://www.zara.com" TargetMode="External"/><Relationship Id="rId4" Type="http://schemas.openxmlformats.org/officeDocument/2006/relationships/settings" Target="settings.xml"/><Relationship Id="rId9" Type="http://schemas.openxmlformats.org/officeDocument/2006/relationships/hyperlink" Target="https://doi.org/10.1109/CITSM60085.2023.10455566" TargetMode="External"/><Relationship Id="rId14" Type="http://schemas.openxmlformats.org/officeDocument/2006/relationships/hyperlink" Target="https://doi.org/10.1287/msom.2021.0174" TargetMode="External"/><Relationship Id="rId22" Type="http://schemas.openxmlformats.org/officeDocument/2006/relationships/hyperlink" Target="https://doi.org/10.2478/raft-2024-0057" TargetMode="External"/><Relationship Id="rId27" Type="http://schemas.openxmlformats.org/officeDocument/2006/relationships/hyperlink" Target="https://cdn.shopify.com" TargetMode="External"/><Relationship Id="rId30" Type="http://schemas.openxmlformats.org/officeDocument/2006/relationships/hyperlink" Target="https://us.toa.st/pages/suppliers" TargetMode="External"/><Relationship Id="rId35" Type="http://schemas.openxmlformats.org/officeDocument/2006/relationships/theme" Target="theme/theme1.xml"/><Relationship Id="rId8" Type="http://schemas.openxmlformats.org/officeDocument/2006/relationships/hyperlink" Target="https://doi.org/10.1177/030630702412851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CECEDC-5024-6A45-A615-73ED53554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18</Pages>
  <Words>21265</Words>
  <Characters>102289</Characters>
  <Application>Microsoft Office Word</Application>
  <DocSecurity>0</DocSecurity>
  <Lines>5682</Lines>
  <Paragraphs>2628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Szczecinska (2231076)</dc:creator>
  <cp:keywords/>
  <dc:description/>
  <cp:lastModifiedBy>Aleksandra Szczecinska (2231076)</cp:lastModifiedBy>
  <cp:revision>2</cp:revision>
  <cp:lastPrinted>2026-03-26T18:09:00Z</cp:lastPrinted>
  <dcterms:created xsi:type="dcterms:W3CDTF">2026-03-27T10:29:00Z</dcterms:created>
  <dcterms:modified xsi:type="dcterms:W3CDTF">2026-03-27T10:29:00Z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2">
    <vt:lpwstr>name="automaticJournalAbbreviations" value="true"/&gt;&lt;/prefs&gt;&lt;/data&gt;</vt:lpwstr>
  </property>
  <property fmtid="{D5CDD505-2E9C-101B-9397-08002B2CF9AE}" pid="3" name="ZOTERO_PREF_1">
    <vt:lpwstr>&lt;data data-version="3" zotero-version="7.0.32"&gt;&lt;session id="m5BzWGZo"/&gt;&lt;style id="http://www.zotero.org/styles/harvard-cite-them-right" locale="en-GB" hasBibliography="1" bibliographyStyleHasBeenSet="1"/&gt;&lt;prefs&gt;&lt;pref name="fieldType" value="Field"/&gt;&lt;pref </vt:lpwstr>
  </property>
</Properties>
</file>