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32DE3" w14:textId="5A619738" w:rsidR="00BE2308" w:rsidRDefault="00BE2308" w:rsidP="00BE2308">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0229B0E0" wp14:editId="2B759F00">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21B40CE6" w14:textId="77777777" w:rsidR="00BE2308" w:rsidRDefault="00BE2308" w:rsidP="00BE2308">
      <w:pPr>
        <w:rPr>
          <w:rFonts w:ascii="Arial" w:hAnsi="Arial" w:cs="Arial"/>
          <w:sz w:val="20"/>
          <w:szCs w:val="20"/>
        </w:rPr>
      </w:pPr>
    </w:p>
    <w:tbl>
      <w:tblPr>
        <w:tblW w:w="99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15"/>
      </w:tblGrid>
      <w:tr w:rsidR="00BE2308" w14:paraId="561EE94C" w14:textId="77777777" w:rsidTr="00BE2308">
        <w:trPr>
          <w:jc w:val="center"/>
        </w:trPr>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135F9D36" w14:textId="77777777" w:rsidR="00BE2308" w:rsidRDefault="00BE2308">
            <w:pPr>
              <w:pStyle w:val="Heading4"/>
              <w:rPr>
                <w:rFonts w:ascii="Arial" w:hAnsi="Arial" w:cs="Arial"/>
                <w:b/>
              </w:rPr>
            </w:pPr>
            <w:r>
              <w:rPr>
                <w:rFonts w:ascii="Arial" w:hAnsi="Arial" w:cs="Arial"/>
                <w:b/>
              </w:rPr>
              <w:t xml:space="preserve">LEVEL 7 ASSESSMENT SPECIFICATION </w:t>
            </w:r>
          </w:p>
        </w:tc>
      </w:tr>
    </w:tbl>
    <w:tbl>
      <w:tblPr>
        <w:tblpPr w:leftFromText="180" w:rightFromText="180" w:vertAnchor="text" w:horzAnchor="margin" w:tblpXSpec="center" w:tblpY="44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E2308" w14:paraId="36F97329" w14:textId="77777777" w:rsidTr="00BE230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E3421C7" w14:textId="77777777" w:rsidR="00BE2308" w:rsidRDefault="00BE2308" w:rsidP="00BE2308">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6100BAD0" w14:textId="77777777" w:rsidR="00BE2308" w:rsidRDefault="00BE2308" w:rsidP="00BE2308">
            <w:pPr>
              <w:spacing w:before="120" w:after="120"/>
              <w:jc w:val="both"/>
              <w:rPr>
                <w:rFonts w:ascii="Arial" w:hAnsi="Arial" w:cs="Arial"/>
                <w:b/>
              </w:rPr>
            </w:pPr>
            <w:r>
              <w:rPr>
                <w:rFonts w:ascii="Arial" w:hAnsi="Arial" w:cs="Arial"/>
                <w:b/>
              </w:rPr>
              <w:t>Robert Morris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740BB093" w14:textId="77777777" w:rsidR="00BE2308" w:rsidRDefault="00BE2308" w:rsidP="00BE2308">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7F81F0A2" w14:textId="77777777" w:rsidR="00BE2308" w:rsidRDefault="00BE2308" w:rsidP="00BE2308">
            <w:pPr>
              <w:spacing w:before="120" w:after="120"/>
              <w:jc w:val="both"/>
              <w:rPr>
                <w:rFonts w:ascii="Arial" w:hAnsi="Arial" w:cs="Arial"/>
                <w:b/>
              </w:rPr>
            </w:pPr>
            <w:r>
              <w:rPr>
                <w:rFonts w:ascii="Arial" w:hAnsi="Arial" w:cs="Arial"/>
                <w:b/>
              </w:rPr>
              <w:t>1807813</w:t>
            </w:r>
          </w:p>
        </w:tc>
      </w:tr>
      <w:tr w:rsidR="00BE2308" w14:paraId="595F9E38" w14:textId="77777777" w:rsidTr="00BE230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AC3AC8F" w14:textId="77777777" w:rsidR="00BE2308" w:rsidRDefault="00BE2308" w:rsidP="00BE2308">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5FBFBA6C" w14:textId="77777777" w:rsidR="00BE2308" w:rsidRDefault="00BE2308" w:rsidP="00BE2308">
            <w:pPr>
              <w:spacing w:before="120" w:after="120"/>
              <w:jc w:val="both"/>
              <w:rPr>
                <w:rFonts w:ascii="Arial" w:hAnsi="Arial" w:cs="Arial"/>
                <w:b/>
              </w:rPr>
            </w:pPr>
            <w:r>
              <w:rPr>
                <w:rFonts w:ascii="Arial" w:hAnsi="Arial" w:cs="Arial"/>
                <w:b/>
              </w:rPr>
              <w:t>Secondary PGCE</w:t>
            </w:r>
          </w:p>
        </w:tc>
      </w:tr>
      <w:tr w:rsidR="00BE2308" w14:paraId="5909E3B5" w14:textId="77777777" w:rsidTr="00BE230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445B424" w14:textId="77777777" w:rsidR="00BE2308" w:rsidRDefault="00BE2308" w:rsidP="00BE2308">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tcPr>
          <w:p w14:paraId="411CB533" w14:textId="77777777" w:rsidR="00BE2308" w:rsidRDefault="00BE2308" w:rsidP="00BE2308">
            <w:pPr>
              <w:pStyle w:val="NormalWeb"/>
              <w:rPr>
                <w:sz w:val="22"/>
                <w:szCs w:val="22"/>
              </w:rPr>
            </w:pPr>
            <w:r>
              <w:rPr>
                <w:rFonts w:ascii="Arial" w:hAnsi="Arial" w:cs="Arial"/>
                <w:b/>
                <w:bCs/>
                <w:sz w:val="22"/>
                <w:szCs w:val="22"/>
              </w:rPr>
              <w:t xml:space="preserve">Curriculum Development and Enhancement </w:t>
            </w:r>
          </w:p>
          <w:p w14:paraId="0560437E" w14:textId="77777777" w:rsidR="00BE2308" w:rsidRDefault="00BE2308" w:rsidP="00BE2308">
            <w:pPr>
              <w:spacing w:before="120" w:after="120"/>
              <w:jc w:val="both"/>
              <w:rPr>
                <w:rFonts w:ascii="Arial" w:hAnsi="Arial" w:cs="Arial"/>
                <w:b/>
              </w:rPr>
            </w:pPr>
          </w:p>
        </w:tc>
      </w:tr>
      <w:tr w:rsidR="00BE2308" w14:paraId="194A2AAF" w14:textId="77777777" w:rsidTr="00BE230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B7173AA" w14:textId="77777777" w:rsidR="00BE2308" w:rsidRDefault="00BE2308" w:rsidP="00BE2308">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7A6F2396" w14:textId="77777777" w:rsidR="00BE2308" w:rsidRDefault="00BE2308" w:rsidP="00BE2308">
            <w:pPr>
              <w:spacing w:before="120" w:after="120"/>
              <w:jc w:val="both"/>
              <w:rPr>
                <w:rFonts w:ascii="Arial" w:hAnsi="Arial" w:cs="Arial"/>
                <w:b/>
              </w:rPr>
            </w:pPr>
            <w:r>
              <w:rPr>
                <w:rFonts w:ascii="Arial" w:hAnsi="Arial" w:cs="Arial"/>
                <w:b/>
              </w:rPr>
              <w:t>ECSP7002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4B521D0" w14:textId="77777777" w:rsidR="00BE2308" w:rsidRDefault="00BE2308" w:rsidP="00BE2308">
            <w:pPr>
              <w:pStyle w:val="Heading2"/>
              <w:rPr>
                <w:rFonts w:ascii="Arial" w:hAnsi="Arial" w:cs="Arial"/>
                <w:sz w:val="22"/>
                <w:szCs w:val="22"/>
              </w:rPr>
            </w:pPr>
            <w:r>
              <w:rPr>
                <w:rFonts w:ascii="Arial" w:hAnsi="Arial" w:cs="Arial"/>
                <w:sz w:val="22"/>
                <w:szCs w:val="22"/>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03DEE6D5" w14:textId="77777777" w:rsidR="00BE2308" w:rsidRDefault="00BE2308" w:rsidP="00BE2308">
            <w:pPr>
              <w:spacing w:before="120" w:after="120"/>
              <w:jc w:val="both"/>
              <w:rPr>
                <w:rFonts w:ascii="Arial" w:hAnsi="Arial" w:cs="Arial"/>
                <w:b/>
              </w:rPr>
            </w:pPr>
            <w:r>
              <w:rPr>
                <w:rFonts w:ascii="Arial" w:hAnsi="Arial" w:cs="Arial"/>
                <w:b/>
              </w:rPr>
              <w:t>100%</w:t>
            </w:r>
          </w:p>
        </w:tc>
      </w:tr>
      <w:tr w:rsidR="00BE2308" w14:paraId="243CBB77" w14:textId="77777777" w:rsidTr="00BE230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D5442FB" w14:textId="77777777" w:rsidR="00BE2308" w:rsidRDefault="00BE2308" w:rsidP="00BE2308">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349A74FF" w14:textId="77777777" w:rsidR="00BE2308" w:rsidRDefault="00BE2308" w:rsidP="00BE2308">
            <w:pPr>
              <w:spacing w:before="120" w:after="120"/>
              <w:jc w:val="both"/>
              <w:rPr>
                <w:rFonts w:ascii="Arial" w:hAnsi="Arial" w:cs="Arial"/>
                <w:b/>
              </w:rPr>
            </w:pPr>
            <w:r>
              <w:rPr>
                <w:rFonts w:ascii="Arial" w:hAnsi="Arial" w:cs="Arial"/>
                <w:b/>
              </w:rPr>
              <w:t>Helen Denny</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4871E00" w14:textId="77777777" w:rsidR="00BE2308" w:rsidRDefault="00BE2308" w:rsidP="00BE2308">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tcPr>
          <w:p w14:paraId="6E96A4CA" w14:textId="77777777" w:rsidR="00BE2308" w:rsidRDefault="00BE2308" w:rsidP="00BE2308">
            <w:pPr>
              <w:spacing w:before="120" w:after="120"/>
              <w:jc w:val="both"/>
              <w:rPr>
                <w:rFonts w:ascii="Arial" w:hAnsi="Arial" w:cs="Arial"/>
                <w:b/>
              </w:rPr>
            </w:pPr>
          </w:p>
        </w:tc>
      </w:tr>
      <w:tr w:rsidR="00BE2308" w14:paraId="078A85C8" w14:textId="77777777" w:rsidTr="00BE230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8F0953A" w14:textId="77777777" w:rsidR="00BE2308" w:rsidRDefault="00BE2308" w:rsidP="00BE2308">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tcPr>
          <w:p w14:paraId="5099B978" w14:textId="77777777" w:rsidR="00BE2308" w:rsidRDefault="00BE2308" w:rsidP="00BE2308">
            <w:pPr>
              <w:pStyle w:val="NormalWeb"/>
            </w:pPr>
            <w:r>
              <w:rPr>
                <w:rFonts w:ascii="Arial" w:hAnsi="Arial" w:cs="Arial"/>
                <w:b/>
                <w:bCs/>
                <w:sz w:val="22"/>
                <w:szCs w:val="22"/>
              </w:rPr>
              <w:t xml:space="preserve">Research Study including Ethics Form </w:t>
            </w:r>
          </w:p>
          <w:p w14:paraId="346D23E9" w14:textId="77777777" w:rsidR="00BE2308" w:rsidRDefault="00BE2308" w:rsidP="00BE2308">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5A076A06" w14:textId="77777777" w:rsidR="00BE2308" w:rsidRDefault="00BE2308" w:rsidP="00BE2308">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697B53D9" w14:textId="77777777" w:rsidR="00BE2308" w:rsidRDefault="00BE2308" w:rsidP="00BE2308">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3B4CACB6" w14:textId="77777777" w:rsidR="00BE2308" w:rsidRDefault="00BE2308" w:rsidP="00BE2308">
            <w:pPr>
              <w:spacing w:before="120" w:after="120"/>
              <w:jc w:val="both"/>
              <w:rPr>
                <w:rFonts w:ascii="Arial" w:hAnsi="Arial" w:cs="Arial"/>
                <w:b/>
              </w:rPr>
            </w:pPr>
          </w:p>
        </w:tc>
      </w:tr>
      <w:tr w:rsidR="00BE2308" w14:paraId="1A160C29" w14:textId="77777777" w:rsidTr="00BE230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83AFDF4" w14:textId="77777777" w:rsidR="00BE2308" w:rsidRDefault="00BE2308" w:rsidP="00BE2308">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tcPr>
          <w:p w14:paraId="3A2D719A" w14:textId="77777777" w:rsidR="00BE2308" w:rsidRDefault="00BE2308" w:rsidP="00BE2308">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C6BF35D" w14:textId="77777777" w:rsidR="00BE2308" w:rsidRDefault="00BE2308" w:rsidP="00BE2308">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54642F7E" w14:textId="77777777" w:rsidR="00BE2308" w:rsidRDefault="00BE2308" w:rsidP="00BE2308">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227EE697" w14:textId="77777777" w:rsidR="00BE2308" w:rsidRDefault="00BE2308" w:rsidP="00BE2308">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9610552" w14:textId="77777777" w:rsidR="00BE2308" w:rsidRDefault="00BE2308" w:rsidP="00BE2308">
            <w:pPr>
              <w:spacing w:before="120" w:after="120"/>
              <w:jc w:val="both"/>
              <w:rPr>
                <w:rFonts w:ascii="Arial" w:hAnsi="Arial" w:cs="Arial"/>
                <w:b/>
              </w:rPr>
            </w:pPr>
          </w:p>
        </w:tc>
      </w:tr>
      <w:tr w:rsidR="00BE2308" w14:paraId="1DD571EB" w14:textId="77777777" w:rsidTr="00BE230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ADD2DA0" w14:textId="77777777" w:rsidR="00BE2308" w:rsidRDefault="00BE2308" w:rsidP="00BE2308">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722C3DD2" w14:textId="77777777" w:rsidR="00BE2308" w:rsidRDefault="00BE2308" w:rsidP="00BE2308">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4C944E" w14:textId="77777777" w:rsidR="00BE2308" w:rsidRDefault="00BE2308" w:rsidP="00BE2308">
            <w:pPr>
              <w:spacing w:before="120" w:after="120"/>
              <w:jc w:val="both"/>
              <w:rPr>
                <w:rFonts w:ascii="Arial" w:hAnsi="Arial" w:cs="Arial"/>
                <w:b/>
              </w:rPr>
            </w:pPr>
            <w:r>
              <w:rPr>
                <w:rFonts w:ascii="Arial" w:hAnsi="Arial" w:cs="Arial"/>
                <w:b/>
              </w:rPr>
              <w:t xml:space="preserve">Alternative submission method (if applicable): </w:t>
            </w:r>
          </w:p>
          <w:p w14:paraId="62E24748" w14:textId="77777777" w:rsidR="00BE2308" w:rsidRDefault="00BE2308" w:rsidP="00BE2308">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BE2308" w14:paraId="1ADCD67E" w14:textId="77777777" w:rsidTr="00BE230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0801944" w14:textId="77777777" w:rsidR="00BE2308" w:rsidRDefault="00BE2308" w:rsidP="00BE2308">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6D5617D2" w14:textId="77777777" w:rsidR="00BE2308" w:rsidRDefault="00BE2308" w:rsidP="00BE2308">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AE8E9CA" w14:textId="77777777" w:rsidR="00BE2308" w:rsidRDefault="00BE2308" w:rsidP="00BE2308">
      <w:pPr>
        <w:jc w:val="center"/>
        <w:rPr>
          <w:rFonts w:ascii="Arial" w:hAnsi="Arial" w:cs="Arial"/>
          <w:b/>
          <w:i/>
          <w:sz w:val="32"/>
          <w:szCs w:val="20"/>
        </w:rPr>
      </w:pPr>
    </w:p>
    <w:p w14:paraId="460B66E2" w14:textId="77777777" w:rsidR="00BE2308" w:rsidRDefault="00BE2308" w:rsidP="54E731FD">
      <w:pPr>
        <w:spacing w:line="360" w:lineRule="auto"/>
        <w:rPr>
          <w:rFonts w:ascii="Arial" w:eastAsia="Arial" w:hAnsi="Arial" w:cs="Arial"/>
          <w:b/>
          <w:bCs/>
          <w:sz w:val="24"/>
          <w:szCs w:val="24"/>
          <w:u w:val="single"/>
        </w:rPr>
      </w:pPr>
    </w:p>
    <w:p w14:paraId="7D0909AC" w14:textId="6CF31F79" w:rsidR="54E731FD" w:rsidRPr="004C5DE5" w:rsidRDefault="54E731FD" w:rsidP="54E731FD">
      <w:pPr>
        <w:spacing w:line="360" w:lineRule="auto"/>
        <w:rPr>
          <w:rFonts w:ascii="Arial" w:eastAsia="Arial" w:hAnsi="Arial" w:cs="Arial"/>
          <w:b/>
          <w:bCs/>
          <w:sz w:val="24"/>
          <w:szCs w:val="24"/>
          <w:u w:val="single"/>
        </w:rPr>
      </w:pPr>
      <w:r w:rsidRPr="004C5DE5">
        <w:rPr>
          <w:rFonts w:ascii="Arial" w:eastAsia="Arial" w:hAnsi="Arial" w:cs="Arial"/>
          <w:b/>
          <w:bCs/>
          <w:sz w:val="24"/>
          <w:szCs w:val="24"/>
          <w:u w:val="single"/>
        </w:rPr>
        <w:lastRenderedPageBreak/>
        <w:t>Introduction</w:t>
      </w:r>
    </w:p>
    <w:p w14:paraId="22012CA0" w14:textId="3C85EE3D" w:rsidR="531EF0E7"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Throughout this assignment, I will be discussing and analysing an action research project which I have carried out during my practical teaching experience. In the context of the classroom, action research can be viewed as a process which allows teachers to systematically reflect upon their practice with the overall aim of improving it (Hopkins, 2014). This continual development via reflective practice is an important aspect of the professional nature and values of teaching, as seen in the Qualified Teacher Status Standards for all teachers in Wales (Welsh Government, 2009). The location for my action research was a secondary school in the Neath Port Talbot area of South Wales. More specifically, the research was carried out with pupils from a middle ability year 10 class studying GCSE biology. Like many other pupils in Science, much of this class seemed to struggle when faced with essay-style questions that require a good quality of extended response (QER). Questions of this nature are designed to test the depth of pupils’ scientific explanations and the overall quality of their writing skills. Importantly, pupils can potentially gain up to 6 marks through these QER questions in GCSE Science exams. This is a relatively high amount of marks and can often move pupils up or down a grade boundary, depending on how well they do. Therefore, I decided to focus on this area of teaching and based my research around a key question: “How can literacy and writing skills be improved in Science?”. The following section of this assignment will discuss literacy in Wales and professional literature surrounding the topic, thus providing a perspective of the wider context surrounding my action research.</w:t>
      </w:r>
    </w:p>
    <w:p w14:paraId="2973AB6C" w14:textId="5E4CC998" w:rsidR="54E731FD" w:rsidRPr="004C5DE5" w:rsidRDefault="54E731FD" w:rsidP="54E731FD">
      <w:pPr>
        <w:spacing w:line="360" w:lineRule="auto"/>
        <w:rPr>
          <w:rFonts w:ascii="Arial" w:eastAsia="Arial" w:hAnsi="Arial" w:cs="Arial"/>
          <w:sz w:val="24"/>
          <w:szCs w:val="24"/>
        </w:rPr>
      </w:pPr>
    </w:p>
    <w:p w14:paraId="446571A2" w14:textId="405F6B39" w:rsidR="54E731FD" w:rsidRPr="004C5DE5" w:rsidRDefault="54E731FD" w:rsidP="54E731FD">
      <w:pPr>
        <w:spacing w:line="360" w:lineRule="auto"/>
        <w:rPr>
          <w:rFonts w:ascii="Arial" w:eastAsia="Arial" w:hAnsi="Arial" w:cs="Arial"/>
          <w:b/>
          <w:bCs/>
          <w:sz w:val="24"/>
          <w:szCs w:val="24"/>
          <w:u w:val="single"/>
        </w:rPr>
      </w:pPr>
      <w:r w:rsidRPr="004C5DE5">
        <w:rPr>
          <w:rFonts w:ascii="Arial" w:eastAsia="Arial" w:hAnsi="Arial" w:cs="Arial"/>
          <w:b/>
          <w:bCs/>
          <w:sz w:val="24"/>
          <w:szCs w:val="24"/>
          <w:u w:val="single"/>
        </w:rPr>
        <w:t>Literature Review</w:t>
      </w:r>
    </w:p>
    <w:p w14:paraId="12BBFABF" w14:textId="481E0B1C" w:rsidR="1564D3B2"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According to a report from the United Nations Educational, Scientific and Cultural Organisation, literacy is a key outcome of education and is also a right for all children and adults (Burnett, 2005). The report also notes the numerous benefits associated with literacy, ranging from improved self-esteem for individuals to more widescale benefits such as economic growth and greater political participation in a range of different countries studied. A similar report by the professional services company KPMG (Gross, 2009) stated that low literacy levels can cost taxpayers in the UK between £198 million and up to £2.5 billion per year. It is important to note that </w:t>
      </w:r>
      <w:r w:rsidRPr="004C5DE5">
        <w:rPr>
          <w:rFonts w:ascii="Arial" w:eastAsia="Arial" w:hAnsi="Arial" w:cs="Arial"/>
          <w:sz w:val="24"/>
          <w:szCs w:val="24"/>
        </w:rPr>
        <w:lastRenderedPageBreak/>
        <w:t xml:space="preserve">although this report is now a decade old, it effectively highlights the scale of the potential impacts that literacy levels can have on our economy. Moreover, The National Literacy Trust, which is a UK based charity focused on the benefits of literacy skills, strongly agree with these views. They have regularly carried out thorough research into the field for over 25 years, which emphasises their authority and knowledge in the subject. The trust firmly believe that literacy is a key factor in unlocking a child’s future potential and without it their ability to succeed in school, apply for lucrative careers and even complete mundane activities, such as reading the news, is impaired (The National Literacy Trust, 2019a). This acts as an “intergenerational cycle”, meaning that low levels of skills are passed on from generation to generation. Therefore, it is vital that the government is proactive in improving literacy outcomes within schools in order to avoid such injustice in society. </w:t>
      </w:r>
    </w:p>
    <w:p w14:paraId="6832C72A" w14:textId="6227A4DF" w:rsidR="1564D3B2" w:rsidRPr="004C5DE5" w:rsidRDefault="1564D3B2" w:rsidP="54E731FD">
      <w:pPr>
        <w:spacing w:line="360" w:lineRule="auto"/>
        <w:rPr>
          <w:rFonts w:ascii="Arial" w:eastAsia="Arial" w:hAnsi="Arial" w:cs="Arial"/>
          <w:sz w:val="24"/>
          <w:szCs w:val="24"/>
        </w:rPr>
      </w:pPr>
    </w:p>
    <w:p w14:paraId="6C727BEB" w14:textId="07D13B4D" w:rsidR="1564D3B2"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Within the context of Welsh education, the area of literacy has always been a prominent aspect to teaching in both primary and secondary schools. Since the 19</w:t>
      </w:r>
      <w:r w:rsidRPr="004C5DE5">
        <w:rPr>
          <w:rFonts w:ascii="Arial" w:eastAsia="Arial" w:hAnsi="Arial" w:cs="Arial"/>
          <w:sz w:val="24"/>
          <w:szCs w:val="24"/>
          <w:vertAlign w:val="superscript"/>
        </w:rPr>
        <w:t>th</w:t>
      </w:r>
      <w:r w:rsidRPr="004C5DE5">
        <w:rPr>
          <w:rFonts w:ascii="Arial" w:eastAsia="Arial" w:hAnsi="Arial" w:cs="Arial"/>
          <w:sz w:val="24"/>
          <w:szCs w:val="24"/>
        </w:rPr>
        <w:t xml:space="preserve"> century, which saw the introduction of mass education and the concept of teaching pupils the “three Rs” (reading, writing and arithmetic), literacy skills have formed the backbone of the skills which schools focus on (Gillard, 2018). This continued in the first ‘national curriculum’, which was introduced as part of the 1988 Education Reform Act. This curriculum was first established to ensure all pupils across the nation received the same “essential knowledge” to become informed citizens (Her Majesty's Stationary Office, 1988). To this day, the national curriculum, which has been amended frequently since it was first introduced, is still a vital government document which all schools in Wales are required to follow and literacy continues to be one of its main aspects.  </w:t>
      </w:r>
    </w:p>
    <w:p w14:paraId="35F7DC89" w14:textId="50300399" w:rsidR="1564D3B2" w:rsidRPr="004C5DE5" w:rsidRDefault="1564D3B2" w:rsidP="54E731FD">
      <w:pPr>
        <w:spacing w:line="360" w:lineRule="auto"/>
        <w:rPr>
          <w:rFonts w:ascii="Arial" w:eastAsia="Arial" w:hAnsi="Arial" w:cs="Arial"/>
          <w:sz w:val="24"/>
          <w:szCs w:val="24"/>
        </w:rPr>
      </w:pPr>
    </w:p>
    <w:p w14:paraId="20B89166" w14:textId="1952BB2D" w:rsidR="1564D3B2"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Despite all of this, recent measurements of the literacy levels in Wales have been poor in comparison to other countries, including both international nations and those found within the UK. In 2012, Estyn released a report which expressed their concerns over the literacy levels of 11 to 14-year-olds in Wales (Estyn, 2012). They found that, in </w:t>
      </w:r>
      <w:proofErr w:type="gramStart"/>
      <w:r w:rsidRPr="004C5DE5">
        <w:rPr>
          <w:rFonts w:ascii="Arial" w:eastAsia="Arial" w:hAnsi="Arial" w:cs="Arial"/>
          <w:sz w:val="24"/>
          <w:szCs w:val="24"/>
        </w:rPr>
        <w:t>the majority of</w:t>
      </w:r>
      <w:proofErr w:type="gramEnd"/>
      <w:r w:rsidRPr="004C5DE5">
        <w:rPr>
          <w:rFonts w:ascii="Arial" w:eastAsia="Arial" w:hAnsi="Arial" w:cs="Arial"/>
          <w:sz w:val="24"/>
          <w:szCs w:val="24"/>
        </w:rPr>
        <w:t xml:space="preserve"> schools surveyed, not enough detail was given to teachers about how literacy skills should be taught. Based on these findings, they </w:t>
      </w:r>
      <w:r w:rsidRPr="004C5DE5">
        <w:rPr>
          <w:rFonts w:ascii="Arial" w:eastAsia="Arial" w:hAnsi="Arial" w:cs="Arial"/>
          <w:sz w:val="24"/>
          <w:szCs w:val="24"/>
        </w:rPr>
        <w:lastRenderedPageBreak/>
        <w:t xml:space="preserve">recommended that schools make the development of literacy a priority in schemes of work and that a </w:t>
      </w:r>
      <w:proofErr w:type="gramStart"/>
      <w:r w:rsidRPr="004C5DE5">
        <w:rPr>
          <w:rFonts w:ascii="Arial" w:eastAsia="Arial" w:hAnsi="Arial" w:cs="Arial"/>
          <w:sz w:val="24"/>
          <w:szCs w:val="24"/>
        </w:rPr>
        <w:t>particular emphasis</w:t>
      </w:r>
      <w:proofErr w:type="gramEnd"/>
      <w:r w:rsidRPr="004C5DE5">
        <w:rPr>
          <w:rFonts w:ascii="Arial" w:eastAsia="Arial" w:hAnsi="Arial" w:cs="Arial"/>
          <w:sz w:val="24"/>
          <w:szCs w:val="24"/>
        </w:rPr>
        <w:t xml:space="preserve"> needed to be placed on developing pupils’ extended writing ability across the curriculum. Despite this report being 7 years old, this recommendation based on writing is still relevant to this day, as an evidently poor standard of extended writing among pupils was an area of concern which provided the direction for my action research. For the purposes of their report, Estyn visited and conducted surveys in 21 different secondary schools across Wales. Therefore, one could argue that this sample size is insufficient and may not offer a completely accurate representation of the literacy levels in Wales at that time. </w:t>
      </w:r>
    </w:p>
    <w:p w14:paraId="27F8BE45" w14:textId="0446E377" w:rsidR="1564D3B2" w:rsidRPr="004C5DE5" w:rsidRDefault="1564D3B2" w:rsidP="54E731FD">
      <w:pPr>
        <w:spacing w:line="360" w:lineRule="auto"/>
        <w:rPr>
          <w:rFonts w:ascii="Arial" w:eastAsia="Arial" w:hAnsi="Arial" w:cs="Arial"/>
          <w:sz w:val="24"/>
          <w:szCs w:val="24"/>
        </w:rPr>
      </w:pPr>
    </w:p>
    <w:p w14:paraId="78A1425F" w14:textId="56FC38FE" w:rsidR="1564D3B2"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Additionally, The Programme for International Student Assessment (PISA) test results from 2012 seem to support the findings of Estyn’s report, as they show just how comparatively poor Wales’ literacy levels were during this specific timeframe. PISA assesses the knowledge and skills of 15-year-old pupils all over the world across Reading, Mathematics and Science and its test results are collected and published every three years (OECD, 2018). It should be noted that although PISA do not explicitly test for “literacy” skills, the Reading domain of testing covers a major component of literacy. In all three areas of testing, Wales scored significantly lower than both the global average and its UK counterpart nations (OECD, 2012). These disappointing results led to a strongly worded written statement from Huw Lewis, who held the position of Minister for Education and Skills at the time (Welsh Government, 2013). Lewis noted that the results were not good enough and yet this presented no surprise to the Government. Further to this, he pointed out that standards within Wales were not high enough and its education system had systematic weaknesses which needed to be addressed. The statement concluded with the Government’s vision for long-term improvement and education reform through future educational policies.</w:t>
      </w:r>
    </w:p>
    <w:p w14:paraId="70691349" w14:textId="49179640" w:rsidR="1564D3B2" w:rsidRPr="004C5DE5" w:rsidRDefault="1564D3B2" w:rsidP="54E731FD">
      <w:pPr>
        <w:spacing w:line="360" w:lineRule="auto"/>
        <w:rPr>
          <w:rFonts w:ascii="Arial" w:eastAsia="Arial" w:hAnsi="Arial" w:cs="Arial"/>
          <w:sz w:val="24"/>
          <w:szCs w:val="24"/>
        </w:rPr>
      </w:pPr>
    </w:p>
    <w:p w14:paraId="2B4A7A40" w14:textId="2E94F2EC" w:rsidR="531EF0E7"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In response to the concerning evidence noted above, the National Literacy Programme (NLP) was put into place in 2012 (Welsh Government, 2016). The overall aim of the NLP was to outline any necessary actions for the Welsh Government and schools in order to improve the literacy skills of learners across the </w:t>
      </w:r>
      <w:r w:rsidRPr="004C5DE5">
        <w:rPr>
          <w:rFonts w:ascii="Arial" w:eastAsia="Arial" w:hAnsi="Arial" w:cs="Arial"/>
          <w:sz w:val="24"/>
          <w:szCs w:val="24"/>
        </w:rPr>
        <w:lastRenderedPageBreak/>
        <w:t xml:space="preserve">country. The programme, in partnership with its numeracy focused counterpart, set out the plans for </w:t>
      </w:r>
      <w:proofErr w:type="gramStart"/>
      <w:r w:rsidRPr="004C5DE5">
        <w:rPr>
          <w:rFonts w:ascii="Arial" w:eastAsia="Arial" w:hAnsi="Arial" w:cs="Arial"/>
          <w:sz w:val="24"/>
          <w:szCs w:val="24"/>
        </w:rPr>
        <w:t>a number of</w:t>
      </w:r>
      <w:proofErr w:type="gramEnd"/>
      <w:r w:rsidRPr="004C5DE5">
        <w:rPr>
          <w:rFonts w:ascii="Arial" w:eastAsia="Arial" w:hAnsi="Arial" w:cs="Arial"/>
          <w:sz w:val="24"/>
          <w:szCs w:val="24"/>
        </w:rPr>
        <w:t xml:space="preserve"> policies aimed towards long lasting change in Welsh education. One such policy was ensuring the introduction of the National Literacy and Numeracy Framework (LNF), which became a statutory requirement of the curriculum in 2013. To this day, the LNF is used within schools as a curriculum planning tool and as a clear guide to the expected annual outcomes of pupils, in terms of both literacy and numeracy skills. The current widespread influence of the LNF is set to continue into the near future, with the introduction of a brand-new Welsh curriculum based on the work of Professor Graham Donaldson (2015). As part of the influential report’s recommendations, it is noted that any future progression steps for literacy and numeracy will be based around the existing LNF, building upon the Government’s previous efforts in the field. </w:t>
      </w:r>
    </w:p>
    <w:p w14:paraId="6D1BF358" w14:textId="0D0A928C" w:rsidR="531EF0E7" w:rsidRPr="004C5DE5" w:rsidRDefault="531EF0E7" w:rsidP="54E731FD">
      <w:pPr>
        <w:spacing w:line="360" w:lineRule="auto"/>
        <w:rPr>
          <w:rFonts w:ascii="Arial" w:eastAsia="Arial" w:hAnsi="Arial" w:cs="Arial"/>
          <w:sz w:val="24"/>
          <w:szCs w:val="24"/>
        </w:rPr>
      </w:pPr>
    </w:p>
    <w:p w14:paraId="1082F23B" w14:textId="5A57E81A" w:rsidR="42382786"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However, the LNF is by no means an example of perfect policy and its relative success in improving literacy levels across Wales is debatable. Shortly after its implementation, Estyn (2014) reported on a range of positive impacts which the LNF had caused within schools they had inspected. They believed that as a result of the LNF, which was broadly well received, a greater priority had been given to literacy in terms of whole-school planning and staff professional development. The report also noted that staff expectations for pupils’ literacy standards throughout schools had been raised, leading to a greater sense of aspiration. Such positive signs of change and development may lead one to believe that literacy levels in Wales have improved since the LNF’s introduction, but it should be noted that this Estyn report was conducted during the very early stages of the framework’s existence. Due to this, there would not have been much relevant evidence available at the time on which robust opinions and conclusions could have been made. </w:t>
      </w:r>
    </w:p>
    <w:p w14:paraId="1B9F598B" w14:textId="4C04F031" w:rsidR="42382786" w:rsidRPr="004C5DE5" w:rsidRDefault="42382786" w:rsidP="54E731FD">
      <w:pPr>
        <w:spacing w:line="360" w:lineRule="auto"/>
        <w:rPr>
          <w:rFonts w:ascii="Arial" w:eastAsia="Arial" w:hAnsi="Arial" w:cs="Arial"/>
          <w:sz w:val="24"/>
          <w:szCs w:val="24"/>
        </w:rPr>
      </w:pPr>
    </w:p>
    <w:p w14:paraId="6DEF45AB" w14:textId="161F69C8" w:rsidR="42382786"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In the years following Estyn’s report, more compelling data has emerged from a wider range of sources and, as such, a more critical analysis of the LNF can be carried out. Firstly, the most recent PISA tests in 2015 showed that Wales is still the poorest performing nation in the UK, highlighting a continuing decline in the results of Welsh pupils across both the Reading and Science testing domains (OECD, 2016). </w:t>
      </w:r>
      <w:r w:rsidRPr="004C5DE5">
        <w:rPr>
          <w:rFonts w:ascii="Arial" w:eastAsia="Arial" w:hAnsi="Arial" w:cs="Arial"/>
          <w:sz w:val="24"/>
          <w:szCs w:val="24"/>
        </w:rPr>
        <w:lastRenderedPageBreak/>
        <w:t>This suggests that to this day there have been no major impacts on international performance made by either the NLP or LNF. An independent evaluation of the NLP (</w:t>
      </w:r>
      <w:proofErr w:type="spellStart"/>
      <w:r w:rsidRPr="004C5DE5">
        <w:rPr>
          <w:rFonts w:ascii="Arial" w:eastAsia="Arial" w:hAnsi="Arial" w:cs="Arial"/>
          <w:sz w:val="24"/>
          <w:szCs w:val="24"/>
        </w:rPr>
        <w:t>Carr</w:t>
      </w:r>
      <w:proofErr w:type="spellEnd"/>
      <w:r w:rsidRPr="004C5DE5">
        <w:rPr>
          <w:rFonts w:ascii="Arial" w:eastAsia="Arial" w:hAnsi="Arial" w:cs="Arial"/>
          <w:sz w:val="24"/>
          <w:szCs w:val="24"/>
        </w:rPr>
        <w:t xml:space="preserve"> et al., 2017) came to a similar conclusion, noting that it is difficult to link the NLP’s implementation to any pupil progress in Wales due to a lack of statistical evidence. Nevertheless, changes and improvements are still being made to the NLP, such as the introduction of new and personalised computer-based Reading tests across Wales in the academic year 2019/20 (Welsh Government, 2018). Undoubtedly, there will be a high level of focus on the upcoming PISA 2018 tests results from all parties involved in Welsh education. If a further decline in our international standards is apparent, there is a potential risk of Wales’ literacy rates becoming an emergent theme in mainstream media across the UK, which could possibly lead to an increase in political pressure across the country. With a new curriculum incoming, only time will tell if the high levels of significance placed on PISA results will have any destabilising knock on effects during our period of change.</w:t>
      </w:r>
    </w:p>
    <w:p w14:paraId="1D1FDC5F" w14:textId="79311078" w:rsidR="42382786" w:rsidRPr="004C5DE5" w:rsidRDefault="42382786" w:rsidP="54E731FD">
      <w:pPr>
        <w:spacing w:line="360" w:lineRule="auto"/>
        <w:rPr>
          <w:rFonts w:ascii="Arial" w:eastAsia="Arial" w:hAnsi="Arial" w:cs="Arial"/>
          <w:sz w:val="24"/>
          <w:szCs w:val="24"/>
        </w:rPr>
      </w:pPr>
    </w:p>
    <w:p w14:paraId="69338375" w14:textId="0C8C4226" w:rsidR="6866198F"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Unsurprisingly, there is a body of research which is dedicated to improving literacy standards in secondary schools across the UK. In a book written by Lewis &amp; Wray (2014) a range of teaching and learning strategies is provided, aiming to help teachers from a variety of secondary subjects improve pupils’ literacy standards through their daily practice. These strategies are founded in educational theory and case study examples of their implementation are provided, which gives a greater sense of reliability to the work. One such strategy is ensuring an emphasis on key words and subject specific vocabulary within the classroom, which they believe can lead to stronger subject knowledge as well as improved literacy. This is particularly relevant in the subject of Science, as it is filled with complex terminology. Research by the Education Endowment Foundation (EEF) has also found that, in the absence of good core classroom strategies, structured learning interventions can help pupils, who would otherwise struggle, improve in their literacy skills (EEF, 2017). This finding could be perceived as irrelevant to my action research, as it is part of a report aimed towards primary school practitioners. However, the research which underpins this finding is based on intervention studies with pupils aged between 9 and 18 years old (</w:t>
      </w:r>
      <w:proofErr w:type="spellStart"/>
      <w:r w:rsidRPr="004C5DE5">
        <w:rPr>
          <w:rFonts w:ascii="Arial" w:eastAsia="Arial" w:hAnsi="Arial" w:cs="Arial"/>
          <w:sz w:val="24"/>
          <w:szCs w:val="24"/>
        </w:rPr>
        <w:t>Scammacca</w:t>
      </w:r>
      <w:proofErr w:type="spellEnd"/>
      <w:r w:rsidRPr="004C5DE5">
        <w:rPr>
          <w:rFonts w:ascii="Arial" w:eastAsia="Arial" w:hAnsi="Arial" w:cs="Arial"/>
          <w:sz w:val="24"/>
          <w:szCs w:val="24"/>
        </w:rPr>
        <w:t xml:space="preserve"> et al., 2015), thus demonstrating how this </w:t>
      </w:r>
      <w:proofErr w:type="gramStart"/>
      <w:r w:rsidRPr="004C5DE5">
        <w:rPr>
          <w:rFonts w:ascii="Arial" w:eastAsia="Arial" w:hAnsi="Arial" w:cs="Arial"/>
          <w:sz w:val="24"/>
          <w:szCs w:val="24"/>
        </w:rPr>
        <w:t>particular theory</w:t>
      </w:r>
      <w:proofErr w:type="gramEnd"/>
      <w:r w:rsidRPr="004C5DE5">
        <w:rPr>
          <w:rFonts w:ascii="Arial" w:eastAsia="Arial" w:hAnsi="Arial" w:cs="Arial"/>
          <w:sz w:val="24"/>
          <w:szCs w:val="24"/>
        </w:rPr>
        <w:t xml:space="preserve"> has an overlap across both primary and secondary education. On the other hand, a survey </w:t>
      </w:r>
      <w:r w:rsidRPr="004C5DE5">
        <w:rPr>
          <w:rFonts w:ascii="Arial" w:eastAsia="Arial" w:hAnsi="Arial" w:cs="Arial"/>
          <w:sz w:val="24"/>
          <w:szCs w:val="24"/>
        </w:rPr>
        <w:lastRenderedPageBreak/>
        <w:t xml:space="preserve">of secondary schools in England (Ofsted, 2013) states that approaches for improving literacy are varied and that there are no quick-fix or objectively correct methods for improvement. Nevertheless, they do note that successful schools place literacy at the heart of their learning, with a shared sense of responsibility present across teachers of all subjects. </w:t>
      </w:r>
    </w:p>
    <w:p w14:paraId="15C4A7E8" w14:textId="29C430BF" w:rsidR="6866198F" w:rsidRPr="004C5DE5" w:rsidRDefault="6866198F" w:rsidP="54E731FD">
      <w:pPr>
        <w:spacing w:line="360" w:lineRule="auto"/>
        <w:rPr>
          <w:rFonts w:ascii="Arial" w:eastAsia="Arial" w:hAnsi="Arial" w:cs="Arial"/>
          <w:sz w:val="24"/>
          <w:szCs w:val="24"/>
        </w:rPr>
      </w:pPr>
    </w:p>
    <w:p w14:paraId="0B92C839" w14:textId="4802AEB0" w:rsidR="42382786"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Having discussed the wider context of literacy, both internationally and in Wales, I will now consider the specific role and importance of literacy within secondary Science education. </w:t>
      </w:r>
      <w:proofErr w:type="spellStart"/>
      <w:r w:rsidRPr="004C5DE5">
        <w:rPr>
          <w:rFonts w:ascii="Arial" w:eastAsia="Arial" w:hAnsi="Arial" w:cs="Arial"/>
          <w:sz w:val="24"/>
          <w:szCs w:val="24"/>
        </w:rPr>
        <w:t>Catrin</w:t>
      </w:r>
      <w:proofErr w:type="spellEnd"/>
      <w:r w:rsidRPr="004C5DE5">
        <w:rPr>
          <w:rFonts w:ascii="Arial" w:eastAsia="Arial" w:hAnsi="Arial" w:cs="Arial"/>
          <w:sz w:val="24"/>
          <w:szCs w:val="24"/>
        </w:rPr>
        <w:t xml:space="preserve"> Green (2016, p. 67) introduces the overall topic succinctly, stating that “literacy isn’t just for English teachers”. As further discussed by Norris &amp; Phillips (2003), there is a tight connection between a student’s literacy skills and their ability to gain an understanding or education of scientific knowledge. They argue that western science as we know it exists as a disciplined body of knowledge and, as such, relies heavily on text to be properly communicated. Therefore, pupils who are lacking in the fundamental skills of reading are writing are at a major disadvantage, not only in Science but across many other subject areas as well. This leads to significant educational implications, one of which is that a neglect in addressing literacy skills in Science education can lead to students not grasping the “point” and interconnected nature of Science, viewing it instead as an arduous task of learning isolated pieces of information.</w:t>
      </w:r>
    </w:p>
    <w:p w14:paraId="0EE96EED" w14:textId="15A04AA3" w:rsidR="0D328E1D" w:rsidRPr="004C5DE5" w:rsidRDefault="0D328E1D" w:rsidP="54E731FD">
      <w:pPr>
        <w:spacing w:line="360" w:lineRule="auto"/>
        <w:rPr>
          <w:rFonts w:ascii="Arial" w:eastAsia="Arial" w:hAnsi="Arial" w:cs="Arial"/>
          <w:sz w:val="24"/>
          <w:szCs w:val="24"/>
        </w:rPr>
      </w:pPr>
    </w:p>
    <w:p w14:paraId="1F13B8CE" w14:textId="041C46C2" w:rsidR="6866198F"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A similar point of view is put forward by Wellington and Osborne (2001). They suggest that there is a significant issue within the Science teaching profession, with many teachers unaware how important the skills of literacy and language are in improving outcomes within the subject. Moreover, they state that learning in Science is often hindered when pupils do not understand the language that is used within Science. If one understands this aspect of learning, namely unfamiliar language, it is clear to see that asking pupils to read, write or discuss ideas in Science lessons is not enough to improve literacy. These types of activities need to be explicitly taught and structured so that pupils can learn how to carry them out properly and explore the thinking processes of real scientists in the process. For the purposes of my research, I chose to scaffold an extended writing task in a manner which is </w:t>
      </w:r>
      <w:r w:rsidRPr="004C5DE5">
        <w:rPr>
          <w:rFonts w:ascii="Arial" w:eastAsia="Arial" w:hAnsi="Arial" w:cs="Arial"/>
          <w:sz w:val="24"/>
          <w:szCs w:val="24"/>
        </w:rPr>
        <w:lastRenderedPageBreak/>
        <w:t>congruent with the views put forward in this book. Structured writing frameworks have also been recommended by the EEF, as part of their secondary Science based guidance report (EEF, 2018). They suggest that such frameworks can be used early on in a sequence of work to help pupils develop their writing skills and techniques. Over time, any scaffolding can be gradually removed but pupils should remain confident in their abilities.</w:t>
      </w:r>
    </w:p>
    <w:p w14:paraId="2994E1B8" w14:textId="4A0A48D1" w:rsidR="6866198F" w:rsidRPr="004C5DE5" w:rsidRDefault="6866198F" w:rsidP="54E731FD">
      <w:pPr>
        <w:spacing w:line="360" w:lineRule="auto"/>
        <w:rPr>
          <w:rFonts w:ascii="Arial" w:eastAsia="Arial" w:hAnsi="Arial" w:cs="Arial"/>
          <w:sz w:val="24"/>
          <w:szCs w:val="24"/>
        </w:rPr>
      </w:pPr>
    </w:p>
    <w:p w14:paraId="5BC345BB" w14:textId="293251CE" w:rsidR="6866198F"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Professional literature shows that higher literacy levels in Science are linked strongly to higher pupil attainment (National Literacy Trust, 2019b; </w:t>
      </w:r>
      <w:proofErr w:type="spellStart"/>
      <w:r w:rsidRPr="004C5DE5">
        <w:rPr>
          <w:rFonts w:ascii="Arial" w:eastAsia="Arial" w:hAnsi="Arial" w:cs="Arial"/>
          <w:sz w:val="24"/>
          <w:szCs w:val="24"/>
        </w:rPr>
        <w:t>Krajcik</w:t>
      </w:r>
      <w:proofErr w:type="spellEnd"/>
      <w:r w:rsidRPr="004C5DE5">
        <w:rPr>
          <w:rFonts w:ascii="Arial" w:eastAsia="Arial" w:hAnsi="Arial" w:cs="Arial"/>
          <w:sz w:val="24"/>
          <w:szCs w:val="24"/>
        </w:rPr>
        <w:t xml:space="preserve"> &amp; Sutherland, 2010). However, improved literacy may also lead to a range of wider social benefits, as discussed in research carried out for the EEF (Nunes et al., 2017). The socio-economic status (SES) of a pupil can have a large impact on their attainment level, with those coming from lower SES backgrounds at a significant disadvantage. This fact can be explained by </w:t>
      </w:r>
      <w:proofErr w:type="gramStart"/>
      <w:r w:rsidRPr="004C5DE5">
        <w:rPr>
          <w:rFonts w:ascii="Arial" w:eastAsia="Arial" w:hAnsi="Arial" w:cs="Arial"/>
          <w:sz w:val="24"/>
          <w:szCs w:val="24"/>
        </w:rPr>
        <w:t>a number of</w:t>
      </w:r>
      <w:proofErr w:type="gramEnd"/>
      <w:r w:rsidRPr="004C5DE5">
        <w:rPr>
          <w:rFonts w:ascii="Arial" w:eastAsia="Arial" w:hAnsi="Arial" w:cs="Arial"/>
          <w:sz w:val="24"/>
          <w:szCs w:val="24"/>
        </w:rPr>
        <w:t xml:space="preserve"> different factors, such as fewer opportunities to learn and a lower interest in Science, but the report notes literacy as a cognitive mediator which is tied closely to SES. Therefore, targeted literacy intervention for low SES pupils can act as a key factor in narrowing the gap between high and low SES pupils in terms of attainment and participation in Science. This finding is particularly relevant in the context of my research, as the school in which I was placed has a relatively large proportion of pupils eligible for free school meals (FSM) compared to the national average. FSM levels within a school are often used as indicator of its cohort’s SES, but it is noted by Hobbs &amp; </w:t>
      </w:r>
      <w:proofErr w:type="spellStart"/>
      <w:r w:rsidRPr="004C5DE5">
        <w:rPr>
          <w:rFonts w:ascii="Arial" w:eastAsia="Arial" w:hAnsi="Arial" w:cs="Arial"/>
          <w:sz w:val="24"/>
          <w:szCs w:val="24"/>
        </w:rPr>
        <w:t>Vignoles</w:t>
      </w:r>
      <w:proofErr w:type="spellEnd"/>
      <w:r w:rsidRPr="004C5DE5">
        <w:rPr>
          <w:rFonts w:ascii="Arial" w:eastAsia="Arial" w:hAnsi="Arial" w:cs="Arial"/>
          <w:sz w:val="24"/>
          <w:szCs w:val="24"/>
        </w:rPr>
        <w:t xml:space="preserve"> (2007) that this comparison is imperfect and should be carried out with caution during any research. </w:t>
      </w:r>
    </w:p>
    <w:p w14:paraId="5445D4D1" w14:textId="46F29571" w:rsidR="6866198F" w:rsidRPr="004C5DE5" w:rsidRDefault="6866198F" w:rsidP="54E731FD">
      <w:pPr>
        <w:spacing w:line="360" w:lineRule="auto"/>
        <w:rPr>
          <w:rFonts w:ascii="Arial" w:eastAsia="Arial" w:hAnsi="Arial" w:cs="Arial"/>
          <w:sz w:val="24"/>
          <w:szCs w:val="24"/>
        </w:rPr>
      </w:pPr>
    </w:p>
    <w:p w14:paraId="276A4ADB" w14:textId="780117FE" w:rsidR="6866198F"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Finally, it is important to note that when discussing literacy skills within Science, the term “scientific literacy” is one which is often used but its meaning is broadly misunderstood, due to it having a wide range of different definitions (Norris &amp; Phillips, 2003). As noted by Pearson et al. (2010), scientific literacy has been a large goal in recent educational reform, but we cannot possibly strive to produce a scientifically literate population if there is no clear definition. The term’s usage has been linked to many qualities including: the understanding of science and its applications (DeBoer, 2000); the ability to interact with and think about real-world </w:t>
      </w:r>
      <w:r w:rsidRPr="004C5DE5">
        <w:rPr>
          <w:rFonts w:ascii="Arial" w:eastAsia="Arial" w:hAnsi="Arial" w:cs="Arial"/>
          <w:sz w:val="24"/>
          <w:szCs w:val="24"/>
        </w:rPr>
        <w:lastRenderedPageBreak/>
        <w:t xml:space="preserve">issues in science (Grant &amp; Lapp, 2011); a person’s use of scientific practices and content throughout their personal life (Seddon, 2017). This is by no means an exhaustive list, but it sufficiently highlights how broad the area of study is surrounding scientific literacy. Bearing this in mind, I have deliberately chosen to avoid using the phrase “scientific literacy” throughout this assignment, as I feel my research is centred around aspects of learning which are more traditionally associated with literacy, that is to mean reading and writing, simply within the context of secondary Science. However, I believe that without these fundamental skills, pupils can have no real chance of developing their scientific literacy, regardless of the definition chosen. </w:t>
      </w:r>
    </w:p>
    <w:p w14:paraId="5AC4BB8E" w14:textId="1BCD5082" w:rsidR="54E731FD" w:rsidRPr="004C5DE5" w:rsidRDefault="54E731FD" w:rsidP="54E731FD">
      <w:pPr>
        <w:spacing w:line="360" w:lineRule="auto"/>
        <w:rPr>
          <w:rFonts w:ascii="Arial" w:eastAsia="Arial" w:hAnsi="Arial" w:cs="Arial"/>
          <w:sz w:val="24"/>
          <w:szCs w:val="24"/>
        </w:rPr>
      </w:pPr>
    </w:p>
    <w:p w14:paraId="7CA36A6F" w14:textId="7E518EAB" w:rsidR="54E731FD" w:rsidRPr="004C5DE5" w:rsidRDefault="54E731FD" w:rsidP="54E731FD">
      <w:pPr>
        <w:spacing w:line="360" w:lineRule="auto"/>
        <w:rPr>
          <w:rFonts w:ascii="Arial" w:eastAsia="Arial" w:hAnsi="Arial" w:cs="Arial"/>
          <w:b/>
          <w:bCs/>
          <w:sz w:val="24"/>
          <w:szCs w:val="24"/>
          <w:u w:val="single"/>
        </w:rPr>
      </w:pPr>
      <w:r w:rsidRPr="004C5DE5">
        <w:rPr>
          <w:rFonts w:ascii="Arial" w:eastAsia="Arial" w:hAnsi="Arial" w:cs="Arial"/>
          <w:b/>
          <w:bCs/>
          <w:sz w:val="24"/>
          <w:szCs w:val="24"/>
          <w:u w:val="single"/>
        </w:rPr>
        <w:t>School Policy and Practice</w:t>
      </w:r>
    </w:p>
    <w:p w14:paraId="06E0480E" w14:textId="5D80FF82" w:rsidR="7DD36CA6"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Now that the importance of literacy within Science has been discussed, this assignment’s focus will now turn to the more specific details of the school in which my research was carried out. Within the school, there is a literacy policy which describes the ways in which teachers and senior staff can support the development of pupils’ literacy skills. The document begins with a mission statement for the school and a list of twelve total literacy aims, followed by the expected roles and responsibilities for different staff members such as head teacher, teachers and literacy coordinator. The policy then concludes with a summary of the wider whole school initiatives that are in place and how they have an impact on the literacy of pupils across the school. Having a clear set of specific aims and actions within any school policy is vital according to Ball et al. (2011), as this reduces any difficulties that staff may have whilst attempting to translate policy text into real classroom activity. Similarly, the presence of a mission statement seems to be another positive aspect of the school’s literacy policy. As noted by Harris (2002), a shared set of values among staff and pupils is a key result of effective leadership within any improving school. </w:t>
      </w:r>
    </w:p>
    <w:p w14:paraId="76509B0F" w14:textId="4C2BEB55" w:rsidR="7DD36CA6" w:rsidRPr="004C5DE5" w:rsidRDefault="7DD36CA6" w:rsidP="54E731FD">
      <w:pPr>
        <w:spacing w:line="360" w:lineRule="auto"/>
        <w:rPr>
          <w:rFonts w:ascii="Arial" w:eastAsia="Arial" w:hAnsi="Arial" w:cs="Arial"/>
          <w:sz w:val="24"/>
          <w:szCs w:val="24"/>
        </w:rPr>
      </w:pPr>
    </w:p>
    <w:p w14:paraId="37AF83AA" w14:textId="11EF9A15" w:rsidR="7DD36CA6"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One of the more notable aims of the policy is to encourage the development of literacy amongst boys within the school. This gender disparity in literacy standards is a significant issue within UK and is result of a long-term trend, as girls have </w:t>
      </w:r>
      <w:r w:rsidRPr="004C5DE5">
        <w:rPr>
          <w:rFonts w:ascii="Arial" w:eastAsia="Arial" w:hAnsi="Arial" w:cs="Arial"/>
          <w:sz w:val="24"/>
          <w:szCs w:val="24"/>
        </w:rPr>
        <w:lastRenderedPageBreak/>
        <w:t xml:space="preserve">outperformed boys for maybe </w:t>
      </w:r>
      <w:proofErr w:type="gramStart"/>
      <w:r w:rsidRPr="004C5DE5">
        <w:rPr>
          <w:rFonts w:ascii="Arial" w:eastAsia="Arial" w:hAnsi="Arial" w:cs="Arial"/>
          <w:sz w:val="24"/>
          <w:szCs w:val="24"/>
        </w:rPr>
        <w:t>as long as</w:t>
      </w:r>
      <w:proofErr w:type="gramEnd"/>
      <w:r w:rsidRPr="004C5DE5">
        <w:rPr>
          <w:rFonts w:ascii="Arial" w:eastAsia="Arial" w:hAnsi="Arial" w:cs="Arial"/>
          <w:sz w:val="24"/>
          <w:szCs w:val="24"/>
        </w:rPr>
        <w:t xml:space="preserve"> 60 years according to evidence (Twist &amp; Sainsbury, 2009). Jama &amp; Dugdale (2012) have also shown that attitudes towards literacy can be different between the two groups, with boys being more likely to rate themselves as poor writers and less likely to enjoy the act of writing. Moreover, the school’s policy notes a similar target aimed towards FSM pupils. As previously mentioned, these pupils usually come from backgrounds associated with lower SES and this is subsequently linked to a lower ability in literacy (Nunes et al., 2017). The fact that both boys and FSM pupils are mentioned as groups with literacy concerns is interesting, as it shows that this individual school has been affected by attainment issues which are prevalent across secondary education in the UK. </w:t>
      </w:r>
    </w:p>
    <w:p w14:paraId="1DEC94C8" w14:textId="095FC6DA" w:rsidR="7DD36CA6" w:rsidRPr="004C5DE5" w:rsidRDefault="7DD36CA6" w:rsidP="54E731FD">
      <w:pPr>
        <w:spacing w:line="360" w:lineRule="auto"/>
        <w:rPr>
          <w:rFonts w:ascii="Arial" w:eastAsia="Arial" w:hAnsi="Arial" w:cs="Arial"/>
          <w:sz w:val="24"/>
          <w:szCs w:val="24"/>
        </w:rPr>
      </w:pPr>
    </w:p>
    <w:p w14:paraId="3D189F9C" w14:textId="2DC4E109" w:rsidR="03B6F635"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Further to this, the policy also notes a set of responsibilities for English teachers within the school. Due to their expertise within the field, they are expected to use their knowledge to help support staff in other departments carry out their role in the teaching of literacy. This aligns with the previously discussed theory of all teachers being teachers of literacy </w:t>
      </w:r>
      <w:proofErr w:type="gramStart"/>
      <w:r w:rsidRPr="004C5DE5">
        <w:rPr>
          <w:rFonts w:ascii="Arial" w:eastAsia="Arial" w:hAnsi="Arial" w:cs="Arial"/>
          <w:sz w:val="24"/>
          <w:szCs w:val="24"/>
        </w:rPr>
        <w:t>and also</w:t>
      </w:r>
      <w:proofErr w:type="gramEnd"/>
      <w:r w:rsidRPr="004C5DE5">
        <w:rPr>
          <w:rFonts w:ascii="Arial" w:eastAsia="Arial" w:hAnsi="Arial" w:cs="Arial"/>
          <w:sz w:val="24"/>
          <w:szCs w:val="24"/>
        </w:rPr>
        <w:t xml:space="preserve"> ties in with the work of Fletcher &amp; Mullen (2012). They explain that when educators collaborate and coach each other in this way, it can have a range of beneficial effects on pupil attainment and teaching within schools, for both teachers being coached and those carrying out coaching. These benefits include improved knowledge and skills, increased reflectivity and greater well-being and confidence. However, it is also noted that not all coaching is of equally high quality and successful coaching requires carefully selected staff and proper planning. It is unclear what strategies the school has in place to ensure their literacy coaching is effective, but the theory behind the policy itself is founded on research and it may have some potential for success. </w:t>
      </w:r>
    </w:p>
    <w:p w14:paraId="344E3A7A" w14:textId="2D7AFFDD" w:rsidR="54E731FD" w:rsidRPr="004C5DE5" w:rsidRDefault="54E731FD" w:rsidP="54E731FD">
      <w:pPr>
        <w:spacing w:line="360" w:lineRule="auto"/>
        <w:rPr>
          <w:rFonts w:ascii="Arial" w:eastAsia="Arial" w:hAnsi="Arial" w:cs="Arial"/>
          <w:sz w:val="24"/>
          <w:szCs w:val="24"/>
        </w:rPr>
      </w:pPr>
    </w:p>
    <w:p w14:paraId="55FF597E" w14:textId="5314D0FF" w:rsidR="03B6F635" w:rsidRPr="004C5DE5" w:rsidRDefault="54E731FD" w:rsidP="54E731FD">
      <w:pPr>
        <w:spacing w:line="360" w:lineRule="auto"/>
        <w:rPr>
          <w:rFonts w:ascii="Arial" w:eastAsia="Arial" w:hAnsi="Arial" w:cs="Arial"/>
          <w:b/>
          <w:bCs/>
          <w:sz w:val="24"/>
          <w:szCs w:val="24"/>
          <w:u w:val="single"/>
        </w:rPr>
      </w:pPr>
      <w:r w:rsidRPr="004C5DE5">
        <w:rPr>
          <w:rFonts w:ascii="Arial" w:eastAsia="Arial" w:hAnsi="Arial" w:cs="Arial"/>
          <w:b/>
          <w:bCs/>
          <w:sz w:val="24"/>
          <w:szCs w:val="24"/>
          <w:u w:val="single"/>
        </w:rPr>
        <w:t>Methodology and Ethics</w:t>
      </w:r>
    </w:p>
    <w:p w14:paraId="09100127" w14:textId="2C589951" w:rsidR="03B6F635" w:rsidRPr="004C5DE5" w:rsidRDefault="54E731FD" w:rsidP="54E731FD">
      <w:pPr>
        <w:spacing w:line="360" w:lineRule="auto"/>
        <w:rPr>
          <w:rFonts w:ascii="Arial" w:eastAsia="Arial" w:hAnsi="Arial" w:cs="Arial"/>
          <w:sz w:val="24"/>
          <w:szCs w:val="24"/>
        </w:rPr>
      </w:pPr>
      <w:proofErr w:type="gramStart"/>
      <w:r w:rsidRPr="004C5DE5">
        <w:rPr>
          <w:rFonts w:ascii="Arial" w:eastAsia="Arial" w:hAnsi="Arial" w:cs="Arial"/>
          <w:sz w:val="24"/>
          <w:szCs w:val="24"/>
        </w:rPr>
        <w:t>In light of</w:t>
      </w:r>
      <w:proofErr w:type="gramEnd"/>
      <w:r w:rsidRPr="004C5DE5">
        <w:rPr>
          <w:rFonts w:ascii="Arial" w:eastAsia="Arial" w:hAnsi="Arial" w:cs="Arial"/>
          <w:sz w:val="24"/>
          <w:szCs w:val="24"/>
        </w:rPr>
        <w:t xml:space="preserve"> the school’s practices and some of the wider issues surrounding literacy, this assignment will now move on to examine the methodology of my action research and the rationale behind it. During the very early stages of my research design, I had initially planned to investigate the drawing of graphs and numeracy skills within Science. However, upon further reflection, I </w:t>
      </w:r>
      <w:proofErr w:type="gramStart"/>
      <w:r w:rsidRPr="004C5DE5">
        <w:rPr>
          <w:rFonts w:ascii="Arial" w:eastAsia="Arial" w:hAnsi="Arial" w:cs="Arial"/>
          <w:sz w:val="24"/>
          <w:szCs w:val="24"/>
        </w:rPr>
        <w:t>came to the conclusion</w:t>
      </w:r>
      <w:proofErr w:type="gramEnd"/>
      <w:r w:rsidRPr="004C5DE5">
        <w:rPr>
          <w:rFonts w:ascii="Arial" w:eastAsia="Arial" w:hAnsi="Arial" w:cs="Arial"/>
          <w:sz w:val="24"/>
          <w:szCs w:val="24"/>
        </w:rPr>
        <w:t xml:space="preserve"> that it would be </w:t>
      </w:r>
      <w:r w:rsidRPr="004C5DE5">
        <w:rPr>
          <w:rFonts w:ascii="Arial" w:eastAsia="Arial" w:hAnsi="Arial" w:cs="Arial"/>
          <w:sz w:val="24"/>
          <w:szCs w:val="24"/>
        </w:rPr>
        <w:lastRenderedPageBreak/>
        <w:t xml:space="preserve">more beneficial for the pupils within my class if my research focused instead on the improvement of their writing skills, which appeared to be lacking throughout my teaching. Despite this slight change in context from numeracy to literacy, the methodology underpinning the research would remain the same. I decided to use a pre-test and post-test model, which essential involves testing a group before and after an educational intervention and then comparing the two sets of results in order to gauge the effectiveness of said intervention. A benefit of this approach is that it is relatively simple compared to other research methods and is easy to carry out. As stated by Kothari (2004), this design is informal and does have its limitations which will later be discussed in more detail, but it is useful in terms of gathering relevant evidence without requiring a large expenditure of time or money. During my research period, there was a constraint </w:t>
      </w:r>
      <w:proofErr w:type="gramStart"/>
      <w:r w:rsidRPr="004C5DE5">
        <w:rPr>
          <w:rFonts w:ascii="Arial" w:eastAsia="Arial" w:hAnsi="Arial" w:cs="Arial"/>
          <w:sz w:val="24"/>
          <w:szCs w:val="24"/>
        </w:rPr>
        <w:t>in particular on</w:t>
      </w:r>
      <w:proofErr w:type="gramEnd"/>
      <w:r w:rsidRPr="004C5DE5">
        <w:rPr>
          <w:rFonts w:ascii="Arial" w:eastAsia="Arial" w:hAnsi="Arial" w:cs="Arial"/>
          <w:sz w:val="24"/>
          <w:szCs w:val="24"/>
        </w:rPr>
        <w:t xml:space="preserve"> the amount of time available for teaching the research class, so I judged this research design choice to be the most suitable.</w:t>
      </w:r>
    </w:p>
    <w:p w14:paraId="77DDCC47" w14:textId="062F3C86" w:rsidR="03B6F635" w:rsidRPr="004C5DE5" w:rsidRDefault="03B6F635" w:rsidP="54E731FD">
      <w:pPr>
        <w:spacing w:line="360" w:lineRule="auto"/>
        <w:rPr>
          <w:rFonts w:ascii="Arial" w:eastAsia="Arial" w:hAnsi="Arial" w:cs="Arial"/>
          <w:sz w:val="24"/>
          <w:szCs w:val="24"/>
        </w:rPr>
      </w:pPr>
    </w:p>
    <w:p w14:paraId="05DA832C" w14:textId="51046F5C" w:rsidR="03B6F635"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Before the research could be carried out, any potential ethical implications associated with it needed to be considered and addressed. In recent years, ethical issues within research have gained increased attention and are currently being discussed more extensively than ever before (Brooks et al., 2014). Further to this, the specific task of researching within education can pose ethical issues which are far less likely to be encountered in other areas. For example, as recognised by Bell &amp; Nutt (2012), teachers are likely to have many responsibilities to a range of different groups such as the pupils they teach, the parents of pupils and the wider school in which they teach. When taking on the dual role of researcher and teaching practitioner, there is a risk that these responsibilities and loyalties can become misaligned, leading to an ethical dilemma in which the teacher has shown a lack of proper care and failed in their duties. In order to avoid such ethical concerns, an application for ethical approval was submitted and processed before any research activities took place. This document ensures that this research is within the British Education Research Guidelines (BERA, 2011) and that any data is processed in accordance to with the Data Protection Act 2018 (UK Government, 2018). Interestingly, Hammersley (1999) believes that some researchers place too much emphasis on ethical considerations, leading them to neglect the actual quality of their </w:t>
      </w:r>
      <w:r w:rsidRPr="004C5DE5">
        <w:rPr>
          <w:rFonts w:ascii="Arial" w:eastAsia="Arial" w:hAnsi="Arial" w:cs="Arial"/>
          <w:sz w:val="24"/>
          <w:szCs w:val="24"/>
        </w:rPr>
        <w:lastRenderedPageBreak/>
        <w:t xml:space="preserve">research technique. Indeed, it can be said that poorly designed research is </w:t>
      </w:r>
      <w:proofErr w:type="gramStart"/>
      <w:r w:rsidRPr="004C5DE5">
        <w:rPr>
          <w:rFonts w:ascii="Arial" w:eastAsia="Arial" w:hAnsi="Arial" w:cs="Arial"/>
          <w:sz w:val="24"/>
          <w:szCs w:val="24"/>
        </w:rPr>
        <w:t>in itself unethical</w:t>
      </w:r>
      <w:proofErr w:type="gramEnd"/>
      <w:r w:rsidRPr="004C5DE5">
        <w:rPr>
          <w:rFonts w:ascii="Arial" w:eastAsia="Arial" w:hAnsi="Arial" w:cs="Arial"/>
          <w:sz w:val="24"/>
          <w:szCs w:val="24"/>
        </w:rPr>
        <w:t xml:space="preserve">, as it unnecessarily wastes participants’ time amongst other issues (Brooks et al., 2014). Within this research, there were no compromises required in ensuring that the methodology was both ethically sound and desirable in terms of its technique. </w:t>
      </w:r>
    </w:p>
    <w:p w14:paraId="074D7FA9" w14:textId="7C51FD85" w:rsidR="03B6F635" w:rsidRPr="004C5DE5" w:rsidRDefault="03B6F635" w:rsidP="54E731FD">
      <w:pPr>
        <w:spacing w:line="360" w:lineRule="auto"/>
        <w:rPr>
          <w:rFonts w:ascii="Arial" w:eastAsia="Arial" w:hAnsi="Arial" w:cs="Arial"/>
          <w:sz w:val="24"/>
          <w:szCs w:val="24"/>
        </w:rPr>
      </w:pPr>
    </w:p>
    <w:p w14:paraId="1DE07A75" w14:textId="0DC8AFDC" w:rsidR="03B6F635"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However, as previously mentioned, there are limitations associated with the design choices of this research which must be discussed. An article from Marsden &amp; Torgerson (2012) argues that there are several factors which can affect the internal validity of a single group pre-test and post-test research design. One such factor is maturation, which supposes that learners’ academic skills tend to improve naturally over time as a result of increased maturity. As a result of this, allowing a long period of time to pass between the pre-test and post-test may lead to maturation effects having a significant impact on the overall research findings. This research, however, was carried out over a relatively short timescale of just under a week, meaning that maturation is unlikely to have affected pupils’ post-test results. Nevertheless, the paper proposes that other factors, such as the statistical phenomenon known as regression to the mean and testing effects, can weaken the perceived causal link between an educational intervention and increased post-test performance. </w:t>
      </w:r>
    </w:p>
    <w:p w14:paraId="7B76F041" w14:textId="392AE00F" w:rsidR="03B6F635" w:rsidRPr="004C5DE5" w:rsidRDefault="03B6F635" w:rsidP="54E731FD">
      <w:pPr>
        <w:spacing w:line="360" w:lineRule="auto"/>
        <w:rPr>
          <w:rFonts w:ascii="Arial" w:eastAsia="Arial" w:hAnsi="Arial" w:cs="Arial"/>
          <w:sz w:val="24"/>
          <w:szCs w:val="24"/>
        </w:rPr>
      </w:pPr>
    </w:p>
    <w:p w14:paraId="23B28D45" w14:textId="51468A52" w:rsidR="03B6F635"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A similarly negative opinion of this research design has been put forward by Fraenkel et al. (2011). They offer the same list of factors which threaten this design’s validity, as well as several more which are not explicitly discussed by Marsden &amp; Torgerson. Furthermore, they categorise the design as a “poor” one, stating that researchers who use it may have difficulty in assessing the true effectiveness of their independent variable, which in this case is a teaching intervention. In order to make the design slightly more robust, they suggest the use of a second group known as the control or comparison group, in which no intervention would take place. This may reduce the threats to validity previously mentioned but is also more difficult to implement, as two groups are required. For the period of this research, I was unable to teach Biology to two year 10 classes of similar ability, making this approach unfeasible. There are also ethical concerns associated with this design, as pupils in </w:t>
      </w:r>
      <w:r w:rsidRPr="004C5DE5">
        <w:rPr>
          <w:rFonts w:ascii="Arial" w:eastAsia="Arial" w:hAnsi="Arial" w:cs="Arial"/>
          <w:sz w:val="24"/>
          <w:szCs w:val="24"/>
        </w:rPr>
        <w:lastRenderedPageBreak/>
        <w:t>a control group may possibly be given a lower standard of teaching during the research period, due to a lack of educational intervention.</w:t>
      </w:r>
    </w:p>
    <w:p w14:paraId="78D0E44B" w14:textId="0A154F80" w:rsidR="03B6F635" w:rsidRPr="004C5DE5" w:rsidRDefault="03B6F635" w:rsidP="54E731FD">
      <w:pPr>
        <w:spacing w:line="360" w:lineRule="auto"/>
        <w:rPr>
          <w:rFonts w:ascii="Arial" w:eastAsia="Arial" w:hAnsi="Arial" w:cs="Arial"/>
          <w:sz w:val="24"/>
          <w:szCs w:val="24"/>
        </w:rPr>
      </w:pPr>
    </w:p>
    <w:p w14:paraId="62FB788B" w14:textId="04798F6A" w:rsidR="03B6F635"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If the conditions for research were ideal, this principle of additional groups could be further extended to a methodology known as the Solomon four-group design (</w:t>
      </w:r>
      <w:proofErr w:type="spellStart"/>
      <w:r w:rsidRPr="004C5DE5">
        <w:rPr>
          <w:rFonts w:ascii="Arial" w:eastAsia="Arial" w:hAnsi="Arial" w:cs="Arial"/>
          <w:sz w:val="24"/>
          <w:szCs w:val="24"/>
        </w:rPr>
        <w:t>Ary</w:t>
      </w:r>
      <w:proofErr w:type="spellEnd"/>
      <w:r w:rsidRPr="004C5DE5">
        <w:rPr>
          <w:rFonts w:ascii="Arial" w:eastAsia="Arial" w:hAnsi="Arial" w:cs="Arial"/>
          <w:sz w:val="24"/>
          <w:szCs w:val="24"/>
        </w:rPr>
        <w:t xml:space="preserve"> et al., 2018; Dimitrov &amp; </w:t>
      </w:r>
      <w:proofErr w:type="spellStart"/>
      <w:r w:rsidRPr="004C5DE5">
        <w:rPr>
          <w:rFonts w:ascii="Arial" w:eastAsia="Arial" w:hAnsi="Arial" w:cs="Arial"/>
          <w:sz w:val="24"/>
          <w:szCs w:val="24"/>
        </w:rPr>
        <w:t>Rumrill</w:t>
      </w:r>
      <w:proofErr w:type="spellEnd"/>
      <w:r w:rsidRPr="004C5DE5">
        <w:rPr>
          <w:rFonts w:ascii="Arial" w:eastAsia="Arial" w:hAnsi="Arial" w:cs="Arial"/>
          <w:sz w:val="24"/>
          <w:szCs w:val="24"/>
        </w:rPr>
        <w:t xml:space="preserve">, 2003). This utilises two further groups to those previously mentioned, one of which has no pre-test stage and the other has neither pre-test nor intervention stage. By using these four groups, one can have a much better control over the variables which can affect the internal validity of the research, including any testing effects the pre-test may have on performance. Once again, I was unable to implement this design choice for this research, but I will attempt to more effectively arrange its use in any future research I carry out. It should be noted that this approach has similar ethical issues to the previous two-group design due to the use of control groups, but these issues do not exist within the single group design of this research, which is one of its strengths. </w:t>
      </w:r>
    </w:p>
    <w:p w14:paraId="5AB1AFE7" w14:textId="4A0806CF" w:rsidR="5B0C1863" w:rsidRPr="004C5DE5" w:rsidRDefault="5B0C1863" w:rsidP="54E731FD">
      <w:pPr>
        <w:spacing w:line="360" w:lineRule="auto"/>
        <w:rPr>
          <w:rFonts w:ascii="Arial" w:eastAsia="Arial" w:hAnsi="Arial" w:cs="Arial"/>
          <w:sz w:val="24"/>
          <w:szCs w:val="24"/>
        </w:rPr>
      </w:pPr>
    </w:p>
    <w:p w14:paraId="2C5AFA81" w14:textId="5951FCF9" w:rsidR="285F31BF"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The process of sampling is another important component of research design, this is how a researcher selects participants to undertake their study. Sampling is vital when carrying out research, as there is rarely enough time or money available to study every single member of a population (</w:t>
      </w:r>
      <w:proofErr w:type="spellStart"/>
      <w:r w:rsidRPr="004C5DE5">
        <w:rPr>
          <w:rFonts w:ascii="Arial" w:eastAsia="Arial" w:hAnsi="Arial" w:cs="Arial"/>
          <w:sz w:val="24"/>
          <w:szCs w:val="24"/>
        </w:rPr>
        <w:t>Ary</w:t>
      </w:r>
      <w:proofErr w:type="spellEnd"/>
      <w:r w:rsidRPr="004C5DE5">
        <w:rPr>
          <w:rFonts w:ascii="Arial" w:eastAsia="Arial" w:hAnsi="Arial" w:cs="Arial"/>
          <w:sz w:val="24"/>
          <w:szCs w:val="24"/>
        </w:rPr>
        <w:t xml:space="preserve"> et al., 2018). Therefore, one must make observations using smaller groups and attempt to generalise their findings to the wider population. However not all forms of sampling are equal, which McMillan (2012) discusses. He states that the way in which subjects are chosen has a range of implications which can affect the validity of a project’s results and conclusions. Within this research, the method of sampling utilised is known as convenience sampling, as all 31 of the pupils selected belonged to the same Biology class. According to McMillan, sampling in this manner is often the only option that researchers have and doing so can limit the usefulness of their findings. For example, the sample of this research consists of mostly lower ability pupils, so it would be unwise to say that any possible findings apply to pupils across all abilities, as they are not properly represented within the sample. Coe (2012) describes a seemingly more effective form of sampling known as stratified random sampling. </w:t>
      </w:r>
      <w:r w:rsidRPr="004C5DE5">
        <w:rPr>
          <w:rFonts w:ascii="Arial" w:eastAsia="Arial" w:hAnsi="Arial" w:cs="Arial"/>
          <w:sz w:val="24"/>
          <w:szCs w:val="24"/>
        </w:rPr>
        <w:lastRenderedPageBreak/>
        <w:t xml:space="preserve">This involves splitting the population into important subgroups, which could be academic ability in this case, then randomly selecting participants from each of these subgroups. Sampling in this way would be beneficial as it gives a final sample which is more representative of the total population than one chosen by convenience. However, pupils and schools are often heavily constrained by their timetables, which makes this method difficult to implement. </w:t>
      </w:r>
    </w:p>
    <w:p w14:paraId="5DC6CD64" w14:textId="179D6770" w:rsidR="285F31BF" w:rsidRPr="004C5DE5" w:rsidRDefault="285F31BF" w:rsidP="54E731FD">
      <w:pPr>
        <w:spacing w:line="360" w:lineRule="auto"/>
        <w:rPr>
          <w:rFonts w:ascii="Arial" w:eastAsia="Arial" w:hAnsi="Arial" w:cs="Arial"/>
          <w:sz w:val="24"/>
          <w:szCs w:val="24"/>
        </w:rPr>
      </w:pPr>
    </w:p>
    <w:p w14:paraId="025A4DD2" w14:textId="516EA151" w:rsidR="54E731FD" w:rsidRPr="004C5DE5" w:rsidRDefault="54E731FD" w:rsidP="54E731FD">
      <w:pPr>
        <w:spacing w:line="360" w:lineRule="auto"/>
        <w:rPr>
          <w:rFonts w:ascii="Arial" w:eastAsia="Arial" w:hAnsi="Arial" w:cs="Arial"/>
          <w:b/>
          <w:bCs/>
          <w:sz w:val="24"/>
          <w:szCs w:val="24"/>
          <w:u w:val="single"/>
        </w:rPr>
      </w:pPr>
      <w:r w:rsidRPr="004C5DE5">
        <w:rPr>
          <w:rFonts w:ascii="Arial" w:eastAsia="Arial" w:hAnsi="Arial" w:cs="Arial"/>
          <w:b/>
          <w:bCs/>
          <w:sz w:val="24"/>
          <w:szCs w:val="24"/>
          <w:u w:val="single"/>
        </w:rPr>
        <w:t>Evaluation</w:t>
      </w:r>
    </w:p>
    <w:p w14:paraId="179D1EA7" w14:textId="4BE6419C" w:rsidR="0E12F252"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With a suitable sample of pupils and a general design selected, the next step of the research was to carry out the pre-test and gauge the baseline level of pupils’ test scores. This pre-test was relatively simple, as it consisted of only one QER style question from a GCSE Biology past paper. The question was based on the topic of respiration, which had been covered in previous lessons, and pupils attempted to independently answer it with minimal teaching guidance. A time limit of 10 minutes was allowed for the question, as this simulates the time constraints that pupils would have in a real GCSE exam. Upon completion, the test answers were marked according to the exam’s official mark scheme, with the resulting scores remaining unknown to the pupils throughout the action research period. This was purposefully done so that pupils could not be affected by their pre-test marks when moving into the post-test phase, thus minimising this threat to the research’s validity (Dimitrov &amp; </w:t>
      </w:r>
      <w:proofErr w:type="spellStart"/>
      <w:r w:rsidRPr="004C5DE5">
        <w:rPr>
          <w:rFonts w:ascii="Arial" w:eastAsia="Arial" w:hAnsi="Arial" w:cs="Arial"/>
          <w:sz w:val="24"/>
          <w:szCs w:val="24"/>
        </w:rPr>
        <w:t>Rumrill</w:t>
      </w:r>
      <w:proofErr w:type="spellEnd"/>
      <w:r w:rsidRPr="004C5DE5">
        <w:rPr>
          <w:rFonts w:ascii="Arial" w:eastAsia="Arial" w:hAnsi="Arial" w:cs="Arial"/>
          <w:sz w:val="24"/>
          <w:szCs w:val="24"/>
        </w:rPr>
        <w:t xml:space="preserve">, 2003). </w:t>
      </w:r>
    </w:p>
    <w:p w14:paraId="55FEB63B" w14:textId="6157B05C" w:rsidR="0E12F252" w:rsidRPr="004C5DE5" w:rsidRDefault="0E12F252" w:rsidP="54E731FD">
      <w:pPr>
        <w:spacing w:line="360" w:lineRule="auto"/>
        <w:rPr>
          <w:rFonts w:ascii="Arial" w:eastAsia="Arial" w:hAnsi="Arial" w:cs="Arial"/>
          <w:sz w:val="24"/>
          <w:szCs w:val="24"/>
        </w:rPr>
      </w:pPr>
    </w:p>
    <w:p w14:paraId="70CA28D0" w14:textId="2F1852E5"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Following the pre-test was a writing intervention with the class, focusing on how to improve the overall quality of their answers. The form of this intervention was a writing framework which aimed to scaffold pupils’ work and provide them with guidance. It is generally believed that this type of scaffolding has its roots in constructivist educational theory, with a specific link to the work of Vygotsky and his concept of the zone of proximal development (ZPD) (</w:t>
      </w:r>
      <w:proofErr w:type="spellStart"/>
      <w:r w:rsidRPr="004C5DE5">
        <w:rPr>
          <w:rFonts w:ascii="Arial" w:eastAsia="Arial" w:hAnsi="Arial" w:cs="Arial"/>
          <w:sz w:val="24"/>
          <w:szCs w:val="24"/>
        </w:rPr>
        <w:t>Shabani</w:t>
      </w:r>
      <w:proofErr w:type="spellEnd"/>
      <w:r w:rsidRPr="004C5DE5">
        <w:rPr>
          <w:rFonts w:ascii="Arial" w:eastAsia="Arial" w:hAnsi="Arial" w:cs="Arial"/>
          <w:sz w:val="24"/>
          <w:szCs w:val="24"/>
        </w:rPr>
        <w:t xml:space="preserve"> et al., 2010). The ZPD, as stated by Vygotsky (1978), is an area of learning which can only be accessed when a learner is assisted by a more able individual, such as a teacher. Helping a pupil move out of their comfort zone and into their ZPD is undoubtedly important, as it is a way of hopefully improving their individual learning strategies and skills for the </w:t>
      </w:r>
      <w:r w:rsidRPr="004C5DE5">
        <w:rPr>
          <w:rFonts w:ascii="Arial" w:eastAsia="Arial" w:hAnsi="Arial" w:cs="Arial"/>
          <w:sz w:val="24"/>
          <w:szCs w:val="24"/>
        </w:rPr>
        <w:lastRenderedPageBreak/>
        <w:t xml:space="preserve">future. Further to this, the use of scaffolding within the classroom to promote learning has been discussed by Bruner, another notable constructivist within education. He describes scaffolding as any steps which are taken to reduce the amount of freedom available in a task, thus allowing a pupil to concentrate more effectively on the difficult skills they are developing, such as writing (Bruner, 1978). </w:t>
      </w:r>
    </w:p>
    <w:p w14:paraId="302E2EBD" w14:textId="2FF50D86" w:rsidR="54E731FD" w:rsidRPr="004C5DE5" w:rsidRDefault="54E731FD" w:rsidP="54E731FD">
      <w:pPr>
        <w:spacing w:line="360" w:lineRule="auto"/>
        <w:rPr>
          <w:rFonts w:ascii="Arial" w:eastAsia="Arial" w:hAnsi="Arial" w:cs="Arial"/>
          <w:sz w:val="24"/>
          <w:szCs w:val="24"/>
        </w:rPr>
      </w:pPr>
    </w:p>
    <w:p w14:paraId="2A4C5C08" w14:textId="60341985"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The writing framework used in this research is designed to split pupils’ answers into three manageable sections, which consists of an initial claim, any associated evidence and the reasoning behind why this evidence supports the claim. This claim, evidence and reasoning (CER) model is very popular throughout education and appears in many different guises, such as the point, evidence, explanation writing approach, which shares the same fundamental principles and differs only in the specific terminology used. Such models have been used for a long time and can be linked all the way back to the influential work of Toulmin (1958) and his model of argumentation, which discusses the structure of arguments in terms of six closely linked components. In more recent years, Katherine McNeil and Joseph </w:t>
      </w:r>
      <w:proofErr w:type="spellStart"/>
      <w:r w:rsidRPr="004C5DE5">
        <w:rPr>
          <w:rFonts w:ascii="Arial" w:eastAsia="Arial" w:hAnsi="Arial" w:cs="Arial"/>
          <w:sz w:val="24"/>
          <w:szCs w:val="24"/>
        </w:rPr>
        <w:t>Krajcik</w:t>
      </w:r>
      <w:proofErr w:type="spellEnd"/>
      <w:r w:rsidRPr="004C5DE5">
        <w:rPr>
          <w:rFonts w:ascii="Arial" w:eastAsia="Arial" w:hAnsi="Arial" w:cs="Arial"/>
          <w:sz w:val="24"/>
          <w:szCs w:val="24"/>
        </w:rPr>
        <w:t xml:space="preserve"> have been two major proponents for the use of a CER framework within Science education, with both having a wide range of experiences and studies published in the field. They recognise that a key skill within Science is the ability to explain observable phenomena by recognising why or how they occur. When students engage in such explanations, they </w:t>
      </w:r>
      <w:proofErr w:type="gramStart"/>
      <w:r w:rsidRPr="004C5DE5">
        <w:rPr>
          <w:rFonts w:ascii="Arial" w:eastAsia="Arial" w:hAnsi="Arial" w:cs="Arial"/>
          <w:sz w:val="24"/>
          <w:szCs w:val="24"/>
        </w:rPr>
        <w:t>are able to</w:t>
      </w:r>
      <w:proofErr w:type="gramEnd"/>
      <w:r w:rsidRPr="004C5DE5">
        <w:rPr>
          <w:rFonts w:ascii="Arial" w:eastAsia="Arial" w:hAnsi="Arial" w:cs="Arial"/>
          <w:sz w:val="24"/>
          <w:szCs w:val="24"/>
        </w:rPr>
        <w:t xml:space="preserve"> gain a deeper understanding of the subject’s content whilst increasing their analytical and writing skills (McNeil &amp; </w:t>
      </w:r>
      <w:proofErr w:type="spellStart"/>
      <w:r w:rsidRPr="004C5DE5">
        <w:rPr>
          <w:rFonts w:ascii="Arial" w:eastAsia="Arial" w:hAnsi="Arial" w:cs="Arial"/>
          <w:sz w:val="24"/>
          <w:szCs w:val="24"/>
        </w:rPr>
        <w:t>Krajcik</w:t>
      </w:r>
      <w:proofErr w:type="spellEnd"/>
      <w:r w:rsidRPr="004C5DE5">
        <w:rPr>
          <w:rFonts w:ascii="Arial" w:eastAsia="Arial" w:hAnsi="Arial" w:cs="Arial"/>
          <w:sz w:val="24"/>
          <w:szCs w:val="24"/>
        </w:rPr>
        <w:t xml:space="preserve">, 2008). However, they also believe that students often have difficulty when attempting to justify scientific claims, therefore, finding a way to support scientific explanations as a teacher is a worthwhile pursuit. </w:t>
      </w:r>
    </w:p>
    <w:p w14:paraId="38DF13BD" w14:textId="770BE118" w:rsidR="54E731FD" w:rsidRPr="004C5DE5" w:rsidRDefault="54E731FD" w:rsidP="54E731FD">
      <w:pPr>
        <w:spacing w:line="360" w:lineRule="auto"/>
        <w:rPr>
          <w:rFonts w:ascii="Arial" w:eastAsia="Arial" w:hAnsi="Arial" w:cs="Arial"/>
          <w:sz w:val="24"/>
          <w:szCs w:val="24"/>
        </w:rPr>
      </w:pPr>
    </w:p>
    <w:p w14:paraId="4ACECDA3" w14:textId="20EDDA2F"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Figure 1 below shows the general form of CER framework which was used in this research. This was not the final form used by pupils, as will be discussed shortly, but it is clearly segmented into different areas for the points, evidence and related explanations. This framework has an additional area dedicated to the overall topic of the writing which could </w:t>
      </w:r>
      <w:proofErr w:type="gramStart"/>
      <w:r w:rsidRPr="004C5DE5">
        <w:rPr>
          <w:rFonts w:ascii="Arial" w:eastAsia="Arial" w:hAnsi="Arial" w:cs="Arial"/>
          <w:sz w:val="24"/>
          <w:szCs w:val="24"/>
        </w:rPr>
        <w:t>be seen as</w:t>
      </w:r>
      <w:proofErr w:type="gramEnd"/>
      <w:r w:rsidRPr="004C5DE5">
        <w:rPr>
          <w:rFonts w:ascii="Arial" w:eastAsia="Arial" w:hAnsi="Arial" w:cs="Arial"/>
          <w:sz w:val="24"/>
          <w:szCs w:val="24"/>
        </w:rPr>
        <w:t xml:space="preserve"> unnecessary, as it is not a common feature of the CER model and its variants. However, it may link to Bruner (1978) and his idea of </w:t>
      </w:r>
      <w:r w:rsidRPr="004C5DE5">
        <w:rPr>
          <w:rFonts w:ascii="Arial" w:eastAsia="Arial" w:hAnsi="Arial" w:cs="Arial"/>
          <w:sz w:val="24"/>
          <w:szCs w:val="24"/>
        </w:rPr>
        <w:lastRenderedPageBreak/>
        <w:t xml:space="preserve">scaffolding. By making sure pupils are constantly reminded of the topic at hand, the freedom in task is restricted and they may be less tempted to diverge in their writing. </w:t>
      </w:r>
    </w:p>
    <w:p w14:paraId="143A1FF9" w14:textId="7F22DE47" w:rsidR="54E731FD" w:rsidRPr="004C5DE5" w:rsidRDefault="54E731FD" w:rsidP="54E731FD">
      <w:pPr>
        <w:spacing w:line="360" w:lineRule="auto"/>
        <w:rPr>
          <w:rFonts w:ascii="Arial" w:eastAsia="Arial" w:hAnsi="Arial" w:cs="Arial"/>
          <w:sz w:val="24"/>
          <w:szCs w:val="24"/>
        </w:rPr>
      </w:pPr>
    </w:p>
    <w:p w14:paraId="436324B7" w14:textId="5AC1A23F" w:rsidR="54E731FD" w:rsidRPr="004C5DE5" w:rsidRDefault="54E731FD" w:rsidP="54E731FD">
      <w:pPr>
        <w:spacing w:line="360" w:lineRule="auto"/>
        <w:jc w:val="center"/>
        <w:rPr>
          <w:rFonts w:ascii="Arial" w:eastAsia="Arial" w:hAnsi="Arial" w:cs="Arial"/>
          <w:sz w:val="24"/>
          <w:szCs w:val="24"/>
        </w:rPr>
      </w:pPr>
      <w:r w:rsidRPr="004C5DE5">
        <w:rPr>
          <w:noProof/>
        </w:rPr>
        <w:drawing>
          <wp:inline distT="0" distB="0" distL="0" distR="0" wp14:anchorId="531A9EA6" wp14:editId="6DF73E87">
            <wp:extent cx="4819926" cy="3563491"/>
            <wp:effectExtent l="0" t="0" r="0" b="0"/>
            <wp:docPr id="1968717050" name="Picture 1968717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819926" cy="3563491"/>
                    </a:xfrm>
                    <a:prstGeom prst="rect">
                      <a:avLst/>
                    </a:prstGeom>
                  </pic:spPr>
                </pic:pic>
              </a:graphicData>
            </a:graphic>
          </wp:inline>
        </w:drawing>
      </w:r>
    </w:p>
    <w:p w14:paraId="3817D1FC" w14:textId="441526DB" w:rsidR="54E731FD" w:rsidRPr="004C5DE5" w:rsidRDefault="54E731FD" w:rsidP="54E731FD">
      <w:pPr>
        <w:spacing w:line="360" w:lineRule="auto"/>
        <w:jc w:val="center"/>
        <w:rPr>
          <w:rFonts w:ascii="Arial" w:eastAsia="Arial" w:hAnsi="Arial" w:cs="Arial"/>
          <w:i/>
          <w:iCs/>
          <w:sz w:val="24"/>
          <w:szCs w:val="24"/>
        </w:rPr>
      </w:pPr>
      <w:r w:rsidRPr="004C5DE5">
        <w:rPr>
          <w:rFonts w:ascii="Arial" w:eastAsia="Arial" w:hAnsi="Arial" w:cs="Arial"/>
          <w:i/>
          <w:iCs/>
          <w:sz w:val="24"/>
          <w:szCs w:val="24"/>
        </w:rPr>
        <w:t>Figure 1: A general template for a CER writing framework.</w:t>
      </w:r>
    </w:p>
    <w:p w14:paraId="5B49516B" w14:textId="72FDF58E" w:rsidR="54E731FD" w:rsidRPr="004C5DE5" w:rsidRDefault="54E731FD" w:rsidP="54E731FD">
      <w:pPr>
        <w:spacing w:line="360" w:lineRule="auto"/>
        <w:rPr>
          <w:rFonts w:ascii="Arial" w:eastAsia="Arial" w:hAnsi="Arial" w:cs="Arial"/>
          <w:i/>
          <w:iCs/>
          <w:sz w:val="24"/>
          <w:szCs w:val="24"/>
        </w:rPr>
      </w:pPr>
    </w:p>
    <w:p w14:paraId="2F4875FA" w14:textId="5252B292"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The generic nature of this framework means it could be used in </w:t>
      </w:r>
      <w:proofErr w:type="gramStart"/>
      <w:r w:rsidRPr="004C5DE5">
        <w:rPr>
          <w:rFonts w:ascii="Arial" w:eastAsia="Arial" w:hAnsi="Arial" w:cs="Arial"/>
          <w:sz w:val="24"/>
          <w:szCs w:val="24"/>
        </w:rPr>
        <w:t>a number of</w:t>
      </w:r>
      <w:proofErr w:type="gramEnd"/>
      <w:r w:rsidRPr="004C5DE5">
        <w:rPr>
          <w:rFonts w:ascii="Arial" w:eastAsia="Arial" w:hAnsi="Arial" w:cs="Arial"/>
          <w:sz w:val="24"/>
          <w:szCs w:val="24"/>
        </w:rPr>
        <w:t xml:space="preserve"> different subjects, regardless of the actual content which a question requires. Therefore, as stated by McNeil &amp; </w:t>
      </w:r>
      <w:proofErr w:type="spellStart"/>
      <w:r w:rsidRPr="004C5DE5">
        <w:rPr>
          <w:rFonts w:ascii="Arial" w:eastAsia="Arial" w:hAnsi="Arial" w:cs="Arial"/>
          <w:sz w:val="24"/>
          <w:szCs w:val="24"/>
        </w:rPr>
        <w:t>Krajcik</w:t>
      </w:r>
      <w:proofErr w:type="spellEnd"/>
      <w:r w:rsidRPr="004C5DE5">
        <w:rPr>
          <w:rFonts w:ascii="Arial" w:eastAsia="Arial" w:hAnsi="Arial" w:cs="Arial"/>
          <w:sz w:val="24"/>
          <w:szCs w:val="24"/>
        </w:rPr>
        <w:t xml:space="preserve"> (2009), these templates can be a good way to introduce proper writing technique to pupils, making sure they are explicitly aware of the need for a claim, evidence and reasoning in their writing. If pupils are made aware of this general format, McNeil &amp; </w:t>
      </w:r>
      <w:proofErr w:type="spellStart"/>
      <w:r w:rsidRPr="004C5DE5">
        <w:rPr>
          <w:rFonts w:ascii="Arial" w:eastAsia="Arial" w:hAnsi="Arial" w:cs="Arial"/>
          <w:sz w:val="24"/>
          <w:szCs w:val="24"/>
        </w:rPr>
        <w:t>Krajcik</w:t>
      </w:r>
      <w:proofErr w:type="spellEnd"/>
      <w:r w:rsidRPr="004C5DE5">
        <w:rPr>
          <w:rFonts w:ascii="Arial" w:eastAsia="Arial" w:hAnsi="Arial" w:cs="Arial"/>
          <w:sz w:val="24"/>
          <w:szCs w:val="24"/>
        </w:rPr>
        <w:t xml:space="preserve"> (2009) found that the use of scaffolding which is more context-specific can be more successful in supporting scientific explanation. The term context-specific in this case means that the scaffold contains hints and key words relating to the question that is being asked, which then provides pupils with a better idea of what knowledge they will need to access and utilise in their writing. As a result of these findings, I adapted the generic framework (Figure 1) to be more context-specific as seen in Figure 2, with improved pupil results being the intention of this change. This was the final version used in the research which aimed to make </w:t>
      </w:r>
      <w:r w:rsidRPr="004C5DE5">
        <w:rPr>
          <w:rFonts w:ascii="Arial" w:eastAsia="Arial" w:hAnsi="Arial" w:cs="Arial"/>
          <w:sz w:val="24"/>
          <w:szCs w:val="24"/>
        </w:rPr>
        <w:lastRenderedPageBreak/>
        <w:t xml:space="preserve">pupils think about the inhalation and exhalation of different gases in the human body and how the relative compositions of these gases change due to respiration. </w:t>
      </w:r>
    </w:p>
    <w:p w14:paraId="0DC93B4B" w14:textId="362C3B88" w:rsidR="54E731FD" w:rsidRPr="004C5DE5" w:rsidRDefault="54E731FD" w:rsidP="54E731FD">
      <w:pPr>
        <w:spacing w:line="360" w:lineRule="auto"/>
        <w:jc w:val="center"/>
        <w:rPr>
          <w:rFonts w:ascii="Arial" w:eastAsia="Arial" w:hAnsi="Arial" w:cs="Arial"/>
          <w:sz w:val="24"/>
          <w:szCs w:val="24"/>
        </w:rPr>
      </w:pPr>
    </w:p>
    <w:p w14:paraId="27165CCF" w14:textId="784D04EB" w:rsidR="54E731FD" w:rsidRPr="004C5DE5" w:rsidRDefault="54E731FD" w:rsidP="54E731FD">
      <w:pPr>
        <w:spacing w:line="360" w:lineRule="auto"/>
        <w:jc w:val="center"/>
        <w:rPr>
          <w:rFonts w:ascii="Arial" w:eastAsia="Arial" w:hAnsi="Arial" w:cs="Arial"/>
          <w:sz w:val="24"/>
          <w:szCs w:val="24"/>
        </w:rPr>
      </w:pPr>
      <w:r w:rsidRPr="004C5DE5">
        <w:rPr>
          <w:noProof/>
        </w:rPr>
        <w:drawing>
          <wp:inline distT="0" distB="0" distL="0" distR="0" wp14:anchorId="24DDD91C" wp14:editId="55CC5991">
            <wp:extent cx="4572000" cy="3248025"/>
            <wp:effectExtent l="0" t="0" r="0" b="0"/>
            <wp:docPr id="1073403421" name="Picture 1073403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inline>
        </w:drawing>
      </w:r>
    </w:p>
    <w:p w14:paraId="5D45B889" w14:textId="138C4C23" w:rsidR="54E731FD" w:rsidRPr="004C5DE5" w:rsidRDefault="54E731FD" w:rsidP="54E731FD">
      <w:pPr>
        <w:spacing w:line="360" w:lineRule="auto"/>
        <w:jc w:val="center"/>
        <w:rPr>
          <w:rFonts w:ascii="Arial" w:eastAsia="Arial" w:hAnsi="Arial" w:cs="Arial"/>
          <w:i/>
          <w:iCs/>
          <w:sz w:val="24"/>
          <w:szCs w:val="24"/>
        </w:rPr>
      </w:pPr>
      <w:r w:rsidRPr="004C5DE5">
        <w:rPr>
          <w:rFonts w:ascii="Arial" w:eastAsia="Arial" w:hAnsi="Arial" w:cs="Arial"/>
          <w:i/>
          <w:iCs/>
          <w:sz w:val="24"/>
          <w:szCs w:val="24"/>
        </w:rPr>
        <w:t>Figure 2: The context-specific CER framework which was used during research.</w:t>
      </w:r>
    </w:p>
    <w:p w14:paraId="36047A15" w14:textId="547767A1" w:rsidR="54E731FD" w:rsidRPr="004C5DE5" w:rsidRDefault="54E731FD" w:rsidP="54E731FD">
      <w:pPr>
        <w:spacing w:line="360" w:lineRule="auto"/>
        <w:jc w:val="center"/>
        <w:rPr>
          <w:rFonts w:ascii="Arial" w:eastAsia="Arial" w:hAnsi="Arial" w:cs="Arial"/>
          <w:i/>
          <w:iCs/>
          <w:sz w:val="24"/>
          <w:szCs w:val="24"/>
        </w:rPr>
      </w:pPr>
    </w:p>
    <w:p w14:paraId="3B1CD706" w14:textId="0BE99E40"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After the pupils were given this framework and explicitly taught about its design and how to use it, they were then able to attempt the post-test phase of the research. The post-test consisted of the same question and time constraints found in the pre-test, with the availability of a writing scaffold to pupils being the only difference. Ideally, the post-test should have used a different question to avoid the risk of pupils revising the question in between testing phases or remembering their previous answers during the post-test. However, if a different question was used, there may be a difference in actual or perceived difficulty level between the two tests, making true comparisons of pupils’ pre-test and post-test more difficult to gauge. Due to this, I decided that keeping the pupils’ answers and their corresponding marks confidential throughout the research was the best way to get an accurate set of results. These results are presented below in form of two pie charts, one for the pre-test scores (Figure 3) and a similar chart for the post-test (Figure 4).</w:t>
      </w:r>
    </w:p>
    <w:p w14:paraId="1B443770" w14:textId="5264B85D" w:rsidR="54E731FD" w:rsidRPr="004C5DE5" w:rsidRDefault="54E731FD" w:rsidP="54E731FD">
      <w:pPr>
        <w:spacing w:line="360" w:lineRule="auto"/>
        <w:rPr>
          <w:rFonts w:ascii="Arial" w:eastAsia="Arial" w:hAnsi="Arial" w:cs="Arial"/>
          <w:sz w:val="24"/>
          <w:szCs w:val="24"/>
        </w:rPr>
      </w:pPr>
    </w:p>
    <w:p w14:paraId="0100DCFA" w14:textId="1DCA4707" w:rsidR="54E731FD" w:rsidRPr="004C5DE5" w:rsidRDefault="54E731FD" w:rsidP="54E731FD">
      <w:pPr>
        <w:jc w:val="center"/>
        <w:rPr>
          <w:rFonts w:ascii="Arial" w:eastAsia="Arial" w:hAnsi="Arial" w:cs="Arial"/>
          <w:sz w:val="24"/>
          <w:szCs w:val="24"/>
        </w:rPr>
      </w:pPr>
      <w:r w:rsidRPr="004C5DE5">
        <w:rPr>
          <w:noProof/>
        </w:rPr>
        <w:lastRenderedPageBreak/>
        <w:drawing>
          <wp:inline distT="0" distB="0" distL="0" distR="0" wp14:anchorId="56A7BB85" wp14:editId="2EBA9B32">
            <wp:extent cx="4328556" cy="2748673"/>
            <wp:effectExtent l="0" t="0" r="0" b="0"/>
            <wp:docPr id="1870258416" name="Picture 1870258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328556" cy="2748673"/>
                    </a:xfrm>
                    <a:prstGeom prst="rect">
                      <a:avLst/>
                    </a:prstGeom>
                  </pic:spPr>
                </pic:pic>
              </a:graphicData>
            </a:graphic>
          </wp:inline>
        </w:drawing>
      </w:r>
    </w:p>
    <w:p w14:paraId="4A180423" w14:textId="0B587711" w:rsidR="54E731FD" w:rsidRPr="004C5DE5" w:rsidRDefault="54E731FD" w:rsidP="54E731FD">
      <w:pPr>
        <w:jc w:val="center"/>
        <w:rPr>
          <w:rFonts w:ascii="Arial" w:eastAsia="Arial" w:hAnsi="Arial" w:cs="Arial"/>
          <w:i/>
          <w:iCs/>
          <w:sz w:val="24"/>
          <w:szCs w:val="24"/>
        </w:rPr>
      </w:pPr>
      <w:r w:rsidRPr="004C5DE5">
        <w:rPr>
          <w:rFonts w:ascii="Arial" w:eastAsia="Arial" w:hAnsi="Arial" w:cs="Arial"/>
          <w:i/>
          <w:iCs/>
          <w:sz w:val="24"/>
          <w:szCs w:val="24"/>
        </w:rPr>
        <w:t>Figure 3.</w:t>
      </w:r>
    </w:p>
    <w:p w14:paraId="1744E23C" w14:textId="5FF7D8E0" w:rsidR="54E731FD" w:rsidRPr="004C5DE5" w:rsidRDefault="54E731FD" w:rsidP="54E731FD">
      <w:pPr>
        <w:jc w:val="center"/>
        <w:rPr>
          <w:rFonts w:ascii="Arial" w:eastAsia="Arial" w:hAnsi="Arial" w:cs="Arial"/>
          <w:i/>
          <w:iCs/>
          <w:sz w:val="24"/>
          <w:szCs w:val="24"/>
        </w:rPr>
      </w:pPr>
    </w:p>
    <w:p w14:paraId="10C152CA" w14:textId="5A2907E8" w:rsidR="54E731FD" w:rsidRPr="004C5DE5" w:rsidRDefault="54E731FD" w:rsidP="54E731FD">
      <w:pPr>
        <w:jc w:val="center"/>
        <w:rPr>
          <w:rFonts w:ascii="Arial" w:eastAsia="Arial" w:hAnsi="Arial" w:cs="Arial"/>
          <w:sz w:val="24"/>
          <w:szCs w:val="24"/>
        </w:rPr>
      </w:pPr>
      <w:r w:rsidRPr="004C5DE5">
        <w:rPr>
          <w:noProof/>
        </w:rPr>
        <w:drawing>
          <wp:inline distT="0" distB="0" distL="0" distR="0" wp14:anchorId="6C4DD17D" wp14:editId="3C66A4E4">
            <wp:extent cx="4271713" cy="2619375"/>
            <wp:effectExtent l="0" t="0" r="0" b="0"/>
            <wp:docPr id="479180838" name="Picture 479180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271713" cy="2619375"/>
                    </a:xfrm>
                    <a:prstGeom prst="rect">
                      <a:avLst/>
                    </a:prstGeom>
                  </pic:spPr>
                </pic:pic>
              </a:graphicData>
            </a:graphic>
          </wp:inline>
        </w:drawing>
      </w:r>
    </w:p>
    <w:p w14:paraId="06940AA0" w14:textId="43BDD3A8" w:rsidR="54E731FD" w:rsidRPr="004C5DE5" w:rsidRDefault="54E731FD" w:rsidP="54E731FD">
      <w:pPr>
        <w:jc w:val="center"/>
        <w:rPr>
          <w:rFonts w:ascii="Arial" w:eastAsia="Arial" w:hAnsi="Arial" w:cs="Arial"/>
          <w:i/>
          <w:iCs/>
          <w:sz w:val="24"/>
          <w:szCs w:val="24"/>
        </w:rPr>
      </w:pPr>
      <w:r w:rsidRPr="004C5DE5">
        <w:rPr>
          <w:rFonts w:ascii="Arial" w:eastAsia="Arial" w:hAnsi="Arial" w:cs="Arial"/>
          <w:i/>
          <w:iCs/>
          <w:sz w:val="24"/>
          <w:szCs w:val="24"/>
        </w:rPr>
        <w:t>Figure 4.</w:t>
      </w:r>
    </w:p>
    <w:p w14:paraId="30AB53A6" w14:textId="1B058E36" w:rsidR="54E731FD" w:rsidRPr="004C5DE5" w:rsidRDefault="54E731FD" w:rsidP="54E731FD">
      <w:pPr>
        <w:spacing w:line="360" w:lineRule="auto"/>
        <w:jc w:val="center"/>
        <w:rPr>
          <w:rFonts w:ascii="Arial" w:eastAsia="Arial" w:hAnsi="Arial" w:cs="Arial"/>
          <w:i/>
          <w:iCs/>
          <w:sz w:val="24"/>
          <w:szCs w:val="24"/>
        </w:rPr>
      </w:pPr>
    </w:p>
    <w:p w14:paraId="0AC267B2" w14:textId="107FF99B"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From Figure 3 we can see that a relatively high proportion of pupils in the class (55%) achieved 0 marks out of possible 6 in the pre-test. Many of these pupils did not attempt to answer the question at all, with one pupil expressing their confusion by writing down “I don’t get it”. This appears to be a clear demonstration of the difficulties that students have when trying to express their scientific ideas, as previously mentioned by McNeil &amp; </w:t>
      </w:r>
      <w:proofErr w:type="spellStart"/>
      <w:r w:rsidRPr="004C5DE5">
        <w:rPr>
          <w:rFonts w:ascii="Arial" w:eastAsia="Arial" w:hAnsi="Arial" w:cs="Arial"/>
          <w:sz w:val="24"/>
          <w:szCs w:val="24"/>
        </w:rPr>
        <w:t>Krajcik</w:t>
      </w:r>
      <w:proofErr w:type="spellEnd"/>
      <w:r w:rsidRPr="004C5DE5">
        <w:rPr>
          <w:rFonts w:ascii="Arial" w:eastAsia="Arial" w:hAnsi="Arial" w:cs="Arial"/>
          <w:sz w:val="24"/>
          <w:szCs w:val="24"/>
        </w:rPr>
        <w:t xml:space="preserve"> (2008). Nevertheless, I found these results surprisingly poor, as the topic had only recently been covered and pupils seemed to be comfortable with its underlying concepts and facts whilst it was being taught in </w:t>
      </w:r>
      <w:r w:rsidRPr="004C5DE5">
        <w:rPr>
          <w:rFonts w:ascii="Arial" w:eastAsia="Arial" w:hAnsi="Arial" w:cs="Arial"/>
          <w:sz w:val="24"/>
          <w:szCs w:val="24"/>
        </w:rPr>
        <w:lastRenderedPageBreak/>
        <w:t>class. Out of a total of 31 pupils, only 2 managed to produce answers which were deemed to be in the top marking band, between 5 and 6 marks. This possibly indicates that many of the pupils were unaware of what features and key points needed to be included in their answer, which therefore prevented them from scoring these top marks.</w:t>
      </w:r>
      <w:bookmarkStart w:id="0" w:name="_GoBack"/>
      <w:bookmarkEnd w:id="0"/>
    </w:p>
    <w:p w14:paraId="60B52689" w14:textId="325CDDB3" w:rsidR="54E731FD" w:rsidRPr="004C5DE5" w:rsidRDefault="54E731FD" w:rsidP="54E731FD">
      <w:pPr>
        <w:spacing w:line="360" w:lineRule="auto"/>
        <w:rPr>
          <w:rFonts w:ascii="Arial" w:eastAsia="Arial" w:hAnsi="Arial" w:cs="Arial"/>
          <w:sz w:val="24"/>
          <w:szCs w:val="24"/>
        </w:rPr>
      </w:pPr>
    </w:p>
    <w:p w14:paraId="51A9E30E" w14:textId="7DF4C2F1"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When looking at the post-test results in Figure 4, one can immediately notice the lack of a fourth category for 0 marks in the pie chart. This means that all pupils attempted the question and provided answers worthy of at least 1 mark, which is a significant improvement over the pre-test performance. Moreover, the proportion of pupils achieving either 5 or 6 marks has increased, showing a much greater understanding of the question’s success criteria amongst the cohort. When analysing the mean average marks for each test, there was an increase from 1.32 in the pre-test to 4.16 in the post-test (Figure 5). This corresponds to the class moving from the lowest marking band of 1-2 marks, up to the middle marking band of 3-4, with many pupils achieving greater marks than this. I believe this increase is a significant one, however, the large amount of 0-mark answers in the pre-test had a large impact on lowering the class average mark. I suspect that some of the pupils in this case were not taking the test seriously and may well have achieved more marks if additional measures, such as stricter testing conditions, were put into place. </w:t>
      </w:r>
    </w:p>
    <w:p w14:paraId="05784A24" w14:textId="508EA236" w:rsidR="54E731FD" w:rsidRPr="004C5DE5" w:rsidRDefault="54E731FD" w:rsidP="54E731FD">
      <w:pPr>
        <w:jc w:val="center"/>
      </w:pPr>
      <w:r w:rsidRPr="004C5DE5">
        <w:rPr>
          <w:noProof/>
        </w:rPr>
        <w:drawing>
          <wp:inline distT="0" distB="0" distL="0" distR="0" wp14:anchorId="011D0018" wp14:editId="3B6304F9">
            <wp:extent cx="4690714" cy="2895600"/>
            <wp:effectExtent l="0" t="0" r="0" b="0"/>
            <wp:docPr id="481604516" name="Picture 481604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690714" cy="2895600"/>
                    </a:xfrm>
                    <a:prstGeom prst="rect">
                      <a:avLst/>
                    </a:prstGeom>
                  </pic:spPr>
                </pic:pic>
              </a:graphicData>
            </a:graphic>
          </wp:inline>
        </w:drawing>
      </w:r>
    </w:p>
    <w:p w14:paraId="2DAA9BCF" w14:textId="3AF7F76C" w:rsidR="54E731FD" w:rsidRPr="004C5DE5" w:rsidRDefault="54E731FD" w:rsidP="004C5DE5">
      <w:pPr>
        <w:spacing w:line="360" w:lineRule="auto"/>
        <w:jc w:val="center"/>
        <w:rPr>
          <w:rFonts w:ascii="Arial" w:eastAsia="Arial" w:hAnsi="Arial" w:cs="Arial"/>
          <w:sz w:val="24"/>
          <w:szCs w:val="24"/>
        </w:rPr>
      </w:pPr>
      <w:r w:rsidRPr="004C5DE5">
        <w:rPr>
          <w:rFonts w:ascii="Arial" w:eastAsia="Arial" w:hAnsi="Arial" w:cs="Arial"/>
          <w:i/>
          <w:iCs/>
          <w:sz w:val="24"/>
          <w:szCs w:val="24"/>
        </w:rPr>
        <w:t>Figure 5.</w:t>
      </w:r>
    </w:p>
    <w:p w14:paraId="371BB173" w14:textId="454C9EEC"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lastRenderedPageBreak/>
        <w:t xml:space="preserve">Overall, the post-test answers from pupils were of a higher writing standard and more of these answers successfully managed to address </w:t>
      </w:r>
      <w:proofErr w:type="gramStart"/>
      <w:r w:rsidRPr="004C5DE5">
        <w:rPr>
          <w:rFonts w:ascii="Arial" w:eastAsia="Arial" w:hAnsi="Arial" w:cs="Arial"/>
          <w:sz w:val="24"/>
          <w:szCs w:val="24"/>
        </w:rPr>
        <w:t>all of</w:t>
      </w:r>
      <w:proofErr w:type="gramEnd"/>
      <w:r w:rsidRPr="004C5DE5">
        <w:rPr>
          <w:rFonts w:ascii="Arial" w:eastAsia="Arial" w:hAnsi="Arial" w:cs="Arial"/>
          <w:sz w:val="24"/>
          <w:szCs w:val="24"/>
        </w:rPr>
        <w:t xml:space="preserve"> the required points which are mentioned in the question’s mark scheme. This result was likely caused by the presence of scaffolding in the post-test, as pupils were made aware of what claims they needed to make and then prompted on what relevant evidence and reasoning would also be required. Interestingly, 2 pupils in the post-test chose to copy out the framework as in Figure 2 and write their answers inside of it, rather than as one continuous piece of extended writing. Perhaps more time needed to be spent explaining and demonstrating the use of the framework in order to avoid this. McNeil &amp; </w:t>
      </w:r>
      <w:proofErr w:type="spellStart"/>
      <w:r w:rsidRPr="004C5DE5">
        <w:rPr>
          <w:rFonts w:ascii="Arial" w:eastAsia="Arial" w:hAnsi="Arial" w:cs="Arial"/>
          <w:sz w:val="24"/>
          <w:szCs w:val="24"/>
        </w:rPr>
        <w:t>Krajcik</w:t>
      </w:r>
      <w:proofErr w:type="spellEnd"/>
      <w:r w:rsidRPr="004C5DE5">
        <w:rPr>
          <w:rFonts w:ascii="Arial" w:eastAsia="Arial" w:hAnsi="Arial" w:cs="Arial"/>
          <w:sz w:val="24"/>
          <w:szCs w:val="24"/>
        </w:rPr>
        <w:t xml:space="preserve"> (2008) also recommend the use of modelling and critiquing answers to help support students in their explanations. By providing a model answer before the post-test, these 2 pupils would have been more aware of the format their answer needed to be in.</w:t>
      </w:r>
    </w:p>
    <w:p w14:paraId="25A690E1" w14:textId="65E347C9" w:rsidR="54E731FD" w:rsidRPr="004C5DE5" w:rsidRDefault="54E731FD" w:rsidP="54E731FD">
      <w:pPr>
        <w:spacing w:line="360" w:lineRule="auto"/>
        <w:rPr>
          <w:rFonts w:ascii="Arial" w:eastAsia="Arial" w:hAnsi="Arial" w:cs="Arial"/>
          <w:sz w:val="24"/>
          <w:szCs w:val="24"/>
        </w:rPr>
      </w:pPr>
    </w:p>
    <w:p w14:paraId="3B394A59" w14:textId="2DA33927" w:rsidR="54E731FD" w:rsidRPr="004C5DE5" w:rsidRDefault="54E731FD" w:rsidP="54E731FD">
      <w:pPr>
        <w:spacing w:line="360" w:lineRule="auto"/>
        <w:rPr>
          <w:rFonts w:ascii="Arial" w:eastAsia="Arial" w:hAnsi="Arial" w:cs="Arial"/>
          <w:b/>
          <w:bCs/>
          <w:sz w:val="24"/>
          <w:szCs w:val="24"/>
          <w:u w:val="single"/>
        </w:rPr>
      </w:pPr>
      <w:r w:rsidRPr="004C5DE5">
        <w:rPr>
          <w:rFonts w:ascii="Arial" w:eastAsia="Arial" w:hAnsi="Arial" w:cs="Arial"/>
          <w:b/>
          <w:bCs/>
          <w:sz w:val="24"/>
          <w:szCs w:val="24"/>
          <w:u w:val="single"/>
        </w:rPr>
        <w:t>Conclusion</w:t>
      </w:r>
    </w:p>
    <w:p w14:paraId="0CD48A26" w14:textId="2577FFDD"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In summary, this action research was aimed at answering the question “How can literacy and writing skills be improved in Science?”. Based on findings and recommendations from literature, a context-specific CER framework was created and implemented within a single group pre-test and post-test methodology. After the writing intervention, pupils’ average test scores increased by 2.84 marks out of a possible 6. I believe that this increase is one which is significant and is unlikely to be just a random occurrence. The limitations of this research’s design have already been partially discussed in the methodology section of this assignment, but the general findings seem to show that scaffolding pupils’ writing can have positive impacts, which is to be expected as it aligns with the consensus of educational literature. On a more personal level, I have also observed pupils showing a good sense of engagement with the scaffolding tools and becoming more confident in their writing skills as a result of them. These positive findings will have lasting impacts on my future practice as a teacher, as I will undoubtedly encounter more pupils who struggle with writing in a scientific context. For instance, I may choose to utilise a generic CER framework in all future Science lessons, so that pupils are aware of the thought processes which are needed to help form a scientific explanation. Its use </w:t>
      </w:r>
      <w:r w:rsidRPr="004C5DE5">
        <w:rPr>
          <w:rFonts w:ascii="Arial" w:eastAsia="Arial" w:hAnsi="Arial" w:cs="Arial"/>
          <w:sz w:val="24"/>
          <w:szCs w:val="24"/>
        </w:rPr>
        <w:lastRenderedPageBreak/>
        <w:t>may also be extended beyond the realm of writing, as it could be a useful tool for structured oral debates and conversations within lessons, forcing pupils to rationalise their opinions with scientific theory.</w:t>
      </w:r>
    </w:p>
    <w:p w14:paraId="295E5630" w14:textId="064F2FF3" w:rsidR="54E731FD" w:rsidRPr="004C5DE5" w:rsidRDefault="54E731FD" w:rsidP="54E731FD">
      <w:pPr>
        <w:spacing w:line="360" w:lineRule="auto"/>
        <w:rPr>
          <w:rFonts w:ascii="Arial" w:eastAsia="Arial" w:hAnsi="Arial" w:cs="Arial"/>
          <w:sz w:val="24"/>
          <w:szCs w:val="24"/>
        </w:rPr>
      </w:pPr>
    </w:p>
    <w:p w14:paraId="1775912A" w14:textId="61519890"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sz w:val="24"/>
          <w:szCs w:val="24"/>
        </w:rPr>
        <w:t xml:space="preserve">Another area of interest would be the use of a similar and perhaps simplified framework within classes of younger pupils, such as those in year 7. If pupils had a consistent exposure to the CER framework throughout their education, then perhaps the prospect of extended response within GCSE papers would become less daunting to many of them. On the other hand, it seems that there is a possibility that pupils may become over reliant on such scaffolding if exposed to it for a long period of time. Therefore, it would be worthwhile to carry out a research project over a much longer timescale in order to assess the long-term impacts of scaffolding on academic achievement. It may also be interesting within my teaching practice to try expanding upon the idea of wider implementation by making such a framework consistently present across an entire school, thus promoting higher standards of literacy and extended writing within all relevant subject areas. </w:t>
      </w:r>
    </w:p>
    <w:p w14:paraId="3A7ED1CB" w14:textId="6BE9DE63" w:rsidR="54E731FD" w:rsidRPr="004C5DE5" w:rsidRDefault="54E731FD" w:rsidP="54E731FD">
      <w:pPr>
        <w:spacing w:line="360" w:lineRule="auto"/>
        <w:rPr>
          <w:rFonts w:ascii="Arial" w:eastAsia="Arial" w:hAnsi="Arial" w:cs="Arial"/>
          <w:sz w:val="24"/>
          <w:szCs w:val="24"/>
        </w:rPr>
      </w:pPr>
    </w:p>
    <w:p w14:paraId="0CED8D91" w14:textId="4B5D4516" w:rsidR="54E731FD" w:rsidRPr="004C5DE5" w:rsidRDefault="54E731FD" w:rsidP="54E731FD">
      <w:pPr>
        <w:spacing w:line="360" w:lineRule="auto"/>
        <w:rPr>
          <w:rFonts w:ascii="Arial" w:eastAsia="Arial" w:hAnsi="Arial" w:cs="Arial"/>
          <w:sz w:val="24"/>
          <w:szCs w:val="24"/>
        </w:rPr>
      </w:pPr>
      <w:r w:rsidRPr="004C5DE5">
        <w:rPr>
          <w:rFonts w:ascii="Arial" w:eastAsia="Arial" w:hAnsi="Arial" w:cs="Arial"/>
          <w:b/>
          <w:bCs/>
          <w:sz w:val="24"/>
          <w:szCs w:val="24"/>
          <w:u w:val="single"/>
        </w:rPr>
        <w:t>Limitations and future development</w:t>
      </w:r>
    </w:p>
    <w:p w14:paraId="3D2DB5BA" w14:textId="78873583" w:rsidR="54E731FD" w:rsidRPr="004C5DE5" w:rsidRDefault="54E731FD" w:rsidP="54E731FD">
      <w:pPr>
        <w:spacing w:line="360" w:lineRule="auto"/>
        <w:rPr>
          <w:rFonts w:ascii="Arial" w:eastAsia="Arial" w:hAnsi="Arial" w:cs="Arial"/>
          <w:b/>
          <w:bCs/>
          <w:sz w:val="24"/>
          <w:szCs w:val="24"/>
          <w:u w:val="single"/>
        </w:rPr>
      </w:pPr>
      <w:r w:rsidRPr="004C5DE5">
        <w:rPr>
          <w:rFonts w:ascii="Arial" w:eastAsia="Arial" w:hAnsi="Arial" w:cs="Arial"/>
          <w:sz w:val="24"/>
          <w:szCs w:val="24"/>
        </w:rPr>
        <w:t xml:space="preserve">Having reflected on the findings of this research, I am now aware of some of the alterations I would make if I were to perform a similar action research project in the future. As previously discussed, it would be more effective to use a stratified random sampling technique with a larger sample size, as opposed the smaller sized convenience sample used in this research. This small sample size and a lack of any control group seem to be the major limitations of this </w:t>
      </w:r>
      <w:proofErr w:type="gramStart"/>
      <w:r w:rsidRPr="004C5DE5">
        <w:rPr>
          <w:rFonts w:ascii="Arial" w:eastAsia="Arial" w:hAnsi="Arial" w:cs="Arial"/>
          <w:sz w:val="24"/>
          <w:szCs w:val="24"/>
        </w:rPr>
        <w:t>particular research</w:t>
      </w:r>
      <w:proofErr w:type="gramEnd"/>
      <w:r w:rsidRPr="004C5DE5">
        <w:rPr>
          <w:rFonts w:ascii="Arial" w:eastAsia="Arial" w:hAnsi="Arial" w:cs="Arial"/>
          <w:sz w:val="24"/>
          <w:szCs w:val="24"/>
        </w:rPr>
        <w:t xml:space="preserve"> project. In future, I may wish to further test exactly how effective it is to scaffold pupils’ writing by using a control group along with different sets of pre-test and post-test questions. Hopefully these changes would provide more legitimacy to the findings within this research, although it is impossible to know this without first gathering relevant data using this improved method. </w:t>
      </w:r>
    </w:p>
    <w:p w14:paraId="4CE06FF6" w14:textId="2D0A66DE" w:rsidR="54E731FD" w:rsidRPr="004C5DE5" w:rsidRDefault="54E731FD" w:rsidP="54E731FD">
      <w:pPr>
        <w:spacing w:line="360" w:lineRule="auto"/>
        <w:rPr>
          <w:rFonts w:ascii="Arial" w:eastAsia="Arial" w:hAnsi="Arial" w:cs="Arial"/>
          <w:sz w:val="24"/>
          <w:szCs w:val="24"/>
        </w:rPr>
      </w:pPr>
    </w:p>
    <w:p w14:paraId="3069F20A" w14:textId="641C0D8F" w:rsidR="006568C9" w:rsidRDefault="54E731FD" w:rsidP="54E731FD">
      <w:pPr>
        <w:spacing w:line="360" w:lineRule="auto"/>
        <w:rPr>
          <w:rFonts w:ascii="Arial" w:eastAsia="Arial" w:hAnsi="Arial" w:cs="Arial"/>
          <w:sz w:val="24"/>
          <w:szCs w:val="24"/>
        </w:rPr>
        <w:sectPr w:rsidR="006568C9" w:rsidSect="006568C9">
          <w:headerReference w:type="default" r:id="rId13"/>
          <w:footerReference w:type="default" r:id="rId14"/>
          <w:pgSz w:w="11906" w:h="16838"/>
          <w:pgMar w:top="1440" w:right="1440" w:bottom="1440" w:left="1440" w:header="720" w:footer="397" w:gutter="0"/>
          <w:pgNumType w:start="0"/>
          <w:cols w:space="720"/>
          <w:titlePg/>
          <w:docGrid w:linePitch="360"/>
        </w:sectPr>
      </w:pPr>
      <w:r w:rsidRPr="004C5DE5">
        <w:rPr>
          <w:rFonts w:ascii="Arial" w:eastAsia="Arial" w:hAnsi="Arial" w:cs="Arial"/>
          <w:sz w:val="24"/>
          <w:szCs w:val="24"/>
        </w:rPr>
        <w:lastRenderedPageBreak/>
        <w:t xml:space="preserve">With so much focus being placed on the importance of scaffolding throughout this assignment, it is important to remember that scaffolding should not be a permanent feature in any learning. As stated by Hammond &amp; Gibbons (2005), the use of scaffolding is aimed at helping pupils to learn independently and so the </w:t>
      </w:r>
      <w:proofErr w:type="gramStart"/>
      <w:r w:rsidRPr="004C5DE5">
        <w:rPr>
          <w:rFonts w:ascii="Arial" w:eastAsia="Arial" w:hAnsi="Arial" w:cs="Arial"/>
          <w:sz w:val="24"/>
          <w:szCs w:val="24"/>
        </w:rPr>
        <w:t>ultimate goal</w:t>
      </w:r>
      <w:proofErr w:type="gramEnd"/>
      <w:r w:rsidRPr="004C5DE5">
        <w:rPr>
          <w:rFonts w:ascii="Arial" w:eastAsia="Arial" w:hAnsi="Arial" w:cs="Arial"/>
          <w:sz w:val="24"/>
          <w:szCs w:val="24"/>
        </w:rPr>
        <w:t xml:space="preserve"> for any teacher is to gradually remove their support as leaners become more competent and independent. Pupils need to develop this independence eventually, as there will most certainly be a time in their lives where they are required to write at length with no scaffolding available. A possible future enquiry based around this idea could involve the gradual removal of a writing framework and measuring how pupils’ writing performance within Science is affected during the process of removal. This could then possibly be compared to another group of pupils in which no scaffolding is provided and yet another group of pupils in which the scaffolding is consistently present throughout the research. By making comparisons between the results of the three different groups, one would be able to judge what effect, if any, the presence and/or removal of a given framework has on pupil performanc</w:t>
      </w:r>
      <w:r w:rsidR="006568C9">
        <w:rPr>
          <w:rFonts w:ascii="Arial" w:eastAsia="Arial" w:hAnsi="Arial" w:cs="Arial"/>
          <w:sz w:val="24"/>
          <w:szCs w:val="24"/>
        </w:rPr>
        <w:t>e.</w:t>
      </w:r>
    </w:p>
    <w:p w14:paraId="7E03D213" w14:textId="716FE4D0" w:rsidR="36CE6A12" w:rsidRPr="006568C9" w:rsidRDefault="54E731FD" w:rsidP="54E731FD">
      <w:pPr>
        <w:spacing w:line="276" w:lineRule="auto"/>
        <w:rPr>
          <w:rFonts w:ascii="Arial" w:eastAsia="Arial" w:hAnsi="Arial" w:cs="Arial"/>
          <w:b/>
          <w:sz w:val="24"/>
          <w:szCs w:val="24"/>
          <w:u w:val="single"/>
        </w:rPr>
      </w:pPr>
      <w:r w:rsidRPr="006568C9">
        <w:rPr>
          <w:rFonts w:ascii="Arial" w:eastAsia="Arial" w:hAnsi="Arial" w:cs="Arial"/>
          <w:b/>
          <w:sz w:val="24"/>
          <w:szCs w:val="24"/>
          <w:u w:val="single"/>
        </w:rPr>
        <w:lastRenderedPageBreak/>
        <w:t>References</w:t>
      </w:r>
    </w:p>
    <w:p w14:paraId="16C05DA5" w14:textId="0B921D39" w:rsidR="6A17E756" w:rsidRPr="004C5DE5" w:rsidRDefault="54E731FD" w:rsidP="54E731FD">
      <w:pPr>
        <w:spacing w:line="276" w:lineRule="auto"/>
        <w:rPr>
          <w:rFonts w:ascii="Arial" w:eastAsia="Arial" w:hAnsi="Arial" w:cs="Arial"/>
          <w:sz w:val="24"/>
          <w:szCs w:val="24"/>
        </w:rPr>
      </w:pPr>
      <w:proofErr w:type="spellStart"/>
      <w:r w:rsidRPr="004C5DE5">
        <w:rPr>
          <w:rFonts w:ascii="Arial" w:eastAsia="Arial" w:hAnsi="Arial" w:cs="Arial"/>
          <w:sz w:val="24"/>
          <w:szCs w:val="24"/>
        </w:rPr>
        <w:t>Ary</w:t>
      </w:r>
      <w:proofErr w:type="spellEnd"/>
      <w:r w:rsidRPr="004C5DE5">
        <w:rPr>
          <w:rFonts w:ascii="Arial" w:eastAsia="Arial" w:hAnsi="Arial" w:cs="Arial"/>
          <w:sz w:val="24"/>
          <w:szCs w:val="24"/>
        </w:rPr>
        <w:t>, D., Jacobs, L.C., Irvine, C.K.S. and Walker, D. (2018) Introduction to research in education. Cengage Learning.</w:t>
      </w:r>
    </w:p>
    <w:p w14:paraId="0A277A19" w14:textId="47ADC8D2" w:rsidR="7DD36CA6"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Ball, S.J., Maguire, M. and Braun, A. (2011) How schools do policy: Policy enactments in secondary schools. Routledge.</w:t>
      </w:r>
    </w:p>
    <w:p w14:paraId="5A5EAC7C" w14:textId="1BFB3F13" w:rsidR="03B6F635"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Bell, L., and Nutt, L. (2002) Divided loyalties, divided expectations: Research ethics, professional and occupational responsibilities. Ethics in qualitative research, p. 70-90.</w:t>
      </w:r>
    </w:p>
    <w:p w14:paraId="2A247C56" w14:textId="4749B184" w:rsidR="03B6F635"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BERA (British Educational Research Association) (2011) Ethical guidelines for educational research. [Online] available at:</w:t>
      </w:r>
      <w:hyperlink r:id="rId15">
        <w:r w:rsidRPr="004C5DE5">
          <w:rPr>
            <w:rStyle w:val="Hyperlink"/>
            <w:rFonts w:ascii="Arial" w:eastAsia="Arial" w:hAnsi="Arial" w:cs="Arial"/>
            <w:color w:val="auto"/>
            <w:sz w:val="24"/>
            <w:szCs w:val="24"/>
          </w:rPr>
          <w:t>https://www.bera.ac.uk/wp-content/uploads/2014/02/BERA-Ethical-Guidelines-2011.pdf?noredirect=1</w:t>
        </w:r>
      </w:hyperlink>
      <w:r w:rsidRPr="004C5DE5">
        <w:rPr>
          <w:rFonts w:ascii="Arial" w:eastAsia="Arial" w:hAnsi="Arial" w:cs="Arial"/>
          <w:sz w:val="24"/>
          <w:szCs w:val="24"/>
        </w:rPr>
        <w:t xml:space="preserve"> [accessed on 14/04/19]</w:t>
      </w:r>
    </w:p>
    <w:p w14:paraId="339E08F2" w14:textId="49B08F9E" w:rsidR="03B6F635"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Brooks, R., </w:t>
      </w:r>
      <w:proofErr w:type="spellStart"/>
      <w:r w:rsidRPr="004C5DE5">
        <w:rPr>
          <w:rFonts w:ascii="Arial" w:eastAsia="Arial" w:hAnsi="Arial" w:cs="Arial"/>
          <w:sz w:val="24"/>
          <w:szCs w:val="24"/>
        </w:rPr>
        <w:t>Te</w:t>
      </w:r>
      <w:proofErr w:type="spellEnd"/>
      <w:r w:rsidRPr="004C5DE5">
        <w:rPr>
          <w:rFonts w:ascii="Arial" w:eastAsia="Arial" w:hAnsi="Arial" w:cs="Arial"/>
          <w:sz w:val="24"/>
          <w:szCs w:val="24"/>
        </w:rPr>
        <w:t xml:space="preserve"> </w:t>
      </w:r>
      <w:proofErr w:type="spellStart"/>
      <w:r w:rsidRPr="004C5DE5">
        <w:rPr>
          <w:rFonts w:ascii="Arial" w:eastAsia="Arial" w:hAnsi="Arial" w:cs="Arial"/>
          <w:sz w:val="24"/>
          <w:szCs w:val="24"/>
        </w:rPr>
        <w:t>Riele</w:t>
      </w:r>
      <w:proofErr w:type="spellEnd"/>
      <w:r w:rsidRPr="004C5DE5">
        <w:rPr>
          <w:rFonts w:ascii="Arial" w:eastAsia="Arial" w:hAnsi="Arial" w:cs="Arial"/>
          <w:sz w:val="24"/>
          <w:szCs w:val="24"/>
        </w:rPr>
        <w:t>, K. and Maguire, M. (2014) Ethics and education research. Sage.</w:t>
      </w:r>
    </w:p>
    <w:p w14:paraId="0D7BDCF8" w14:textId="1C6D2BAC" w:rsidR="54E731FD"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Bruner, J. S. (1978). The role of dialogue in language acquisition. In A. Sinclair, R. </w:t>
      </w:r>
      <w:proofErr w:type="spellStart"/>
      <w:r w:rsidRPr="004C5DE5">
        <w:rPr>
          <w:rFonts w:ascii="Arial" w:eastAsia="Arial" w:hAnsi="Arial" w:cs="Arial"/>
          <w:sz w:val="24"/>
          <w:szCs w:val="24"/>
        </w:rPr>
        <w:t>Jarvella</w:t>
      </w:r>
      <w:proofErr w:type="spellEnd"/>
      <w:r w:rsidRPr="004C5DE5">
        <w:rPr>
          <w:rFonts w:ascii="Arial" w:eastAsia="Arial" w:hAnsi="Arial" w:cs="Arial"/>
          <w:sz w:val="24"/>
          <w:szCs w:val="24"/>
        </w:rPr>
        <w:t xml:space="preserve"> &amp; W. J. M. </w:t>
      </w:r>
      <w:proofErr w:type="spellStart"/>
      <w:r w:rsidRPr="004C5DE5">
        <w:rPr>
          <w:rFonts w:ascii="Arial" w:eastAsia="Arial" w:hAnsi="Arial" w:cs="Arial"/>
          <w:sz w:val="24"/>
          <w:szCs w:val="24"/>
        </w:rPr>
        <w:t>Levelt</w:t>
      </w:r>
      <w:proofErr w:type="spellEnd"/>
      <w:r w:rsidRPr="004C5DE5">
        <w:rPr>
          <w:rFonts w:ascii="Arial" w:eastAsia="Arial" w:hAnsi="Arial" w:cs="Arial"/>
          <w:sz w:val="24"/>
          <w:szCs w:val="24"/>
        </w:rPr>
        <w:t xml:space="preserve"> (Eds.), The child’s conception of language. New York. Springer-Verlag.</w:t>
      </w:r>
    </w:p>
    <w:p w14:paraId="5ABAB6F8" w14:textId="3ED1D74C" w:rsidR="07AC2C41"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Burnett, N. (2005). Education for all: literacy for life; EFA global monitoring report. 2006 Paris: UNESCO.</w:t>
      </w:r>
    </w:p>
    <w:p w14:paraId="770ABF32" w14:textId="15301126" w:rsidR="42382786" w:rsidRPr="004C5DE5" w:rsidRDefault="54E731FD" w:rsidP="54E731FD">
      <w:pPr>
        <w:spacing w:line="276" w:lineRule="auto"/>
        <w:rPr>
          <w:rFonts w:ascii="Arial" w:eastAsia="Arial" w:hAnsi="Arial" w:cs="Arial"/>
          <w:sz w:val="24"/>
          <w:szCs w:val="24"/>
        </w:rPr>
      </w:pPr>
      <w:proofErr w:type="spellStart"/>
      <w:r w:rsidRPr="004C5DE5">
        <w:rPr>
          <w:rFonts w:ascii="Arial" w:eastAsia="Arial" w:hAnsi="Arial" w:cs="Arial"/>
          <w:sz w:val="24"/>
          <w:szCs w:val="24"/>
        </w:rPr>
        <w:t>Carr</w:t>
      </w:r>
      <w:proofErr w:type="spellEnd"/>
      <w:r w:rsidRPr="004C5DE5">
        <w:rPr>
          <w:rFonts w:ascii="Arial" w:eastAsia="Arial" w:hAnsi="Arial" w:cs="Arial"/>
          <w:sz w:val="24"/>
          <w:szCs w:val="24"/>
        </w:rPr>
        <w:t xml:space="preserve"> C., Morris M., Macleod K. &amp; </w:t>
      </w:r>
      <w:proofErr w:type="spellStart"/>
      <w:r w:rsidRPr="004C5DE5">
        <w:rPr>
          <w:rFonts w:ascii="Arial" w:eastAsia="Arial" w:hAnsi="Arial" w:cs="Arial"/>
          <w:sz w:val="24"/>
          <w:szCs w:val="24"/>
        </w:rPr>
        <w:t>Chipato</w:t>
      </w:r>
      <w:proofErr w:type="spellEnd"/>
      <w:r w:rsidRPr="004C5DE5">
        <w:rPr>
          <w:rFonts w:ascii="Arial" w:eastAsia="Arial" w:hAnsi="Arial" w:cs="Arial"/>
          <w:sz w:val="24"/>
          <w:szCs w:val="24"/>
        </w:rPr>
        <w:t xml:space="preserve"> F. (2017) Evaluation of the National Literacy and Numeracy Programmes Final Report. SQW.</w:t>
      </w:r>
    </w:p>
    <w:p w14:paraId="5FC0FAFE" w14:textId="2EF7F192" w:rsidR="5B0C1863"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Coe, R.J. “Conducting your research” in Arthur, J., Waring, M., Coe, R. and Hedges, L.V. (eds) (2012) Research Methods and Methodologies in Education. SAGE.</w:t>
      </w:r>
    </w:p>
    <w:p w14:paraId="0D4819B3" w14:textId="36B88DB1" w:rsidR="6866198F"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DeBoer, G.E. (2000) Scientific literacy: Another look at its historical and contemporary meanings and its relationship to science education reform. Journal of Research in Science Teaching: The Official Journal of the National Association for Research in Science Teaching, 37(6), p. 582-601.</w:t>
      </w:r>
    </w:p>
    <w:p w14:paraId="7E8AD1F4" w14:textId="4F61608C" w:rsidR="5B0C1863"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Dimitrov, D.M. and </w:t>
      </w:r>
      <w:proofErr w:type="spellStart"/>
      <w:r w:rsidRPr="004C5DE5">
        <w:rPr>
          <w:rFonts w:ascii="Arial" w:eastAsia="Arial" w:hAnsi="Arial" w:cs="Arial"/>
          <w:sz w:val="24"/>
          <w:szCs w:val="24"/>
        </w:rPr>
        <w:t>Rumrill</w:t>
      </w:r>
      <w:proofErr w:type="spellEnd"/>
      <w:r w:rsidRPr="004C5DE5">
        <w:rPr>
          <w:rFonts w:ascii="Arial" w:eastAsia="Arial" w:hAnsi="Arial" w:cs="Arial"/>
          <w:sz w:val="24"/>
          <w:szCs w:val="24"/>
        </w:rPr>
        <w:t xml:space="preserve"> Jr, P.D. (2003) </w:t>
      </w:r>
      <w:proofErr w:type="spellStart"/>
      <w:r w:rsidRPr="004C5DE5">
        <w:rPr>
          <w:rFonts w:ascii="Arial" w:eastAsia="Arial" w:hAnsi="Arial" w:cs="Arial"/>
          <w:sz w:val="24"/>
          <w:szCs w:val="24"/>
        </w:rPr>
        <w:t>Pretest-posttest</w:t>
      </w:r>
      <w:proofErr w:type="spellEnd"/>
      <w:r w:rsidRPr="004C5DE5">
        <w:rPr>
          <w:rFonts w:ascii="Arial" w:eastAsia="Arial" w:hAnsi="Arial" w:cs="Arial"/>
          <w:sz w:val="24"/>
          <w:szCs w:val="24"/>
        </w:rPr>
        <w:t xml:space="preserve"> designs and measurement of change. Work, 20(2), p.159-165.</w:t>
      </w:r>
    </w:p>
    <w:p w14:paraId="7F259146" w14:textId="23B0C3AE" w:rsidR="531EF0E7"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Donaldson, G. (2015). Successful Futures: Independent review of curriculum and assessment arrangements in Wales. Cardiff: Wales.</w:t>
      </w:r>
    </w:p>
    <w:p w14:paraId="444E66C5" w14:textId="0D20643B" w:rsidR="6866198F"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EEF (2017) Improving Literacy in Key Stage 2 Guidance Report [Online] available at: </w:t>
      </w:r>
      <w:hyperlink r:id="rId16">
        <w:r w:rsidRPr="004C5DE5">
          <w:rPr>
            <w:rStyle w:val="Hyperlink"/>
            <w:rFonts w:ascii="Arial" w:eastAsia="Arial" w:hAnsi="Arial" w:cs="Arial"/>
            <w:color w:val="auto"/>
            <w:sz w:val="24"/>
            <w:szCs w:val="24"/>
          </w:rPr>
          <w:t>https://educationendowmentfoundation.org.uk/public/files/Publications/Literacy/KS2_Literacy_Guidance_2017.pdf</w:t>
        </w:r>
      </w:hyperlink>
      <w:r w:rsidRPr="004C5DE5">
        <w:rPr>
          <w:rFonts w:ascii="Arial" w:eastAsia="Arial" w:hAnsi="Arial" w:cs="Arial"/>
          <w:sz w:val="24"/>
          <w:szCs w:val="24"/>
        </w:rPr>
        <w:t xml:space="preserve"> [accessed on 07/04/19]</w:t>
      </w:r>
    </w:p>
    <w:p w14:paraId="7D4C4960" w14:textId="4BA084A7" w:rsidR="6866198F"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EEF (2018) Improving Secondary Science Guidance Report [Online] available at: </w:t>
      </w:r>
      <w:hyperlink r:id="rId17">
        <w:r w:rsidRPr="004C5DE5">
          <w:rPr>
            <w:rStyle w:val="Hyperlink"/>
            <w:rFonts w:ascii="Arial" w:eastAsia="Arial" w:hAnsi="Arial" w:cs="Arial"/>
            <w:color w:val="auto"/>
            <w:sz w:val="24"/>
            <w:szCs w:val="24"/>
          </w:rPr>
          <w:t>https://educationendowmentfoundation.org.uk/public/files/Publications/Science/EEF_improving_secondary_science.pdf</w:t>
        </w:r>
      </w:hyperlink>
      <w:r w:rsidRPr="004C5DE5">
        <w:rPr>
          <w:rFonts w:ascii="Arial" w:eastAsia="Arial" w:hAnsi="Arial" w:cs="Arial"/>
          <w:sz w:val="24"/>
          <w:szCs w:val="24"/>
        </w:rPr>
        <w:t xml:space="preserve"> [accessed on 07/04/19]</w:t>
      </w:r>
    </w:p>
    <w:p w14:paraId="2E5FEEBA" w14:textId="7C5A9698" w:rsidR="27A7E605"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lastRenderedPageBreak/>
        <w:t xml:space="preserve">Estyn (2012) Literacy in key stage 3 [Online] available at: </w:t>
      </w:r>
      <w:hyperlink r:id="rId18">
        <w:r w:rsidRPr="004C5DE5">
          <w:rPr>
            <w:rStyle w:val="Hyperlink"/>
            <w:rFonts w:ascii="Arial" w:eastAsia="Arial" w:hAnsi="Arial" w:cs="Arial"/>
            <w:color w:val="auto"/>
            <w:sz w:val="24"/>
            <w:szCs w:val="24"/>
          </w:rPr>
          <w:t>https://www.estyn.gov.wales/sites/default/files/documents/Literacy%20in%20key%20stage%203%20-%20June%202012.pdf</w:t>
        </w:r>
      </w:hyperlink>
      <w:r w:rsidRPr="004C5DE5">
        <w:rPr>
          <w:rFonts w:ascii="Arial" w:eastAsia="Arial" w:hAnsi="Arial" w:cs="Arial"/>
          <w:sz w:val="24"/>
          <w:szCs w:val="24"/>
        </w:rPr>
        <w:t xml:space="preserve"> [accessed on 31/03/19]</w:t>
      </w:r>
    </w:p>
    <w:p w14:paraId="3590B704" w14:textId="7F0332B6" w:rsidR="402E2BAF"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Estyn (2014) The Annual Report of Her Majesty’s Chief Inspector of Education and Training in Wales 2013-2014 [Online] available at: </w:t>
      </w:r>
      <w:hyperlink r:id="rId19">
        <w:r w:rsidRPr="004C5DE5">
          <w:rPr>
            <w:rStyle w:val="Hyperlink"/>
            <w:rFonts w:ascii="Arial" w:eastAsia="Arial" w:hAnsi="Arial" w:cs="Arial"/>
            <w:color w:val="auto"/>
            <w:sz w:val="24"/>
            <w:szCs w:val="24"/>
          </w:rPr>
          <w:t>https://www.estyn.gov.wales/thematic-reports/annual-report-2013-2014</w:t>
        </w:r>
      </w:hyperlink>
      <w:r w:rsidRPr="004C5DE5">
        <w:rPr>
          <w:rFonts w:ascii="Arial" w:eastAsia="Arial" w:hAnsi="Arial" w:cs="Arial"/>
          <w:sz w:val="24"/>
          <w:szCs w:val="24"/>
        </w:rPr>
        <w:t xml:space="preserve"> [accessed on 02/04/19]</w:t>
      </w:r>
    </w:p>
    <w:p w14:paraId="474DD908" w14:textId="5FB813B5" w:rsidR="643EFB95"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Fletcher, S. and Mullen, C.A. eds. (2012) Sage handbook of mentoring and coaching in education. Sage.</w:t>
      </w:r>
    </w:p>
    <w:p w14:paraId="46EE994C" w14:textId="49A56F9F" w:rsidR="6A17E756"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Fraenkel, J.R., Wallen, N.E. and Hyun, H.H. (2011) How to design and evaluate research in education. New York: McGraw-Hill Humanities/Social Sciences/Languages.</w:t>
      </w:r>
    </w:p>
    <w:p w14:paraId="31E4ACA4" w14:textId="26D190F6" w:rsidR="07AC2C41"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Gillard D. (2018) Education in England: a history. [Online] available at: </w:t>
      </w:r>
      <w:hyperlink r:id="rId20">
        <w:r w:rsidRPr="004C5DE5">
          <w:rPr>
            <w:rStyle w:val="Hyperlink"/>
            <w:rFonts w:ascii="Arial" w:eastAsia="Arial" w:hAnsi="Arial" w:cs="Arial"/>
            <w:color w:val="auto"/>
            <w:sz w:val="24"/>
            <w:szCs w:val="24"/>
          </w:rPr>
          <w:t>www.educationengland.org.uk/history</w:t>
        </w:r>
      </w:hyperlink>
      <w:r w:rsidRPr="004C5DE5">
        <w:rPr>
          <w:rFonts w:ascii="Arial" w:eastAsia="Arial" w:hAnsi="Arial" w:cs="Arial"/>
          <w:sz w:val="24"/>
          <w:szCs w:val="24"/>
        </w:rPr>
        <w:t xml:space="preserve"> [accessed on 30/03/2019]</w:t>
      </w:r>
    </w:p>
    <w:p w14:paraId="2924C5D4" w14:textId="7918E604" w:rsidR="6866198F"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Grant, M. and Lapp, D. (2011) Teaching science literacy. Educational Leadership, 68(6). </w:t>
      </w:r>
    </w:p>
    <w:p w14:paraId="0D54C25B" w14:textId="2D47D95A" w:rsidR="6EF27727"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Green, C. (2016) How to Teach Secondary Science. Carmarthen: Independent Thinking Press. p. 67</w:t>
      </w:r>
    </w:p>
    <w:p w14:paraId="02BEC7D2" w14:textId="78AEFB9E" w:rsidR="07AC2C41"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Gross, J. (2009). The </w:t>
      </w:r>
      <w:proofErr w:type="gramStart"/>
      <w:r w:rsidRPr="004C5DE5">
        <w:rPr>
          <w:rFonts w:ascii="Arial" w:eastAsia="Arial" w:hAnsi="Arial" w:cs="Arial"/>
          <w:sz w:val="24"/>
          <w:szCs w:val="24"/>
        </w:rPr>
        <w:t>long term</w:t>
      </w:r>
      <w:proofErr w:type="gramEnd"/>
      <w:r w:rsidRPr="004C5DE5">
        <w:rPr>
          <w:rFonts w:ascii="Arial" w:eastAsia="Arial" w:hAnsi="Arial" w:cs="Arial"/>
          <w:sz w:val="24"/>
          <w:szCs w:val="24"/>
        </w:rPr>
        <w:t xml:space="preserve"> costs of literacy difficulties (2</w:t>
      </w:r>
      <w:r w:rsidRPr="004C5DE5">
        <w:rPr>
          <w:rFonts w:ascii="Arial" w:eastAsia="Arial" w:hAnsi="Arial" w:cs="Arial"/>
          <w:sz w:val="24"/>
          <w:szCs w:val="24"/>
          <w:vertAlign w:val="superscript"/>
        </w:rPr>
        <w:t>nd</w:t>
      </w:r>
      <w:r w:rsidRPr="004C5DE5">
        <w:rPr>
          <w:rFonts w:ascii="Arial" w:eastAsia="Arial" w:hAnsi="Arial" w:cs="Arial"/>
          <w:sz w:val="24"/>
          <w:szCs w:val="24"/>
        </w:rPr>
        <w:t xml:space="preserve"> edition). London: KPMG Foundation.</w:t>
      </w:r>
    </w:p>
    <w:p w14:paraId="6628D3C2" w14:textId="490FCF0C" w:rsidR="03B6F635"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Hammersley, M. (1999). ‘Some reflections on the current state of qualitative research’ Research Intelligence, 70, p. 16-18. </w:t>
      </w:r>
    </w:p>
    <w:p w14:paraId="5B4944B9" w14:textId="758C9BFC" w:rsidR="54E731FD"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Hammond, J. and Gibbons, P. “What is scaffolding?” in Burns, A. and de Silva Joyce H. (eds) (2005) Teachers’ voices, 8. p. 8-16.</w:t>
      </w:r>
    </w:p>
    <w:p w14:paraId="4E95F2A9" w14:textId="29FDD837" w:rsidR="7DD36CA6"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Harris, A. (2002) Effective leadership in schools facing challenging contexts. School Leadership &amp; Management, 22(1), p. 15-26.</w:t>
      </w:r>
    </w:p>
    <w:p w14:paraId="17164F96" w14:textId="7474D426" w:rsidR="42382786"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Her Majesty's Stationary Office (1988). Education Reform Act. London: Her Majesty's Stationary Office.</w:t>
      </w:r>
    </w:p>
    <w:p w14:paraId="1C735CF6" w14:textId="7E38F16D" w:rsidR="65FCBEC5"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Hobbs, G. and </w:t>
      </w:r>
      <w:proofErr w:type="spellStart"/>
      <w:r w:rsidRPr="004C5DE5">
        <w:rPr>
          <w:rFonts w:ascii="Arial" w:eastAsia="Arial" w:hAnsi="Arial" w:cs="Arial"/>
          <w:sz w:val="24"/>
          <w:szCs w:val="24"/>
        </w:rPr>
        <w:t>Vignoles</w:t>
      </w:r>
      <w:proofErr w:type="spellEnd"/>
      <w:r w:rsidRPr="004C5DE5">
        <w:rPr>
          <w:rFonts w:ascii="Arial" w:eastAsia="Arial" w:hAnsi="Arial" w:cs="Arial"/>
          <w:sz w:val="24"/>
          <w:szCs w:val="24"/>
        </w:rPr>
        <w:t>, A., (2007) Is free school meal status a valid proxy for socio-economic status (in schools research)? (No. 84). Centre for the Economics of Education, London School of Economics and Political Science.</w:t>
      </w:r>
    </w:p>
    <w:p w14:paraId="0246EAD4" w14:textId="653D55B2" w:rsidR="285F31BF"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Hopkins, D. (2014) A teacher's guide to classroom research. McGraw-Hill Education UK.</w:t>
      </w:r>
    </w:p>
    <w:p w14:paraId="1CCD69DD" w14:textId="4E7DB2E8" w:rsidR="54E731FD" w:rsidRPr="004C5DE5" w:rsidRDefault="54E731FD" w:rsidP="54E731FD">
      <w:pPr>
        <w:spacing w:beforeAutospacing="1" w:afterAutospacing="1" w:line="276" w:lineRule="auto"/>
        <w:rPr>
          <w:rFonts w:ascii="Arial" w:eastAsia="Arial" w:hAnsi="Arial" w:cs="Arial"/>
          <w:sz w:val="24"/>
          <w:szCs w:val="24"/>
        </w:rPr>
      </w:pPr>
    </w:p>
    <w:p w14:paraId="2640E4EE" w14:textId="22DA14D1" w:rsidR="03B6F635"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lastRenderedPageBreak/>
        <w:t>Jama, D. and Dugdale, G. (2012) Literacy: State of the Nation--A Picture of Literacy in the UK Today. National Literacy Trust.</w:t>
      </w:r>
    </w:p>
    <w:p w14:paraId="3E5AB7F6" w14:textId="769140CE" w:rsidR="2E427368"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Kothari, C.R., (2004). Research methodology: Methods and techniques. New Age International.</w:t>
      </w:r>
    </w:p>
    <w:p w14:paraId="480CB06C" w14:textId="79619EF2" w:rsidR="6866198F" w:rsidRPr="004C5DE5" w:rsidRDefault="54E731FD" w:rsidP="54E731FD">
      <w:pPr>
        <w:spacing w:beforeAutospacing="1" w:afterAutospacing="1" w:line="276" w:lineRule="auto"/>
        <w:rPr>
          <w:rFonts w:ascii="Arial" w:eastAsia="Arial" w:hAnsi="Arial" w:cs="Arial"/>
          <w:sz w:val="24"/>
          <w:szCs w:val="24"/>
        </w:rPr>
      </w:pPr>
      <w:proofErr w:type="spellStart"/>
      <w:r w:rsidRPr="004C5DE5">
        <w:rPr>
          <w:rFonts w:ascii="Arial" w:eastAsia="Arial" w:hAnsi="Arial" w:cs="Arial"/>
          <w:sz w:val="24"/>
          <w:szCs w:val="24"/>
        </w:rPr>
        <w:t>Krajcik</w:t>
      </w:r>
      <w:proofErr w:type="spellEnd"/>
      <w:r w:rsidRPr="004C5DE5">
        <w:rPr>
          <w:rFonts w:ascii="Arial" w:eastAsia="Arial" w:hAnsi="Arial" w:cs="Arial"/>
          <w:sz w:val="24"/>
          <w:szCs w:val="24"/>
        </w:rPr>
        <w:t>, J. and Sutherland, L. (2010). Supporting Students in Developing Literacy in Science. Science, 328(5977), p. 456-459.</w:t>
      </w:r>
    </w:p>
    <w:p w14:paraId="535845B4" w14:textId="131326B3" w:rsidR="6A17E756"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Lewis, M. and Wray, D. (2014) Literacy in the secondary school. David Fulton Publishers.</w:t>
      </w:r>
    </w:p>
    <w:p w14:paraId="05DDA050" w14:textId="4ADEAA28" w:rsidR="5B0C1863"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Marsden, E. and Torgerson, C.J. (2012) Single group, pre-and post-test research designs: Some methodological concerns. Oxford Review of Education, 38(5), p. 583-616.</w:t>
      </w:r>
    </w:p>
    <w:p w14:paraId="2AAFCD66" w14:textId="4496326B" w:rsidR="54E731FD"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McMillan, J.H. (2012) Educational research: Fundamentals for the consumer 6</w:t>
      </w:r>
      <w:r w:rsidRPr="004C5DE5">
        <w:rPr>
          <w:rFonts w:ascii="Arial" w:eastAsia="Arial" w:hAnsi="Arial" w:cs="Arial"/>
          <w:sz w:val="24"/>
          <w:szCs w:val="24"/>
          <w:vertAlign w:val="superscript"/>
        </w:rPr>
        <w:t>th</w:t>
      </w:r>
      <w:r w:rsidRPr="004C5DE5">
        <w:rPr>
          <w:rFonts w:ascii="Arial" w:eastAsia="Arial" w:hAnsi="Arial" w:cs="Arial"/>
          <w:sz w:val="24"/>
          <w:szCs w:val="24"/>
        </w:rPr>
        <w:t xml:space="preserve"> Edition. HarperCollins College Publishers.</w:t>
      </w:r>
    </w:p>
    <w:p w14:paraId="0112B667" w14:textId="76EC4E7D" w:rsidR="54E731FD"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 xml:space="preserve">McNeill, K.L. and </w:t>
      </w:r>
      <w:proofErr w:type="spellStart"/>
      <w:r w:rsidRPr="004C5DE5">
        <w:rPr>
          <w:rFonts w:ascii="Arial" w:eastAsia="Arial" w:hAnsi="Arial" w:cs="Arial"/>
          <w:sz w:val="24"/>
          <w:szCs w:val="24"/>
        </w:rPr>
        <w:t>Krajcik</w:t>
      </w:r>
      <w:proofErr w:type="spellEnd"/>
      <w:r w:rsidRPr="004C5DE5">
        <w:rPr>
          <w:rFonts w:ascii="Arial" w:eastAsia="Arial" w:hAnsi="Arial" w:cs="Arial"/>
          <w:sz w:val="24"/>
          <w:szCs w:val="24"/>
        </w:rPr>
        <w:t xml:space="preserve">, J. “Inquiry and scientific explanations: Helping students use evidence and reasoning” in </w:t>
      </w:r>
      <w:proofErr w:type="spellStart"/>
      <w:r w:rsidRPr="004C5DE5">
        <w:rPr>
          <w:rFonts w:ascii="Arial" w:eastAsia="Arial" w:hAnsi="Arial" w:cs="Arial"/>
          <w:sz w:val="24"/>
          <w:szCs w:val="24"/>
        </w:rPr>
        <w:t>Luft</w:t>
      </w:r>
      <w:proofErr w:type="spellEnd"/>
      <w:r w:rsidRPr="004C5DE5">
        <w:rPr>
          <w:rFonts w:ascii="Arial" w:eastAsia="Arial" w:hAnsi="Arial" w:cs="Arial"/>
          <w:sz w:val="24"/>
          <w:szCs w:val="24"/>
        </w:rPr>
        <w:t xml:space="preserve">, J., Bell, R.L. and </w:t>
      </w:r>
      <w:proofErr w:type="spellStart"/>
      <w:r w:rsidRPr="004C5DE5">
        <w:rPr>
          <w:rFonts w:ascii="Arial" w:eastAsia="Arial" w:hAnsi="Arial" w:cs="Arial"/>
          <w:sz w:val="24"/>
          <w:szCs w:val="24"/>
        </w:rPr>
        <w:t>Gess</w:t>
      </w:r>
      <w:proofErr w:type="spellEnd"/>
      <w:r w:rsidRPr="004C5DE5">
        <w:rPr>
          <w:rFonts w:ascii="Arial" w:eastAsia="Arial" w:hAnsi="Arial" w:cs="Arial"/>
          <w:sz w:val="24"/>
          <w:szCs w:val="24"/>
        </w:rPr>
        <w:t>-Newsome, J. (eds) (2008) Science as inquiry in the secondary setting. NSTA press.</w:t>
      </w:r>
    </w:p>
    <w:p w14:paraId="7D068890" w14:textId="2C97F86F" w:rsidR="42382786"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 xml:space="preserve">McNeill, K.L. and </w:t>
      </w:r>
      <w:proofErr w:type="spellStart"/>
      <w:r w:rsidRPr="004C5DE5">
        <w:rPr>
          <w:rFonts w:ascii="Arial" w:eastAsia="Arial" w:hAnsi="Arial" w:cs="Arial"/>
          <w:sz w:val="24"/>
          <w:szCs w:val="24"/>
        </w:rPr>
        <w:t>Krajcik</w:t>
      </w:r>
      <w:proofErr w:type="spellEnd"/>
      <w:r w:rsidRPr="004C5DE5">
        <w:rPr>
          <w:rFonts w:ascii="Arial" w:eastAsia="Arial" w:hAnsi="Arial" w:cs="Arial"/>
          <w:sz w:val="24"/>
          <w:szCs w:val="24"/>
        </w:rPr>
        <w:t>, J. (2009) Synergy between teacher practices and curricular scaffolds to support students in using domain-specific and domain-general knowledge in writing arguments to explain phenomena. The journal of the learning sciences, 18(3), p. 416-460.</w:t>
      </w:r>
    </w:p>
    <w:p w14:paraId="47432729" w14:textId="6EEFEF8E" w:rsidR="0D328E1D"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 xml:space="preserve">National Literacy Trust (2019a) What is literacy? [Online] available at: </w:t>
      </w:r>
      <w:hyperlink r:id="rId21">
        <w:r w:rsidRPr="004C5DE5">
          <w:rPr>
            <w:rStyle w:val="Hyperlink"/>
            <w:rFonts w:ascii="Arial" w:eastAsia="Arial" w:hAnsi="Arial" w:cs="Arial"/>
            <w:color w:val="auto"/>
            <w:sz w:val="24"/>
            <w:szCs w:val="24"/>
          </w:rPr>
          <w:t>https://literacytrust.org.uk/information/what-is-literacy/</w:t>
        </w:r>
      </w:hyperlink>
      <w:r w:rsidRPr="004C5DE5">
        <w:rPr>
          <w:rFonts w:ascii="Arial" w:eastAsia="Arial" w:hAnsi="Arial" w:cs="Arial"/>
          <w:sz w:val="24"/>
          <w:szCs w:val="24"/>
        </w:rPr>
        <w:t xml:space="preserve"> [accessed on 30/03/2019]</w:t>
      </w:r>
    </w:p>
    <w:p w14:paraId="7A2A6D3B" w14:textId="55E7ECC3" w:rsidR="6866198F"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 xml:space="preserve">National Literacy Trust (2019b) Developing language and literacy in science [Online] available at: </w:t>
      </w:r>
      <w:hyperlink r:id="rId22">
        <w:r w:rsidRPr="004C5DE5">
          <w:rPr>
            <w:rStyle w:val="Hyperlink"/>
            <w:rFonts w:ascii="Arial" w:eastAsia="Arial" w:hAnsi="Arial" w:cs="Arial"/>
            <w:color w:val="auto"/>
            <w:sz w:val="24"/>
            <w:szCs w:val="24"/>
          </w:rPr>
          <w:t>https://literacytrust.org.uk/resources/developing-language-and-literacy-science/</w:t>
        </w:r>
      </w:hyperlink>
      <w:r w:rsidRPr="004C5DE5">
        <w:rPr>
          <w:rFonts w:ascii="Arial" w:eastAsia="Arial" w:hAnsi="Arial" w:cs="Arial"/>
          <w:sz w:val="24"/>
          <w:szCs w:val="24"/>
        </w:rPr>
        <w:t xml:space="preserve"> [accessed on 06/04/2019]</w:t>
      </w:r>
    </w:p>
    <w:p w14:paraId="43952894" w14:textId="3A6CC035" w:rsidR="65FCBEC5"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Norris, S. and Phillips, L. (2003). How literacy in its fundamental sense is central to scientific literacy. Science Education, 87(2), p. 224-240.</w:t>
      </w:r>
    </w:p>
    <w:p w14:paraId="4E452E43" w14:textId="0CBC659B" w:rsidR="65FCBEC5"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Nunes, T., Bryant, P., Strand, S., Hillier, J., Barros, R. and Miller-Friedmann, J., (2017) Review of SES and science learning in formal educational settings. London: Education Endowment Foundation.</w:t>
      </w:r>
    </w:p>
    <w:p w14:paraId="354B851D" w14:textId="4D682B43" w:rsidR="42382786" w:rsidRPr="004C5DE5" w:rsidRDefault="42382786" w:rsidP="54E731FD">
      <w:pPr>
        <w:spacing w:beforeAutospacing="1" w:afterAutospacing="1" w:line="276" w:lineRule="auto"/>
        <w:rPr>
          <w:rFonts w:ascii="Arial" w:eastAsia="Arial" w:hAnsi="Arial" w:cs="Arial"/>
          <w:sz w:val="24"/>
          <w:szCs w:val="24"/>
        </w:rPr>
      </w:pPr>
    </w:p>
    <w:p w14:paraId="599AE39E" w14:textId="6FD1E14C" w:rsidR="42382786"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lastRenderedPageBreak/>
        <w:t xml:space="preserve">OECD (2013) United Kingdom - Country Note - Results from PISA 2012 [Online] available at: </w:t>
      </w:r>
      <w:hyperlink r:id="rId23">
        <w:r w:rsidRPr="004C5DE5">
          <w:rPr>
            <w:rStyle w:val="Hyperlink"/>
            <w:rFonts w:ascii="Arial" w:eastAsia="Arial" w:hAnsi="Arial" w:cs="Arial"/>
            <w:color w:val="auto"/>
            <w:sz w:val="24"/>
            <w:szCs w:val="24"/>
          </w:rPr>
          <w:t>https://www.oecd.org/unitedkingdom/PISA-2012-results-UK.pdf</w:t>
        </w:r>
      </w:hyperlink>
      <w:r w:rsidRPr="004C5DE5">
        <w:rPr>
          <w:rFonts w:ascii="Arial" w:eastAsia="Arial" w:hAnsi="Arial" w:cs="Arial"/>
          <w:sz w:val="24"/>
          <w:szCs w:val="24"/>
        </w:rPr>
        <w:t xml:space="preserve"> [accessed on 03/04/19]</w:t>
      </w:r>
    </w:p>
    <w:p w14:paraId="5D42297C" w14:textId="47D7C4BD" w:rsidR="42382786"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 xml:space="preserve">OECD (2016) United Kingdom - Country Note - Results from PISA 2015 [Online] available at: </w:t>
      </w:r>
      <w:hyperlink r:id="rId24">
        <w:r w:rsidRPr="004C5DE5">
          <w:rPr>
            <w:rStyle w:val="Hyperlink"/>
            <w:rFonts w:ascii="Arial" w:eastAsia="Arial" w:hAnsi="Arial" w:cs="Arial"/>
            <w:color w:val="auto"/>
            <w:sz w:val="24"/>
            <w:szCs w:val="24"/>
          </w:rPr>
          <w:t>https://www.oecd.org/pisa/pisa-2015-United-Kingdom.pdf</w:t>
        </w:r>
      </w:hyperlink>
      <w:r w:rsidRPr="004C5DE5">
        <w:rPr>
          <w:rFonts w:ascii="Arial" w:eastAsia="Arial" w:hAnsi="Arial" w:cs="Arial"/>
          <w:sz w:val="24"/>
          <w:szCs w:val="24"/>
        </w:rPr>
        <w:t xml:space="preserve"> [accessed on 03/04/19]</w:t>
      </w:r>
    </w:p>
    <w:p w14:paraId="5AD354B9" w14:textId="13369BCB" w:rsidR="0D328E1D"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 xml:space="preserve">OECD (2018) What is PISA? [Online] </w:t>
      </w:r>
      <w:hyperlink r:id="rId25">
        <w:r w:rsidRPr="004C5DE5">
          <w:rPr>
            <w:rStyle w:val="Hyperlink"/>
            <w:rFonts w:ascii="Arial" w:eastAsia="Arial" w:hAnsi="Arial" w:cs="Arial"/>
            <w:color w:val="auto"/>
            <w:sz w:val="24"/>
            <w:szCs w:val="24"/>
          </w:rPr>
          <w:t>http://www.oecd.org/pisa/</w:t>
        </w:r>
      </w:hyperlink>
      <w:r w:rsidRPr="004C5DE5">
        <w:rPr>
          <w:rFonts w:ascii="Arial" w:eastAsia="Arial" w:hAnsi="Arial" w:cs="Arial"/>
          <w:sz w:val="24"/>
          <w:szCs w:val="24"/>
        </w:rPr>
        <w:t xml:space="preserve"> [accessed on 31/03/2019]</w:t>
      </w:r>
    </w:p>
    <w:p w14:paraId="6A3DA4E1" w14:textId="0039C35C" w:rsidR="6866198F"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Ofsted (2013) Improving literacy in secondary schools: a shared responsibility [Online] available at:</w:t>
      </w:r>
      <w:r w:rsidR="004C5DE5" w:rsidRPr="004C5DE5">
        <w:rPr>
          <w:rFonts w:ascii="Arial" w:eastAsia="Arial" w:hAnsi="Arial" w:cs="Arial"/>
          <w:sz w:val="24"/>
          <w:szCs w:val="24"/>
        </w:rPr>
        <w:t xml:space="preserve"> </w:t>
      </w:r>
      <w:hyperlink r:id="rId26" w:history="1">
        <w:r w:rsidR="004C5DE5" w:rsidRPr="004C5DE5">
          <w:rPr>
            <w:rStyle w:val="Hyperlink"/>
            <w:rFonts w:ascii="Arial" w:eastAsia="Arial" w:hAnsi="Arial" w:cs="Arial"/>
            <w:color w:val="auto"/>
            <w:sz w:val="24"/>
            <w:szCs w:val="24"/>
          </w:rPr>
          <w:t>https://assets.publishing.service.gov.uk/government/uploads/system/uploads/attachment_data/file/413182/Improving_literacy_in_secondary_schools.pdf</w:t>
        </w:r>
      </w:hyperlink>
      <w:r w:rsidRPr="004C5DE5">
        <w:rPr>
          <w:rFonts w:ascii="Arial" w:eastAsia="Arial" w:hAnsi="Arial" w:cs="Arial"/>
          <w:sz w:val="24"/>
          <w:szCs w:val="24"/>
        </w:rPr>
        <w:t xml:space="preserve"> [accessed on 07/04/19]</w:t>
      </w:r>
    </w:p>
    <w:p w14:paraId="24F18820" w14:textId="7A916711" w:rsidR="03B6F635"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 xml:space="preserve">Pearson, P.D., </w:t>
      </w:r>
      <w:proofErr w:type="spellStart"/>
      <w:r w:rsidRPr="004C5DE5">
        <w:rPr>
          <w:rFonts w:ascii="Arial" w:eastAsia="Arial" w:hAnsi="Arial" w:cs="Arial"/>
          <w:sz w:val="24"/>
          <w:szCs w:val="24"/>
        </w:rPr>
        <w:t>Moje</w:t>
      </w:r>
      <w:proofErr w:type="spellEnd"/>
      <w:r w:rsidRPr="004C5DE5">
        <w:rPr>
          <w:rFonts w:ascii="Arial" w:eastAsia="Arial" w:hAnsi="Arial" w:cs="Arial"/>
          <w:sz w:val="24"/>
          <w:szCs w:val="24"/>
        </w:rPr>
        <w:t>, E. and Greenleaf, C. (2010) Literacy and science: Each in the service of the other. science, 328(5977), p. 459-463.</w:t>
      </w:r>
    </w:p>
    <w:p w14:paraId="3E89C654" w14:textId="11995DD2" w:rsidR="6866198F" w:rsidRPr="004C5DE5" w:rsidRDefault="54E731FD" w:rsidP="54E731FD">
      <w:pPr>
        <w:spacing w:beforeAutospacing="1" w:afterAutospacing="1" w:line="276" w:lineRule="auto"/>
        <w:rPr>
          <w:rFonts w:ascii="Arial" w:eastAsia="Arial" w:hAnsi="Arial" w:cs="Arial"/>
          <w:sz w:val="24"/>
          <w:szCs w:val="24"/>
        </w:rPr>
      </w:pPr>
      <w:proofErr w:type="spellStart"/>
      <w:r w:rsidRPr="004C5DE5">
        <w:rPr>
          <w:rFonts w:ascii="Arial" w:eastAsia="Arial" w:hAnsi="Arial" w:cs="Arial"/>
          <w:sz w:val="24"/>
          <w:szCs w:val="24"/>
        </w:rPr>
        <w:t>Scammacca</w:t>
      </w:r>
      <w:proofErr w:type="spellEnd"/>
      <w:r w:rsidRPr="004C5DE5">
        <w:rPr>
          <w:rFonts w:ascii="Arial" w:eastAsia="Arial" w:hAnsi="Arial" w:cs="Arial"/>
          <w:sz w:val="24"/>
          <w:szCs w:val="24"/>
        </w:rPr>
        <w:t xml:space="preserve">, N.K., Roberts, G., Vaughn, S. and </w:t>
      </w:r>
      <w:proofErr w:type="spellStart"/>
      <w:r w:rsidRPr="004C5DE5">
        <w:rPr>
          <w:rFonts w:ascii="Arial" w:eastAsia="Arial" w:hAnsi="Arial" w:cs="Arial"/>
          <w:sz w:val="24"/>
          <w:szCs w:val="24"/>
        </w:rPr>
        <w:t>Stuebing</w:t>
      </w:r>
      <w:proofErr w:type="spellEnd"/>
      <w:r w:rsidRPr="004C5DE5">
        <w:rPr>
          <w:rFonts w:ascii="Arial" w:eastAsia="Arial" w:hAnsi="Arial" w:cs="Arial"/>
          <w:sz w:val="24"/>
          <w:szCs w:val="24"/>
        </w:rPr>
        <w:t>, K.K. (2015) A meta-analysis of interventions for struggling readers in grades 4–12: 1980–2011. Journal of learning disabilities, 48(4), p. 369-390.</w:t>
      </w:r>
    </w:p>
    <w:p w14:paraId="47972CE8" w14:textId="7C927EFD" w:rsidR="2E427368"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Seddon, M. (2017) Strategies for integrating literacy into a science classroom. Graduate Research Papers. 115.</w:t>
      </w:r>
    </w:p>
    <w:p w14:paraId="211C0E5A" w14:textId="60E62A74" w:rsidR="54E731FD" w:rsidRPr="004C5DE5" w:rsidRDefault="54E731FD" w:rsidP="54E731FD">
      <w:pPr>
        <w:spacing w:beforeAutospacing="1" w:afterAutospacing="1" w:line="240" w:lineRule="auto"/>
        <w:rPr>
          <w:rFonts w:ascii="Arial" w:eastAsia="Arial" w:hAnsi="Arial" w:cs="Arial"/>
          <w:sz w:val="24"/>
          <w:szCs w:val="24"/>
        </w:rPr>
      </w:pPr>
      <w:proofErr w:type="spellStart"/>
      <w:r w:rsidRPr="004C5DE5">
        <w:rPr>
          <w:rFonts w:ascii="Arial" w:eastAsia="Arial" w:hAnsi="Arial" w:cs="Arial"/>
          <w:sz w:val="24"/>
          <w:szCs w:val="24"/>
        </w:rPr>
        <w:t>Shabani</w:t>
      </w:r>
      <w:proofErr w:type="spellEnd"/>
      <w:r w:rsidRPr="004C5DE5">
        <w:rPr>
          <w:rFonts w:ascii="Arial" w:eastAsia="Arial" w:hAnsi="Arial" w:cs="Arial"/>
          <w:sz w:val="24"/>
          <w:szCs w:val="24"/>
        </w:rPr>
        <w:t xml:space="preserve">, K., Khatib, M. and </w:t>
      </w:r>
      <w:proofErr w:type="spellStart"/>
      <w:r w:rsidRPr="004C5DE5">
        <w:rPr>
          <w:rFonts w:ascii="Arial" w:eastAsia="Arial" w:hAnsi="Arial" w:cs="Arial"/>
          <w:sz w:val="24"/>
          <w:szCs w:val="24"/>
        </w:rPr>
        <w:t>Ebadi</w:t>
      </w:r>
      <w:proofErr w:type="spellEnd"/>
      <w:r w:rsidRPr="004C5DE5">
        <w:rPr>
          <w:rFonts w:ascii="Arial" w:eastAsia="Arial" w:hAnsi="Arial" w:cs="Arial"/>
          <w:sz w:val="24"/>
          <w:szCs w:val="24"/>
        </w:rPr>
        <w:t>, S. (2010) Vygotsky's Zone of Proximal Development: Instructional Implications and Teachers' Professional Development. English Language Teaching, 3(4). </w:t>
      </w:r>
    </w:p>
    <w:p w14:paraId="1F4F07BA" w14:textId="1E312E9E" w:rsidR="4539F41F" w:rsidRPr="004C5DE5" w:rsidRDefault="54E731FD" w:rsidP="54E731FD">
      <w:pPr>
        <w:spacing w:beforeAutospacing="1" w:afterAutospacing="1" w:line="240" w:lineRule="auto"/>
      </w:pPr>
      <w:r w:rsidRPr="004C5DE5">
        <w:rPr>
          <w:rFonts w:ascii="Arial" w:eastAsia="Arial" w:hAnsi="Arial" w:cs="Arial"/>
          <w:sz w:val="24"/>
          <w:szCs w:val="24"/>
        </w:rPr>
        <w:t>Toulmin, S. (1958) The uses of argument. Cambridge, UK: Cambridge University Press.</w:t>
      </w:r>
    </w:p>
    <w:p w14:paraId="2694EA77" w14:textId="2A7740FD" w:rsidR="03B6F635"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Twist, L. and Sainsbury, M. (2009) Girl friendly? Investigating the gender gap in national reading tests at age 11. Educational Research, 51(2), p. 283-297.</w:t>
      </w:r>
    </w:p>
    <w:p w14:paraId="15F277B2" w14:textId="2C9FE306" w:rsidR="6866198F"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 xml:space="preserve">UK Government (2018) Data Protection Act 2018 [Online] available at: </w:t>
      </w:r>
      <w:hyperlink r:id="rId27">
        <w:r w:rsidRPr="004C5DE5">
          <w:rPr>
            <w:rStyle w:val="Hyperlink"/>
            <w:rFonts w:ascii="Arial" w:eastAsia="Arial" w:hAnsi="Arial" w:cs="Arial"/>
            <w:color w:val="auto"/>
            <w:sz w:val="24"/>
            <w:szCs w:val="24"/>
          </w:rPr>
          <w:t>http://www.legislation.gov.uk/ukpga/2018/12/pdfs/ukpga_20180012_en.pdf</w:t>
        </w:r>
      </w:hyperlink>
      <w:r w:rsidRPr="004C5DE5">
        <w:rPr>
          <w:rFonts w:ascii="Arial" w:eastAsia="Arial" w:hAnsi="Arial" w:cs="Arial"/>
          <w:sz w:val="24"/>
          <w:szCs w:val="24"/>
        </w:rPr>
        <w:t xml:space="preserve"> [accessed on 14/04/19]</w:t>
      </w:r>
    </w:p>
    <w:p w14:paraId="09A3A63A" w14:textId="6D02D199" w:rsidR="4539F41F" w:rsidRPr="004C5DE5" w:rsidRDefault="54E731FD" w:rsidP="54E731FD">
      <w:pPr>
        <w:spacing w:beforeAutospacing="1" w:afterAutospacing="1" w:line="240" w:lineRule="auto"/>
        <w:rPr>
          <w:rFonts w:ascii="Arial" w:eastAsia="Arial" w:hAnsi="Arial" w:cs="Arial"/>
          <w:sz w:val="24"/>
          <w:szCs w:val="24"/>
        </w:rPr>
      </w:pPr>
      <w:r w:rsidRPr="004C5DE5">
        <w:rPr>
          <w:rFonts w:ascii="Arial" w:eastAsia="Arial" w:hAnsi="Arial" w:cs="Arial"/>
          <w:sz w:val="24"/>
          <w:szCs w:val="24"/>
        </w:rPr>
        <w:t>Vygotsky, L. S. (1978) Mind in society: The development of higher psychological processes. Cambridge, MA: Harvard University Press. </w:t>
      </w:r>
    </w:p>
    <w:p w14:paraId="2A4F87CC" w14:textId="76B43C76" w:rsidR="4539F41F" w:rsidRPr="004C5DE5" w:rsidRDefault="4539F41F" w:rsidP="54E731FD">
      <w:pPr>
        <w:spacing w:beforeAutospacing="1" w:afterAutospacing="1" w:line="276" w:lineRule="auto"/>
        <w:rPr>
          <w:rFonts w:ascii="Arial" w:eastAsia="Arial" w:hAnsi="Arial" w:cs="Arial"/>
          <w:sz w:val="24"/>
          <w:szCs w:val="24"/>
        </w:rPr>
      </w:pPr>
    </w:p>
    <w:p w14:paraId="68EA7CBA" w14:textId="48305F74" w:rsidR="27A7E605"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lastRenderedPageBreak/>
        <w:t>Wellington, J. and Osborne, J., (2001) Language and literacy in science education. McGraw-Hill Education UK.</w:t>
      </w:r>
    </w:p>
    <w:p w14:paraId="7969A89C" w14:textId="23CB4346" w:rsidR="27A7E605" w:rsidRPr="004C5DE5" w:rsidRDefault="54E731FD" w:rsidP="54E731FD">
      <w:pPr>
        <w:spacing w:beforeAutospacing="1" w:afterAutospacing="1" w:line="276" w:lineRule="auto"/>
        <w:rPr>
          <w:rFonts w:ascii="Arial" w:eastAsia="Arial" w:hAnsi="Arial" w:cs="Arial"/>
          <w:sz w:val="24"/>
          <w:szCs w:val="24"/>
        </w:rPr>
      </w:pPr>
      <w:r w:rsidRPr="004C5DE5">
        <w:rPr>
          <w:rFonts w:ascii="Arial" w:eastAsia="Arial" w:hAnsi="Arial" w:cs="Arial"/>
          <w:sz w:val="24"/>
          <w:szCs w:val="24"/>
        </w:rPr>
        <w:t xml:space="preserve">Welsh Government (2009) The Qualified Teacher Status Standards Wales 2009 [Online] available at: </w:t>
      </w:r>
      <w:hyperlink r:id="rId28">
        <w:r w:rsidRPr="004C5DE5">
          <w:rPr>
            <w:rStyle w:val="Hyperlink"/>
            <w:rFonts w:ascii="Arial" w:eastAsia="Arial" w:hAnsi="Arial" w:cs="Arial"/>
            <w:color w:val="auto"/>
            <w:sz w:val="24"/>
            <w:szCs w:val="24"/>
          </w:rPr>
          <w:t>https://gov.wales/legislation/subordinate/nonsi/educationwales/2009/3220099/?lang=en</w:t>
        </w:r>
      </w:hyperlink>
      <w:r w:rsidRPr="004C5DE5">
        <w:rPr>
          <w:rFonts w:ascii="Arial" w:eastAsia="Arial" w:hAnsi="Arial" w:cs="Arial"/>
          <w:sz w:val="24"/>
          <w:szCs w:val="24"/>
        </w:rPr>
        <w:t xml:space="preserve"> [accessed on 30/03/2019] </w:t>
      </w:r>
    </w:p>
    <w:p w14:paraId="2EC4CBAA" w14:textId="5667AD79" w:rsidR="27A7E605"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Welsh Government (2013) Written Statement - PISA 2012 [Online] available at: </w:t>
      </w:r>
      <w:hyperlink r:id="rId29">
        <w:r w:rsidRPr="004C5DE5">
          <w:rPr>
            <w:rStyle w:val="Hyperlink"/>
            <w:rFonts w:ascii="Arial" w:eastAsia="Arial" w:hAnsi="Arial" w:cs="Arial"/>
            <w:color w:val="auto"/>
            <w:sz w:val="24"/>
            <w:szCs w:val="24"/>
          </w:rPr>
          <w:t>https://gov.wales/written-statement-pisa-2012</w:t>
        </w:r>
      </w:hyperlink>
      <w:r w:rsidRPr="004C5DE5">
        <w:rPr>
          <w:rFonts w:ascii="Arial" w:eastAsia="Arial" w:hAnsi="Arial" w:cs="Arial"/>
          <w:sz w:val="24"/>
          <w:szCs w:val="24"/>
        </w:rPr>
        <w:t xml:space="preserve"> [accessed on 31/03/19]</w:t>
      </w:r>
    </w:p>
    <w:p w14:paraId="46F2FD45" w14:textId="12196D0D" w:rsidR="531EF0E7"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Welsh Government (2016) National Literacy and Numeracy Programme – a strategic action plan [Online] available at: </w:t>
      </w:r>
      <w:hyperlink r:id="rId30">
        <w:r w:rsidRPr="004C5DE5">
          <w:rPr>
            <w:rStyle w:val="Hyperlink"/>
            <w:rFonts w:ascii="Arial" w:eastAsia="Arial" w:hAnsi="Arial" w:cs="Arial"/>
            <w:color w:val="auto"/>
            <w:sz w:val="24"/>
            <w:szCs w:val="24"/>
          </w:rPr>
          <w:t>https://gov.wales/national-literacy-and-numeracy-programme-action-plan</w:t>
        </w:r>
      </w:hyperlink>
      <w:r w:rsidRPr="004C5DE5">
        <w:rPr>
          <w:rFonts w:ascii="Arial" w:eastAsia="Arial" w:hAnsi="Arial" w:cs="Arial"/>
          <w:sz w:val="24"/>
          <w:szCs w:val="24"/>
        </w:rPr>
        <w:t xml:space="preserve"> [accessed on 01/04/19]</w:t>
      </w:r>
    </w:p>
    <w:p w14:paraId="4706B53C" w14:textId="0EEE4816" w:rsidR="42382786" w:rsidRPr="004C5DE5" w:rsidRDefault="54E731FD" w:rsidP="54E731FD">
      <w:pPr>
        <w:spacing w:line="276" w:lineRule="auto"/>
        <w:rPr>
          <w:rFonts w:ascii="Arial" w:eastAsia="Arial" w:hAnsi="Arial" w:cs="Arial"/>
          <w:sz w:val="24"/>
          <w:szCs w:val="24"/>
        </w:rPr>
      </w:pPr>
      <w:r w:rsidRPr="004C5DE5">
        <w:rPr>
          <w:rFonts w:ascii="Arial" w:eastAsia="Arial" w:hAnsi="Arial" w:cs="Arial"/>
          <w:sz w:val="24"/>
          <w:szCs w:val="24"/>
        </w:rPr>
        <w:t xml:space="preserve">Welsh Government (2018) National Reading and Numeracy Tests and personalised assessments [Online] available at: </w:t>
      </w:r>
      <w:hyperlink r:id="rId31">
        <w:r w:rsidRPr="004C5DE5">
          <w:rPr>
            <w:rStyle w:val="Hyperlink"/>
            <w:rFonts w:ascii="Arial" w:eastAsia="Arial" w:hAnsi="Arial" w:cs="Arial"/>
            <w:color w:val="auto"/>
            <w:sz w:val="24"/>
            <w:szCs w:val="24"/>
          </w:rPr>
          <w:t>https://learning.gov.wales/resources/collections/national-reading-and-numeracy-tests?lang=en</w:t>
        </w:r>
      </w:hyperlink>
      <w:r w:rsidRPr="004C5DE5">
        <w:rPr>
          <w:rFonts w:ascii="Arial" w:eastAsia="Arial" w:hAnsi="Arial" w:cs="Arial"/>
          <w:sz w:val="24"/>
          <w:szCs w:val="24"/>
        </w:rPr>
        <w:t xml:space="preserve"> [accessed on 03/04/19]</w:t>
      </w:r>
    </w:p>
    <w:p w14:paraId="5017DAA3" w14:textId="23C144E3" w:rsidR="42382786" w:rsidRPr="004C5DE5" w:rsidRDefault="42382786" w:rsidP="54E731FD">
      <w:pPr>
        <w:spacing w:line="276" w:lineRule="auto"/>
        <w:rPr>
          <w:rFonts w:ascii="Arial" w:eastAsia="Arial" w:hAnsi="Arial" w:cs="Arial"/>
          <w:sz w:val="24"/>
          <w:szCs w:val="24"/>
        </w:rPr>
      </w:pPr>
    </w:p>
    <w:p w14:paraId="2934812C" w14:textId="649C8BAF" w:rsidR="531EF0E7" w:rsidRPr="004C5DE5" w:rsidRDefault="531EF0E7" w:rsidP="54E731FD">
      <w:pPr>
        <w:rPr>
          <w:rFonts w:ascii="Arial" w:eastAsia="Arial" w:hAnsi="Arial" w:cs="Arial"/>
          <w:sz w:val="24"/>
          <w:szCs w:val="24"/>
        </w:rPr>
      </w:pPr>
    </w:p>
    <w:p w14:paraId="07BA68E9" w14:textId="7B5A4568" w:rsidR="27A7E605" w:rsidRPr="004C5DE5" w:rsidRDefault="27A7E605" w:rsidP="54E731FD">
      <w:pPr>
        <w:spacing w:beforeAutospacing="1" w:afterAutospacing="1" w:line="276" w:lineRule="auto"/>
        <w:rPr>
          <w:rFonts w:ascii="Arial" w:eastAsia="Arial" w:hAnsi="Arial" w:cs="Arial"/>
          <w:sz w:val="24"/>
          <w:szCs w:val="24"/>
        </w:rPr>
      </w:pPr>
    </w:p>
    <w:p w14:paraId="0901C193" w14:textId="1CCE2425" w:rsidR="07AC2C41" w:rsidRPr="004C5DE5" w:rsidRDefault="07AC2C41" w:rsidP="54E731FD">
      <w:pPr>
        <w:rPr>
          <w:rFonts w:ascii="Arial" w:eastAsia="Arial" w:hAnsi="Arial" w:cs="Arial"/>
          <w:sz w:val="24"/>
          <w:szCs w:val="24"/>
          <w:u w:val="single"/>
        </w:rPr>
      </w:pPr>
    </w:p>
    <w:sectPr w:rsidR="07AC2C41" w:rsidRPr="004C5DE5" w:rsidSect="006568C9">
      <w:headerReference w:type="default" r:id="rId32"/>
      <w:footerReference w:type="default" r:id="rId33"/>
      <w:pgSz w:w="11906" w:h="16838"/>
      <w:pgMar w:top="1440" w:right="1440" w:bottom="1440" w:left="1440" w:header="720" w:footer="39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6DC905" w14:textId="77777777" w:rsidR="00B079E9" w:rsidRDefault="00B079E9" w:rsidP="006568C9">
      <w:pPr>
        <w:spacing w:after="0" w:line="240" w:lineRule="auto"/>
      </w:pPr>
      <w:r>
        <w:separator/>
      </w:r>
    </w:p>
  </w:endnote>
  <w:endnote w:type="continuationSeparator" w:id="0">
    <w:p w14:paraId="0D95F08C" w14:textId="77777777" w:rsidR="00B079E9" w:rsidRDefault="00B079E9" w:rsidP="00656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1280755"/>
      <w:docPartObj>
        <w:docPartGallery w:val="Page Numbers (Bottom of Page)"/>
        <w:docPartUnique/>
      </w:docPartObj>
    </w:sdtPr>
    <w:sdtEndPr>
      <w:rPr>
        <w:noProof/>
      </w:rPr>
    </w:sdtEndPr>
    <w:sdtContent>
      <w:p w14:paraId="006EF0CF" w14:textId="43BD3C60" w:rsidR="006568C9" w:rsidRDefault="006568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0E0E94" w14:textId="77777777" w:rsidR="006568C9" w:rsidRDefault="006568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AC1EB8" w14:textId="08B6AFBB" w:rsidR="006568C9" w:rsidRDefault="006568C9">
    <w:pPr>
      <w:pStyle w:val="Footer"/>
      <w:jc w:val="center"/>
    </w:pPr>
  </w:p>
  <w:p w14:paraId="61233A8E" w14:textId="77777777" w:rsidR="006568C9" w:rsidRDefault="00656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4E3B64" w14:textId="77777777" w:rsidR="00B079E9" w:rsidRDefault="00B079E9" w:rsidP="006568C9">
      <w:pPr>
        <w:spacing w:after="0" w:line="240" w:lineRule="auto"/>
      </w:pPr>
      <w:r>
        <w:separator/>
      </w:r>
    </w:p>
  </w:footnote>
  <w:footnote w:type="continuationSeparator" w:id="0">
    <w:p w14:paraId="6CE9EB92" w14:textId="77777777" w:rsidR="00B079E9" w:rsidRDefault="00B079E9" w:rsidP="006568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C91B49" w14:textId="6EA0C659" w:rsidR="006568C9" w:rsidRDefault="006568C9">
    <w:pPr>
      <w:pStyle w:val="Header"/>
    </w:pPr>
    <w:r>
      <w:t>Robert Morris</w:t>
    </w:r>
    <w:r>
      <w:tab/>
    </w:r>
    <w:r>
      <w:tab/>
      <w:t>1807813</w:t>
    </w:r>
  </w:p>
  <w:p w14:paraId="56F637F7" w14:textId="77777777" w:rsidR="006568C9" w:rsidRDefault="006568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F52030" w14:textId="1286EA94" w:rsidR="006568C9" w:rsidRDefault="006568C9">
    <w:pPr>
      <w:pStyle w:val="Header"/>
    </w:pPr>
    <w:r>
      <w:tab/>
    </w:r>
    <w:r>
      <w:tab/>
    </w:r>
  </w:p>
  <w:p w14:paraId="26E09B52" w14:textId="77777777" w:rsidR="006568C9" w:rsidRDefault="006568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516B95"/>
    <w:rsid w:val="0044630F"/>
    <w:rsid w:val="004C5DE5"/>
    <w:rsid w:val="005D7199"/>
    <w:rsid w:val="006568C9"/>
    <w:rsid w:val="008D1F29"/>
    <w:rsid w:val="00B079E9"/>
    <w:rsid w:val="00BE2308"/>
    <w:rsid w:val="01C3D22D"/>
    <w:rsid w:val="03B6F635"/>
    <w:rsid w:val="07AC2C41"/>
    <w:rsid w:val="0D328E1D"/>
    <w:rsid w:val="0E12F252"/>
    <w:rsid w:val="1564D3B2"/>
    <w:rsid w:val="19842BD6"/>
    <w:rsid w:val="2343C738"/>
    <w:rsid w:val="277FC7D1"/>
    <w:rsid w:val="27A7E605"/>
    <w:rsid w:val="285F31BF"/>
    <w:rsid w:val="2E427368"/>
    <w:rsid w:val="2F2E10D8"/>
    <w:rsid w:val="36A6643B"/>
    <w:rsid w:val="36CE6A12"/>
    <w:rsid w:val="402E2BAF"/>
    <w:rsid w:val="42382786"/>
    <w:rsid w:val="44B0B751"/>
    <w:rsid w:val="4539F41F"/>
    <w:rsid w:val="531EF0E7"/>
    <w:rsid w:val="54E731FD"/>
    <w:rsid w:val="5B0C1863"/>
    <w:rsid w:val="643EFB95"/>
    <w:rsid w:val="65FCBEC5"/>
    <w:rsid w:val="6866198F"/>
    <w:rsid w:val="6A17E756"/>
    <w:rsid w:val="6E4407E9"/>
    <w:rsid w:val="6EF27727"/>
    <w:rsid w:val="7B516B95"/>
    <w:rsid w:val="7DD36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16B95"/>
  <w15:chartTrackingRefBased/>
  <w15:docId w15:val="{AAB70D92-C135-495E-AF35-B7D9ECB68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BE2308"/>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BE2308"/>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4C5D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5DE5"/>
    <w:rPr>
      <w:rFonts w:ascii="Segoe UI" w:hAnsi="Segoe UI" w:cs="Segoe UI"/>
      <w:sz w:val="18"/>
      <w:szCs w:val="18"/>
    </w:rPr>
  </w:style>
  <w:style w:type="character" w:styleId="UnresolvedMention">
    <w:name w:val="Unresolved Mention"/>
    <w:basedOn w:val="DefaultParagraphFont"/>
    <w:uiPriority w:val="99"/>
    <w:semiHidden/>
    <w:unhideWhenUsed/>
    <w:rsid w:val="004C5DE5"/>
    <w:rPr>
      <w:color w:val="605E5C"/>
      <w:shd w:val="clear" w:color="auto" w:fill="E1DFDD"/>
    </w:rPr>
  </w:style>
  <w:style w:type="paragraph" w:styleId="Header">
    <w:name w:val="header"/>
    <w:basedOn w:val="Normal"/>
    <w:link w:val="HeaderChar"/>
    <w:uiPriority w:val="99"/>
    <w:unhideWhenUsed/>
    <w:rsid w:val="00656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8C9"/>
  </w:style>
  <w:style w:type="paragraph" w:styleId="Footer">
    <w:name w:val="footer"/>
    <w:basedOn w:val="Normal"/>
    <w:link w:val="FooterChar"/>
    <w:uiPriority w:val="99"/>
    <w:unhideWhenUsed/>
    <w:rsid w:val="00656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8C9"/>
  </w:style>
  <w:style w:type="character" w:customStyle="1" w:styleId="Heading2Char">
    <w:name w:val="Heading 2 Char"/>
    <w:basedOn w:val="DefaultParagraphFont"/>
    <w:link w:val="Heading2"/>
    <w:semiHidden/>
    <w:rsid w:val="00BE230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BE2308"/>
    <w:rPr>
      <w:rFonts w:ascii="Times New Roman" w:eastAsia="Times New Roman" w:hAnsi="Times New Roman" w:cs="Times New Roman"/>
      <w:sz w:val="40"/>
      <w:szCs w:val="20"/>
      <w:lang w:eastAsia="en-GB"/>
    </w:rPr>
  </w:style>
  <w:style w:type="paragraph" w:styleId="NormalWeb">
    <w:name w:val="Normal (Web)"/>
    <w:basedOn w:val="Normal"/>
    <w:uiPriority w:val="99"/>
    <w:semiHidden/>
    <w:unhideWhenUsed/>
    <w:rsid w:val="00BE2308"/>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1781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eader" Target="header1.xml"/><Relationship Id="rId18" Type="http://schemas.openxmlformats.org/officeDocument/2006/relationships/hyperlink" Target="https://www.estyn.gov.wales/sites/default/files/documents/Literacy%20in%20key%20stage%203%20-%20June%202012.pdf" TargetMode="External"/><Relationship Id="rId26" Type="http://schemas.openxmlformats.org/officeDocument/2006/relationships/hyperlink" Target="https://assets.publishing.service.gov.uk/government/uploads/system/uploads/attachment_data/file/413182/Improving_literacy_in_secondary_schools.pdf" TargetMode="External"/><Relationship Id="rId3" Type="http://schemas.openxmlformats.org/officeDocument/2006/relationships/webSettings" Target="webSettings.xml"/><Relationship Id="rId21" Type="http://schemas.openxmlformats.org/officeDocument/2006/relationships/hyperlink" Target="https://literacytrust.org.uk/information/what-is-literacy/" TargetMode="External"/><Relationship Id="rId34" Type="http://schemas.openxmlformats.org/officeDocument/2006/relationships/fontTable" Target="fontTable.xm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hyperlink" Target="https://educationendowmentfoundation.org.uk/public/files/Publications/Science/EEF_improving_secondary_science.pdf" TargetMode="External"/><Relationship Id="rId25" Type="http://schemas.openxmlformats.org/officeDocument/2006/relationships/hyperlink" Target="http://www.oecd.org/pisa/" TargetMode="External"/><Relationship Id="rId33"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educationendowmentfoundation.org.uk/public/files/Publications/Literacy/KS2_Literacy_Guidance_2017.pdf" TargetMode="External"/><Relationship Id="rId20" Type="http://schemas.openxmlformats.org/officeDocument/2006/relationships/hyperlink" Target="http://www.educationengland.org.uk/history" TargetMode="External"/><Relationship Id="rId29" Type="http://schemas.openxmlformats.org/officeDocument/2006/relationships/hyperlink" Target="https://gov.wales/written-statement-pisa-201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oecd.org/pisa/pisa-2015-United-Kingdom.pdf" TargetMode="External"/><Relationship Id="rId32"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www.bera.ac.uk/wp-content/uploads/2014/02/BERA-Ethical-Guidelines-2011.pdf?noredirect=1" TargetMode="External"/><Relationship Id="rId23" Type="http://schemas.openxmlformats.org/officeDocument/2006/relationships/hyperlink" Target="https://www.oecd.org/unitedkingdom/PISA-2012-results-UK.pdf" TargetMode="External"/><Relationship Id="rId28" Type="http://schemas.openxmlformats.org/officeDocument/2006/relationships/hyperlink" Target="https://gov.wales/legislation/subordinate/nonsi/educationwales/2009/3220099/?lang=en" TargetMode="External"/><Relationship Id="rId10" Type="http://schemas.openxmlformats.org/officeDocument/2006/relationships/image" Target="media/image4.png"/><Relationship Id="rId19" Type="http://schemas.openxmlformats.org/officeDocument/2006/relationships/hyperlink" Target="https://www.estyn.gov.wales/thematic-reports/annual-report-2013-2014" TargetMode="External"/><Relationship Id="rId31" Type="http://schemas.openxmlformats.org/officeDocument/2006/relationships/hyperlink" Target="https://learning.gov.wales/resources/collections/national-reading-and-numeracy-tests?lang=en"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oter" Target="footer1.xml"/><Relationship Id="rId22" Type="http://schemas.openxmlformats.org/officeDocument/2006/relationships/hyperlink" Target="https://literacytrust.org.uk/resources/developing-language-and-literacy-science/" TargetMode="External"/><Relationship Id="rId27" Type="http://schemas.openxmlformats.org/officeDocument/2006/relationships/hyperlink" Target="http://www.legislation.gov.uk/ukpga/2018/12/pdfs/ukpga_20180012_en.pdf" TargetMode="External"/><Relationship Id="rId30" Type="http://schemas.openxmlformats.org/officeDocument/2006/relationships/hyperlink" Target="https://gov.wales/national-literacy-and-numeracy-programme-action-plan"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27</Pages>
  <Words>8451</Words>
  <Characters>48176</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Morris (1807813)</dc:creator>
  <cp:keywords/>
  <dc:description/>
  <cp:lastModifiedBy>Robert Morris (1807813)</cp:lastModifiedBy>
  <cp:revision>6</cp:revision>
  <dcterms:created xsi:type="dcterms:W3CDTF">2019-04-25T14:56:00Z</dcterms:created>
  <dcterms:modified xsi:type="dcterms:W3CDTF">2019-05-07T19:09:00Z</dcterms:modified>
</cp:coreProperties>
</file>