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695AE" w14:textId="77777777" w:rsidR="00082132" w:rsidRPr="00082132" w:rsidRDefault="00082132" w:rsidP="00082132">
      <w:pPr>
        <w:suppressAutoHyphens/>
        <w:autoSpaceDN w:val="0"/>
        <w:spacing w:line="240" w:lineRule="auto"/>
        <w:jc w:val="center"/>
        <w:rPr>
          <w:rFonts w:eastAsia="DengXian" w:cs="Times New Roman"/>
          <w:kern w:val="3"/>
          <w:lang w:val="en-GB" w:eastAsia="zh-CN"/>
        </w:rPr>
      </w:pPr>
      <w:r w:rsidRPr="00082132">
        <w:rPr>
          <w:rFonts w:eastAsia="DengXian" w:cs="Times New Roman"/>
          <w:noProof/>
          <w:kern w:val="3"/>
          <w:lang w:val="en-GB" w:eastAsia="zh-CN"/>
        </w:rPr>
        <w:drawing>
          <wp:inline distT="0" distB="0" distL="0" distR="0" wp14:anchorId="781D5E7E" wp14:editId="19BEF52C">
            <wp:extent cx="4514219" cy="2257425"/>
            <wp:effectExtent l="0" t="0" r="631" b="9525"/>
            <wp:docPr id="3" name="Picture 3"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7"/>
                    <a:srcRect/>
                    <a:stretch>
                      <a:fillRect/>
                    </a:stretch>
                  </pic:blipFill>
                  <pic:spPr>
                    <a:xfrm>
                      <a:off x="0" y="0"/>
                      <a:ext cx="4514219" cy="2257425"/>
                    </a:xfrm>
                    <a:prstGeom prst="rect">
                      <a:avLst/>
                    </a:prstGeom>
                    <a:noFill/>
                    <a:ln>
                      <a:noFill/>
                      <a:prstDash/>
                    </a:ln>
                  </pic:spPr>
                </pic:pic>
              </a:graphicData>
            </a:graphic>
          </wp:inline>
        </w:drawing>
      </w:r>
    </w:p>
    <w:p w14:paraId="5E2919BD" w14:textId="77777777" w:rsidR="00082132" w:rsidRPr="00082132" w:rsidRDefault="00082132" w:rsidP="00082132">
      <w:pPr>
        <w:suppressAutoHyphens/>
        <w:autoSpaceDN w:val="0"/>
        <w:spacing w:line="240" w:lineRule="auto"/>
        <w:rPr>
          <w:rFonts w:eastAsia="DengXian" w:cs="Times New Roman"/>
          <w:kern w:val="3"/>
          <w:lang w:val="en-GB" w:eastAsia="zh-CN"/>
        </w:rPr>
      </w:pPr>
    </w:p>
    <w:p w14:paraId="69CD464B" w14:textId="77777777" w:rsidR="00082132" w:rsidRPr="00082132" w:rsidRDefault="00082132" w:rsidP="00082132">
      <w:pPr>
        <w:suppressAutoHyphens/>
        <w:autoSpaceDN w:val="0"/>
        <w:spacing w:line="240" w:lineRule="auto"/>
        <w:rPr>
          <w:rFonts w:eastAsia="DengXian" w:cs="Times New Roman"/>
          <w:kern w:val="3"/>
          <w:lang w:val="en-GB" w:eastAsia="zh-CN"/>
        </w:rPr>
      </w:pPr>
    </w:p>
    <w:p w14:paraId="030E94E6" w14:textId="77777777" w:rsidR="00082132" w:rsidRPr="00082132" w:rsidRDefault="00082132" w:rsidP="00082132">
      <w:pPr>
        <w:suppressAutoHyphens/>
        <w:autoSpaceDN w:val="0"/>
        <w:spacing w:line="240" w:lineRule="auto"/>
        <w:rPr>
          <w:rFonts w:eastAsia="DengXian" w:cs="Times New Roman"/>
          <w:kern w:val="3"/>
          <w:lang w:val="en-GB" w:eastAsia="zh-CN"/>
        </w:rPr>
      </w:pPr>
    </w:p>
    <w:p w14:paraId="6172F360" w14:textId="77777777" w:rsidR="00082132" w:rsidRPr="00082132" w:rsidRDefault="00082132" w:rsidP="00082132">
      <w:pPr>
        <w:suppressAutoHyphens/>
        <w:autoSpaceDN w:val="0"/>
        <w:spacing w:line="240" w:lineRule="auto"/>
        <w:rPr>
          <w:rFonts w:eastAsia="DengXian" w:cs="Times New Roman"/>
          <w:kern w:val="3"/>
          <w:lang w:val="en-GB" w:eastAsia="zh-CN"/>
        </w:rPr>
      </w:pPr>
    </w:p>
    <w:p w14:paraId="11EF9015" w14:textId="77777777" w:rsidR="00082132" w:rsidRPr="00082132" w:rsidRDefault="00082132" w:rsidP="00082132">
      <w:pPr>
        <w:suppressAutoHyphens/>
        <w:autoSpaceDN w:val="0"/>
        <w:spacing w:line="240" w:lineRule="auto"/>
        <w:rPr>
          <w:rFonts w:eastAsia="DengXian" w:cs="Times New Roman"/>
          <w:kern w:val="3"/>
          <w:lang w:val="en-GB" w:eastAsia="zh-CN"/>
        </w:rPr>
      </w:pPr>
    </w:p>
    <w:p w14:paraId="2E7736D1" w14:textId="77777777" w:rsidR="00082132" w:rsidRPr="00082132" w:rsidRDefault="00082132" w:rsidP="00082132">
      <w:pPr>
        <w:suppressAutoHyphens/>
        <w:autoSpaceDN w:val="0"/>
        <w:spacing w:line="240" w:lineRule="auto"/>
        <w:rPr>
          <w:rFonts w:ascii="Times New Roman" w:eastAsia="DengXian" w:hAnsi="Times New Roman" w:cs="Times New Roman"/>
          <w:kern w:val="3"/>
          <w:sz w:val="40"/>
          <w:szCs w:val="40"/>
          <w:lang w:val="en-GB" w:eastAsia="zh-CN"/>
        </w:rPr>
      </w:pPr>
      <w:r w:rsidRPr="00082132">
        <w:rPr>
          <w:rFonts w:ascii="Times New Roman" w:eastAsia="DengXian" w:hAnsi="Times New Roman" w:cs="Times New Roman"/>
          <w:kern w:val="3"/>
          <w:sz w:val="40"/>
          <w:szCs w:val="40"/>
          <w:lang w:val="en-GB" w:eastAsia="zh-CN"/>
        </w:rPr>
        <w:t>Student Name  :-  Vraj A Pandya</w:t>
      </w:r>
    </w:p>
    <w:p w14:paraId="2E7ECAD1" w14:textId="77777777" w:rsidR="00082132" w:rsidRPr="00082132" w:rsidRDefault="00082132" w:rsidP="00082132">
      <w:pPr>
        <w:suppressAutoHyphens/>
        <w:autoSpaceDN w:val="0"/>
        <w:spacing w:line="240" w:lineRule="auto"/>
        <w:rPr>
          <w:rFonts w:ascii="Times New Roman" w:eastAsia="DengXian" w:hAnsi="Times New Roman" w:cs="Times New Roman"/>
          <w:kern w:val="3"/>
          <w:sz w:val="40"/>
          <w:szCs w:val="40"/>
          <w:lang w:val="en-GB" w:eastAsia="zh-CN"/>
        </w:rPr>
      </w:pPr>
      <w:r w:rsidRPr="00082132">
        <w:rPr>
          <w:rFonts w:ascii="Times New Roman" w:eastAsia="DengXian" w:hAnsi="Times New Roman" w:cs="Times New Roman"/>
          <w:kern w:val="3"/>
          <w:sz w:val="40"/>
          <w:szCs w:val="40"/>
          <w:lang w:val="en-GB" w:eastAsia="zh-CN"/>
        </w:rPr>
        <w:t>Student ID       :- 2244599</w:t>
      </w:r>
    </w:p>
    <w:p w14:paraId="51377410" w14:textId="77777777" w:rsidR="00082132" w:rsidRPr="00082132" w:rsidRDefault="00082132" w:rsidP="00082132">
      <w:pPr>
        <w:suppressAutoHyphens/>
        <w:autoSpaceDN w:val="0"/>
        <w:spacing w:line="240" w:lineRule="auto"/>
        <w:rPr>
          <w:rFonts w:ascii="Times New Roman" w:eastAsia="DengXian" w:hAnsi="Times New Roman" w:cs="Times New Roman"/>
          <w:kern w:val="3"/>
          <w:sz w:val="40"/>
          <w:szCs w:val="40"/>
          <w:lang w:val="en-GB" w:eastAsia="zh-CN"/>
        </w:rPr>
      </w:pPr>
      <w:r w:rsidRPr="00082132">
        <w:rPr>
          <w:rFonts w:ascii="Times New Roman" w:eastAsia="DengXian" w:hAnsi="Times New Roman" w:cs="Times New Roman"/>
          <w:kern w:val="3"/>
          <w:sz w:val="40"/>
          <w:szCs w:val="40"/>
          <w:lang w:val="en-GB" w:eastAsia="zh-CN"/>
        </w:rPr>
        <w:t xml:space="preserve">Programme      :- MBA General Management </w:t>
      </w:r>
    </w:p>
    <w:p w14:paraId="576C763C" w14:textId="77777777" w:rsidR="00082132" w:rsidRPr="00082132" w:rsidRDefault="00082132" w:rsidP="00082132">
      <w:pPr>
        <w:suppressAutoHyphens/>
        <w:autoSpaceDN w:val="0"/>
        <w:spacing w:line="240" w:lineRule="auto"/>
        <w:rPr>
          <w:rFonts w:ascii="Times New Roman" w:eastAsia="DengXian" w:hAnsi="Times New Roman" w:cs="Times New Roman"/>
          <w:kern w:val="3"/>
          <w:sz w:val="40"/>
          <w:szCs w:val="40"/>
          <w:lang w:val="en-GB" w:eastAsia="zh-CN"/>
        </w:rPr>
      </w:pPr>
      <w:r w:rsidRPr="00082132">
        <w:rPr>
          <w:rFonts w:ascii="Times New Roman" w:eastAsia="DengXian" w:hAnsi="Times New Roman" w:cs="Times New Roman"/>
          <w:kern w:val="3"/>
          <w:sz w:val="40"/>
          <w:szCs w:val="40"/>
          <w:lang w:val="en-GB" w:eastAsia="zh-CN"/>
        </w:rPr>
        <w:t xml:space="preserve">Module            :- Human Resource Management </w:t>
      </w:r>
    </w:p>
    <w:p w14:paraId="7700AF44" w14:textId="77777777" w:rsidR="00082132" w:rsidRPr="00082132" w:rsidRDefault="00082132" w:rsidP="00082132">
      <w:pPr>
        <w:suppressAutoHyphens/>
        <w:autoSpaceDN w:val="0"/>
        <w:spacing w:line="240" w:lineRule="auto"/>
        <w:rPr>
          <w:rFonts w:ascii="Times New Roman" w:eastAsia="DengXian" w:hAnsi="Times New Roman" w:cs="Times New Roman"/>
          <w:kern w:val="3"/>
          <w:sz w:val="40"/>
          <w:szCs w:val="40"/>
          <w:lang w:val="en-GB" w:eastAsia="zh-CN"/>
        </w:rPr>
      </w:pPr>
      <w:r w:rsidRPr="00082132">
        <w:rPr>
          <w:rFonts w:ascii="Times New Roman" w:eastAsia="DengXian" w:hAnsi="Times New Roman" w:cs="Times New Roman"/>
          <w:kern w:val="3"/>
          <w:sz w:val="40"/>
          <w:szCs w:val="40"/>
          <w:lang w:val="en-GB" w:eastAsia="zh-CN"/>
        </w:rPr>
        <w:t>Module Code   :- LCMB7000</w:t>
      </w:r>
    </w:p>
    <w:p w14:paraId="7050AAE0" w14:textId="77777777" w:rsidR="00082132" w:rsidRPr="00082132" w:rsidRDefault="00082132" w:rsidP="00082132">
      <w:pPr>
        <w:suppressAutoHyphens/>
        <w:autoSpaceDN w:val="0"/>
        <w:spacing w:line="240" w:lineRule="auto"/>
        <w:rPr>
          <w:rFonts w:ascii="Times New Roman" w:eastAsia="DengXian" w:hAnsi="Times New Roman" w:cs="Times New Roman"/>
          <w:kern w:val="3"/>
          <w:sz w:val="40"/>
          <w:szCs w:val="40"/>
          <w:lang w:val="en-GB" w:eastAsia="zh-CN"/>
        </w:rPr>
      </w:pPr>
      <w:r w:rsidRPr="00082132">
        <w:rPr>
          <w:rFonts w:ascii="Times New Roman" w:eastAsia="DengXian" w:hAnsi="Times New Roman" w:cs="Times New Roman"/>
          <w:kern w:val="3"/>
          <w:sz w:val="40"/>
          <w:szCs w:val="40"/>
          <w:lang w:val="en-GB" w:eastAsia="zh-CN"/>
        </w:rPr>
        <w:t xml:space="preserve">Lecturer           :- </w:t>
      </w:r>
      <w:proofErr w:type="spellStart"/>
      <w:r w:rsidRPr="00082132">
        <w:rPr>
          <w:rFonts w:ascii="Times New Roman" w:eastAsia="DengXian" w:hAnsi="Times New Roman" w:cs="Times New Roman"/>
          <w:kern w:val="3"/>
          <w:sz w:val="40"/>
          <w:szCs w:val="40"/>
          <w:lang w:val="en-GB" w:eastAsia="zh-CN"/>
        </w:rPr>
        <w:t>Mohamad</w:t>
      </w:r>
      <w:proofErr w:type="spellEnd"/>
      <w:r w:rsidRPr="00082132">
        <w:rPr>
          <w:rFonts w:ascii="Times New Roman" w:eastAsia="DengXian" w:hAnsi="Times New Roman" w:cs="Times New Roman"/>
          <w:kern w:val="3"/>
          <w:sz w:val="40"/>
          <w:szCs w:val="40"/>
          <w:lang w:val="en-GB" w:eastAsia="zh-CN"/>
        </w:rPr>
        <w:t xml:space="preserve"> Asim</w:t>
      </w:r>
    </w:p>
    <w:p w14:paraId="61B85839" w14:textId="77777777" w:rsidR="00082132" w:rsidRPr="00082132" w:rsidRDefault="00082132" w:rsidP="00082132">
      <w:pPr>
        <w:suppressAutoHyphens/>
        <w:autoSpaceDN w:val="0"/>
        <w:spacing w:line="240" w:lineRule="auto"/>
        <w:rPr>
          <w:rFonts w:ascii="Times New Roman" w:eastAsia="DengXian" w:hAnsi="Times New Roman" w:cs="Times New Roman"/>
          <w:kern w:val="3"/>
          <w:sz w:val="40"/>
          <w:szCs w:val="40"/>
          <w:lang w:val="en-GB" w:eastAsia="zh-CN"/>
        </w:rPr>
      </w:pPr>
      <w:r w:rsidRPr="00082132">
        <w:rPr>
          <w:rFonts w:ascii="Times New Roman" w:eastAsia="DengXian" w:hAnsi="Times New Roman" w:cs="Times New Roman"/>
          <w:kern w:val="3"/>
          <w:sz w:val="40"/>
          <w:szCs w:val="40"/>
          <w:lang w:val="en-GB" w:eastAsia="zh-CN"/>
        </w:rPr>
        <w:t xml:space="preserve">Submitted On  :- </w:t>
      </w:r>
      <w:proofErr w:type="spellStart"/>
      <w:r w:rsidRPr="00082132">
        <w:rPr>
          <w:rFonts w:ascii="Times New Roman" w:eastAsia="DengXian" w:hAnsi="Times New Roman" w:cs="Times New Roman"/>
          <w:kern w:val="3"/>
          <w:sz w:val="40"/>
          <w:szCs w:val="40"/>
          <w:lang w:val="en-GB" w:eastAsia="zh-CN"/>
        </w:rPr>
        <w:t>22th</w:t>
      </w:r>
      <w:proofErr w:type="spellEnd"/>
      <w:r w:rsidRPr="00082132">
        <w:rPr>
          <w:rFonts w:ascii="Times New Roman" w:eastAsia="DengXian" w:hAnsi="Times New Roman" w:cs="Times New Roman"/>
          <w:kern w:val="3"/>
          <w:sz w:val="40"/>
          <w:szCs w:val="40"/>
          <w:lang w:val="en-GB" w:eastAsia="zh-CN"/>
        </w:rPr>
        <w:t xml:space="preserve"> August 2023</w:t>
      </w:r>
    </w:p>
    <w:p w14:paraId="5F95F84D" w14:textId="77777777" w:rsidR="00895036" w:rsidRDefault="00895036">
      <w:pPr>
        <w:spacing w:line="360" w:lineRule="auto"/>
        <w:jc w:val="center"/>
        <w:rPr>
          <w:rFonts w:ascii="Times New Roman" w:eastAsia="Times New Roman" w:hAnsi="Times New Roman" w:cs="Times New Roman"/>
          <w:b/>
          <w:sz w:val="32"/>
          <w:szCs w:val="32"/>
        </w:rPr>
      </w:pPr>
    </w:p>
    <w:p w14:paraId="17638CC0" w14:textId="77777777" w:rsidR="00895036" w:rsidRDefault="00895036">
      <w:pPr>
        <w:spacing w:line="360" w:lineRule="auto"/>
        <w:jc w:val="center"/>
        <w:rPr>
          <w:rFonts w:ascii="Times New Roman" w:eastAsia="Times New Roman" w:hAnsi="Times New Roman" w:cs="Times New Roman"/>
          <w:b/>
          <w:sz w:val="32"/>
          <w:szCs w:val="32"/>
        </w:rPr>
      </w:pPr>
    </w:p>
    <w:p w14:paraId="611B4F01" w14:textId="77777777" w:rsidR="00895036" w:rsidRDefault="00895036">
      <w:pPr>
        <w:spacing w:line="360" w:lineRule="auto"/>
        <w:jc w:val="center"/>
        <w:rPr>
          <w:rFonts w:ascii="Times New Roman" w:eastAsia="Times New Roman" w:hAnsi="Times New Roman" w:cs="Times New Roman"/>
          <w:b/>
          <w:sz w:val="32"/>
          <w:szCs w:val="32"/>
        </w:rPr>
      </w:pPr>
    </w:p>
    <w:p w14:paraId="6FB2CE79" w14:textId="77777777" w:rsidR="00895036" w:rsidRDefault="00895036">
      <w:pPr>
        <w:spacing w:line="360" w:lineRule="auto"/>
        <w:jc w:val="center"/>
        <w:rPr>
          <w:rFonts w:ascii="Times New Roman" w:eastAsia="Times New Roman" w:hAnsi="Times New Roman" w:cs="Times New Roman"/>
          <w:b/>
          <w:sz w:val="32"/>
          <w:szCs w:val="32"/>
        </w:rPr>
      </w:pPr>
    </w:p>
    <w:p w14:paraId="39A7F47D" w14:textId="77777777" w:rsidR="00895036" w:rsidRDefault="00895036">
      <w:pPr>
        <w:spacing w:line="360" w:lineRule="auto"/>
        <w:jc w:val="center"/>
        <w:rPr>
          <w:rFonts w:ascii="Times New Roman" w:eastAsia="Times New Roman" w:hAnsi="Times New Roman" w:cs="Times New Roman"/>
          <w:b/>
          <w:sz w:val="32"/>
          <w:szCs w:val="32"/>
        </w:rPr>
      </w:pPr>
    </w:p>
    <w:p w14:paraId="7B5B34E6" w14:textId="77777777" w:rsidR="00895036" w:rsidRDefault="00895036">
      <w:pPr>
        <w:spacing w:line="360" w:lineRule="auto"/>
        <w:jc w:val="center"/>
        <w:rPr>
          <w:rFonts w:ascii="Times New Roman" w:eastAsia="Times New Roman" w:hAnsi="Times New Roman" w:cs="Times New Roman"/>
          <w:b/>
          <w:sz w:val="32"/>
          <w:szCs w:val="32"/>
        </w:rPr>
      </w:pPr>
    </w:p>
    <w:p w14:paraId="7509656B" w14:textId="77777777" w:rsidR="00895036" w:rsidRDefault="00895036">
      <w:pPr>
        <w:spacing w:line="360" w:lineRule="auto"/>
        <w:jc w:val="center"/>
        <w:rPr>
          <w:rFonts w:ascii="Times New Roman" w:eastAsia="Times New Roman" w:hAnsi="Times New Roman" w:cs="Times New Roman"/>
          <w:b/>
          <w:sz w:val="32"/>
          <w:szCs w:val="32"/>
        </w:rPr>
      </w:pPr>
    </w:p>
    <w:p w14:paraId="0484C278" w14:textId="77777777" w:rsidR="00895036" w:rsidRDefault="004E4CD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 report on the current state of the labour market in the UK and the emerging changes in Human Resourcing Strategies in the post-Covid, post-Brexit external environment</w:t>
      </w:r>
    </w:p>
    <w:p w14:paraId="74252E29" w14:textId="77777777" w:rsidR="00895036" w:rsidRDefault="004E4CD0">
      <w:pPr>
        <w:rPr>
          <w:rFonts w:ascii="Times New Roman" w:eastAsia="Times New Roman" w:hAnsi="Times New Roman" w:cs="Times New Roman"/>
          <w:b/>
          <w:sz w:val="24"/>
          <w:szCs w:val="24"/>
        </w:rPr>
      </w:pPr>
      <w:r>
        <w:br w:type="page"/>
      </w:r>
    </w:p>
    <w:p w14:paraId="5168E06A" w14:textId="77777777" w:rsidR="00895036" w:rsidRPr="00B4251F" w:rsidRDefault="004E4CD0" w:rsidP="00B4251F">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color w:val="000000"/>
          <w:sz w:val="24"/>
          <w:szCs w:val="24"/>
        </w:rPr>
      </w:pPr>
      <w:r w:rsidRPr="00B4251F">
        <w:rPr>
          <w:rFonts w:ascii="Times New Roman" w:eastAsia="Times New Roman" w:hAnsi="Times New Roman" w:cs="Times New Roman"/>
          <w:b/>
          <w:color w:val="000000"/>
          <w:sz w:val="24"/>
          <w:szCs w:val="24"/>
        </w:rPr>
        <w:lastRenderedPageBreak/>
        <w:t>Table of Contents</w:t>
      </w:r>
    </w:p>
    <w:sdt>
      <w:sdtPr>
        <w:id w:val="-1265989520"/>
        <w:docPartObj>
          <w:docPartGallery w:val="Table of Contents"/>
          <w:docPartUnique/>
        </w:docPartObj>
      </w:sdtPr>
      <w:sdtEndPr/>
      <w:sdtContent>
        <w:p w14:paraId="3F763692" w14:textId="77777777" w:rsidR="00B4251F" w:rsidRPr="00B4251F" w:rsidRDefault="004E4CD0" w:rsidP="00B4251F">
          <w:pPr>
            <w:pStyle w:val="TOC1"/>
            <w:tabs>
              <w:tab w:val="right" w:leader="dot" w:pos="9016"/>
            </w:tabs>
            <w:spacing w:line="360" w:lineRule="auto"/>
            <w:rPr>
              <w:rFonts w:ascii="Times New Roman" w:hAnsi="Times New Roman" w:cs="Times New Roman"/>
              <w:noProof/>
              <w:sz w:val="24"/>
              <w:szCs w:val="24"/>
            </w:rPr>
          </w:pPr>
          <w:r>
            <w:fldChar w:fldCharType="begin"/>
          </w:r>
          <w:r>
            <w:instrText xml:space="preserve"> TOC \h \u \z \t "Heading 1,1,Heading 2,2,Heading 3,3,"</w:instrText>
          </w:r>
          <w:r>
            <w:fldChar w:fldCharType="separate"/>
          </w:r>
          <w:hyperlink w:anchor="_Toc142181934" w:history="1">
            <w:r w:rsidR="00B4251F" w:rsidRPr="00B4251F">
              <w:rPr>
                <w:rStyle w:val="Hyperlink"/>
                <w:rFonts w:ascii="Times New Roman" w:hAnsi="Times New Roman" w:cs="Times New Roman"/>
                <w:noProof/>
                <w:sz w:val="24"/>
                <w:szCs w:val="24"/>
              </w:rPr>
              <w:t>1. Introduction</w:t>
            </w:r>
            <w:r w:rsidR="00B4251F" w:rsidRPr="00B4251F">
              <w:rPr>
                <w:rFonts w:ascii="Times New Roman" w:hAnsi="Times New Roman" w:cs="Times New Roman"/>
                <w:noProof/>
                <w:webHidden/>
                <w:sz w:val="24"/>
                <w:szCs w:val="24"/>
              </w:rPr>
              <w:tab/>
            </w:r>
            <w:r w:rsidR="00B4251F" w:rsidRPr="00B4251F">
              <w:rPr>
                <w:rFonts w:ascii="Times New Roman" w:hAnsi="Times New Roman" w:cs="Times New Roman"/>
                <w:noProof/>
                <w:webHidden/>
                <w:sz w:val="24"/>
                <w:szCs w:val="24"/>
              </w:rPr>
              <w:fldChar w:fldCharType="begin"/>
            </w:r>
            <w:r w:rsidR="00B4251F" w:rsidRPr="00B4251F">
              <w:rPr>
                <w:rFonts w:ascii="Times New Roman" w:hAnsi="Times New Roman" w:cs="Times New Roman"/>
                <w:noProof/>
                <w:webHidden/>
                <w:sz w:val="24"/>
                <w:szCs w:val="24"/>
              </w:rPr>
              <w:instrText xml:space="preserve"> PAGEREF _Toc142181934 \h </w:instrText>
            </w:r>
            <w:r w:rsidR="00B4251F" w:rsidRPr="00B4251F">
              <w:rPr>
                <w:rFonts w:ascii="Times New Roman" w:hAnsi="Times New Roman" w:cs="Times New Roman"/>
                <w:noProof/>
                <w:webHidden/>
                <w:sz w:val="24"/>
                <w:szCs w:val="24"/>
              </w:rPr>
            </w:r>
            <w:r w:rsidR="00B4251F" w:rsidRPr="00B4251F">
              <w:rPr>
                <w:rFonts w:ascii="Times New Roman" w:hAnsi="Times New Roman" w:cs="Times New Roman"/>
                <w:noProof/>
                <w:webHidden/>
                <w:sz w:val="24"/>
                <w:szCs w:val="24"/>
              </w:rPr>
              <w:fldChar w:fldCharType="separate"/>
            </w:r>
            <w:r w:rsidR="00B4251F" w:rsidRPr="00B4251F">
              <w:rPr>
                <w:rFonts w:ascii="Times New Roman" w:hAnsi="Times New Roman" w:cs="Times New Roman"/>
                <w:noProof/>
                <w:webHidden/>
                <w:sz w:val="24"/>
                <w:szCs w:val="24"/>
              </w:rPr>
              <w:t>3</w:t>
            </w:r>
            <w:r w:rsidR="00B4251F" w:rsidRPr="00B4251F">
              <w:rPr>
                <w:rFonts w:ascii="Times New Roman" w:hAnsi="Times New Roman" w:cs="Times New Roman"/>
                <w:noProof/>
                <w:webHidden/>
                <w:sz w:val="24"/>
                <w:szCs w:val="24"/>
              </w:rPr>
              <w:fldChar w:fldCharType="end"/>
            </w:r>
          </w:hyperlink>
        </w:p>
        <w:p w14:paraId="351866BE" w14:textId="77777777" w:rsidR="00B4251F" w:rsidRPr="00B4251F" w:rsidRDefault="003A5389" w:rsidP="00B4251F">
          <w:pPr>
            <w:pStyle w:val="TOC1"/>
            <w:tabs>
              <w:tab w:val="right" w:leader="dot" w:pos="9016"/>
            </w:tabs>
            <w:spacing w:line="360" w:lineRule="auto"/>
            <w:rPr>
              <w:rFonts w:ascii="Times New Roman" w:hAnsi="Times New Roman" w:cs="Times New Roman"/>
              <w:noProof/>
              <w:sz w:val="24"/>
              <w:szCs w:val="24"/>
            </w:rPr>
          </w:pPr>
          <w:hyperlink w:anchor="_Toc142181935" w:history="1">
            <w:r w:rsidR="00B4251F" w:rsidRPr="00B4251F">
              <w:rPr>
                <w:rStyle w:val="Hyperlink"/>
                <w:rFonts w:ascii="Times New Roman" w:hAnsi="Times New Roman" w:cs="Times New Roman"/>
                <w:noProof/>
                <w:sz w:val="24"/>
                <w:szCs w:val="24"/>
              </w:rPr>
              <w:t>2. Labour market’s situation in the UK</w:t>
            </w:r>
            <w:r w:rsidR="00B4251F" w:rsidRPr="00B4251F">
              <w:rPr>
                <w:rFonts w:ascii="Times New Roman" w:hAnsi="Times New Roman" w:cs="Times New Roman"/>
                <w:noProof/>
                <w:webHidden/>
                <w:sz w:val="24"/>
                <w:szCs w:val="24"/>
              </w:rPr>
              <w:tab/>
            </w:r>
            <w:r w:rsidR="00B4251F" w:rsidRPr="00B4251F">
              <w:rPr>
                <w:rFonts w:ascii="Times New Roman" w:hAnsi="Times New Roman" w:cs="Times New Roman"/>
                <w:noProof/>
                <w:webHidden/>
                <w:sz w:val="24"/>
                <w:szCs w:val="24"/>
              </w:rPr>
              <w:fldChar w:fldCharType="begin"/>
            </w:r>
            <w:r w:rsidR="00B4251F" w:rsidRPr="00B4251F">
              <w:rPr>
                <w:rFonts w:ascii="Times New Roman" w:hAnsi="Times New Roman" w:cs="Times New Roman"/>
                <w:noProof/>
                <w:webHidden/>
                <w:sz w:val="24"/>
                <w:szCs w:val="24"/>
              </w:rPr>
              <w:instrText xml:space="preserve"> PAGEREF _Toc142181935 \h </w:instrText>
            </w:r>
            <w:r w:rsidR="00B4251F" w:rsidRPr="00B4251F">
              <w:rPr>
                <w:rFonts w:ascii="Times New Roman" w:hAnsi="Times New Roman" w:cs="Times New Roman"/>
                <w:noProof/>
                <w:webHidden/>
                <w:sz w:val="24"/>
                <w:szCs w:val="24"/>
              </w:rPr>
            </w:r>
            <w:r w:rsidR="00B4251F" w:rsidRPr="00B4251F">
              <w:rPr>
                <w:rFonts w:ascii="Times New Roman" w:hAnsi="Times New Roman" w:cs="Times New Roman"/>
                <w:noProof/>
                <w:webHidden/>
                <w:sz w:val="24"/>
                <w:szCs w:val="24"/>
              </w:rPr>
              <w:fldChar w:fldCharType="separate"/>
            </w:r>
            <w:r w:rsidR="00B4251F" w:rsidRPr="00B4251F">
              <w:rPr>
                <w:rFonts w:ascii="Times New Roman" w:hAnsi="Times New Roman" w:cs="Times New Roman"/>
                <w:noProof/>
                <w:webHidden/>
                <w:sz w:val="24"/>
                <w:szCs w:val="24"/>
              </w:rPr>
              <w:t>3</w:t>
            </w:r>
            <w:r w:rsidR="00B4251F" w:rsidRPr="00B4251F">
              <w:rPr>
                <w:rFonts w:ascii="Times New Roman" w:hAnsi="Times New Roman" w:cs="Times New Roman"/>
                <w:noProof/>
                <w:webHidden/>
                <w:sz w:val="24"/>
                <w:szCs w:val="24"/>
              </w:rPr>
              <w:fldChar w:fldCharType="end"/>
            </w:r>
          </w:hyperlink>
        </w:p>
        <w:p w14:paraId="042A497D" w14:textId="77777777" w:rsidR="00B4251F" w:rsidRPr="00B4251F" w:rsidRDefault="003A5389" w:rsidP="00B4251F">
          <w:pPr>
            <w:pStyle w:val="TOC1"/>
            <w:tabs>
              <w:tab w:val="right" w:leader="dot" w:pos="9016"/>
            </w:tabs>
            <w:spacing w:line="360" w:lineRule="auto"/>
            <w:rPr>
              <w:rFonts w:ascii="Times New Roman" w:hAnsi="Times New Roman" w:cs="Times New Roman"/>
              <w:noProof/>
              <w:sz w:val="24"/>
              <w:szCs w:val="24"/>
            </w:rPr>
          </w:pPr>
          <w:hyperlink w:anchor="_Toc142181936" w:history="1">
            <w:r w:rsidR="00B4251F" w:rsidRPr="00B4251F">
              <w:rPr>
                <w:rStyle w:val="Hyperlink"/>
                <w:rFonts w:ascii="Times New Roman" w:hAnsi="Times New Roman" w:cs="Times New Roman"/>
                <w:noProof/>
                <w:sz w:val="24"/>
                <w:szCs w:val="24"/>
              </w:rPr>
              <w:t>3. The emerging changes in Human Resourcing Strategies in the post-Covid, post-Brexit external environment.</w:t>
            </w:r>
            <w:r w:rsidR="00B4251F" w:rsidRPr="00B4251F">
              <w:rPr>
                <w:rFonts w:ascii="Times New Roman" w:hAnsi="Times New Roman" w:cs="Times New Roman"/>
                <w:noProof/>
                <w:webHidden/>
                <w:sz w:val="24"/>
                <w:szCs w:val="24"/>
              </w:rPr>
              <w:tab/>
            </w:r>
            <w:r w:rsidR="00B4251F" w:rsidRPr="00B4251F">
              <w:rPr>
                <w:rFonts w:ascii="Times New Roman" w:hAnsi="Times New Roman" w:cs="Times New Roman"/>
                <w:noProof/>
                <w:webHidden/>
                <w:sz w:val="24"/>
                <w:szCs w:val="24"/>
              </w:rPr>
              <w:fldChar w:fldCharType="begin"/>
            </w:r>
            <w:r w:rsidR="00B4251F" w:rsidRPr="00B4251F">
              <w:rPr>
                <w:rFonts w:ascii="Times New Roman" w:hAnsi="Times New Roman" w:cs="Times New Roman"/>
                <w:noProof/>
                <w:webHidden/>
                <w:sz w:val="24"/>
                <w:szCs w:val="24"/>
              </w:rPr>
              <w:instrText xml:space="preserve"> PAGEREF _Toc142181936 \h </w:instrText>
            </w:r>
            <w:r w:rsidR="00B4251F" w:rsidRPr="00B4251F">
              <w:rPr>
                <w:rFonts w:ascii="Times New Roman" w:hAnsi="Times New Roman" w:cs="Times New Roman"/>
                <w:noProof/>
                <w:webHidden/>
                <w:sz w:val="24"/>
                <w:szCs w:val="24"/>
              </w:rPr>
            </w:r>
            <w:r w:rsidR="00B4251F" w:rsidRPr="00B4251F">
              <w:rPr>
                <w:rFonts w:ascii="Times New Roman" w:hAnsi="Times New Roman" w:cs="Times New Roman"/>
                <w:noProof/>
                <w:webHidden/>
                <w:sz w:val="24"/>
                <w:szCs w:val="24"/>
              </w:rPr>
              <w:fldChar w:fldCharType="separate"/>
            </w:r>
            <w:r w:rsidR="00B4251F" w:rsidRPr="00B4251F">
              <w:rPr>
                <w:rFonts w:ascii="Times New Roman" w:hAnsi="Times New Roman" w:cs="Times New Roman"/>
                <w:noProof/>
                <w:webHidden/>
                <w:sz w:val="24"/>
                <w:szCs w:val="24"/>
              </w:rPr>
              <w:t>7</w:t>
            </w:r>
            <w:r w:rsidR="00B4251F" w:rsidRPr="00B4251F">
              <w:rPr>
                <w:rFonts w:ascii="Times New Roman" w:hAnsi="Times New Roman" w:cs="Times New Roman"/>
                <w:noProof/>
                <w:webHidden/>
                <w:sz w:val="24"/>
                <w:szCs w:val="24"/>
              </w:rPr>
              <w:fldChar w:fldCharType="end"/>
            </w:r>
          </w:hyperlink>
        </w:p>
        <w:p w14:paraId="6551F84E" w14:textId="77777777" w:rsidR="00B4251F" w:rsidRPr="00B4251F" w:rsidRDefault="003A5389" w:rsidP="00B4251F">
          <w:pPr>
            <w:pStyle w:val="TOC1"/>
            <w:tabs>
              <w:tab w:val="right" w:leader="dot" w:pos="9016"/>
            </w:tabs>
            <w:spacing w:line="360" w:lineRule="auto"/>
            <w:rPr>
              <w:rFonts w:ascii="Times New Roman" w:hAnsi="Times New Roman" w:cs="Times New Roman"/>
              <w:noProof/>
              <w:sz w:val="24"/>
              <w:szCs w:val="24"/>
            </w:rPr>
          </w:pPr>
          <w:hyperlink w:anchor="_Toc142181937" w:history="1">
            <w:r w:rsidR="00B4251F" w:rsidRPr="00B4251F">
              <w:rPr>
                <w:rStyle w:val="Hyperlink"/>
                <w:rFonts w:ascii="Times New Roman" w:hAnsi="Times New Roman" w:cs="Times New Roman"/>
                <w:noProof/>
                <w:sz w:val="24"/>
                <w:szCs w:val="24"/>
              </w:rPr>
              <w:t>4. Conclusion</w:t>
            </w:r>
            <w:r w:rsidR="00B4251F" w:rsidRPr="00B4251F">
              <w:rPr>
                <w:rFonts w:ascii="Times New Roman" w:hAnsi="Times New Roman" w:cs="Times New Roman"/>
                <w:noProof/>
                <w:webHidden/>
                <w:sz w:val="24"/>
                <w:szCs w:val="24"/>
              </w:rPr>
              <w:tab/>
            </w:r>
            <w:r w:rsidR="00B4251F" w:rsidRPr="00B4251F">
              <w:rPr>
                <w:rFonts w:ascii="Times New Roman" w:hAnsi="Times New Roman" w:cs="Times New Roman"/>
                <w:noProof/>
                <w:webHidden/>
                <w:sz w:val="24"/>
                <w:szCs w:val="24"/>
              </w:rPr>
              <w:fldChar w:fldCharType="begin"/>
            </w:r>
            <w:r w:rsidR="00B4251F" w:rsidRPr="00B4251F">
              <w:rPr>
                <w:rFonts w:ascii="Times New Roman" w:hAnsi="Times New Roman" w:cs="Times New Roman"/>
                <w:noProof/>
                <w:webHidden/>
                <w:sz w:val="24"/>
                <w:szCs w:val="24"/>
              </w:rPr>
              <w:instrText xml:space="preserve"> PAGEREF _Toc142181937 \h </w:instrText>
            </w:r>
            <w:r w:rsidR="00B4251F" w:rsidRPr="00B4251F">
              <w:rPr>
                <w:rFonts w:ascii="Times New Roman" w:hAnsi="Times New Roman" w:cs="Times New Roman"/>
                <w:noProof/>
                <w:webHidden/>
                <w:sz w:val="24"/>
                <w:szCs w:val="24"/>
              </w:rPr>
            </w:r>
            <w:r w:rsidR="00B4251F" w:rsidRPr="00B4251F">
              <w:rPr>
                <w:rFonts w:ascii="Times New Roman" w:hAnsi="Times New Roman" w:cs="Times New Roman"/>
                <w:noProof/>
                <w:webHidden/>
                <w:sz w:val="24"/>
                <w:szCs w:val="24"/>
              </w:rPr>
              <w:fldChar w:fldCharType="separate"/>
            </w:r>
            <w:r w:rsidR="00B4251F" w:rsidRPr="00B4251F">
              <w:rPr>
                <w:rFonts w:ascii="Times New Roman" w:hAnsi="Times New Roman" w:cs="Times New Roman"/>
                <w:noProof/>
                <w:webHidden/>
                <w:sz w:val="24"/>
                <w:szCs w:val="24"/>
              </w:rPr>
              <w:t>10</w:t>
            </w:r>
            <w:r w:rsidR="00B4251F" w:rsidRPr="00B4251F">
              <w:rPr>
                <w:rFonts w:ascii="Times New Roman" w:hAnsi="Times New Roman" w:cs="Times New Roman"/>
                <w:noProof/>
                <w:webHidden/>
                <w:sz w:val="24"/>
                <w:szCs w:val="24"/>
              </w:rPr>
              <w:fldChar w:fldCharType="end"/>
            </w:r>
          </w:hyperlink>
        </w:p>
        <w:p w14:paraId="14AFB582" w14:textId="77777777" w:rsidR="00B4251F" w:rsidRDefault="003A5389" w:rsidP="00B4251F">
          <w:pPr>
            <w:pStyle w:val="TOC1"/>
            <w:tabs>
              <w:tab w:val="right" w:leader="dot" w:pos="9016"/>
            </w:tabs>
            <w:spacing w:line="360" w:lineRule="auto"/>
            <w:rPr>
              <w:noProof/>
            </w:rPr>
          </w:pPr>
          <w:hyperlink w:anchor="_Toc142181938" w:history="1">
            <w:r w:rsidR="00B4251F" w:rsidRPr="00B4251F">
              <w:rPr>
                <w:rStyle w:val="Hyperlink"/>
                <w:rFonts w:ascii="Times New Roman" w:hAnsi="Times New Roman" w:cs="Times New Roman"/>
                <w:noProof/>
                <w:sz w:val="24"/>
                <w:szCs w:val="24"/>
              </w:rPr>
              <w:t>References</w:t>
            </w:r>
            <w:r w:rsidR="00B4251F" w:rsidRPr="00B4251F">
              <w:rPr>
                <w:rFonts w:ascii="Times New Roman" w:hAnsi="Times New Roman" w:cs="Times New Roman"/>
                <w:noProof/>
                <w:webHidden/>
                <w:sz w:val="24"/>
                <w:szCs w:val="24"/>
              </w:rPr>
              <w:tab/>
            </w:r>
            <w:r w:rsidR="00B4251F" w:rsidRPr="00B4251F">
              <w:rPr>
                <w:rFonts w:ascii="Times New Roman" w:hAnsi="Times New Roman" w:cs="Times New Roman"/>
                <w:noProof/>
                <w:webHidden/>
                <w:sz w:val="24"/>
                <w:szCs w:val="24"/>
              </w:rPr>
              <w:fldChar w:fldCharType="begin"/>
            </w:r>
            <w:r w:rsidR="00B4251F" w:rsidRPr="00B4251F">
              <w:rPr>
                <w:rFonts w:ascii="Times New Roman" w:hAnsi="Times New Roman" w:cs="Times New Roman"/>
                <w:noProof/>
                <w:webHidden/>
                <w:sz w:val="24"/>
                <w:szCs w:val="24"/>
              </w:rPr>
              <w:instrText xml:space="preserve"> PAGEREF _Toc142181938 \h </w:instrText>
            </w:r>
            <w:r w:rsidR="00B4251F" w:rsidRPr="00B4251F">
              <w:rPr>
                <w:rFonts w:ascii="Times New Roman" w:hAnsi="Times New Roman" w:cs="Times New Roman"/>
                <w:noProof/>
                <w:webHidden/>
                <w:sz w:val="24"/>
                <w:szCs w:val="24"/>
              </w:rPr>
            </w:r>
            <w:r w:rsidR="00B4251F" w:rsidRPr="00B4251F">
              <w:rPr>
                <w:rFonts w:ascii="Times New Roman" w:hAnsi="Times New Roman" w:cs="Times New Roman"/>
                <w:noProof/>
                <w:webHidden/>
                <w:sz w:val="24"/>
                <w:szCs w:val="24"/>
              </w:rPr>
              <w:fldChar w:fldCharType="separate"/>
            </w:r>
            <w:r w:rsidR="00B4251F" w:rsidRPr="00B4251F">
              <w:rPr>
                <w:rFonts w:ascii="Times New Roman" w:hAnsi="Times New Roman" w:cs="Times New Roman"/>
                <w:noProof/>
                <w:webHidden/>
                <w:sz w:val="24"/>
                <w:szCs w:val="24"/>
              </w:rPr>
              <w:t>11</w:t>
            </w:r>
            <w:r w:rsidR="00B4251F" w:rsidRPr="00B4251F">
              <w:rPr>
                <w:rFonts w:ascii="Times New Roman" w:hAnsi="Times New Roman" w:cs="Times New Roman"/>
                <w:noProof/>
                <w:webHidden/>
                <w:sz w:val="24"/>
                <w:szCs w:val="24"/>
              </w:rPr>
              <w:fldChar w:fldCharType="end"/>
            </w:r>
          </w:hyperlink>
        </w:p>
        <w:p w14:paraId="33D308A8" w14:textId="77777777" w:rsidR="00895036" w:rsidRDefault="004E4CD0">
          <w:pPr>
            <w:spacing w:line="360" w:lineRule="auto"/>
            <w:jc w:val="both"/>
          </w:pPr>
          <w:r>
            <w:fldChar w:fldCharType="end"/>
          </w:r>
        </w:p>
      </w:sdtContent>
    </w:sdt>
    <w:p w14:paraId="41FFD2FF" w14:textId="77777777" w:rsidR="00895036" w:rsidRDefault="004E4CD0">
      <w:pPr>
        <w:rPr>
          <w:rFonts w:ascii="Times New Roman" w:eastAsia="Times New Roman" w:hAnsi="Times New Roman" w:cs="Times New Roman"/>
          <w:b/>
          <w:sz w:val="24"/>
          <w:szCs w:val="24"/>
        </w:rPr>
      </w:pPr>
      <w:r>
        <w:br w:type="page"/>
      </w:r>
    </w:p>
    <w:p w14:paraId="0E4E62CC" w14:textId="77777777" w:rsidR="00895036" w:rsidRDefault="004E4CD0">
      <w:pPr>
        <w:pStyle w:val="Heading1"/>
      </w:pPr>
      <w:bookmarkStart w:id="0" w:name="_Toc142181934"/>
      <w:r>
        <w:lastRenderedPageBreak/>
        <w:t>1. Introduction</w:t>
      </w:r>
      <w:bookmarkEnd w:id="0"/>
    </w:p>
    <w:p w14:paraId="7030DDA2"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economic, technical, and social variables have had an impact on the UK labour market during the past few years, causing substantial changes and developments. The UK labour market had been reasonably healthy until the COVID-19 outbreak (</w:t>
      </w:r>
      <w:r>
        <w:rPr>
          <w:rFonts w:ascii="Times New Roman" w:eastAsia="Times New Roman" w:hAnsi="Times New Roman" w:cs="Times New Roman"/>
          <w:color w:val="000000"/>
          <w:sz w:val="24"/>
          <w:szCs w:val="24"/>
          <w:highlight w:val="white"/>
        </w:rPr>
        <w:t>Wang, 2021</w:t>
      </w:r>
      <w:r>
        <w:rPr>
          <w:rFonts w:ascii="Times New Roman" w:eastAsia="Times New Roman" w:hAnsi="Times New Roman" w:cs="Times New Roman"/>
          <w:sz w:val="24"/>
          <w:szCs w:val="24"/>
        </w:rPr>
        <w:t>). With unemployment at unprecedented levels, the employment rate had hit staggering levels. A more varied and responsive workforce was being produced due to adoption of flexible working schedules and a rise in remote employment opportunities. The pandemic, which started in early 2020, presented the labour market with difficulties. Lockdowns and limitations forced numerous firms to temporarily close their doors, which sharply increased the unemployment rate (</w:t>
      </w:r>
      <w:proofErr w:type="spellStart"/>
      <w:r>
        <w:rPr>
          <w:rFonts w:ascii="Times New Roman" w:eastAsia="Times New Roman" w:hAnsi="Times New Roman" w:cs="Times New Roman"/>
          <w:color w:val="000000"/>
          <w:sz w:val="24"/>
          <w:szCs w:val="24"/>
          <w:highlight w:val="white"/>
        </w:rPr>
        <w:t>Fernández-Reino</w:t>
      </w:r>
      <w:proofErr w:type="spellEnd"/>
      <w:r>
        <w:rPr>
          <w:rFonts w:ascii="Times New Roman" w:eastAsia="Times New Roman" w:hAnsi="Times New Roman" w:cs="Times New Roman"/>
          <w:color w:val="000000"/>
          <w:sz w:val="24"/>
          <w:szCs w:val="24"/>
          <w:highlight w:val="white"/>
        </w:rPr>
        <w:t xml:space="preserve"> and </w:t>
      </w:r>
      <w:proofErr w:type="spellStart"/>
      <w:r>
        <w:rPr>
          <w:rFonts w:ascii="Times New Roman" w:eastAsia="Times New Roman" w:hAnsi="Times New Roman" w:cs="Times New Roman"/>
          <w:color w:val="000000"/>
          <w:sz w:val="24"/>
          <w:szCs w:val="24"/>
          <w:highlight w:val="white"/>
        </w:rPr>
        <w:t>Rienzo</w:t>
      </w:r>
      <w:proofErr w:type="spellEnd"/>
      <w:r>
        <w:rPr>
          <w:rFonts w:ascii="Times New Roman" w:eastAsia="Times New Roman" w:hAnsi="Times New Roman" w:cs="Times New Roman"/>
          <w:color w:val="000000"/>
          <w:sz w:val="24"/>
          <w:szCs w:val="24"/>
          <w:highlight w:val="white"/>
        </w:rPr>
        <w:t>, 2021</w:t>
      </w:r>
      <w:r>
        <w:rPr>
          <w:rFonts w:ascii="Times New Roman" w:eastAsia="Times New Roman" w:hAnsi="Times New Roman" w:cs="Times New Roman"/>
          <w:sz w:val="24"/>
          <w:szCs w:val="24"/>
        </w:rPr>
        <w:t xml:space="preserve">). By offering financial assistance to companies so they could keep their staff, the government's furlough programme managed to minimise some reductions in employment. The pandemic has created several tendencies towards technological advancement and remote labour. There have been changes in work relations and potential adjustments in the market for office space as a result of many businesses adopting remote work as a long-term alternative. The kinds of talents that were required changed as a result of the digitalisation of industrial operations. </w:t>
      </w:r>
    </w:p>
    <w:p w14:paraId="1DB39287" w14:textId="77777777" w:rsidR="00895036" w:rsidRDefault="004E4CD0">
      <w:pPr>
        <w:pStyle w:val="Heading1"/>
      </w:pPr>
      <w:bookmarkStart w:id="1" w:name="_Toc142181935"/>
      <w:r>
        <w:t xml:space="preserve">2. Labour market’s situation </w:t>
      </w:r>
      <w:r w:rsidR="00B4251F">
        <w:t>in</w:t>
      </w:r>
      <w:r>
        <w:t xml:space="preserve"> the UK</w:t>
      </w:r>
      <w:bookmarkEnd w:id="1"/>
    </w:p>
    <w:p w14:paraId="0D09167E"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have been a variety of advantages and problems faced by the UK labour market. The COVID-19 epidemic, Brexit, technological development, and societal changes have all had an impact on the labour market, skill requirements, and the working environment. There has been a 0.1 per cent increase in unemployment rates in the UK compared to unemployment rates in November 2022 (Figure 1). In order to guarantee a robust and successful labour market in the UK, policies that tackle inequality, advance skill development, and respond to shifting financial landscapes will remain crucial.</w:t>
      </w:r>
    </w:p>
    <w:p w14:paraId="30B0A442" w14:textId="77777777" w:rsidR="00895036" w:rsidRDefault="004E4CD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03E5B16E" wp14:editId="1DD47971">
            <wp:extent cx="3334215" cy="186716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334215" cy="1867161"/>
                    </a:xfrm>
                    <a:prstGeom prst="rect">
                      <a:avLst/>
                    </a:prstGeom>
                    <a:ln/>
                  </pic:spPr>
                </pic:pic>
              </a:graphicData>
            </a:graphic>
          </wp:inline>
        </w:drawing>
      </w:r>
    </w:p>
    <w:p w14:paraId="039A5292" w14:textId="77777777" w:rsidR="00895036" w:rsidRDefault="004E4CD0">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Figure 1: Rise in Unemployment in the UK</w:t>
      </w:r>
    </w:p>
    <w:p w14:paraId="525E4F4E" w14:textId="77777777" w:rsidR="00895036" w:rsidRDefault="004E4CD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t>
      </w:r>
      <w:r>
        <w:rPr>
          <w:rFonts w:ascii="Times New Roman" w:eastAsia="Times New Roman" w:hAnsi="Times New Roman" w:cs="Times New Roman"/>
          <w:color w:val="252525"/>
          <w:sz w:val="24"/>
          <w:szCs w:val="24"/>
          <w:highlight w:val="white"/>
        </w:rPr>
        <w:t>ONS, 2023)</w:t>
      </w:r>
    </w:p>
    <w:p w14:paraId="071539E2"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profession of human resource (HR) management has been forced to adjust to a new outside setting as a result of the Covid-19 outbreak and the completion of Brexit. In the post-COVID, post-Brexit environment, the following emergent HR strategy adjustments have been noticed: </w:t>
      </w:r>
    </w:p>
    <w:p w14:paraId="545A3EB5" w14:textId="77777777" w:rsidR="00895036" w:rsidRDefault="004E4CD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1. Remote Work and Hybrid Models:</w:t>
      </w:r>
    </w:p>
    <w:p w14:paraId="25249B05"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tactics are changing, favouring remote and hybrid work arrangements, emphasising remote interaction, cooperation, and performance evaluation (</w:t>
      </w:r>
      <w:r>
        <w:rPr>
          <w:rFonts w:ascii="Times New Roman" w:eastAsia="Times New Roman" w:hAnsi="Times New Roman" w:cs="Times New Roman"/>
          <w:color w:val="000000"/>
          <w:sz w:val="24"/>
          <w:szCs w:val="24"/>
          <w:highlight w:val="white"/>
        </w:rPr>
        <w:t>Pursued, 2014</w:t>
      </w:r>
      <w:r>
        <w:rPr>
          <w:rFonts w:ascii="Times New Roman" w:eastAsia="Times New Roman" w:hAnsi="Times New Roman" w:cs="Times New Roman"/>
          <w:sz w:val="24"/>
          <w:szCs w:val="24"/>
        </w:rPr>
        <w:t xml:space="preserve">). Hybrid work models, which combine office and remote labour, are becoming more popular. According to the needs of the team, their individual choices, and the specifics of their work, this strategy gives employees the freedom to pick where they want to work. To support cooperative tasks and offer an effective setting for individuals who choose to come in, businesses are redesigning office spaces. The epidemic hastened digitisation and remote work trends. Many businesses have adopted remote work as an ongoing alternative, changing the nature of the workplace and even altering the demand for office space. The kinds of skills that were sought after were additionally affected by the digitalisation of work operations. The pandemic compelled numerous organisations to use remote work widely. This encounter caused a change in perspective regarding the viability and efficiency of remote work. Many businesses are now adopting hybrid work models, allowing employees to work in the office or remotely (Clark and </w:t>
      </w:r>
      <w:proofErr w:type="spellStart"/>
      <w:r>
        <w:rPr>
          <w:rFonts w:ascii="Times New Roman" w:eastAsia="Times New Roman" w:hAnsi="Times New Roman" w:cs="Times New Roman"/>
          <w:sz w:val="24"/>
          <w:szCs w:val="24"/>
        </w:rPr>
        <w:t>Shankley</w:t>
      </w:r>
      <w:proofErr w:type="spellEnd"/>
      <w:r>
        <w:rPr>
          <w:rFonts w:ascii="Times New Roman" w:eastAsia="Times New Roman" w:hAnsi="Times New Roman" w:cs="Times New Roman"/>
          <w:sz w:val="24"/>
          <w:szCs w:val="24"/>
        </w:rPr>
        <w:t xml:space="preserve">, 2020). Following the COVID-19 epidemic, remote work and hybrid models have grown tremendously in the UK. The nature of remote and hybrid work has changed noticeably in the UK, with various ramifications for businesses, workers, and the whole economy. Many UK organisations quickly made the switch to remote work as a result of the pandemic. Businesses adopted policies governing remote work and made investments in technologies that supported online communication and cooperation. While remote work started as a crisis management measure, it has become a standard practice for many businesses. Increasingly popular are hybrid work arrangements that combine office and remote employment. According to the team's needs, customs, and work purpose, this strategy gives employees the freedom to pick where they want to work. To support working together and offer an enjoyable atmosphere for individuals who prefer to come in, businesses are redesigning office spaces. Reduced commute times, better work-life balance, as well as accessibility to a larger talent pool, are just a few advantages that remote work and hybrid models have to offer. However, difficulties like </w:t>
      </w:r>
      <w:r>
        <w:rPr>
          <w:rFonts w:ascii="Times New Roman" w:eastAsia="Times New Roman" w:hAnsi="Times New Roman" w:cs="Times New Roman"/>
          <w:sz w:val="24"/>
          <w:szCs w:val="24"/>
        </w:rPr>
        <w:lastRenderedPageBreak/>
        <w:t>possibilities of isolation, trouble maintaining unity among teammates, and fuzzier lines separating between professional and private lives have also surfaced (</w:t>
      </w:r>
      <w:proofErr w:type="spellStart"/>
      <w:r>
        <w:rPr>
          <w:rFonts w:ascii="Times New Roman" w:eastAsia="Times New Roman" w:hAnsi="Times New Roman" w:cs="Times New Roman"/>
          <w:sz w:val="24"/>
          <w:szCs w:val="24"/>
        </w:rPr>
        <w:t>Mayhew</w:t>
      </w:r>
      <w:proofErr w:type="spellEnd"/>
      <w:r>
        <w:rPr>
          <w:rFonts w:ascii="Times New Roman" w:eastAsia="Times New Roman" w:hAnsi="Times New Roman" w:cs="Times New Roman"/>
          <w:sz w:val="24"/>
          <w:szCs w:val="24"/>
        </w:rPr>
        <w:t xml:space="preserve"> and Anand, 2020). Remote work and hybrid models have firmly established themselves in the UK's labour market. Organisations are figuring out methods to use flexibility's advantages while tackling its drawbacks to give workers an atmosphere that is productive and healthy. As these models become more thoroughly ingrained in corporate practises, the effects they will have overtime on the working environment, the economy, and society in the UK will become more apparent.</w:t>
      </w:r>
    </w:p>
    <w:p w14:paraId="085BCC90" w14:textId="77777777" w:rsidR="00895036" w:rsidRDefault="004E4CD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2. Digital Transformation and HR Tech</w:t>
      </w:r>
    </w:p>
    <w:p w14:paraId="44C35733"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recruitment process has been revolutionised by HR technology. The employment process is streamlined by automated applicant tracking systems (ATS), which also schedule interviews and carry out preliminary evaluations. AI-powered technologies can also examine descriptions of candidates and assign them appropriate job responsibilities, improving hiring effectiveness (</w:t>
      </w:r>
      <w:proofErr w:type="spellStart"/>
      <w:r>
        <w:rPr>
          <w:rFonts w:ascii="Times New Roman" w:eastAsia="Times New Roman" w:hAnsi="Times New Roman" w:cs="Times New Roman"/>
          <w:color w:val="000000"/>
          <w:sz w:val="24"/>
          <w:szCs w:val="24"/>
          <w:highlight w:val="white"/>
        </w:rPr>
        <w:t>Kornelakis</w:t>
      </w:r>
      <w:proofErr w:type="spellEnd"/>
      <w:r>
        <w:rPr>
          <w:rFonts w:ascii="Times New Roman" w:eastAsia="Times New Roman" w:hAnsi="Times New Roman" w:cs="Times New Roman"/>
          <w:color w:val="000000"/>
          <w:sz w:val="24"/>
          <w:szCs w:val="24"/>
          <w:highlight w:val="white"/>
        </w:rPr>
        <w:t xml:space="preserve"> and </w:t>
      </w:r>
      <w:proofErr w:type="spellStart"/>
      <w:r>
        <w:rPr>
          <w:rFonts w:ascii="Times New Roman" w:eastAsia="Times New Roman" w:hAnsi="Times New Roman" w:cs="Times New Roman"/>
          <w:color w:val="000000"/>
          <w:sz w:val="24"/>
          <w:szCs w:val="24"/>
          <w:highlight w:val="white"/>
        </w:rPr>
        <w:t>Petrakaki</w:t>
      </w:r>
      <w:proofErr w:type="spellEnd"/>
      <w:r>
        <w:rPr>
          <w:rFonts w:ascii="Times New Roman" w:eastAsia="Times New Roman" w:hAnsi="Times New Roman" w:cs="Times New Roman"/>
          <w:color w:val="000000"/>
          <w:sz w:val="24"/>
          <w:szCs w:val="24"/>
          <w:highlight w:val="white"/>
        </w:rPr>
        <w:t>, 2020</w:t>
      </w:r>
      <w:r>
        <w:rPr>
          <w:rFonts w:ascii="Times New Roman" w:eastAsia="Times New Roman" w:hAnsi="Times New Roman" w:cs="Times New Roman"/>
          <w:sz w:val="24"/>
          <w:szCs w:val="24"/>
        </w:rPr>
        <w:t>). Digital platforms allow new hires to access necessary information, instructional content, and business assets from any location. Effective staff growth is facilitated through interactive e-learning modules, virtual reality models, and online learning environments. By gathering information on anxiety, assignments, and engagement measures, HR tech can help monitor and deal with the health of staff members. Interventions that enhance the mental health and well-being of employees are guided by this data. The epidemic hastened the use of electronic devices and platforms in HR and other business activities. Online hiring, onboarding, and training have become crucial. To improve employee experiences, streamline operations, and deliver information-driven knowledge for decision-making, HR departments have made investments in technology. Modern organisations' HR operations have undergone a considerable transition as a result of digital transformation and the implementation of HR technologies (Costa Dias et al., 2020). Adopting technology in HR procedures has increased productivity, enhanced employee satisfaction, and enabled information-driven choices. The recruitment process has been revolutionised by HR technology. The employment process is streamlined by automated applicant tracking systems (ATS), which also schedule interviews and carry out preliminary evaluations. AI-powered technologies can also examine descriptions of candidates to match them with appropriate job responsibilities, improving the effectiveness of hiring. Online services make it possible for remote orientation and instruction, giving new employees access to crucial data, training materials, and company resources from any location (</w:t>
      </w:r>
      <w:proofErr w:type="spellStart"/>
      <w:r>
        <w:rPr>
          <w:rFonts w:ascii="Times New Roman" w:eastAsia="Times New Roman" w:hAnsi="Times New Roman" w:cs="Times New Roman"/>
          <w:sz w:val="24"/>
          <w:szCs w:val="24"/>
        </w:rPr>
        <w:t>Dias-Abey</w:t>
      </w:r>
      <w:proofErr w:type="spellEnd"/>
      <w:r>
        <w:rPr>
          <w:rFonts w:ascii="Times New Roman" w:eastAsia="Times New Roman" w:hAnsi="Times New Roman" w:cs="Times New Roman"/>
          <w:sz w:val="24"/>
          <w:szCs w:val="24"/>
        </w:rPr>
        <w:t xml:space="preserve">, 2021). Virtual reality models, online learning environments, and interactive e-learning modules all support efficient staff growth. By utilising chat platforms, social </w:t>
      </w:r>
      <w:r>
        <w:rPr>
          <w:rFonts w:ascii="Times New Roman" w:eastAsia="Times New Roman" w:hAnsi="Times New Roman" w:cs="Times New Roman"/>
          <w:sz w:val="24"/>
          <w:szCs w:val="24"/>
        </w:rPr>
        <w:lastRenderedPageBreak/>
        <w:t xml:space="preserve">networking tools, and intranet portals, HR technology enables increased employee involvement. Instantaneous suggestions, acknowledgement, and communication are made possible by these platforms, which promote engagement and an awareness of community among both remote and in-office personnel. </w:t>
      </w:r>
    </w:p>
    <w:p w14:paraId="14F523C9"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transformation has completely changed how businesses manage their human capital thanks to the incorporation of technology into HR procedures</w:t>
      </w:r>
      <w:r w:rsidR="00B4251F">
        <w:rPr>
          <w:rFonts w:ascii="Times New Roman" w:eastAsia="Times New Roman" w:hAnsi="Times New Roman" w:cs="Times New Roman"/>
          <w:sz w:val="24"/>
          <w:szCs w:val="24"/>
        </w:rPr>
        <w:t xml:space="preserve"> (</w:t>
      </w:r>
      <w:proofErr w:type="spellStart"/>
      <w:r w:rsidR="00B4251F">
        <w:rPr>
          <w:rFonts w:ascii="Times New Roman" w:eastAsia="Times New Roman" w:hAnsi="Times New Roman" w:cs="Times New Roman"/>
          <w:sz w:val="24"/>
          <w:szCs w:val="24"/>
        </w:rPr>
        <w:t>Dias-Abey</w:t>
      </w:r>
      <w:proofErr w:type="spellEnd"/>
      <w:r w:rsidR="00B4251F">
        <w:rPr>
          <w:rFonts w:ascii="Times New Roman" w:eastAsia="Times New Roman" w:hAnsi="Times New Roman" w:cs="Times New Roman"/>
          <w:sz w:val="24"/>
          <w:szCs w:val="24"/>
        </w:rPr>
        <w:t>, 2021)</w:t>
      </w:r>
      <w:r>
        <w:rPr>
          <w:rFonts w:ascii="Times New Roman" w:eastAsia="Times New Roman" w:hAnsi="Times New Roman" w:cs="Times New Roman"/>
          <w:sz w:val="24"/>
          <w:szCs w:val="24"/>
        </w:rPr>
        <w:t>. Employer experiences, information-driven choices, efficiency, and overall organisational success are all improved by HR technology. HR departments will continue to adapt and use cutting-edge solutions as technology develops to suit the shifting needs of the workforce and the company.</w:t>
      </w:r>
    </w:p>
    <w:p w14:paraId="1B6A8AD9" w14:textId="77777777" w:rsidR="00895036" w:rsidRDefault="004E4CD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3. Focus on Employee Well-being</w:t>
      </w:r>
    </w:p>
    <w:p w14:paraId="615D5C7B"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pandemic made the value of employee well-being clear. HR strategies today place more attention on initiatives that foster work-life balance, flexible work schedules, and mental health assistance. A healthy and motivated staff is becoming increasingly important for an organisation's long-term performance (</w:t>
      </w:r>
      <w:proofErr w:type="spellStart"/>
      <w:r>
        <w:rPr>
          <w:rFonts w:ascii="Times New Roman" w:eastAsia="Times New Roman" w:hAnsi="Times New Roman" w:cs="Times New Roman"/>
          <w:color w:val="000000"/>
          <w:sz w:val="24"/>
          <w:szCs w:val="24"/>
          <w:highlight w:val="white"/>
        </w:rPr>
        <w:t>Eichhorst</w:t>
      </w:r>
      <w:proofErr w:type="spellEnd"/>
      <w:r>
        <w:rPr>
          <w:rFonts w:ascii="Times New Roman" w:eastAsia="Times New Roman" w:hAnsi="Times New Roman" w:cs="Times New Roman"/>
          <w:color w:val="000000"/>
          <w:sz w:val="24"/>
          <w:szCs w:val="24"/>
          <w:highlight w:val="white"/>
        </w:rPr>
        <w:t xml:space="preserve">, Marx and </w:t>
      </w:r>
      <w:proofErr w:type="spellStart"/>
      <w:r>
        <w:rPr>
          <w:rFonts w:ascii="Times New Roman" w:eastAsia="Times New Roman" w:hAnsi="Times New Roman" w:cs="Times New Roman"/>
          <w:color w:val="000000"/>
          <w:sz w:val="24"/>
          <w:szCs w:val="24"/>
          <w:highlight w:val="white"/>
        </w:rPr>
        <w:t>Rinne</w:t>
      </w:r>
      <w:proofErr w:type="spellEnd"/>
      <w:r>
        <w:rPr>
          <w:rFonts w:ascii="Times New Roman" w:eastAsia="Times New Roman" w:hAnsi="Times New Roman" w:cs="Times New Roman"/>
          <w:color w:val="000000"/>
          <w:sz w:val="24"/>
          <w:szCs w:val="24"/>
          <w:highlight w:val="white"/>
        </w:rPr>
        <w:t>, 2020</w:t>
      </w:r>
      <w:r>
        <w:rPr>
          <w:rFonts w:ascii="Times New Roman" w:eastAsia="Times New Roman" w:hAnsi="Times New Roman" w:cs="Times New Roman"/>
          <w:sz w:val="24"/>
          <w:szCs w:val="24"/>
        </w:rPr>
        <w:t>). Employers are providing resources and support for employees' mental health. These cover having access to counselling services, employee assistance programmes (EAPs), and public education efforts about mental health. It is crucial to develop a culture that minimises issues related to mental health and promotes candid communication. The UK labour market had previously been rather robust before the COVID-19 pandemic. With the unemployment rate reaching its lowest point in decades, employment rates had risen to record levels. A more diversified and adaptable workforce was being made possible by the adoption of flexible working schedules and a rise in remote work opportunities. Early in 2020, the epidemic started, posing enormous labour market difficulties. As previously mentioned, Lockdowns and limitations caused numerous enterprises to close temporarily, significantly increasing the unemployment rate. By offering financial assistance to companies so they could keep their staff, the government's furlough programme managed to minimise some job losses (</w:t>
      </w:r>
      <w:proofErr w:type="spellStart"/>
      <w:r>
        <w:rPr>
          <w:rFonts w:ascii="Times New Roman" w:eastAsia="Times New Roman" w:hAnsi="Times New Roman" w:cs="Times New Roman"/>
          <w:color w:val="000000"/>
          <w:sz w:val="24"/>
          <w:szCs w:val="24"/>
          <w:highlight w:val="white"/>
        </w:rPr>
        <w:t>Eichhorst</w:t>
      </w:r>
      <w:proofErr w:type="spellEnd"/>
      <w:r>
        <w:rPr>
          <w:rFonts w:ascii="Times New Roman" w:eastAsia="Times New Roman" w:hAnsi="Times New Roman" w:cs="Times New Roman"/>
          <w:color w:val="000000"/>
          <w:sz w:val="24"/>
          <w:szCs w:val="24"/>
          <w:highlight w:val="white"/>
        </w:rPr>
        <w:t xml:space="preserve">, Marx and </w:t>
      </w:r>
      <w:proofErr w:type="spellStart"/>
      <w:r>
        <w:rPr>
          <w:rFonts w:ascii="Times New Roman" w:eastAsia="Times New Roman" w:hAnsi="Times New Roman" w:cs="Times New Roman"/>
          <w:color w:val="000000"/>
          <w:sz w:val="24"/>
          <w:szCs w:val="24"/>
          <w:highlight w:val="white"/>
        </w:rPr>
        <w:t>Rinne</w:t>
      </w:r>
      <w:proofErr w:type="spellEnd"/>
      <w:r>
        <w:rPr>
          <w:rFonts w:ascii="Times New Roman" w:eastAsia="Times New Roman" w:hAnsi="Times New Roman" w:cs="Times New Roman"/>
          <w:color w:val="000000"/>
          <w:sz w:val="24"/>
          <w:szCs w:val="24"/>
          <w:highlight w:val="white"/>
        </w:rPr>
        <w:t>, 2020</w:t>
      </w:r>
      <w:r>
        <w:rPr>
          <w:rFonts w:ascii="Times New Roman" w:eastAsia="Times New Roman" w:hAnsi="Times New Roman" w:cs="Times New Roman"/>
          <w:sz w:val="24"/>
          <w:szCs w:val="24"/>
        </w:rPr>
        <w:t xml:space="preserve">). Covid 19 hastened inclinations towards digitalisation and remote labour. There have been changes in work interactions and prospective adjustments in the demand for office space due to many businesses adopting remote work as a long-term alternative. The kinds of talents that were required changed as a result of the digitalisation of industrial operations. The pandemic brought home how crucial employee welfare is. Assistance for mental health, flexible work schedules, and initiatives encouraging work-life balance are now prioritised more in HR strategy. </w:t>
      </w:r>
      <w:r>
        <w:rPr>
          <w:rFonts w:ascii="Times New Roman" w:eastAsia="Times New Roman" w:hAnsi="Times New Roman" w:cs="Times New Roman"/>
          <w:sz w:val="24"/>
          <w:szCs w:val="24"/>
        </w:rPr>
        <w:lastRenderedPageBreak/>
        <w:t xml:space="preserve">Businesses realise how important a happy, engaged workforce is to long-term success. The external environment created by COVID and Brexit has led to a considerable shift in HR policies (Simpson, 2020). These changes are driven mostly by flexibility, adoption of technologies, employee well-being, improvement of skills, and ethical issues. In order to handle these changing obstacles and possibilities efficiently, HR departments are redefining their roles. The administration of the modern workplace must now prioritise the workforce's well-being. Companies know the correlation between satisfaction with work, efficiency, and overall business success and their psychological, emotional, and physical wellness. </w:t>
      </w:r>
    </w:p>
    <w:p w14:paraId="55B1B69F" w14:textId="77777777" w:rsidR="00B4251F" w:rsidRDefault="00B4251F">
      <w:pPr>
        <w:spacing w:line="360" w:lineRule="auto"/>
        <w:jc w:val="both"/>
        <w:rPr>
          <w:rFonts w:ascii="Times New Roman" w:eastAsia="Times New Roman" w:hAnsi="Times New Roman" w:cs="Times New Roman"/>
          <w:sz w:val="24"/>
          <w:szCs w:val="24"/>
        </w:rPr>
      </w:pPr>
    </w:p>
    <w:p w14:paraId="1DB7C6BC" w14:textId="77777777" w:rsidR="00895036" w:rsidRDefault="004E4CD0">
      <w:pPr>
        <w:pStyle w:val="Heading1"/>
      </w:pPr>
      <w:bookmarkStart w:id="2" w:name="_Toc142181936"/>
      <w:r>
        <w:t>3. The emerging changes in Human Resourcing Strategies in the post-Covid, post-Brexit external environment.</w:t>
      </w:r>
      <w:bookmarkEnd w:id="2"/>
      <w:r>
        <w:t xml:space="preserve"> </w:t>
      </w:r>
    </w:p>
    <w:p w14:paraId="2E4FCD06"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field of human resource (HR) management has been forced to adjust to a new external environment as a result of the Covid-19 outbreak and the completion of Brexit. In the post-COVID, post-Brexit environment, the following emergent HR strategy adjustments have been noticed: </w:t>
      </w:r>
    </w:p>
    <w:p w14:paraId="467937E5" w14:textId="77777777" w:rsidR="00895036" w:rsidRDefault="004E4CD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Mental Health Support:</w:t>
      </w:r>
    </w:p>
    <w:p w14:paraId="3362286E"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Employers are providing resources and support for employees' psychological wellness. These cover having access to counselling services, employee assistance programmes (EAPs), and public education efforts about mental health</w:t>
      </w:r>
      <w:r w:rsidR="00B4251F">
        <w:rPr>
          <w:rFonts w:ascii="Times New Roman" w:eastAsia="Times New Roman" w:hAnsi="Times New Roman" w:cs="Times New Roman"/>
          <w:sz w:val="24"/>
          <w:szCs w:val="24"/>
        </w:rPr>
        <w:t xml:space="preserve"> (Simpson, 2020)</w:t>
      </w:r>
      <w:r>
        <w:rPr>
          <w:rFonts w:ascii="Times New Roman" w:eastAsia="Times New Roman" w:hAnsi="Times New Roman" w:cs="Times New Roman"/>
          <w:sz w:val="24"/>
          <w:szCs w:val="24"/>
        </w:rPr>
        <w:t xml:space="preserve">. It is crucial to develop a culture that de-stigmatises issues related to mental health and promotes candid communication. </w:t>
      </w:r>
    </w:p>
    <w:p w14:paraId="57B5CE70" w14:textId="77777777" w:rsidR="00895036" w:rsidRDefault="004E4CD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Flexible Work Arrangements:</w:t>
      </w:r>
    </w:p>
    <w:p w14:paraId="74BD8DA7"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can better manage their personal and professional life with the help of flexible work arrangements, such as remote work and hourly schedules. Employees can modify their schedules to suit their needs, which helps to lower stress. </w:t>
      </w:r>
    </w:p>
    <w:p w14:paraId="26F0403F" w14:textId="77777777" w:rsidR="00895036" w:rsidRDefault="004E4CD0">
      <w:pPr>
        <w:spacing w:line="360" w:lineRule="auto"/>
        <w:jc w:val="center"/>
        <w:rPr>
          <w:rFonts w:ascii="Times New Roman" w:eastAsia="Times New Roman" w:hAnsi="Times New Roman" w:cs="Times New Roman"/>
          <w:sz w:val="24"/>
          <w:szCs w:val="24"/>
        </w:rPr>
      </w:pPr>
      <w:r>
        <w:rPr>
          <w:noProof/>
          <w:lang w:val="en-US"/>
        </w:rPr>
        <w:lastRenderedPageBreak/>
        <w:drawing>
          <wp:inline distT="0" distB="0" distL="0" distR="0" wp14:anchorId="7B43AB87" wp14:editId="6E18652F">
            <wp:extent cx="3987719" cy="2679747"/>
            <wp:effectExtent l="0" t="0" r="0" b="0"/>
            <wp:docPr id="2" name="image2.png" descr="Employee Wellness Program, Health Wellness Workshops, Transformation –  NatureHealz"/>
            <wp:cNvGraphicFramePr/>
            <a:graphic xmlns:a="http://schemas.openxmlformats.org/drawingml/2006/main">
              <a:graphicData uri="http://schemas.openxmlformats.org/drawingml/2006/picture">
                <pic:pic xmlns:pic="http://schemas.openxmlformats.org/drawingml/2006/picture">
                  <pic:nvPicPr>
                    <pic:cNvPr id="0" name="image2.png" descr="Employee Wellness Program, Health Wellness Workshops, Transformation –  NatureHealz"/>
                    <pic:cNvPicPr preferRelativeResize="0"/>
                  </pic:nvPicPr>
                  <pic:blipFill>
                    <a:blip r:embed="rId9"/>
                    <a:srcRect/>
                    <a:stretch>
                      <a:fillRect/>
                    </a:stretch>
                  </pic:blipFill>
                  <pic:spPr>
                    <a:xfrm>
                      <a:off x="0" y="0"/>
                      <a:ext cx="3987719" cy="2679747"/>
                    </a:xfrm>
                    <a:prstGeom prst="rect">
                      <a:avLst/>
                    </a:prstGeom>
                    <a:ln/>
                  </pic:spPr>
                </pic:pic>
              </a:graphicData>
            </a:graphic>
          </wp:inline>
        </w:drawing>
      </w:r>
    </w:p>
    <w:p w14:paraId="69DD7F09" w14:textId="77777777" w:rsidR="00895036" w:rsidRDefault="004E4CD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Wellness benefits</w:t>
      </w:r>
    </w:p>
    <w:p w14:paraId="715F676A" w14:textId="77777777" w:rsidR="00895036" w:rsidRDefault="004E4CD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(Nature </w:t>
      </w:r>
      <w:proofErr w:type="spellStart"/>
      <w:r>
        <w:rPr>
          <w:rFonts w:ascii="Times New Roman" w:eastAsia="Times New Roman" w:hAnsi="Times New Roman" w:cs="Times New Roman"/>
          <w:sz w:val="24"/>
          <w:szCs w:val="24"/>
        </w:rPr>
        <w:t>Healz</w:t>
      </w:r>
      <w:proofErr w:type="spellEnd"/>
      <w:r>
        <w:rPr>
          <w:rFonts w:ascii="Times New Roman" w:eastAsia="Times New Roman" w:hAnsi="Times New Roman" w:cs="Times New Roman"/>
          <w:sz w:val="24"/>
          <w:szCs w:val="24"/>
        </w:rPr>
        <w:t>, 2023)</w:t>
      </w:r>
    </w:p>
    <w:p w14:paraId="740F43F7" w14:textId="77777777" w:rsidR="00895036" w:rsidRDefault="004E4CD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Health and Wellness Programs:</w:t>
      </w:r>
    </w:p>
    <w:p w14:paraId="08AF61AE"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Employers are adding wellness activities like exercise routines, yoga classes, and workshops on contemplation and health obstacles. These initiatives support physical health and encourage workers to prioritise their health (</w:t>
      </w:r>
      <w:r>
        <w:rPr>
          <w:rFonts w:ascii="Times New Roman" w:eastAsia="Times New Roman" w:hAnsi="Times New Roman" w:cs="Times New Roman"/>
          <w:color w:val="000000"/>
          <w:sz w:val="24"/>
          <w:szCs w:val="24"/>
          <w:highlight w:val="white"/>
        </w:rPr>
        <w:t>Thomas, 2020</w:t>
      </w:r>
      <w:r>
        <w:rPr>
          <w:rFonts w:ascii="Times New Roman" w:eastAsia="Times New Roman" w:hAnsi="Times New Roman" w:cs="Times New Roman"/>
          <w:sz w:val="24"/>
          <w:szCs w:val="24"/>
        </w:rPr>
        <w:t xml:space="preserve">). </w:t>
      </w:r>
    </w:p>
    <w:p w14:paraId="4B4308EE"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strategic benefit as well as a social imperative, employee well-being is important. A greater degree of employee engagement, productivity, and retention is observed in organisations that place a strong priority on well-being. A flourishing and adaptable workforce must be built as work environments change, which requires putting well-being at the centre of workplace strategy.</w:t>
      </w:r>
    </w:p>
    <w:p w14:paraId="65BA7F8E" w14:textId="77777777" w:rsidR="00895036" w:rsidRDefault="004E4CD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Diversity, Equity, and Inclusion </w:t>
      </w:r>
    </w:p>
    <w:p w14:paraId="3EBC5668"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essential concepts of diversity, equity, and inclusion (DEI) concern fostering an office atmosphere honouring and respecting each person's distinctive experiences, opinions, and backgrounds</w:t>
      </w:r>
      <w:r w:rsidR="00B4251F">
        <w:rPr>
          <w:rFonts w:ascii="Times New Roman" w:eastAsia="Times New Roman" w:hAnsi="Times New Roman" w:cs="Times New Roman"/>
          <w:sz w:val="24"/>
          <w:szCs w:val="24"/>
        </w:rPr>
        <w:t xml:space="preserve"> (</w:t>
      </w:r>
      <w:r w:rsidR="00B4251F">
        <w:rPr>
          <w:rFonts w:ascii="Times New Roman" w:eastAsia="Times New Roman" w:hAnsi="Times New Roman" w:cs="Times New Roman"/>
          <w:color w:val="000000"/>
          <w:sz w:val="24"/>
          <w:szCs w:val="24"/>
          <w:highlight w:val="white"/>
        </w:rPr>
        <w:t>Thomas, 2020</w:t>
      </w:r>
      <w:r w:rsidR="00B4251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Organisations that place a high priority on DEI gain from enhanced creativity, better employee engagement, and improved organisational performance, in addition to fostering a more inclusive culture. </w:t>
      </w:r>
    </w:p>
    <w:p w14:paraId="5A4BBC3B"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Diversity</w:t>
      </w:r>
      <w:r>
        <w:rPr>
          <w:rFonts w:ascii="Times New Roman" w:eastAsia="Times New Roman" w:hAnsi="Times New Roman" w:cs="Times New Roman"/>
          <w:sz w:val="24"/>
          <w:szCs w:val="24"/>
        </w:rPr>
        <w:t>:</w:t>
      </w:r>
    </w:p>
    <w:p w14:paraId="26810538"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variety of personal variations within a group of people is referred to as diversity. This covers variations in race, gender, and age, as well as in sexual preference, ethnicity, religion, </w:t>
      </w:r>
      <w:r>
        <w:rPr>
          <w:rFonts w:ascii="Times New Roman" w:eastAsia="Times New Roman" w:hAnsi="Times New Roman" w:cs="Times New Roman"/>
          <w:sz w:val="24"/>
          <w:szCs w:val="24"/>
        </w:rPr>
        <w:lastRenderedPageBreak/>
        <w:t xml:space="preserve">and other factors. A diverse staff represents society at large and provides a range of viewpoints to the table. </w:t>
      </w:r>
    </w:p>
    <w:p w14:paraId="3EB1EA65"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Equity</w:t>
      </w:r>
      <w:r>
        <w:rPr>
          <w:rFonts w:ascii="Times New Roman" w:eastAsia="Times New Roman" w:hAnsi="Times New Roman" w:cs="Times New Roman"/>
          <w:sz w:val="24"/>
          <w:szCs w:val="24"/>
        </w:rPr>
        <w:t>:</w:t>
      </w:r>
    </w:p>
    <w:p w14:paraId="4A79EF3F"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ensure that all workers have equal access to opportunities, supplies, and assistance. It talks about potential workplace disparities that may be systematic and historical. Equitable opportunity for success and well-being for everyone, irrespective of background, is the goal of equity</w:t>
      </w:r>
      <w:r w:rsidR="00B4251F">
        <w:rPr>
          <w:rFonts w:ascii="Times New Roman" w:eastAsia="Times New Roman" w:hAnsi="Times New Roman" w:cs="Times New Roman"/>
          <w:sz w:val="24"/>
          <w:szCs w:val="24"/>
        </w:rPr>
        <w:t xml:space="preserve"> (</w:t>
      </w:r>
      <w:proofErr w:type="spellStart"/>
      <w:r w:rsidR="00B4251F">
        <w:rPr>
          <w:rFonts w:ascii="Times New Roman" w:eastAsia="Times New Roman" w:hAnsi="Times New Roman" w:cs="Times New Roman"/>
          <w:color w:val="000000"/>
          <w:sz w:val="24"/>
          <w:szCs w:val="24"/>
          <w:highlight w:val="white"/>
        </w:rPr>
        <w:t>Wadsworth</w:t>
      </w:r>
      <w:proofErr w:type="spellEnd"/>
      <w:r w:rsidR="00B4251F">
        <w:rPr>
          <w:rFonts w:ascii="Times New Roman" w:eastAsia="Times New Roman" w:hAnsi="Times New Roman" w:cs="Times New Roman"/>
          <w:color w:val="000000"/>
          <w:sz w:val="24"/>
          <w:szCs w:val="24"/>
          <w:highlight w:val="white"/>
        </w:rPr>
        <w:t>, 2020</w:t>
      </w:r>
      <w:r w:rsidR="00B4251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42DC1376"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Inclusion</w:t>
      </w:r>
      <w:r>
        <w:rPr>
          <w:rFonts w:ascii="Times New Roman" w:eastAsia="Times New Roman" w:hAnsi="Times New Roman" w:cs="Times New Roman"/>
          <w:sz w:val="24"/>
          <w:szCs w:val="24"/>
        </w:rPr>
        <w:t>:</w:t>
      </w:r>
    </w:p>
    <w:p w14:paraId="0FE36BF7"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employees must feel acknowledged, appreciated, and encouraged to contribute their viewpoints to practise inclusion. Beyond basic participation, inclusive organisations work hard to foster a sense of community among all members. Promoting inclusion fosters teamwork and aids in the development of staff members. </w:t>
      </w:r>
    </w:p>
    <w:p w14:paraId="22B18AE5"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Importance of DEI</w:t>
      </w:r>
      <w:r>
        <w:rPr>
          <w:rFonts w:ascii="Times New Roman" w:eastAsia="Times New Roman" w:hAnsi="Times New Roman" w:cs="Times New Roman"/>
          <w:sz w:val="24"/>
          <w:szCs w:val="24"/>
        </w:rPr>
        <w:t xml:space="preserve">: </w:t>
      </w:r>
    </w:p>
    <w:p w14:paraId="102A3475" w14:textId="77777777" w:rsidR="00895036" w:rsidRDefault="004E4CD0">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Innovation: A varied staff delivers a breadth of perspectives, fostering more original thinking and inventive solutions. </w:t>
      </w:r>
    </w:p>
    <w:p w14:paraId="3E2B27FF" w14:textId="77777777" w:rsidR="00895036" w:rsidRDefault="004E4CD0">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Employee Engagement: A greater degree of participation, fulfilment with work, and retention are associated with inclusive cultures where workers feel appreciated and valued. </w:t>
      </w:r>
    </w:p>
    <w:p w14:paraId="18AA4405" w14:textId="77777777" w:rsidR="00895036" w:rsidRDefault="004E4CD0">
      <w:pPr>
        <w:numPr>
          <w:ilvl w:val="0"/>
          <w:numId w:val="1"/>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 xml:space="preserve">Talent Acquisition: DEI-focused organisations draw various applicants, improving the talent pool and strengthening the business's proprietary knowledge. </w:t>
      </w:r>
    </w:p>
    <w:p w14:paraId="57003A3F" w14:textId="77777777" w:rsidR="00895036" w:rsidRDefault="004E4CD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Continuous Feedback and Coaching:</w:t>
      </w:r>
    </w:p>
    <w:p w14:paraId="3EC77933"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Moving away from infrequent assessments and towards ongoing coaching and feedback constitutes a redefinition of performance management. Continuous input is given promptly by managers, who also help their staff members improve and deal with problems as they occur. This method encourages flexibility and reactivity while dealing with performance-related difficulties (</w:t>
      </w:r>
      <w:proofErr w:type="spellStart"/>
      <w:r>
        <w:rPr>
          <w:rFonts w:ascii="Times New Roman" w:eastAsia="Times New Roman" w:hAnsi="Times New Roman" w:cs="Times New Roman"/>
          <w:color w:val="000000"/>
          <w:sz w:val="24"/>
          <w:szCs w:val="24"/>
          <w:highlight w:val="white"/>
        </w:rPr>
        <w:t>Wadsworth</w:t>
      </w:r>
      <w:proofErr w:type="spellEnd"/>
      <w:r>
        <w:rPr>
          <w:rFonts w:ascii="Times New Roman" w:eastAsia="Times New Roman" w:hAnsi="Times New Roman" w:cs="Times New Roman"/>
          <w:color w:val="000000"/>
          <w:sz w:val="24"/>
          <w:szCs w:val="24"/>
          <w:highlight w:val="white"/>
        </w:rPr>
        <w:t>, 2020</w:t>
      </w:r>
      <w:r>
        <w:rPr>
          <w:rFonts w:ascii="Times New Roman" w:eastAsia="Times New Roman" w:hAnsi="Times New Roman" w:cs="Times New Roman"/>
          <w:sz w:val="24"/>
          <w:szCs w:val="24"/>
        </w:rPr>
        <w:t xml:space="preserve">). </w:t>
      </w:r>
    </w:p>
    <w:p w14:paraId="05816C1A" w14:textId="77777777" w:rsidR="00895036" w:rsidRDefault="004E4CD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Goal-Setting and Alignment:</w:t>
      </w:r>
    </w:p>
    <w:p w14:paraId="511CDB5D"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core of the reformulated strategy is clearly defining goals. Together, employees develop goals consistent with the company's aims. Periodical visits guarantee that objectives are still relevant and reachable while allowing modifications in response to evolving conditions. </w:t>
      </w:r>
    </w:p>
    <w:p w14:paraId="5B186848" w14:textId="77777777" w:rsidR="00895036" w:rsidRDefault="004E4CD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Strengths-Based Approach:</w:t>
      </w:r>
    </w:p>
    <w:p w14:paraId="526588C4"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core principles of redefining performance management is to concentrate on individuals' strengths and use them to support organisational objectives. The primary focus is shifted from "fixing weaknesses" to "optimising strengths" in this strategy, which results in greater participation and fulfilment with work. </w:t>
      </w:r>
    </w:p>
    <w:p w14:paraId="1C3CB5A6" w14:textId="77777777" w:rsidR="00B4251F" w:rsidRDefault="00B4251F">
      <w:pPr>
        <w:spacing w:line="360" w:lineRule="auto"/>
        <w:jc w:val="both"/>
        <w:rPr>
          <w:rFonts w:ascii="Times New Roman" w:eastAsia="Times New Roman" w:hAnsi="Times New Roman" w:cs="Times New Roman"/>
          <w:sz w:val="24"/>
          <w:szCs w:val="24"/>
        </w:rPr>
      </w:pPr>
    </w:p>
    <w:p w14:paraId="6011711A" w14:textId="77777777" w:rsidR="00895036" w:rsidRDefault="004E4CD0">
      <w:pPr>
        <w:pStyle w:val="Heading1"/>
      </w:pPr>
      <w:bookmarkStart w:id="3" w:name="_Toc142181937"/>
      <w:r>
        <w:t>4. Conclusion</w:t>
      </w:r>
      <w:bookmarkEnd w:id="3"/>
    </w:p>
    <w:p w14:paraId="182CDD72" w14:textId="77777777" w:rsidR="00895036" w:rsidRDefault="004E4CD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there have been a variety of possibilities and problems faced by the UK labour market. The COVID-19 epidemic, Brexit, technological development, and societal changes have changed job opportunities, abilities, and workplace interactions. A robust and successful labour market in the UK will continue to depend on measures that tackle inequality, advance skill development, and adapt to shifting economic circumstances. Finally, redefining performance management to focus on ongoing growth and consistency with organisational objectives. It welcomes continuous feedback, techniques centring on a person's talents, and information-driven knowledge to build an engaging and growing culture. Organisations can better accommodate the changing demands of the workforce and promote sustained success by moving away from yearly assessments and towards a dynamic, employee-centred process.</w:t>
      </w:r>
    </w:p>
    <w:p w14:paraId="0C382094" w14:textId="77777777" w:rsidR="00895036" w:rsidRDefault="004E4CD0">
      <w:pPr>
        <w:rPr>
          <w:rFonts w:ascii="Times New Roman" w:eastAsia="Times New Roman" w:hAnsi="Times New Roman" w:cs="Times New Roman"/>
          <w:b/>
          <w:sz w:val="24"/>
          <w:szCs w:val="24"/>
        </w:rPr>
      </w:pPr>
      <w:r>
        <w:br w:type="page"/>
      </w:r>
    </w:p>
    <w:p w14:paraId="60469027" w14:textId="77777777" w:rsidR="00895036" w:rsidRDefault="004E4CD0">
      <w:pPr>
        <w:pStyle w:val="Heading1"/>
      </w:pPr>
      <w:bookmarkStart w:id="4" w:name="_Toc142181938"/>
      <w:r>
        <w:lastRenderedPageBreak/>
        <w:t>References</w:t>
      </w:r>
      <w:bookmarkEnd w:id="4"/>
    </w:p>
    <w:p w14:paraId="0E14FF76"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Clark, K. and </w:t>
      </w:r>
      <w:proofErr w:type="spellStart"/>
      <w:r>
        <w:rPr>
          <w:rFonts w:ascii="Times New Roman" w:eastAsia="Times New Roman" w:hAnsi="Times New Roman" w:cs="Times New Roman"/>
          <w:color w:val="000000"/>
          <w:sz w:val="24"/>
          <w:szCs w:val="24"/>
          <w:highlight w:val="white"/>
        </w:rPr>
        <w:t>Shankley</w:t>
      </w:r>
      <w:proofErr w:type="spellEnd"/>
      <w:r>
        <w:rPr>
          <w:rFonts w:ascii="Times New Roman" w:eastAsia="Times New Roman" w:hAnsi="Times New Roman" w:cs="Times New Roman"/>
          <w:color w:val="000000"/>
          <w:sz w:val="24"/>
          <w:szCs w:val="24"/>
          <w:highlight w:val="white"/>
        </w:rPr>
        <w:t>, W., 2020. Ethnic minorities in the labour market in Britain. In </w:t>
      </w:r>
      <w:r>
        <w:rPr>
          <w:rFonts w:ascii="Times New Roman" w:eastAsia="Times New Roman" w:hAnsi="Times New Roman" w:cs="Times New Roman"/>
          <w:i/>
          <w:color w:val="000000"/>
          <w:sz w:val="24"/>
          <w:szCs w:val="24"/>
          <w:highlight w:val="white"/>
        </w:rPr>
        <w:t>Ethnicity, Race and Inequality in the UK</w:t>
      </w:r>
      <w:r>
        <w:rPr>
          <w:rFonts w:ascii="Times New Roman" w:eastAsia="Times New Roman" w:hAnsi="Times New Roman" w:cs="Times New Roman"/>
          <w:color w:val="000000"/>
          <w:sz w:val="24"/>
          <w:szCs w:val="24"/>
          <w:highlight w:val="white"/>
        </w:rPr>
        <w:t> (pp. 127-148). Policy Press.</w:t>
      </w:r>
    </w:p>
    <w:p w14:paraId="56991CCB"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Costa Dias, M., Joyce, R., </w:t>
      </w:r>
      <w:proofErr w:type="spellStart"/>
      <w:r>
        <w:rPr>
          <w:rFonts w:ascii="Times New Roman" w:eastAsia="Times New Roman" w:hAnsi="Times New Roman" w:cs="Times New Roman"/>
          <w:color w:val="000000"/>
          <w:sz w:val="24"/>
          <w:szCs w:val="24"/>
          <w:highlight w:val="white"/>
        </w:rPr>
        <w:t>Postel‐Vinay</w:t>
      </w:r>
      <w:proofErr w:type="spellEnd"/>
      <w:r>
        <w:rPr>
          <w:rFonts w:ascii="Times New Roman" w:eastAsia="Times New Roman" w:hAnsi="Times New Roman" w:cs="Times New Roman"/>
          <w:color w:val="000000"/>
          <w:sz w:val="24"/>
          <w:szCs w:val="24"/>
          <w:highlight w:val="white"/>
        </w:rPr>
        <w:t>, F. and Xu, X., 2020. The challenges for labour market policy during the Covid‐19 pandemic. </w:t>
      </w:r>
      <w:r>
        <w:rPr>
          <w:rFonts w:ascii="Times New Roman" w:eastAsia="Times New Roman" w:hAnsi="Times New Roman" w:cs="Times New Roman"/>
          <w:i/>
          <w:color w:val="000000"/>
          <w:sz w:val="24"/>
          <w:szCs w:val="24"/>
          <w:highlight w:val="white"/>
        </w:rPr>
        <w:t>Fiscal Studies</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41</w:t>
      </w:r>
      <w:r>
        <w:rPr>
          <w:rFonts w:ascii="Times New Roman" w:eastAsia="Times New Roman" w:hAnsi="Times New Roman" w:cs="Times New Roman"/>
          <w:color w:val="000000"/>
          <w:sz w:val="24"/>
          <w:szCs w:val="24"/>
          <w:highlight w:val="white"/>
        </w:rPr>
        <w:t>(2), pp.371-382.</w:t>
      </w:r>
    </w:p>
    <w:p w14:paraId="4AF28A29"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Dias-Abey</w:t>
      </w:r>
      <w:proofErr w:type="spellEnd"/>
      <w:r>
        <w:rPr>
          <w:rFonts w:ascii="Times New Roman" w:eastAsia="Times New Roman" w:hAnsi="Times New Roman" w:cs="Times New Roman"/>
          <w:color w:val="000000"/>
          <w:sz w:val="24"/>
          <w:szCs w:val="24"/>
          <w:highlight w:val="white"/>
        </w:rPr>
        <w:t>, M., 2021. Determining the impact of migration on labour markets: The mediating role of legal institutions. </w:t>
      </w:r>
      <w:r>
        <w:rPr>
          <w:rFonts w:ascii="Times New Roman" w:eastAsia="Times New Roman" w:hAnsi="Times New Roman" w:cs="Times New Roman"/>
          <w:i/>
          <w:color w:val="000000"/>
          <w:sz w:val="24"/>
          <w:szCs w:val="24"/>
          <w:highlight w:val="white"/>
        </w:rPr>
        <w:t>Industrial Law Journal</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50</w:t>
      </w:r>
      <w:r>
        <w:rPr>
          <w:rFonts w:ascii="Times New Roman" w:eastAsia="Times New Roman" w:hAnsi="Times New Roman" w:cs="Times New Roman"/>
          <w:color w:val="000000"/>
          <w:sz w:val="24"/>
          <w:szCs w:val="24"/>
          <w:highlight w:val="white"/>
        </w:rPr>
        <w:t>(4), pp.532-557.</w:t>
      </w:r>
    </w:p>
    <w:p w14:paraId="55AB2EBF"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Eichhorst</w:t>
      </w:r>
      <w:proofErr w:type="spellEnd"/>
      <w:r>
        <w:rPr>
          <w:rFonts w:ascii="Times New Roman" w:eastAsia="Times New Roman" w:hAnsi="Times New Roman" w:cs="Times New Roman"/>
          <w:color w:val="000000"/>
          <w:sz w:val="24"/>
          <w:szCs w:val="24"/>
          <w:highlight w:val="white"/>
        </w:rPr>
        <w:t xml:space="preserve">, W., Marx, P. and </w:t>
      </w:r>
      <w:proofErr w:type="spellStart"/>
      <w:r>
        <w:rPr>
          <w:rFonts w:ascii="Times New Roman" w:eastAsia="Times New Roman" w:hAnsi="Times New Roman" w:cs="Times New Roman"/>
          <w:color w:val="000000"/>
          <w:sz w:val="24"/>
          <w:szCs w:val="24"/>
          <w:highlight w:val="white"/>
        </w:rPr>
        <w:t>Rinne</w:t>
      </w:r>
      <w:proofErr w:type="spellEnd"/>
      <w:r>
        <w:rPr>
          <w:rFonts w:ascii="Times New Roman" w:eastAsia="Times New Roman" w:hAnsi="Times New Roman" w:cs="Times New Roman"/>
          <w:color w:val="000000"/>
          <w:sz w:val="24"/>
          <w:szCs w:val="24"/>
          <w:highlight w:val="white"/>
        </w:rPr>
        <w:t>, U., 2020. Manoeuvring through the crisis: Labour market and social policies during the COVID-19 pandemic. </w:t>
      </w:r>
      <w:proofErr w:type="spellStart"/>
      <w:r>
        <w:rPr>
          <w:rFonts w:ascii="Times New Roman" w:eastAsia="Times New Roman" w:hAnsi="Times New Roman" w:cs="Times New Roman"/>
          <w:i/>
          <w:color w:val="000000"/>
          <w:sz w:val="24"/>
          <w:szCs w:val="24"/>
          <w:highlight w:val="white"/>
        </w:rPr>
        <w:t>Intereconomics</w:t>
      </w:r>
      <w:proofErr w:type="spellEnd"/>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55</w:t>
      </w:r>
      <w:r>
        <w:rPr>
          <w:rFonts w:ascii="Times New Roman" w:eastAsia="Times New Roman" w:hAnsi="Times New Roman" w:cs="Times New Roman"/>
          <w:color w:val="000000"/>
          <w:sz w:val="24"/>
          <w:szCs w:val="24"/>
          <w:highlight w:val="white"/>
        </w:rPr>
        <w:t>, pp.375-380.</w:t>
      </w:r>
    </w:p>
    <w:p w14:paraId="232D25C9"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Fernández-Reino</w:t>
      </w:r>
      <w:proofErr w:type="spellEnd"/>
      <w:r>
        <w:rPr>
          <w:rFonts w:ascii="Times New Roman" w:eastAsia="Times New Roman" w:hAnsi="Times New Roman" w:cs="Times New Roman"/>
          <w:color w:val="000000"/>
          <w:sz w:val="24"/>
          <w:szCs w:val="24"/>
          <w:highlight w:val="white"/>
        </w:rPr>
        <w:t xml:space="preserve">, M. and </w:t>
      </w:r>
      <w:proofErr w:type="spellStart"/>
      <w:r>
        <w:rPr>
          <w:rFonts w:ascii="Times New Roman" w:eastAsia="Times New Roman" w:hAnsi="Times New Roman" w:cs="Times New Roman"/>
          <w:color w:val="000000"/>
          <w:sz w:val="24"/>
          <w:szCs w:val="24"/>
          <w:highlight w:val="white"/>
        </w:rPr>
        <w:t>Rienzo</w:t>
      </w:r>
      <w:proofErr w:type="spellEnd"/>
      <w:r>
        <w:rPr>
          <w:rFonts w:ascii="Times New Roman" w:eastAsia="Times New Roman" w:hAnsi="Times New Roman" w:cs="Times New Roman"/>
          <w:color w:val="000000"/>
          <w:sz w:val="24"/>
          <w:szCs w:val="24"/>
          <w:highlight w:val="white"/>
        </w:rPr>
        <w:t>, C., 2021. Migrants in the UK labour market: An overview. </w:t>
      </w:r>
      <w:r>
        <w:rPr>
          <w:rFonts w:ascii="Times New Roman" w:eastAsia="Times New Roman" w:hAnsi="Times New Roman" w:cs="Times New Roman"/>
          <w:i/>
          <w:color w:val="000000"/>
          <w:sz w:val="24"/>
          <w:szCs w:val="24"/>
          <w:highlight w:val="white"/>
        </w:rPr>
        <w:t>Migration Observatory briefing, COMPAS, University of Oxford. https://migrationobservatory. ox. ac. uk/resources/briefings/migrants-in-the-uk-labour-market-an-overview</w:t>
      </w:r>
      <w:r>
        <w:rPr>
          <w:rFonts w:ascii="Times New Roman" w:eastAsia="Times New Roman" w:hAnsi="Times New Roman" w:cs="Times New Roman"/>
          <w:color w:val="000000"/>
          <w:sz w:val="24"/>
          <w:szCs w:val="24"/>
          <w:highlight w:val="white"/>
        </w:rPr>
        <w:t>.</w:t>
      </w:r>
    </w:p>
    <w:p w14:paraId="160F660A"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Kornelakis</w:t>
      </w:r>
      <w:proofErr w:type="spellEnd"/>
      <w:r>
        <w:rPr>
          <w:rFonts w:ascii="Times New Roman" w:eastAsia="Times New Roman" w:hAnsi="Times New Roman" w:cs="Times New Roman"/>
          <w:color w:val="000000"/>
          <w:sz w:val="24"/>
          <w:szCs w:val="24"/>
          <w:highlight w:val="white"/>
        </w:rPr>
        <w:t xml:space="preserve">, A. and </w:t>
      </w:r>
      <w:proofErr w:type="spellStart"/>
      <w:r>
        <w:rPr>
          <w:rFonts w:ascii="Times New Roman" w:eastAsia="Times New Roman" w:hAnsi="Times New Roman" w:cs="Times New Roman"/>
          <w:color w:val="000000"/>
          <w:sz w:val="24"/>
          <w:szCs w:val="24"/>
          <w:highlight w:val="white"/>
        </w:rPr>
        <w:t>Petrakaki</w:t>
      </w:r>
      <w:proofErr w:type="spellEnd"/>
      <w:r>
        <w:rPr>
          <w:rFonts w:ascii="Times New Roman" w:eastAsia="Times New Roman" w:hAnsi="Times New Roman" w:cs="Times New Roman"/>
          <w:color w:val="000000"/>
          <w:sz w:val="24"/>
          <w:szCs w:val="24"/>
          <w:highlight w:val="white"/>
        </w:rPr>
        <w:t xml:space="preserve">, D., 2020. Embedding employability skills in UK higher education: Between digitalisation and marketisation. </w:t>
      </w:r>
      <w:r>
        <w:rPr>
          <w:rFonts w:ascii="Times New Roman" w:eastAsia="Times New Roman" w:hAnsi="Times New Roman" w:cs="Times New Roman"/>
          <w:i/>
          <w:color w:val="000000"/>
          <w:sz w:val="24"/>
          <w:szCs w:val="24"/>
          <w:highlight w:val="white"/>
        </w:rPr>
        <w:t>Industry and Higher Education</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34</w:t>
      </w:r>
      <w:r>
        <w:rPr>
          <w:rFonts w:ascii="Times New Roman" w:eastAsia="Times New Roman" w:hAnsi="Times New Roman" w:cs="Times New Roman"/>
          <w:color w:val="000000"/>
          <w:sz w:val="24"/>
          <w:szCs w:val="24"/>
          <w:highlight w:val="white"/>
        </w:rPr>
        <w:t>(5), pp.290-297.</w:t>
      </w:r>
    </w:p>
    <w:p w14:paraId="67CA5530"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Mayhew</w:t>
      </w:r>
      <w:proofErr w:type="spellEnd"/>
      <w:r>
        <w:rPr>
          <w:rFonts w:ascii="Times New Roman" w:eastAsia="Times New Roman" w:hAnsi="Times New Roman" w:cs="Times New Roman"/>
          <w:color w:val="000000"/>
          <w:sz w:val="24"/>
          <w:szCs w:val="24"/>
          <w:highlight w:val="white"/>
        </w:rPr>
        <w:t>, K. and Anand, P., 2020. COVID-19 and the UK labour market. </w:t>
      </w:r>
      <w:r>
        <w:rPr>
          <w:rFonts w:ascii="Times New Roman" w:eastAsia="Times New Roman" w:hAnsi="Times New Roman" w:cs="Times New Roman"/>
          <w:i/>
          <w:color w:val="000000"/>
          <w:sz w:val="24"/>
          <w:szCs w:val="24"/>
          <w:highlight w:val="white"/>
        </w:rPr>
        <w:t>Oxford Review of Economic Policy</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36</w:t>
      </w:r>
      <w:r>
        <w:rPr>
          <w:rFonts w:ascii="Times New Roman" w:eastAsia="Times New Roman" w:hAnsi="Times New Roman" w:cs="Times New Roman"/>
          <w:color w:val="000000"/>
          <w:sz w:val="24"/>
          <w:szCs w:val="24"/>
          <w:highlight w:val="white"/>
        </w:rPr>
        <w:t>(Supplement_1), pp.S215-S224.</w:t>
      </w:r>
    </w:p>
    <w:p w14:paraId="5832FE2F" w14:textId="77777777" w:rsidR="00895036" w:rsidRDefault="004E4CD0">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Nature </w:t>
      </w:r>
      <w:proofErr w:type="spellStart"/>
      <w:r>
        <w:rPr>
          <w:rFonts w:ascii="Times New Roman" w:eastAsia="Times New Roman" w:hAnsi="Times New Roman" w:cs="Times New Roman"/>
          <w:color w:val="000000"/>
          <w:sz w:val="24"/>
          <w:szCs w:val="24"/>
        </w:rPr>
        <w:t>Healz</w:t>
      </w:r>
      <w:proofErr w:type="spellEnd"/>
      <w:r>
        <w:rPr>
          <w:rFonts w:ascii="Times New Roman" w:eastAsia="Times New Roman" w:hAnsi="Times New Roman" w:cs="Times New Roman"/>
          <w:color w:val="000000"/>
          <w:sz w:val="24"/>
          <w:szCs w:val="24"/>
        </w:rPr>
        <w:t xml:space="preserve">. 2023. </w:t>
      </w:r>
      <w:r>
        <w:rPr>
          <w:rFonts w:ascii="Times New Roman" w:eastAsia="Times New Roman" w:hAnsi="Times New Roman" w:cs="Times New Roman"/>
          <w:i/>
          <w:color w:val="000000"/>
          <w:sz w:val="24"/>
          <w:szCs w:val="24"/>
        </w:rPr>
        <w:t xml:space="preserve">Employee Wellness Program, Health Wellness Workshops, Transformation – </w:t>
      </w:r>
      <w:proofErr w:type="spellStart"/>
      <w:r>
        <w:rPr>
          <w:rFonts w:ascii="Times New Roman" w:eastAsia="Times New Roman" w:hAnsi="Times New Roman" w:cs="Times New Roman"/>
          <w:i/>
          <w:color w:val="000000"/>
          <w:sz w:val="24"/>
          <w:szCs w:val="24"/>
        </w:rPr>
        <w:t>NatureHealz</w:t>
      </w:r>
      <w:proofErr w:type="spellEnd"/>
      <w:r>
        <w:rPr>
          <w:rFonts w:ascii="Times New Roman" w:eastAsia="Times New Roman" w:hAnsi="Times New Roman" w:cs="Times New Roman"/>
          <w:color w:val="000000"/>
          <w:sz w:val="24"/>
          <w:szCs w:val="24"/>
        </w:rPr>
        <w:t xml:space="preserve">. [online] </w:t>
      </w:r>
      <w:proofErr w:type="spellStart"/>
      <w:r>
        <w:rPr>
          <w:rFonts w:ascii="Times New Roman" w:eastAsia="Times New Roman" w:hAnsi="Times New Roman" w:cs="Times New Roman"/>
          <w:color w:val="000000"/>
          <w:sz w:val="24"/>
          <w:szCs w:val="24"/>
        </w:rPr>
        <w:t>NatureHealz</w:t>
      </w:r>
      <w:proofErr w:type="spellEnd"/>
      <w:r>
        <w:rPr>
          <w:rFonts w:ascii="Times New Roman" w:eastAsia="Times New Roman" w:hAnsi="Times New Roman" w:cs="Times New Roman"/>
          <w:color w:val="000000"/>
          <w:sz w:val="24"/>
          <w:szCs w:val="24"/>
        </w:rPr>
        <w:t>. Available at: &lt;https://naturehealz.com/employee-health-transformation-programs/&gt; [Accessed 6 Aug. 2023].</w:t>
      </w:r>
    </w:p>
    <w:p w14:paraId="374E328F" w14:textId="77777777" w:rsidR="00895036" w:rsidRDefault="004E4CD0">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Ons.gov.uk, 2023. </w:t>
      </w:r>
      <w:r>
        <w:rPr>
          <w:rFonts w:ascii="Times New Roman" w:eastAsia="Times New Roman" w:hAnsi="Times New Roman" w:cs="Times New Roman"/>
          <w:i/>
          <w:color w:val="000000"/>
          <w:sz w:val="24"/>
          <w:szCs w:val="24"/>
        </w:rPr>
        <w:t>Labour market overview, UK - Office for National Statistics</w:t>
      </w:r>
      <w:r>
        <w:rPr>
          <w:rFonts w:ascii="Times New Roman" w:eastAsia="Times New Roman" w:hAnsi="Times New Roman" w:cs="Times New Roman"/>
          <w:color w:val="000000"/>
          <w:sz w:val="24"/>
          <w:szCs w:val="24"/>
        </w:rPr>
        <w:t>. [online] Labour market overview, UK - Office for National Statistics. Available at: &lt;https://www.ons.gov.uk/employmentandlabourmarket/peopleinwork/employmentandemployeetypes/bulletins/uklabourmarket/march2023&gt; [Accessed 6 Aug. 2023].</w:t>
      </w:r>
    </w:p>
    <w:p w14:paraId="4DF6577D"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Pursued, M.R., 2014. Changes in labour market conditions and policies and their impact on wage inequality during the last decade. </w:t>
      </w:r>
      <w:r>
        <w:rPr>
          <w:rFonts w:ascii="Times New Roman" w:eastAsia="Times New Roman" w:hAnsi="Times New Roman" w:cs="Times New Roman"/>
          <w:i/>
          <w:color w:val="000000"/>
          <w:sz w:val="24"/>
          <w:szCs w:val="24"/>
          <w:highlight w:val="white"/>
        </w:rPr>
        <w:t>Falling inequality in Latin America: Policy changes and lessons</w:t>
      </w:r>
      <w:r>
        <w:rPr>
          <w:rFonts w:ascii="Times New Roman" w:eastAsia="Times New Roman" w:hAnsi="Times New Roman" w:cs="Times New Roman"/>
          <w:color w:val="000000"/>
          <w:sz w:val="24"/>
          <w:szCs w:val="24"/>
          <w:highlight w:val="white"/>
        </w:rPr>
        <w:t>, p.251.</w:t>
      </w:r>
    </w:p>
    <w:p w14:paraId="7E873172"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Simpson, I., 2020. How Labour is polling in Conservative seats and what the numbers say about political equality in the UK. </w:t>
      </w:r>
      <w:r>
        <w:rPr>
          <w:rFonts w:ascii="Times New Roman" w:eastAsia="Times New Roman" w:hAnsi="Times New Roman" w:cs="Times New Roman"/>
          <w:i/>
          <w:color w:val="000000"/>
          <w:sz w:val="24"/>
          <w:szCs w:val="24"/>
          <w:highlight w:val="white"/>
        </w:rPr>
        <w:t>British Politics and Policy at LSE</w:t>
      </w:r>
      <w:r>
        <w:rPr>
          <w:rFonts w:ascii="Times New Roman" w:eastAsia="Times New Roman" w:hAnsi="Times New Roman" w:cs="Times New Roman"/>
          <w:color w:val="000000"/>
          <w:sz w:val="24"/>
          <w:szCs w:val="24"/>
          <w:highlight w:val="white"/>
        </w:rPr>
        <w:t>.</w:t>
      </w:r>
    </w:p>
    <w:p w14:paraId="2380D6DB"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Thomas, S.L., 2020. COVID-19 and the Changes in Global Labour Market.</w:t>
      </w:r>
    </w:p>
    <w:p w14:paraId="20BF4D60"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Wadsworth</w:t>
      </w:r>
      <w:proofErr w:type="spellEnd"/>
      <w:r>
        <w:rPr>
          <w:rFonts w:ascii="Times New Roman" w:eastAsia="Times New Roman" w:hAnsi="Times New Roman" w:cs="Times New Roman"/>
          <w:color w:val="000000"/>
          <w:sz w:val="24"/>
          <w:szCs w:val="24"/>
          <w:highlight w:val="white"/>
        </w:rPr>
        <w:t>, J., 2020. The UK labour market and Covid-19: how to measure excess, where to look for it, and what it shows. </w:t>
      </w:r>
      <w:r>
        <w:rPr>
          <w:rFonts w:ascii="Times New Roman" w:eastAsia="Times New Roman" w:hAnsi="Times New Roman" w:cs="Times New Roman"/>
          <w:i/>
          <w:color w:val="000000"/>
          <w:sz w:val="24"/>
          <w:szCs w:val="24"/>
          <w:highlight w:val="white"/>
        </w:rPr>
        <w:t>British Politics and Policy at LSE</w:t>
      </w:r>
      <w:r>
        <w:rPr>
          <w:rFonts w:ascii="Times New Roman" w:eastAsia="Times New Roman" w:hAnsi="Times New Roman" w:cs="Times New Roman"/>
          <w:color w:val="000000"/>
          <w:sz w:val="24"/>
          <w:szCs w:val="24"/>
          <w:highlight w:val="white"/>
        </w:rPr>
        <w:t>.</w:t>
      </w:r>
    </w:p>
    <w:p w14:paraId="66083018" w14:textId="77777777" w:rsidR="00895036" w:rsidRDefault="004E4CD0">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Wang, S., </w:t>
      </w:r>
      <w:proofErr w:type="spellStart"/>
      <w:r>
        <w:rPr>
          <w:rFonts w:ascii="Times New Roman" w:eastAsia="Times New Roman" w:hAnsi="Times New Roman" w:cs="Times New Roman"/>
          <w:color w:val="000000"/>
          <w:sz w:val="24"/>
          <w:szCs w:val="24"/>
          <w:highlight w:val="white"/>
        </w:rPr>
        <w:t>Coutts</w:t>
      </w:r>
      <w:proofErr w:type="spellEnd"/>
      <w:r>
        <w:rPr>
          <w:rFonts w:ascii="Times New Roman" w:eastAsia="Times New Roman" w:hAnsi="Times New Roman" w:cs="Times New Roman"/>
          <w:color w:val="000000"/>
          <w:sz w:val="24"/>
          <w:szCs w:val="24"/>
          <w:highlight w:val="white"/>
        </w:rPr>
        <w:t xml:space="preserve">, A., </w:t>
      </w:r>
      <w:proofErr w:type="spellStart"/>
      <w:r>
        <w:rPr>
          <w:rFonts w:ascii="Times New Roman" w:eastAsia="Times New Roman" w:hAnsi="Times New Roman" w:cs="Times New Roman"/>
          <w:color w:val="000000"/>
          <w:sz w:val="24"/>
          <w:szCs w:val="24"/>
          <w:highlight w:val="white"/>
        </w:rPr>
        <w:t>Burchell</w:t>
      </w:r>
      <w:proofErr w:type="spellEnd"/>
      <w:r>
        <w:rPr>
          <w:rFonts w:ascii="Times New Roman" w:eastAsia="Times New Roman" w:hAnsi="Times New Roman" w:cs="Times New Roman"/>
          <w:color w:val="000000"/>
          <w:sz w:val="24"/>
          <w:szCs w:val="24"/>
          <w:highlight w:val="white"/>
        </w:rPr>
        <w:t xml:space="preserve">, B., </w:t>
      </w:r>
      <w:proofErr w:type="spellStart"/>
      <w:r>
        <w:rPr>
          <w:rFonts w:ascii="Times New Roman" w:eastAsia="Times New Roman" w:hAnsi="Times New Roman" w:cs="Times New Roman"/>
          <w:color w:val="000000"/>
          <w:sz w:val="24"/>
          <w:szCs w:val="24"/>
          <w:highlight w:val="white"/>
        </w:rPr>
        <w:t>Kamerāde</w:t>
      </w:r>
      <w:proofErr w:type="spellEnd"/>
      <w:r>
        <w:rPr>
          <w:rFonts w:ascii="Times New Roman" w:eastAsia="Times New Roman" w:hAnsi="Times New Roman" w:cs="Times New Roman"/>
          <w:color w:val="000000"/>
          <w:sz w:val="24"/>
          <w:szCs w:val="24"/>
          <w:highlight w:val="white"/>
        </w:rPr>
        <w:t xml:space="preserve">, D. and </w:t>
      </w:r>
      <w:proofErr w:type="spellStart"/>
      <w:r>
        <w:rPr>
          <w:rFonts w:ascii="Times New Roman" w:eastAsia="Times New Roman" w:hAnsi="Times New Roman" w:cs="Times New Roman"/>
          <w:color w:val="000000"/>
          <w:sz w:val="24"/>
          <w:szCs w:val="24"/>
          <w:highlight w:val="white"/>
        </w:rPr>
        <w:t>Balderson</w:t>
      </w:r>
      <w:proofErr w:type="spellEnd"/>
      <w:r>
        <w:rPr>
          <w:rFonts w:ascii="Times New Roman" w:eastAsia="Times New Roman" w:hAnsi="Times New Roman" w:cs="Times New Roman"/>
          <w:color w:val="000000"/>
          <w:sz w:val="24"/>
          <w:szCs w:val="24"/>
          <w:highlight w:val="white"/>
        </w:rPr>
        <w:t>, U., 2021. Can active labour market programmes emulate the mental health benefits of regular paid employment? Longitudinal evidence from the United Kingdom. </w:t>
      </w:r>
      <w:r>
        <w:rPr>
          <w:rFonts w:ascii="Times New Roman" w:eastAsia="Times New Roman" w:hAnsi="Times New Roman" w:cs="Times New Roman"/>
          <w:i/>
          <w:color w:val="000000"/>
          <w:sz w:val="24"/>
          <w:szCs w:val="24"/>
          <w:highlight w:val="white"/>
        </w:rPr>
        <w:t>Work, Employment and Society</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35</w:t>
      </w:r>
      <w:r>
        <w:rPr>
          <w:rFonts w:ascii="Times New Roman" w:eastAsia="Times New Roman" w:hAnsi="Times New Roman" w:cs="Times New Roman"/>
          <w:color w:val="000000"/>
          <w:sz w:val="24"/>
          <w:szCs w:val="24"/>
          <w:highlight w:val="white"/>
        </w:rPr>
        <w:t>(3), pp.545-565.</w:t>
      </w:r>
    </w:p>
    <w:p w14:paraId="6329E8DA" w14:textId="77777777" w:rsidR="00895036" w:rsidRDefault="00895036">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
    <w:p w14:paraId="59D6CEC2" w14:textId="77777777" w:rsidR="00895036" w:rsidRDefault="00895036">
      <w:pPr>
        <w:spacing w:line="360" w:lineRule="auto"/>
        <w:jc w:val="both"/>
        <w:rPr>
          <w:rFonts w:ascii="Times New Roman" w:eastAsia="Times New Roman" w:hAnsi="Times New Roman" w:cs="Times New Roman"/>
          <w:color w:val="000000"/>
          <w:sz w:val="24"/>
          <w:szCs w:val="24"/>
          <w:highlight w:val="white"/>
        </w:rPr>
      </w:pPr>
    </w:p>
    <w:p w14:paraId="20C6C0F8" w14:textId="77777777" w:rsidR="00895036" w:rsidRDefault="00895036">
      <w:pPr>
        <w:spacing w:line="360" w:lineRule="auto"/>
        <w:jc w:val="both"/>
        <w:rPr>
          <w:rFonts w:ascii="Times New Roman" w:eastAsia="Times New Roman" w:hAnsi="Times New Roman" w:cs="Times New Roman"/>
          <w:sz w:val="24"/>
          <w:szCs w:val="24"/>
        </w:rPr>
      </w:pPr>
    </w:p>
    <w:sectPr w:rsidR="00895036">
      <w:footerReference w:type="default" r:id="rId10"/>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4A769" w14:textId="77777777" w:rsidR="004E4CD0" w:rsidRDefault="004E4CD0">
      <w:pPr>
        <w:spacing w:after="0" w:line="240" w:lineRule="auto"/>
      </w:pPr>
      <w:r>
        <w:separator/>
      </w:r>
    </w:p>
  </w:endnote>
  <w:endnote w:type="continuationSeparator" w:id="0">
    <w:p w14:paraId="5353FD91" w14:textId="77777777" w:rsidR="004E4CD0" w:rsidRDefault="004E4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8A142" w14:textId="77777777" w:rsidR="00895036" w:rsidRDefault="004E4CD0">
    <w:pPr>
      <w:pBdr>
        <w:top w:val="nil"/>
        <w:left w:val="nil"/>
        <w:bottom w:val="nil"/>
        <w:right w:val="nil"/>
        <w:between w:val="nil"/>
      </w:pBdr>
      <w:tabs>
        <w:tab w:val="center" w:pos="4513"/>
        <w:tab w:val="right" w:pos="9026"/>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B4251F">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14:paraId="765F454D" w14:textId="77777777" w:rsidR="00895036" w:rsidRDefault="0089503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43E33" w14:textId="77777777" w:rsidR="004E4CD0" w:rsidRDefault="004E4CD0">
      <w:pPr>
        <w:spacing w:after="0" w:line="240" w:lineRule="auto"/>
      </w:pPr>
      <w:r>
        <w:separator/>
      </w:r>
    </w:p>
  </w:footnote>
  <w:footnote w:type="continuationSeparator" w:id="0">
    <w:p w14:paraId="563F153D" w14:textId="77777777" w:rsidR="004E4CD0" w:rsidRDefault="004E4C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0014E9"/>
    <w:multiLevelType w:val="multilevel"/>
    <w:tmpl w:val="E93893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73531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036"/>
    <w:rsid w:val="00082132"/>
    <w:rsid w:val="003A5389"/>
    <w:rsid w:val="004E4CD0"/>
    <w:rsid w:val="00721EED"/>
    <w:rsid w:val="00895036"/>
    <w:rsid w:val="00B4251F"/>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7B66"/>
  <w15:docId w15:val="{A9FD91D3-CF91-4F50-A7E7-03F329B97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B4251F"/>
    <w:pPr>
      <w:spacing w:after="100"/>
    </w:pPr>
  </w:style>
  <w:style w:type="character" w:styleId="Hyperlink">
    <w:name w:val="Hyperlink"/>
    <w:basedOn w:val="DefaultParagraphFont"/>
    <w:uiPriority w:val="99"/>
    <w:unhideWhenUsed/>
    <w:rsid w:val="00B425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3050</Words>
  <Characters>17386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Kushagra Singh</dc:creator>
  <cp:lastModifiedBy>Vraj Ashwinkumar Pandya (2244599)</cp:lastModifiedBy>
  <cp:revision>2</cp:revision>
  <dcterms:created xsi:type="dcterms:W3CDTF">2023-08-22T22:55:00Z</dcterms:created>
  <dcterms:modified xsi:type="dcterms:W3CDTF">2023-08-22T22:55:00Z</dcterms:modified>
</cp:coreProperties>
</file>