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36FC0" w:rsidRPr="00C31DD1" w:rsidRDefault="00D36FC0" w:rsidP="00C31DD1">
      <w:pPr>
        <w:spacing w:after="200" w:line="276" w:lineRule="auto"/>
        <w:ind w:left="709" w:hanging="709"/>
        <w:rPr>
          <w:rFonts w:asciiTheme="majorHAnsi" w:eastAsiaTheme="minorHAnsi" w:hAnsiTheme="majorHAnsi" w:cstheme="minorBidi"/>
          <w:b/>
          <w:sz w:val="28"/>
          <w:szCs w:val="28"/>
        </w:rPr>
      </w:pPr>
      <w:r w:rsidRPr="00C31DD1">
        <w:rPr>
          <w:rFonts w:asciiTheme="majorHAnsi" w:eastAsiaTheme="minorHAnsi" w:hAnsiTheme="majorHAnsi" w:cstheme="minorBidi"/>
          <w:b/>
          <w:sz w:val="28"/>
          <w:szCs w:val="28"/>
        </w:rPr>
        <w:t>Early Bronze Age Crete</w:t>
      </w:r>
    </w:p>
    <w:p w:rsidR="00DC4A8D" w:rsidRPr="00DC4A8D" w:rsidRDefault="00DC4A8D" w:rsidP="00DC4A8D">
      <w:pPr>
        <w:spacing w:after="200" w:line="276" w:lineRule="auto"/>
        <w:ind w:left="709" w:hanging="709"/>
        <w:rPr>
          <w:rFonts w:asciiTheme="majorHAnsi" w:eastAsiaTheme="minorHAnsi" w:hAnsiTheme="majorHAnsi" w:cstheme="minorBidi"/>
          <w:szCs w:val="24"/>
        </w:rPr>
      </w:pPr>
      <w:r w:rsidRPr="00DC4A8D">
        <w:rPr>
          <w:rFonts w:asciiTheme="majorHAnsi" w:eastAsiaTheme="minorHAnsi" w:hAnsiTheme="majorHAnsi" w:cstheme="minorBidi"/>
          <w:szCs w:val="24"/>
        </w:rPr>
        <w:t>Atkinson</w:t>
      </w:r>
      <w:r>
        <w:rPr>
          <w:rFonts w:asciiTheme="majorHAnsi" w:eastAsiaTheme="minorHAnsi" w:hAnsiTheme="majorHAnsi" w:cstheme="minorBidi"/>
          <w:szCs w:val="24"/>
        </w:rPr>
        <w:t xml:space="preserve">, J. 2011. </w:t>
      </w:r>
      <w:r w:rsidRPr="00DC4A8D">
        <w:rPr>
          <w:rFonts w:asciiTheme="majorHAnsi" w:eastAsiaTheme="minorHAnsi" w:hAnsiTheme="majorHAnsi" w:cstheme="minorBidi"/>
          <w:szCs w:val="24"/>
        </w:rPr>
        <w:t xml:space="preserve">A Small-Scale Reconstruction of the Settlement at </w:t>
      </w:r>
      <w:proofErr w:type="spellStart"/>
      <w:r w:rsidRPr="00DC4A8D">
        <w:rPr>
          <w:rFonts w:asciiTheme="majorHAnsi" w:eastAsiaTheme="minorHAnsi" w:hAnsiTheme="majorHAnsi" w:cstheme="minorBidi"/>
          <w:szCs w:val="24"/>
        </w:rPr>
        <w:t>Myrtos</w:t>
      </w:r>
      <w:proofErr w:type="spellEnd"/>
      <w:r w:rsidRPr="00DC4A8D">
        <w:rPr>
          <w:rFonts w:asciiTheme="majorHAnsi" w:eastAsiaTheme="minorHAnsi" w:hAnsiTheme="majorHAnsi" w:cstheme="minorBidi"/>
          <w:szCs w:val="24"/>
        </w:rPr>
        <w:t xml:space="preserve"> </w:t>
      </w:r>
      <w:proofErr w:type="spellStart"/>
      <w:r w:rsidRPr="00DC4A8D">
        <w:rPr>
          <w:rFonts w:asciiTheme="majorHAnsi" w:eastAsiaTheme="minorHAnsi" w:hAnsiTheme="majorHAnsi" w:cstheme="minorBidi"/>
          <w:szCs w:val="24"/>
        </w:rPr>
        <w:t>Phournou</w:t>
      </w:r>
      <w:proofErr w:type="spellEnd"/>
      <w:r w:rsidRPr="00DC4A8D">
        <w:rPr>
          <w:rFonts w:asciiTheme="majorHAnsi" w:eastAsiaTheme="minorHAnsi" w:hAnsiTheme="majorHAnsi" w:cstheme="minorBidi"/>
          <w:szCs w:val="24"/>
        </w:rPr>
        <w:t xml:space="preserve"> </w:t>
      </w:r>
      <w:proofErr w:type="spellStart"/>
      <w:r w:rsidRPr="00DC4A8D">
        <w:rPr>
          <w:rFonts w:asciiTheme="majorHAnsi" w:eastAsiaTheme="minorHAnsi" w:hAnsiTheme="majorHAnsi" w:cstheme="minorBidi"/>
          <w:szCs w:val="24"/>
        </w:rPr>
        <w:t>Koryphi</w:t>
      </w:r>
      <w:proofErr w:type="spellEnd"/>
      <w:r>
        <w:rPr>
          <w:rFonts w:asciiTheme="majorHAnsi" w:eastAsiaTheme="minorHAnsi" w:hAnsiTheme="majorHAnsi" w:cstheme="minorBidi"/>
          <w:szCs w:val="24"/>
        </w:rPr>
        <w:t xml:space="preserve">. In </w:t>
      </w:r>
      <w:r w:rsidRPr="00DC4A8D">
        <w:rPr>
          <w:rFonts w:asciiTheme="majorHAnsi" w:eastAsiaTheme="minorHAnsi" w:hAnsiTheme="majorHAnsi" w:cstheme="minorBidi"/>
          <w:szCs w:val="24"/>
        </w:rPr>
        <w:t>K</w:t>
      </w:r>
      <w:r>
        <w:rPr>
          <w:rFonts w:asciiTheme="majorHAnsi" w:eastAsiaTheme="minorHAnsi" w:hAnsiTheme="majorHAnsi" w:cstheme="minorBidi"/>
          <w:szCs w:val="24"/>
        </w:rPr>
        <w:t>.</w:t>
      </w:r>
      <w:r w:rsidRPr="00DC4A8D">
        <w:rPr>
          <w:rFonts w:asciiTheme="majorHAnsi" w:eastAsiaTheme="minorHAnsi" w:hAnsiTheme="majorHAnsi" w:cstheme="minorBidi"/>
          <w:szCs w:val="24"/>
        </w:rPr>
        <w:t xml:space="preserve">T. </w:t>
      </w:r>
      <w:proofErr w:type="spellStart"/>
      <w:r w:rsidRPr="00DC4A8D">
        <w:rPr>
          <w:rFonts w:asciiTheme="majorHAnsi" w:eastAsiaTheme="minorHAnsi" w:hAnsiTheme="majorHAnsi" w:cstheme="minorBidi"/>
          <w:szCs w:val="24"/>
        </w:rPr>
        <w:t>Glowacki</w:t>
      </w:r>
      <w:proofErr w:type="spellEnd"/>
      <w:r w:rsidRPr="00DC4A8D">
        <w:rPr>
          <w:rFonts w:asciiTheme="majorHAnsi" w:eastAsiaTheme="minorHAnsi" w:hAnsiTheme="majorHAnsi" w:cstheme="minorBidi"/>
          <w:szCs w:val="24"/>
        </w:rPr>
        <w:t xml:space="preserve"> and N</w:t>
      </w:r>
      <w:r>
        <w:rPr>
          <w:rFonts w:asciiTheme="majorHAnsi" w:eastAsiaTheme="minorHAnsi" w:hAnsiTheme="majorHAnsi" w:cstheme="minorBidi"/>
          <w:szCs w:val="24"/>
        </w:rPr>
        <w:t>.</w:t>
      </w:r>
      <w:r w:rsidRPr="00DC4A8D">
        <w:rPr>
          <w:rFonts w:asciiTheme="majorHAnsi" w:eastAsiaTheme="minorHAnsi" w:hAnsiTheme="majorHAnsi" w:cstheme="minorBidi"/>
          <w:szCs w:val="24"/>
        </w:rPr>
        <w:t xml:space="preserve"> </w:t>
      </w:r>
      <w:proofErr w:type="spellStart"/>
      <w:r w:rsidRPr="00DC4A8D">
        <w:rPr>
          <w:rFonts w:asciiTheme="majorHAnsi" w:eastAsiaTheme="minorHAnsi" w:hAnsiTheme="majorHAnsi" w:cstheme="minorBidi"/>
          <w:szCs w:val="24"/>
        </w:rPr>
        <w:t>Vogeikoff</w:t>
      </w:r>
      <w:proofErr w:type="spellEnd"/>
      <w:r w:rsidRPr="00DC4A8D">
        <w:rPr>
          <w:rFonts w:asciiTheme="majorHAnsi" w:eastAsiaTheme="minorHAnsi" w:hAnsiTheme="majorHAnsi" w:cstheme="minorBidi"/>
          <w:szCs w:val="24"/>
        </w:rPr>
        <w:t>-Brogan</w:t>
      </w:r>
      <w:r>
        <w:rPr>
          <w:rFonts w:asciiTheme="majorHAnsi" w:eastAsiaTheme="minorHAnsi" w:hAnsiTheme="majorHAnsi" w:cstheme="minorBidi"/>
          <w:szCs w:val="24"/>
        </w:rPr>
        <w:t xml:space="preserve"> (</w:t>
      </w:r>
      <w:proofErr w:type="spellStart"/>
      <w:r>
        <w:rPr>
          <w:rFonts w:asciiTheme="majorHAnsi" w:eastAsiaTheme="minorHAnsi" w:hAnsiTheme="majorHAnsi" w:cstheme="minorBidi"/>
          <w:szCs w:val="24"/>
        </w:rPr>
        <w:t>eds</w:t>
      </w:r>
      <w:proofErr w:type="spellEnd"/>
      <w:r>
        <w:rPr>
          <w:rFonts w:asciiTheme="majorHAnsi" w:eastAsiaTheme="minorHAnsi" w:hAnsiTheme="majorHAnsi" w:cstheme="minorBidi"/>
          <w:szCs w:val="24"/>
        </w:rPr>
        <w:t xml:space="preserve">), </w:t>
      </w:r>
      <w:r w:rsidRPr="00DC4A8D">
        <w:rPr>
          <w:rFonts w:asciiTheme="majorHAnsi" w:eastAsiaTheme="minorHAnsi" w:hAnsiTheme="majorHAnsi" w:cstheme="minorBidi"/>
          <w:i/>
          <w:szCs w:val="24"/>
        </w:rPr>
        <w:t>ΣΤΕΓΑ: The Archaeology of Houses and Households in Ancient Crete</w:t>
      </w:r>
      <w:r>
        <w:rPr>
          <w:rFonts w:asciiTheme="majorHAnsi" w:eastAsiaTheme="minorHAnsi" w:hAnsiTheme="majorHAnsi" w:cstheme="minorBidi"/>
          <w:szCs w:val="24"/>
        </w:rPr>
        <w:t xml:space="preserve">, </w:t>
      </w:r>
      <w:proofErr w:type="spellStart"/>
      <w:r>
        <w:rPr>
          <w:rFonts w:asciiTheme="majorHAnsi" w:eastAsiaTheme="minorHAnsi" w:hAnsiTheme="majorHAnsi" w:cstheme="minorBidi"/>
          <w:szCs w:val="24"/>
        </w:rPr>
        <w:t>Hesperica</w:t>
      </w:r>
      <w:proofErr w:type="spellEnd"/>
      <w:r>
        <w:rPr>
          <w:rFonts w:asciiTheme="majorHAnsi" w:eastAsiaTheme="minorHAnsi" w:hAnsiTheme="majorHAnsi" w:cstheme="minorBidi"/>
          <w:szCs w:val="24"/>
        </w:rPr>
        <w:t xml:space="preserve"> 44. Princeton: American School of Classical Studies at Athens.</w:t>
      </w:r>
    </w:p>
    <w:p w:rsidR="00DC4A8D" w:rsidRPr="00C31DD1" w:rsidRDefault="00DC4A8D" w:rsidP="00DC4A8D">
      <w:pPr>
        <w:spacing w:after="200" w:line="276" w:lineRule="auto"/>
        <w:ind w:left="709" w:hanging="709"/>
        <w:rPr>
          <w:rFonts w:asciiTheme="majorHAnsi" w:hAnsiTheme="majorHAnsi"/>
          <w:szCs w:val="24"/>
        </w:rPr>
      </w:pPr>
      <w:bookmarkStart w:id="0" w:name="_GoBack"/>
      <w:r w:rsidRPr="00C31DD1">
        <w:rPr>
          <w:rFonts w:asciiTheme="majorHAnsi" w:eastAsiaTheme="minorHAnsi" w:hAnsiTheme="majorHAnsi" w:cstheme="minorBidi"/>
          <w:szCs w:val="24"/>
        </w:rPr>
        <w:t>Betancourt</w:t>
      </w:r>
      <w:r w:rsidRPr="00C31DD1">
        <w:rPr>
          <w:rFonts w:asciiTheme="majorHAnsi" w:hAnsiTheme="majorHAnsi"/>
          <w:szCs w:val="24"/>
        </w:rPr>
        <w:t xml:space="preserve">, P.P. 2006. </w:t>
      </w:r>
      <w:r w:rsidRPr="00C31DD1">
        <w:rPr>
          <w:rFonts w:asciiTheme="majorHAnsi" w:hAnsiTheme="majorHAnsi"/>
          <w:i/>
          <w:szCs w:val="24"/>
        </w:rPr>
        <w:t xml:space="preserve">The </w:t>
      </w:r>
      <w:proofErr w:type="spellStart"/>
      <w:r w:rsidRPr="00C31DD1">
        <w:rPr>
          <w:rFonts w:asciiTheme="majorHAnsi" w:hAnsiTheme="majorHAnsi"/>
          <w:i/>
          <w:szCs w:val="24"/>
        </w:rPr>
        <w:t>Chrysokamino</w:t>
      </w:r>
      <w:proofErr w:type="spellEnd"/>
      <w:r w:rsidRPr="00C31DD1">
        <w:rPr>
          <w:rFonts w:asciiTheme="majorHAnsi" w:hAnsiTheme="majorHAnsi"/>
          <w:i/>
          <w:szCs w:val="24"/>
        </w:rPr>
        <w:t xml:space="preserve"> Metallurgy Workshop and its Territory</w:t>
      </w:r>
      <w:r w:rsidRPr="00C31DD1">
        <w:rPr>
          <w:rFonts w:asciiTheme="majorHAnsi" w:hAnsiTheme="majorHAnsi"/>
          <w:szCs w:val="24"/>
        </w:rPr>
        <w:t>. Princeton: American School of Classical Studies at Athens.</w:t>
      </w:r>
    </w:p>
    <w:bookmarkEnd w:id="0"/>
    <w:p w:rsidR="00DC4A8D" w:rsidRPr="00DC4A8D" w:rsidRDefault="00DC4A8D" w:rsidP="00DC4A8D">
      <w:pPr>
        <w:spacing w:after="200" w:line="276" w:lineRule="auto"/>
        <w:ind w:left="709" w:hanging="709"/>
        <w:rPr>
          <w:rFonts w:asciiTheme="majorHAnsi" w:eastAsiaTheme="minorHAnsi" w:hAnsiTheme="majorHAnsi" w:cstheme="minorBidi"/>
          <w:szCs w:val="24"/>
        </w:rPr>
      </w:pPr>
      <w:proofErr w:type="spellStart"/>
      <w:r>
        <w:rPr>
          <w:rFonts w:asciiTheme="majorHAnsi" w:eastAsiaTheme="minorHAnsi" w:hAnsiTheme="majorHAnsi" w:cstheme="minorBidi"/>
          <w:szCs w:val="24"/>
        </w:rPr>
        <w:t>Cadogan</w:t>
      </w:r>
      <w:proofErr w:type="spellEnd"/>
      <w:r>
        <w:rPr>
          <w:rFonts w:asciiTheme="majorHAnsi" w:eastAsiaTheme="minorHAnsi" w:hAnsiTheme="majorHAnsi" w:cstheme="minorBidi"/>
          <w:szCs w:val="24"/>
        </w:rPr>
        <w:t xml:space="preserve">, G. 2011. </w:t>
      </w:r>
      <w:proofErr w:type="spellStart"/>
      <w:r w:rsidRPr="00DC4A8D">
        <w:rPr>
          <w:rFonts w:asciiTheme="majorHAnsi" w:eastAsiaTheme="minorHAnsi" w:hAnsiTheme="majorHAnsi" w:cstheme="minorBidi"/>
          <w:szCs w:val="24"/>
        </w:rPr>
        <w:t>Myrtos</w:t>
      </w:r>
      <w:proofErr w:type="spellEnd"/>
      <w:r w:rsidRPr="00DC4A8D">
        <w:rPr>
          <w:rFonts w:asciiTheme="majorHAnsi" w:eastAsiaTheme="minorHAnsi" w:hAnsiTheme="majorHAnsi" w:cstheme="minorBidi"/>
          <w:szCs w:val="24"/>
        </w:rPr>
        <w:t xml:space="preserve">: From </w:t>
      </w:r>
      <w:proofErr w:type="spellStart"/>
      <w:r w:rsidRPr="00DC4A8D">
        <w:rPr>
          <w:rFonts w:asciiTheme="majorHAnsi" w:eastAsiaTheme="minorHAnsi" w:hAnsiTheme="majorHAnsi" w:cstheme="minorBidi"/>
          <w:szCs w:val="24"/>
        </w:rPr>
        <w:t>Phournou</w:t>
      </w:r>
      <w:proofErr w:type="spellEnd"/>
      <w:r w:rsidRPr="00DC4A8D">
        <w:rPr>
          <w:rFonts w:asciiTheme="majorHAnsi" w:eastAsiaTheme="minorHAnsi" w:hAnsiTheme="majorHAnsi" w:cstheme="minorBidi"/>
          <w:szCs w:val="24"/>
        </w:rPr>
        <w:t xml:space="preserve"> </w:t>
      </w:r>
      <w:proofErr w:type="spellStart"/>
      <w:r w:rsidRPr="00DC4A8D">
        <w:rPr>
          <w:rFonts w:asciiTheme="majorHAnsi" w:eastAsiaTheme="minorHAnsi" w:hAnsiTheme="majorHAnsi" w:cstheme="minorBidi"/>
          <w:szCs w:val="24"/>
        </w:rPr>
        <w:t>Koryphi</w:t>
      </w:r>
      <w:proofErr w:type="spellEnd"/>
      <w:r w:rsidRPr="00DC4A8D">
        <w:rPr>
          <w:rFonts w:asciiTheme="majorHAnsi" w:eastAsiaTheme="minorHAnsi" w:hAnsiTheme="majorHAnsi" w:cstheme="minorBidi"/>
          <w:szCs w:val="24"/>
        </w:rPr>
        <w:t xml:space="preserve"> to </w:t>
      </w:r>
      <w:proofErr w:type="spellStart"/>
      <w:r w:rsidRPr="00DC4A8D">
        <w:rPr>
          <w:rFonts w:asciiTheme="majorHAnsi" w:eastAsiaTheme="minorHAnsi" w:hAnsiTheme="majorHAnsi" w:cstheme="minorBidi"/>
          <w:szCs w:val="24"/>
        </w:rPr>
        <w:t>Pyrgos</w:t>
      </w:r>
      <w:proofErr w:type="spellEnd"/>
      <w:r>
        <w:rPr>
          <w:rFonts w:asciiTheme="majorHAnsi" w:eastAsiaTheme="minorHAnsi" w:hAnsiTheme="majorHAnsi" w:cstheme="minorBidi"/>
          <w:szCs w:val="24"/>
        </w:rPr>
        <w:t>.</w:t>
      </w:r>
      <w:r w:rsidRPr="00DC4A8D">
        <w:rPr>
          <w:rFonts w:asciiTheme="majorHAnsi" w:eastAsiaTheme="minorHAnsi" w:hAnsiTheme="majorHAnsi" w:cstheme="minorBidi"/>
          <w:szCs w:val="24"/>
        </w:rPr>
        <w:t xml:space="preserve"> </w:t>
      </w:r>
      <w:r>
        <w:rPr>
          <w:rFonts w:asciiTheme="majorHAnsi" w:eastAsiaTheme="minorHAnsi" w:hAnsiTheme="majorHAnsi" w:cstheme="minorBidi"/>
          <w:szCs w:val="24"/>
        </w:rPr>
        <w:t xml:space="preserve">In </w:t>
      </w:r>
      <w:r w:rsidRPr="00DC4A8D">
        <w:rPr>
          <w:rFonts w:asciiTheme="majorHAnsi" w:eastAsiaTheme="minorHAnsi" w:hAnsiTheme="majorHAnsi" w:cstheme="minorBidi"/>
          <w:szCs w:val="24"/>
        </w:rPr>
        <w:t>K</w:t>
      </w:r>
      <w:r>
        <w:rPr>
          <w:rFonts w:asciiTheme="majorHAnsi" w:eastAsiaTheme="minorHAnsi" w:hAnsiTheme="majorHAnsi" w:cstheme="minorBidi"/>
          <w:szCs w:val="24"/>
        </w:rPr>
        <w:t>.</w:t>
      </w:r>
      <w:r w:rsidRPr="00DC4A8D">
        <w:rPr>
          <w:rFonts w:asciiTheme="majorHAnsi" w:eastAsiaTheme="minorHAnsi" w:hAnsiTheme="majorHAnsi" w:cstheme="minorBidi"/>
          <w:szCs w:val="24"/>
        </w:rPr>
        <w:t xml:space="preserve">T. </w:t>
      </w:r>
      <w:proofErr w:type="spellStart"/>
      <w:r w:rsidRPr="00DC4A8D">
        <w:rPr>
          <w:rFonts w:asciiTheme="majorHAnsi" w:eastAsiaTheme="minorHAnsi" w:hAnsiTheme="majorHAnsi" w:cstheme="minorBidi"/>
          <w:szCs w:val="24"/>
        </w:rPr>
        <w:t>Glowacki</w:t>
      </w:r>
      <w:proofErr w:type="spellEnd"/>
      <w:r w:rsidRPr="00DC4A8D">
        <w:rPr>
          <w:rFonts w:asciiTheme="majorHAnsi" w:eastAsiaTheme="minorHAnsi" w:hAnsiTheme="majorHAnsi" w:cstheme="minorBidi"/>
          <w:szCs w:val="24"/>
        </w:rPr>
        <w:t xml:space="preserve"> and N</w:t>
      </w:r>
      <w:r>
        <w:rPr>
          <w:rFonts w:asciiTheme="majorHAnsi" w:eastAsiaTheme="minorHAnsi" w:hAnsiTheme="majorHAnsi" w:cstheme="minorBidi"/>
          <w:szCs w:val="24"/>
        </w:rPr>
        <w:t>.</w:t>
      </w:r>
      <w:r w:rsidRPr="00DC4A8D">
        <w:rPr>
          <w:rFonts w:asciiTheme="majorHAnsi" w:eastAsiaTheme="minorHAnsi" w:hAnsiTheme="majorHAnsi" w:cstheme="minorBidi"/>
          <w:szCs w:val="24"/>
        </w:rPr>
        <w:t xml:space="preserve"> </w:t>
      </w:r>
      <w:proofErr w:type="spellStart"/>
      <w:r w:rsidRPr="00DC4A8D">
        <w:rPr>
          <w:rFonts w:asciiTheme="majorHAnsi" w:eastAsiaTheme="minorHAnsi" w:hAnsiTheme="majorHAnsi" w:cstheme="minorBidi"/>
          <w:szCs w:val="24"/>
        </w:rPr>
        <w:t>Vogeikoff</w:t>
      </w:r>
      <w:proofErr w:type="spellEnd"/>
      <w:r w:rsidRPr="00DC4A8D">
        <w:rPr>
          <w:rFonts w:asciiTheme="majorHAnsi" w:eastAsiaTheme="minorHAnsi" w:hAnsiTheme="majorHAnsi" w:cstheme="minorBidi"/>
          <w:szCs w:val="24"/>
        </w:rPr>
        <w:t>-Brogan</w:t>
      </w:r>
      <w:r>
        <w:rPr>
          <w:rFonts w:asciiTheme="majorHAnsi" w:eastAsiaTheme="minorHAnsi" w:hAnsiTheme="majorHAnsi" w:cstheme="minorBidi"/>
          <w:szCs w:val="24"/>
        </w:rPr>
        <w:t xml:space="preserve"> (</w:t>
      </w:r>
      <w:proofErr w:type="spellStart"/>
      <w:r>
        <w:rPr>
          <w:rFonts w:asciiTheme="majorHAnsi" w:eastAsiaTheme="minorHAnsi" w:hAnsiTheme="majorHAnsi" w:cstheme="minorBidi"/>
          <w:szCs w:val="24"/>
        </w:rPr>
        <w:t>eds</w:t>
      </w:r>
      <w:proofErr w:type="spellEnd"/>
      <w:r>
        <w:rPr>
          <w:rFonts w:asciiTheme="majorHAnsi" w:eastAsiaTheme="minorHAnsi" w:hAnsiTheme="majorHAnsi" w:cstheme="minorBidi"/>
          <w:szCs w:val="24"/>
        </w:rPr>
        <w:t xml:space="preserve">), </w:t>
      </w:r>
      <w:r w:rsidRPr="00DC4A8D">
        <w:rPr>
          <w:rFonts w:asciiTheme="majorHAnsi" w:eastAsiaTheme="minorHAnsi" w:hAnsiTheme="majorHAnsi" w:cstheme="minorBidi"/>
          <w:i/>
          <w:szCs w:val="24"/>
        </w:rPr>
        <w:t>ΣΤΕΓΑ: The Archaeology of Houses and Households in Ancient Crete</w:t>
      </w:r>
      <w:r>
        <w:rPr>
          <w:rFonts w:asciiTheme="majorHAnsi" w:eastAsiaTheme="minorHAnsi" w:hAnsiTheme="majorHAnsi" w:cstheme="minorBidi"/>
          <w:szCs w:val="24"/>
        </w:rPr>
        <w:t xml:space="preserve">, </w:t>
      </w:r>
      <w:proofErr w:type="spellStart"/>
      <w:r>
        <w:rPr>
          <w:rFonts w:asciiTheme="majorHAnsi" w:eastAsiaTheme="minorHAnsi" w:hAnsiTheme="majorHAnsi" w:cstheme="minorBidi"/>
          <w:szCs w:val="24"/>
        </w:rPr>
        <w:t>Hesperica</w:t>
      </w:r>
      <w:proofErr w:type="spellEnd"/>
      <w:r>
        <w:rPr>
          <w:rFonts w:asciiTheme="majorHAnsi" w:eastAsiaTheme="minorHAnsi" w:hAnsiTheme="majorHAnsi" w:cstheme="minorBidi"/>
          <w:szCs w:val="24"/>
        </w:rPr>
        <w:t xml:space="preserve"> 44. Princeton: American School of Classical Studies at Athens.</w:t>
      </w:r>
    </w:p>
    <w:p w:rsidR="00D36FC0" w:rsidRPr="00C31DD1" w:rsidRDefault="00D36FC0" w:rsidP="0061089A">
      <w:pPr>
        <w:spacing w:after="200" w:line="276" w:lineRule="auto"/>
        <w:ind w:left="709" w:hanging="709"/>
        <w:rPr>
          <w:rFonts w:asciiTheme="majorHAnsi" w:hAnsiTheme="majorHAnsi"/>
          <w:szCs w:val="24"/>
        </w:rPr>
      </w:pPr>
      <w:r w:rsidRPr="00C31DD1">
        <w:rPr>
          <w:rFonts w:asciiTheme="majorHAnsi" w:hAnsiTheme="majorHAnsi"/>
          <w:szCs w:val="24"/>
        </w:rPr>
        <w:t xml:space="preserve">Day, P.M. and Wilson, D.E. 2002. Landscapes of memory, craft and power in </w:t>
      </w:r>
      <w:proofErr w:type="spellStart"/>
      <w:r w:rsidRPr="00C31DD1">
        <w:rPr>
          <w:rFonts w:asciiTheme="majorHAnsi" w:hAnsiTheme="majorHAnsi"/>
          <w:szCs w:val="24"/>
        </w:rPr>
        <w:t>prepalatial</w:t>
      </w:r>
      <w:proofErr w:type="spellEnd"/>
      <w:r w:rsidRPr="00C31DD1">
        <w:rPr>
          <w:rFonts w:asciiTheme="majorHAnsi" w:hAnsiTheme="majorHAnsi"/>
          <w:szCs w:val="24"/>
        </w:rPr>
        <w:t xml:space="preserve"> and </w:t>
      </w:r>
      <w:proofErr w:type="spellStart"/>
      <w:r w:rsidRPr="00C31DD1">
        <w:rPr>
          <w:rFonts w:asciiTheme="majorHAnsi" w:hAnsiTheme="majorHAnsi"/>
          <w:szCs w:val="24"/>
        </w:rPr>
        <w:t>protopalatial</w:t>
      </w:r>
      <w:proofErr w:type="spellEnd"/>
      <w:r w:rsidRPr="00C31DD1">
        <w:rPr>
          <w:rFonts w:asciiTheme="majorHAnsi" w:hAnsiTheme="majorHAnsi"/>
          <w:szCs w:val="24"/>
        </w:rPr>
        <w:t xml:space="preserve"> Knossos. In Hamilakis, Y. (ed.) </w:t>
      </w:r>
      <w:r w:rsidRPr="00C31DD1">
        <w:rPr>
          <w:rFonts w:asciiTheme="majorHAnsi" w:hAnsiTheme="majorHAnsi"/>
          <w:i/>
          <w:iCs/>
          <w:szCs w:val="24"/>
        </w:rPr>
        <w:t>Labyrinth Revisited: Rethinking ‘Minoan Archaeology’</w:t>
      </w:r>
      <w:r w:rsidR="0061089A" w:rsidRPr="00C31DD1">
        <w:rPr>
          <w:rFonts w:asciiTheme="majorHAnsi" w:hAnsiTheme="majorHAnsi"/>
          <w:szCs w:val="24"/>
        </w:rPr>
        <w:t>. 143-66. Oxford: Oxbow Books</w:t>
      </w:r>
      <w:r w:rsidRPr="00C31DD1">
        <w:rPr>
          <w:rFonts w:asciiTheme="majorHAnsi" w:hAnsiTheme="majorHAnsi"/>
          <w:szCs w:val="24"/>
        </w:rPr>
        <w:t>.</w:t>
      </w:r>
    </w:p>
    <w:p w:rsidR="00C31DD1" w:rsidRPr="00C31DD1" w:rsidRDefault="00C31DD1" w:rsidP="00C31DD1">
      <w:pPr>
        <w:spacing w:after="200" w:line="276" w:lineRule="auto"/>
        <w:ind w:left="709" w:hanging="709"/>
        <w:rPr>
          <w:rFonts w:asciiTheme="majorHAnsi" w:eastAsiaTheme="minorHAnsi" w:hAnsiTheme="majorHAnsi" w:cstheme="minorBidi"/>
          <w:szCs w:val="24"/>
        </w:rPr>
      </w:pPr>
      <w:r w:rsidRPr="00C31DD1">
        <w:rPr>
          <w:rFonts w:asciiTheme="majorHAnsi" w:eastAsiaTheme="minorHAnsi" w:hAnsiTheme="majorHAnsi" w:cstheme="minorBidi"/>
          <w:szCs w:val="24"/>
        </w:rPr>
        <w:t xml:space="preserve">Warren, P.M. 1972. </w:t>
      </w:r>
      <w:proofErr w:type="spellStart"/>
      <w:r w:rsidRPr="00C31DD1">
        <w:rPr>
          <w:rFonts w:asciiTheme="majorHAnsi" w:eastAsiaTheme="minorHAnsi" w:hAnsiTheme="majorHAnsi" w:cstheme="minorBidi"/>
          <w:i/>
          <w:szCs w:val="24"/>
        </w:rPr>
        <w:t>Myrtos</w:t>
      </w:r>
      <w:proofErr w:type="spellEnd"/>
      <w:r w:rsidRPr="00C31DD1">
        <w:rPr>
          <w:rFonts w:asciiTheme="majorHAnsi" w:eastAsiaTheme="minorHAnsi" w:hAnsiTheme="majorHAnsi" w:cstheme="minorBidi"/>
          <w:i/>
          <w:szCs w:val="24"/>
        </w:rPr>
        <w:t>: An Early Bronze Age Settlement in Crete</w:t>
      </w:r>
      <w:r w:rsidRPr="00C31DD1">
        <w:rPr>
          <w:rFonts w:asciiTheme="majorHAnsi" w:eastAsiaTheme="minorHAnsi" w:hAnsiTheme="majorHAnsi" w:cstheme="minorBidi"/>
          <w:szCs w:val="24"/>
        </w:rPr>
        <w:t>. BSA Supplement 7. London: British School at Athens. [JSTOR]</w:t>
      </w:r>
    </w:p>
    <w:p w:rsidR="00D36FC0" w:rsidRPr="00C31DD1" w:rsidRDefault="00D36FC0" w:rsidP="0061089A">
      <w:pPr>
        <w:spacing w:after="200" w:line="276" w:lineRule="auto"/>
        <w:ind w:left="709" w:hanging="709"/>
        <w:rPr>
          <w:rFonts w:asciiTheme="majorHAnsi" w:hAnsiTheme="majorHAnsi"/>
          <w:szCs w:val="24"/>
        </w:rPr>
      </w:pPr>
      <w:r w:rsidRPr="00C31DD1">
        <w:rPr>
          <w:rFonts w:asciiTheme="majorHAnsi" w:eastAsiaTheme="minorHAnsi" w:hAnsiTheme="majorHAnsi" w:cstheme="minorBidi"/>
          <w:szCs w:val="24"/>
        </w:rPr>
        <w:t>Whitelaw</w:t>
      </w:r>
      <w:r w:rsidRPr="00C31DD1">
        <w:rPr>
          <w:rFonts w:asciiTheme="majorHAnsi" w:hAnsiTheme="majorHAnsi"/>
          <w:szCs w:val="24"/>
        </w:rPr>
        <w:t xml:space="preserve">, T.M. 1983. The settlement at </w:t>
      </w:r>
      <w:proofErr w:type="spellStart"/>
      <w:r w:rsidRPr="00C31DD1">
        <w:rPr>
          <w:rFonts w:asciiTheme="majorHAnsi" w:hAnsiTheme="majorHAnsi"/>
          <w:szCs w:val="24"/>
        </w:rPr>
        <w:t>Fournou</w:t>
      </w:r>
      <w:proofErr w:type="spellEnd"/>
      <w:r w:rsidRPr="00C31DD1">
        <w:rPr>
          <w:rFonts w:asciiTheme="majorHAnsi" w:hAnsiTheme="majorHAnsi"/>
          <w:szCs w:val="24"/>
        </w:rPr>
        <w:t xml:space="preserve"> </w:t>
      </w:r>
      <w:proofErr w:type="spellStart"/>
      <w:r w:rsidRPr="00C31DD1">
        <w:rPr>
          <w:rFonts w:asciiTheme="majorHAnsi" w:hAnsiTheme="majorHAnsi"/>
          <w:szCs w:val="24"/>
        </w:rPr>
        <w:t>Korifi</w:t>
      </w:r>
      <w:proofErr w:type="spellEnd"/>
      <w:r w:rsidRPr="00C31DD1">
        <w:rPr>
          <w:rFonts w:asciiTheme="majorHAnsi" w:hAnsiTheme="majorHAnsi"/>
          <w:szCs w:val="24"/>
        </w:rPr>
        <w:t xml:space="preserve">, </w:t>
      </w:r>
      <w:proofErr w:type="spellStart"/>
      <w:r w:rsidRPr="00C31DD1">
        <w:rPr>
          <w:rFonts w:asciiTheme="majorHAnsi" w:hAnsiTheme="majorHAnsi"/>
          <w:szCs w:val="24"/>
        </w:rPr>
        <w:t>Myrtos</w:t>
      </w:r>
      <w:proofErr w:type="spellEnd"/>
      <w:r w:rsidRPr="00C31DD1">
        <w:rPr>
          <w:rFonts w:asciiTheme="majorHAnsi" w:hAnsiTheme="majorHAnsi"/>
          <w:szCs w:val="24"/>
        </w:rPr>
        <w:t xml:space="preserve"> and aspects of Early Minoan social organisation. In O. Krzyszkowska &amp; L. Nixon (</w:t>
      </w:r>
      <w:proofErr w:type="spellStart"/>
      <w:r w:rsidRPr="00C31DD1">
        <w:rPr>
          <w:rFonts w:asciiTheme="majorHAnsi" w:hAnsiTheme="majorHAnsi"/>
          <w:szCs w:val="24"/>
        </w:rPr>
        <w:t>eds</w:t>
      </w:r>
      <w:proofErr w:type="spellEnd"/>
      <w:r w:rsidRPr="00C31DD1">
        <w:rPr>
          <w:rFonts w:asciiTheme="majorHAnsi" w:hAnsiTheme="majorHAnsi"/>
          <w:szCs w:val="24"/>
        </w:rPr>
        <w:t xml:space="preserve">) </w:t>
      </w:r>
      <w:r w:rsidRPr="00C31DD1">
        <w:rPr>
          <w:rFonts w:asciiTheme="majorHAnsi" w:hAnsiTheme="majorHAnsi"/>
          <w:i/>
          <w:szCs w:val="24"/>
        </w:rPr>
        <w:t>Minoan Society: Proceedings of the Cambridge Colloquium</w:t>
      </w:r>
      <w:r w:rsidR="0061089A" w:rsidRPr="00C31DD1">
        <w:rPr>
          <w:rFonts w:asciiTheme="majorHAnsi" w:hAnsiTheme="majorHAnsi"/>
          <w:i/>
          <w:szCs w:val="24"/>
        </w:rPr>
        <w:t>.</w:t>
      </w:r>
      <w:r w:rsidRPr="00C31DD1">
        <w:rPr>
          <w:rFonts w:asciiTheme="majorHAnsi" w:hAnsiTheme="majorHAnsi"/>
          <w:szCs w:val="24"/>
        </w:rPr>
        <w:t xml:space="preserve"> </w:t>
      </w:r>
      <w:r w:rsidR="0061089A" w:rsidRPr="00C31DD1">
        <w:rPr>
          <w:rFonts w:asciiTheme="majorHAnsi" w:hAnsiTheme="majorHAnsi"/>
          <w:szCs w:val="24"/>
        </w:rPr>
        <w:t xml:space="preserve">323-45. </w:t>
      </w:r>
      <w:r w:rsidRPr="00C31DD1">
        <w:rPr>
          <w:rFonts w:asciiTheme="majorHAnsi" w:hAnsiTheme="majorHAnsi"/>
          <w:szCs w:val="24"/>
        </w:rPr>
        <w:t>B</w:t>
      </w:r>
      <w:r w:rsidR="0061089A" w:rsidRPr="00C31DD1">
        <w:rPr>
          <w:rFonts w:asciiTheme="majorHAnsi" w:hAnsiTheme="majorHAnsi"/>
          <w:szCs w:val="24"/>
        </w:rPr>
        <w:t>ristol: Bristol Classical Press.</w:t>
      </w:r>
    </w:p>
    <w:p w:rsidR="00C31DD1" w:rsidRPr="00C31DD1" w:rsidRDefault="00C31DD1" w:rsidP="0061089A">
      <w:pPr>
        <w:spacing w:after="200" w:line="276" w:lineRule="auto"/>
        <w:ind w:left="709" w:hanging="709"/>
        <w:rPr>
          <w:rFonts w:asciiTheme="majorHAnsi" w:hAnsiTheme="majorHAnsi"/>
          <w:szCs w:val="24"/>
        </w:rPr>
      </w:pPr>
      <w:r w:rsidRPr="00C31DD1">
        <w:rPr>
          <w:rFonts w:asciiTheme="majorHAnsi" w:eastAsiaTheme="minorHAnsi" w:hAnsiTheme="majorHAnsi" w:cstheme="minorBidi"/>
          <w:szCs w:val="24"/>
        </w:rPr>
        <w:t>Whitelaw</w:t>
      </w:r>
      <w:r w:rsidRPr="00C31DD1">
        <w:rPr>
          <w:rFonts w:asciiTheme="majorHAnsi" w:hAnsiTheme="majorHAnsi"/>
          <w:szCs w:val="24"/>
        </w:rPr>
        <w:t xml:space="preserve">, T.M.  </w:t>
      </w:r>
      <w:r w:rsidRPr="00C31DD1">
        <w:rPr>
          <w:rFonts w:asciiTheme="majorHAnsi" w:eastAsiaTheme="minorHAnsi" w:hAnsiTheme="majorHAnsi" w:cstheme="minorBidi"/>
          <w:szCs w:val="24"/>
        </w:rPr>
        <w:t xml:space="preserve">2007. House, households and community at Early Minoan </w:t>
      </w:r>
      <w:proofErr w:type="spellStart"/>
      <w:r w:rsidRPr="00C31DD1">
        <w:rPr>
          <w:rFonts w:asciiTheme="majorHAnsi" w:eastAsiaTheme="minorHAnsi" w:hAnsiTheme="majorHAnsi" w:cstheme="minorBidi"/>
          <w:szCs w:val="24"/>
        </w:rPr>
        <w:t>Fournou</w:t>
      </w:r>
      <w:proofErr w:type="spellEnd"/>
      <w:r w:rsidRPr="00C31DD1">
        <w:rPr>
          <w:rFonts w:asciiTheme="majorHAnsi" w:eastAsiaTheme="minorHAnsi" w:hAnsiTheme="majorHAnsi" w:cstheme="minorBidi"/>
          <w:szCs w:val="24"/>
        </w:rPr>
        <w:t xml:space="preserve"> </w:t>
      </w:r>
      <w:proofErr w:type="spellStart"/>
      <w:r w:rsidRPr="00C31DD1">
        <w:rPr>
          <w:rFonts w:asciiTheme="majorHAnsi" w:eastAsiaTheme="minorHAnsi" w:hAnsiTheme="majorHAnsi" w:cstheme="minorBidi"/>
          <w:szCs w:val="24"/>
        </w:rPr>
        <w:t>Korifi</w:t>
      </w:r>
      <w:proofErr w:type="spellEnd"/>
      <w:r w:rsidRPr="00C31DD1">
        <w:rPr>
          <w:rFonts w:asciiTheme="majorHAnsi" w:eastAsiaTheme="minorHAnsi" w:hAnsiTheme="majorHAnsi" w:cstheme="minorBidi"/>
          <w:szCs w:val="24"/>
        </w:rPr>
        <w:t xml:space="preserve">: methods and models for interpretation, in R. Westgate, N. Fisher and J. Whitley (eds.) </w:t>
      </w:r>
      <w:r w:rsidRPr="00C31DD1">
        <w:rPr>
          <w:rFonts w:asciiTheme="majorHAnsi" w:eastAsiaTheme="minorHAnsi" w:hAnsiTheme="majorHAnsi" w:cstheme="minorBidi"/>
          <w:i/>
          <w:szCs w:val="24"/>
        </w:rPr>
        <w:t>Building Communities: House, Settlement and Society in the Aegean and Beyond</w:t>
      </w:r>
      <w:r w:rsidRPr="00C31DD1">
        <w:rPr>
          <w:rFonts w:asciiTheme="majorHAnsi" w:eastAsiaTheme="minorHAnsi" w:hAnsiTheme="majorHAnsi" w:cstheme="minorBidi"/>
          <w:szCs w:val="24"/>
        </w:rPr>
        <w:t>. 65–76.BSA Studies 15. London:  British School at Athens.</w:t>
      </w:r>
    </w:p>
    <w:p w:rsidR="00D36FC0" w:rsidRPr="00C31DD1" w:rsidRDefault="00D36FC0" w:rsidP="0061089A">
      <w:pPr>
        <w:spacing w:after="200" w:line="276" w:lineRule="auto"/>
        <w:ind w:left="709" w:hanging="709"/>
        <w:rPr>
          <w:rFonts w:asciiTheme="majorHAnsi" w:hAnsiTheme="majorHAnsi"/>
          <w:szCs w:val="24"/>
        </w:rPr>
      </w:pPr>
      <w:r w:rsidRPr="00C31DD1">
        <w:rPr>
          <w:rFonts w:asciiTheme="majorHAnsi" w:eastAsiaTheme="minorHAnsi" w:hAnsiTheme="majorHAnsi" w:cstheme="minorBidi"/>
          <w:szCs w:val="24"/>
        </w:rPr>
        <w:t>Wilson</w:t>
      </w:r>
      <w:r w:rsidRPr="00C31DD1">
        <w:rPr>
          <w:rFonts w:asciiTheme="majorHAnsi" w:hAnsiTheme="majorHAnsi"/>
          <w:szCs w:val="24"/>
        </w:rPr>
        <w:t xml:space="preserve">, D. 1994. Knossos before the palaces: an overview of the Early Bronze Age (EM I-EM III). In D. </w:t>
      </w:r>
      <w:proofErr w:type="spellStart"/>
      <w:r w:rsidRPr="00C31DD1">
        <w:rPr>
          <w:rFonts w:asciiTheme="majorHAnsi" w:hAnsiTheme="majorHAnsi"/>
          <w:szCs w:val="24"/>
        </w:rPr>
        <w:t>Evely</w:t>
      </w:r>
      <w:proofErr w:type="spellEnd"/>
      <w:r w:rsidRPr="00C31DD1">
        <w:rPr>
          <w:rFonts w:asciiTheme="majorHAnsi" w:hAnsiTheme="majorHAnsi"/>
          <w:szCs w:val="24"/>
        </w:rPr>
        <w:t xml:space="preserve">, H. </w:t>
      </w:r>
      <w:proofErr w:type="spellStart"/>
      <w:r w:rsidRPr="00C31DD1">
        <w:rPr>
          <w:rFonts w:asciiTheme="majorHAnsi" w:hAnsiTheme="majorHAnsi"/>
          <w:szCs w:val="24"/>
        </w:rPr>
        <w:t>Hu</w:t>
      </w:r>
      <w:r w:rsidR="0061089A" w:rsidRPr="00C31DD1">
        <w:rPr>
          <w:rFonts w:asciiTheme="majorHAnsi" w:hAnsiTheme="majorHAnsi"/>
          <w:szCs w:val="24"/>
        </w:rPr>
        <w:t>ghs</w:t>
      </w:r>
      <w:proofErr w:type="spellEnd"/>
      <w:r w:rsidR="0061089A" w:rsidRPr="00C31DD1">
        <w:rPr>
          <w:rFonts w:asciiTheme="majorHAnsi" w:hAnsiTheme="majorHAnsi"/>
          <w:szCs w:val="24"/>
        </w:rPr>
        <w:t xml:space="preserve">-Brock &amp; N. </w:t>
      </w:r>
      <w:proofErr w:type="spellStart"/>
      <w:r w:rsidR="0061089A" w:rsidRPr="00C31DD1">
        <w:rPr>
          <w:rFonts w:asciiTheme="majorHAnsi" w:hAnsiTheme="majorHAnsi"/>
          <w:szCs w:val="24"/>
        </w:rPr>
        <w:t>Momigliano</w:t>
      </w:r>
      <w:proofErr w:type="spellEnd"/>
      <w:r w:rsidR="0061089A" w:rsidRPr="00C31DD1">
        <w:rPr>
          <w:rFonts w:asciiTheme="majorHAnsi" w:hAnsiTheme="majorHAnsi"/>
          <w:szCs w:val="24"/>
        </w:rPr>
        <w:t xml:space="preserve"> (</w:t>
      </w:r>
      <w:proofErr w:type="spellStart"/>
      <w:r w:rsidR="0061089A" w:rsidRPr="00C31DD1">
        <w:rPr>
          <w:rFonts w:asciiTheme="majorHAnsi" w:hAnsiTheme="majorHAnsi"/>
          <w:szCs w:val="24"/>
        </w:rPr>
        <w:t>eds</w:t>
      </w:r>
      <w:proofErr w:type="spellEnd"/>
      <w:r w:rsidR="0061089A" w:rsidRPr="00C31DD1">
        <w:rPr>
          <w:rFonts w:asciiTheme="majorHAnsi" w:hAnsiTheme="majorHAnsi"/>
          <w:szCs w:val="24"/>
        </w:rPr>
        <w:t>)</w:t>
      </w:r>
      <w:r w:rsidRPr="00C31DD1">
        <w:rPr>
          <w:rFonts w:asciiTheme="majorHAnsi" w:hAnsiTheme="majorHAnsi"/>
          <w:szCs w:val="24"/>
        </w:rPr>
        <w:t xml:space="preserve"> </w:t>
      </w:r>
      <w:r w:rsidRPr="00C31DD1">
        <w:rPr>
          <w:rFonts w:asciiTheme="majorHAnsi" w:hAnsiTheme="majorHAnsi"/>
          <w:i/>
          <w:szCs w:val="24"/>
        </w:rPr>
        <w:t>Knossos: A Labyrinth of History</w:t>
      </w:r>
      <w:r w:rsidRPr="00C31DD1">
        <w:rPr>
          <w:rFonts w:asciiTheme="majorHAnsi" w:hAnsiTheme="majorHAnsi"/>
          <w:szCs w:val="24"/>
        </w:rPr>
        <w:t xml:space="preserve">. </w:t>
      </w:r>
      <w:r w:rsidR="0061089A" w:rsidRPr="00C31DD1">
        <w:rPr>
          <w:rFonts w:asciiTheme="majorHAnsi" w:hAnsiTheme="majorHAnsi"/>
          <w:szCs w:val="24"/>
        </w:rPr>
        <w:t xml:space="preserve">23-44. </w:t>
      </w:r>
      <w:r w:rsidRPr="00C31DD1">
        <w:rPr>
          <w:rFonts w:asciiTheme="majorHAnsi" w:hAnsiTheme="majorHAnsi"/>
          <w:szCs w:val="24"/>
        </w:rPr>
        <w:t>Oxford: British</w:t>
      </w:r>
      <w:r w:rsidR="0061089A" w:rsidRPr="00C31DD1">
        <w:rPr>
          <w:rFonts w:asciiTheme="majorHAnsi" w:hAnsiTheme="majorHAnsi"/>
          <w:szCs w:val="24"/>
        </w:rPr>
        <w:t xml:space="preserve"> School at Athens &amp; Oxbow books</w:t>
      </w:r>
      <w:r w:rsidRPr="00C31DD1">
        <w:rPr>
          <w:rFonts w:asciiTheme="majorHAnsi" w:hAnsiTheme="majorHAnsi"/>
          <w:szCs w:val="24"/>
        </w:rPr>
        <w:t>.</w:t>
      </w:r>
    </w:p>
    <w:p w:rsidR="006645FD" w:rsidRPr="00DC4A8D" w:rsidRDefault="006645FD" w:rsidP="00DC4A8D">
      <w:pPr>
        <w:spacing w:after="200" w:line="276" w:lineRule="auto"/>
        <w:ind w:left="709" w:hanging="709"/>
        <w:rPr>
          <w:rFonts w:asciiTheme="majorHAnsi" w:eastAsiaTheme="minorHAnsi" w:hAnsiTheme="majorHAnsi" w:cstheme="minorBidi"/>
          <w:szCs w:val="24"/>
        </w:rPr>
      </w:pPr>
    </w:p>
    <w:sectPr w:rsidR="006645FD" w:rsidRPr="00DC4A8D" w:rsidSect="006645F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ff3">
    <w:altName w:val="Times New Roman"/>
    <w:charset w:val="00"/>
    <w:family w:val="auto"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D36FC0"/>
    <w:rsid w:val="00077E0D"/>
    <w:rsid w:val="000E5CB6"/>
    <w:rsid w:val="0032499E"/>
    <w:rsid w:val="00523566"/>
    <w:rsid w:val="0061089A"/>
    <w:rsid w:val="006645FD"/>
    <w:rsid w:val="007B2138"/>
    <w:rsid w:val="008B0BA0"/>
    <w:rsid w:val="009603FC"/>
    <w:rsid w:val="00994B9C"/>
    <w:rsid w:val="009B32C4"/>
    <w:rsid w:val="00A26440"/>
    <w:rsid w:val="00A57997"/>
    <w:rsid w:val="00B36CDB"/>
    <w:rsid w:val="00C31DD1"/>
    <w:rsid w:val="00D36FC0"/>
    <w:rsid w:val="00DC4A8D"/>
    <w:rsid w:val="00E8342D"/>
    <w:rsid w:val="00ED02E8"/>
    <w:rsid w:val="00F20B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781B91"/>
  <w15:docId w15:val="{C85CADEA-B9FF-45F4-8EB1-5E7389A2AC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36FC0"/>
    <w:pPr>
      <w:spacing w:after="0" w:line="240" w:lineRule="auto"/>
    </w:pPr>
    <w:rPr>
      <w:rFonts w:ascii="Times" w:eastAsia="Times" w:hAnsi="Times" w:cs="Times New Roman"/>
      <w:sz w:val="24"/>
      <w:szCs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D36FC0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36FC0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D36FC0"/>
    <w:pPr>
      <w:pBdr>
        <w:bottom w:val="single" w:sz="8" w:space="4" w:color="4F81BD" w:themeColor="accent1"/>
      </w:pBdr>
      <w:spacing w:after="300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D36FC0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Heading1Char">
    <w:name w:val="Heading 1 Char"/>
    <w:basedOn w:val="DefaultParagraphFont"/>
    <w:link w:val="Heading1"/>
    <w:uiPriority w:val="9"/>
    <w:rsid w:val="00D36FC0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D36FC0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a1">
    <w:name w:val="a1"/>
    <w:basedOn w:val="DefaultParagraphFont"/>
    <w:rsid w:val="00C31DD1"/>
    <w:rPr>
      <w:rFonts w:ascii="Times New Roman" w:hAnsi="Times New Roman" w:cs="Times New Roman" w:hint="default"/>
      <w:b w:val="0"/>
      <w:bCs w:val="0"/>
      <w:i w:val="0"/>
      <w:iCs w:val="0"/>
      <w:bdr w:val="none" w:sz="0" w:space="0" w:color="auto" w:frame="1"/>
    </w:rPr>
  </w:style>
  <w:style w:type="character" w:customStyle="1" w:styleId="l102">
    <w:name w:val="l102"/>
    <w:basedOn w:val="DefaultParagraphFont"/>
    <w:rsid w:val="00C31DD1"/>
    <w:rPr>
      <w:rFonts w:ascii="Times New Roman" w:hAnsi="Times New Roman" w:cs="Times New Roman" w:hint="default"/>
      <w:b w:val="0"/>
      <w:bCs w:val="0"/>
      <w:i w:val="0"/>
      <w:iCs w:val="0"/>
      <w:vanish w:val="0"/>
      <w:webHidden w:val="0"/>
      <w:bdr w:val="none" w:sz="0" w:space="0" w:color="auto" w:frame="1"/>
      <w:specVanish w:val="0"/>
    </w:rPr>
  </w:style>
  <w:style w:type="character" w:customStyle="1" w:styleId="a2">
    <w:name w:val="a2"/>
    <w:basedOn w:val="DefaultParagraphFont"/>
    <w:rsid w:val="00C31DD1"/>
    <w:rPr>
      <w:rFonts w:ascii="Times New Roman" w:hAnsi="Times New Roman" w:cs="Times New Roman" w:hint="default"/>
      <w:b w:val="0"/>
      <w:bCs w:val="0"/>
      <w:i/>
      <w:iCs/>
      <w:bdr w:val="none" w:sz="0" w:space="0" w:color="auto" w:frame="1"/>
    </w:rPr>
  </w:style>
  <w:style w:type="character" w:customStyle="1" w:styleId="l15">
    <w:name w:val="l15"/>
    <w:basedOn w:val="DefaultParagraphFont"/>
    <w:rsid w:val="00C31DD1"/>
    <w:rPr>
      <w:rFonts w:ascii="ff3" w:hAnsi="ff3" w:hint="default"/>
      <w:b w:val="0"/>
      <w:bCs w:val="0"/>
      <w:i/>
      <w:iCs/>
      <w:vanish w:val="0"/>
      <w:webHidden w:val="0"/>
      <w:bdr w:val="none" w:sz="0" w:space="0" w:color="auto" w:frame="1"/>
      <w:specVanish w:val="0"/>
    </w:rPr>
  </w:style>
  <w:style w:type="character" w:customStyle="1" w:styleId="l82">
    <w:name w:val="l82"/>
    <w:basedOn w:val="DefaultParagraphFont"/>
    <w:rsid w:val="00C31DD1"/>
    <w:rPr>
      <w:rFonts w:ascii="ff3" w:hAnsi="ff3" w:hint="default"/>
      <w:b w:val="0"/>
      <w:bCs w:val="0"/>
      <w:i/>
      <w:iCs/>
      <w:vanish w:val="0"/>
      <w:webHidden w:val="0"/>
      <w:bdr w:val="none" w:sz="0" w:space="0" w:color="auto" w:frame="1"/>
      <w:specVanish w:val="0"/>
    </w:rPr>
  </w:style>
  <w:style w:type="character" w:customStyle="1" w:styleId="l62">
    <w:name w:val="l62"/>
    <w:basedOn w:val="DefaultParagraphFont"/>
    <w:rsid w:val="00C31DD1"/>
    <w:rPr>
      <w:rFonts w:ascii="ff3" w:hAnsi="ff3" w:hint="default"/>
      <w:b w:val="0"/>
      <w:bCs w:val="0"/>
      <w:i/>
      <w:iCs/>
      <w:vanish w:val="0"/>
      <w:webHidden w:val="0"/>
      <w:bdr w:val="none" w:sz="0" w:space="0" w:color="auto" w:frame="1"/>
      <w:specVanish w:val="0"/>
    </w:rPr>
  </w:style>
  <w:style w:type="character" w:customStyle="1" w:styleId="a3">
    <w:name w:val="a3"/>
    <w:basedOn w:val="DefaultParagraphFont"/>
    <w:rsid w:val="00DC4A8D"/>
    <w:rPr>
      <w:rFonts w:ascii="Times New Roman" w:hAnsi="Times New Roman" w:cs="Times New Roman" w:hint="default"/>
      <w:b w:val="0"/>
      <w:bCs w:val="0"/>
      <w:i w:val="0"/>
      <w:iCs w:val="0"/>
      <w:bdr w:val="none" w:sz="0" w:space="0" w:color="auto" w:frame="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30941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92266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1835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888697">
                  <w:marLeft w:val="0"/>
                  <w:marRight w:val="0"/>
                  <w:marTop w:val="130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4107580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689827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686960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64752928">
                                  <w:marLeft w:val="-150"/>
                                  <w:marRight w:val="-15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3123349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4200719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6448767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2114456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036074567">
                                                      <w:marLeft w:val="150"/>
                                                      <w:marRight w:val="150"/>
                                                      <w:marTop w:val="150"/>
                                                      <w:marBottom w:val="30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35326064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17317954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45517909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985767399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  <w:div w:id="824206574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  <w:div w:id="746340749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  <w:div w:id="1812016269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  <w:div w:id="1004941604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18949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1086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45817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9991983">
                  <w:marLeft w:val="0"/>
                  <w:marRight w:val="0"/>
                  <w:marTop w:val="130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30079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966110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551717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5123857">
                                  <w:marLeft w:val="-150"/>
                                  <w:marRight w:val="-15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971740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3353862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0614648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7416476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4395562">
                                                      <w:marLeft w:val="150"/>
                                                      <w:marRight w:val="150"/>
                                                      <w:marTop w:val="150"/>
                                                      <w:marBottom w:val="30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75951787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5906784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1536019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827139745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  <w:div w:id="194610867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81073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491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1744548">
              <w:marLeft w:val="15"/>
              <w:marRight w:val="1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85496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54419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37344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991523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2560339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9360803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729461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06059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03215832">
                                                  <w:marLeft w:val="150"/>
                                                  <w:marRight w:val="150"/>
                                                  <w:marTop w:val="150"/>
                                                  <w:marBottom w:val="30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6207527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0790812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41042090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64465384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2021857885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  <w:div w:id="187600066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  <w:div w:id="2070493904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  <w:div w:id="1266579237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  <w:div w:id="1997414685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03253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5666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1706800">
              <w:marLeft w:val="15"/>
              <w:marRight w:val="1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6735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25414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819698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081724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5781150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9405735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6033642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7513709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825631746">
                                                  <w:marLeft w:val="150"/>
                                                  <w:marRight w:val="150"/>
                                                  <w:marTop w:val="150"/>
                                                  <w:marBottom w:val="30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2485593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12854963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39782775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395671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554507210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  <w:div w:id="67399562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  <w:div w:id="608703054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272</Words>
  <Characters>1552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Lampeter</Company>
  <LinksUpToDate>false</LinksUpToDate>
  <CharactersWithSpaces>1821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sw003</dc:creator>
  <cp:lastModifiedBy>Louise Steel</cp:lastModifiedBy>
  <cp:revision>4</cp:revision>
  <dcterms:created xsi:type="dcterms:W3CDTF">2014-01-11T13:42:00Z</dcterms:created>
  <dcterms:modified xsi:type="dcterms:W3CDTF">2017-11-13T14:28:00Z</dcterms:modified>
</cp:coreProperties>
</file>