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F315B" w14:textId="77777777" w:rsidR="00757E0C" w:rsidRDefault="00757E0C" w:rsidP="00757E0C">
      <w:pPr>
        <w:spacing w:before="212"/>
        <w:jc w:val="center"/>
        <w:rPr>
          <w:rFonts w:ascii="Arial"/>
          <w:b/>
          <w:sz w:val="56"/>
        </w:rPr>
      </w:pPr>
      <w:r>
        <w:rPr>
          <w:rFonts w:ascii="Arial"/>
          <w:b/>
          <w:noProof/>
          <w:sz w:val="56"/>
        </w:rPr>
        <w:drawing>
          <wp:inline distT="0" distB="0" distL="0" distR="0" wp14:anchorId="43EF28B7" wp14:editId="48F9CFE5">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02E53E23" w14:textId="77777777" w:rsidR="00757E0C" w:rsidRPr="0066224E" w:rsidRDefault="00757E0C" w:rsidP="00757E0C">
      <w:pPr>
        <w:spacing w:before="212"/>
        <w:jc w:val="center"/>
        <w:rPr>
          <w:rFonts w:ascii="Arial"/>
          <w:b/>
          <w:sz w:val="36"/>
          <w:szCs w:val="36"/>
        </w:rPr>
      </w:pPr>
    </w:p>
    <w:p w14:paraId="2F8D8288" w14:textId="77777777" w:rsidR="00757E0C" w:rsidRDefault="00757E0C" w:rsidP="00757E0C">
      <w:pPr>
        <w:spacing w:before="212"/>
        <w:rPr>
          <w:rFonts w:ascii="Arial"/>
          <w:b/>
          <w:sz w:val="56"/>
        </w:rPr>
      </w:pPr>
    </w:p>
    <w:p w14:paraId="62D56FA0" w14:textId="77777777" w:rsidR="00757E0C" w:rsidRDefault="00757E0C" w:rsidP="00757E0C">
      <w:pPr>
        <w:spacing w:before="212"/>
        <w:rPr>
          <w:rFonts w:ascii="Arial"/>
          <w:b/>
          <w:sz w:val="48"/>
          <w:szCs w:val="48"/>
        </w:rPr>
      </w:pPr>
      <w:r w:rsidRPr="00DD5969">
        <w:rPr>
          <w:rFonts w:ascii="Arial"/>
          <w:b/>
          <w:sz w:val="48"/>
          <w:szCs w:val="48"/>
        </w:rPr>
        <w:t>MODULE CODE:</w:t>
      </w:r>
      <w:r>
        <w:rPr>
          <w:rFonts w:ascii="Arial"/>
          <w:b/>
          <w:sz w:val="48"/>
          <w:szCs w:val="48"/>
        </w:rPr>
        <w:t xml:space="preserve"> ECDE7002</w:t>
      </w:r>
    </w:p>
    <w:p w14:paraId="31284443" w14:textId="77777777" w:rsidR="00757E0C" w:rsidRDefault="00757E0C" w:rsidP="00757E0C">
      <w:pPr>
        <w:spacing w:before="212"/>
        <w:rPr>
          <w:rFonts w:ascii="Arial"/>
          <w:b/>
          <w:sz w:val="48"/>
          <w:szCs w:val="48"/>
        </w:rPr>
      </w:pPr>
    </w:p>
    <w:p w14:paraId="70CF90D5" w14:textId="77777777" w:rsidR="00757E0C" w:rsidRPr="00DD5969" w:rsidRDefault="00757E0C" w:rsidP="00757E0C">
      <w:pPr>
        <w:spacing w:before="212"/>
        <w:rPr>
          <w:rFonts w:ascii="Arial"/>
          <w:b/>
          <w:sz w:val="48"/>
          <w:szCs w:val="48"/>
        </w:rPr>
      </w:pPr>
      <w:r>
        <w:rPr>
          <w:rFonts w:ascii="Arial"/>
          <w:b/>
          <w:sz w:val="48"/>
          <w:szCs w:val="48"/>
        </w:rPr>
        <w:t>ASSESSMENT COMPONENT: Assignment 2</w:t>
      </w:r>
    </w:p>
    <w:p w14:paraId="65F43B0E" w14:textId="77777777" w:rsidR="00757E0C" w:rsidRDefault="00757E0C" w:rsidP="00757E0C">
      <w:pPr>
        <w:spacing w:before="7"/>
        <w:jc w:val="center"/>
        <w:rPr>
          <w:rFonts w:ascii="Arial"/>
          <w:b/>
          <w:sz w:val="44"/>
        </w:rPr>
      </w:pPr>
    </w:p>
    <w:p w14:paraId="658A75B4" w14:textId="77777777" w:rsidR="00757E0C" w:rsidRPr="00DD5969" w:rsidRDefault="00757E0C" w:rsidP="00757E0C">
      <w:pPr>
        <w:spacing w:before="3"/>
        <w:rPr>
          <w:rFonts w:ascii="Arial"/>
          <w:b/>
          <w:sz w:val="48"/>
          <w:szCs w:val="48"/>
        </w:rPr>
      </w:pPr>
      <w:r w:rsidRPr="00DD5969">
        <w:rPr>
          <w:rFonts w:ascii="Arial"/>
          <w:b/>
          <w:sz w:val="48"/>
          <w:szCs w:val="48"/>
        </w:rPr>
        <w:t>STUDENT NAME:</w:t>
      </w:r>
      <w:r>
        <w:rPr>
          <w:rFonts w:ascii="Arial"/>
          <w:b/>
          <w:sz w:val="48"/>
          <w:szCs w:val="48"/>
        </w:rPr>
        <w:t xml:space="preserve"> Cai Pughsley</w:t>
      </w:r>
    </w:p>
    <w:p w14:paraId="0BD270A2" w14:textId="77777777" w:rsidR="00757E0C" w:rsidRPr="00DD5969" w:rsidRDefault="00757E0C" w:rsidP="00757E0C">
      <w:pPr>
        <w:spacing w:before="3"/>
        <w:rPr>
          <w:rFonts w:ascii="Arial"/>
          <w:b/>
          <w:sz w:val="48"/>
          <w:szCs w:val="48"/>
        </w:rPr>
      </w:pPr>
    </w:p>
    <w:p w14:paraId="23379C18" w14:textId="77777777" w:rsidR="00757E0C" w:rsidRPr="00DD5969" w:rsidRDefault="00757E0C" w:rsidP="00757E0C">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1706864</w:t>
      </w:r>
    </w:p>
    <w:p w14:paraId="63EDA8B7" w14:textId="77777777" w:rsidR="00757E0C" w:rsidRDefault="00757E0C" w:rsidP="00FA6468">
      <w:pPr>
        <w:rPr>
          <w:rFonts w:ascii="Arial"/>
          <w:b/>
          <w:sz w:val="47"/>
        </w:rPr>
      </w:pPr>
    </w:p>
    <w:p w14:paraId="36326C4A" w14:textId="77777777" w:rsidR="00757E0C" w:rsidRPr="00192D3C" w:rsidRDefault="00757E0C" w:rsidP="00757E0C">
      <w:pPr>
        <w:rPr>
          <w:rFonts w:ascii="Arial"/>
          <w:b/>
          <w:sz w:val="47"/>
        </w:rPr>
      </w:pPr>
      <w:r w:rsidRPr="00192D3C">
        <w:rPr>
          <w:rFonts w:ascii="Arial"/>
          <w:b/>
          <w:sz w:val="47"/>
        </w:rPr>
        <w:t>Doctorate in Education (EdD)</w:t>
      </w:r>
    </w:p>
    <w:p w14:paraId="477120E2" w14:textId="77777777" w:rsidR="00757E0C" w:rsidRDefault="00757E0C" w:rsidP="00757E0C">
      <w:pPr>
        <w:jc w:val="center"/>
        <w:rPr>
          <w:rFonts w:ascii="Arial"/>
          <w:b/>
          <w:sz w:val="40"/>
        </w:rPr>
      </w:pPr>
    </w:p>
    <w:p w14:paraId="5034F1C4" w14:textId="77777777" w:rsidR="00FA6468" w:rsidRPr="00192D3C" w:rsidRDefault="00FA6468" w:rsidP="00757E0C">
      <w:pPr>
        <w:jc w:val="center"/>
        <w:rPr>
          <w:rFonts w:ascii="Arial"/>
          <w:b/>
          <w:sz w:val="40"/>
        </w:rPr>
      </w:pPr>
    </w:p>
    <w:p w14:paraId="6746E467" w14:textId="59BF44F7" w:rsidR="00757E0C" w:rsidRPr="00757E0C" w:rsidRDefault="00757E0C" w:rsidP="00757E0C">
      <w:pPr>
        <w:rPr>
          <w:b/>
          <w:bCs/>
          <w:sz w:val="32"/>
          <w:szCs w:val="32"/>
          <w:u w:val="single"/>
        </w:rPr>
      </w:pPr>
      <w:r w:rsidRPr="00E243A8">
        <w:rPr>
          <w:b/>
          <w:bCs/>
          <w:sz w:val="32"/>
          <w:szCs w:val="32"/>
          <w:u w:val="single"/>
        </w:rPr>
        <w:lastRenderedPageBreak/>
        <w:t>AI Acknowledgement</w:t>
      </w:r>
    </w:p>
    <w:p w14:paraId="25B5232E" w14:textId="77777777" w:rsidR="00757E0C" w:rsidRDefault="00757E0C" w:rsidP="00757E0C">
      <w:r w:rsidRPr="00E243A8">
        <w:t xml:space="preserve">I confirm that I have not used any AI tools in the research and creation of this assignment. </w:t>
      </w:r>
    </w:p>
    <w:p w14:paraId="3113546F" w14:textId="77777777" w:rsidR="00757E0C" w:rsidRDefault="00757E0C" w:rsidP="00757E0C">
      <w:r w:rsidRPr="00E243A8">
        <w:t xml:space="preserve">I confirm that I have not presented any AI generated materials as my own work. </w:t>
      </w:r>
    </w:p>
    <w:p w14:paraId="4B851DE8" w14:textId="54DBC7F7" w:rsidR="00757E0C" w:rsidRDefault="00757E0C" w:rsidP="00757E0C">
      <w:r w:rsidRPr="00E243A8">
        <w:t xml:space="preserve">I confirm </w:t>
      </w:r>
      <w:r>
        <w:t xml:space="preserve">that </w:t>
      </w:r>
      <w:r w:rsidRPr="00E243A8">
        <w:t>I have copies of my drafts, notes, and other resources I used, which I may be asked to provide in evidence.</w:t>
      </w:r>
    </w:p>
    <w:p w14:paraId="4CD935BB" w14:textId="77777777" w:rsidR="00757E0C" w:rsidRDefault="00757E0C" w:rsidP="00757E0C">
      <w:pPr>
        <w:rPr>
          <w:sz w:val="16"/>
          <w:szCs w:val="16"/>
        </w:rPr>
      </w:pPr>
      <w:r w:rsidRPr="00DD5969">
        <w:rPr>
          <w:sz w:val="16"/>
          <w:szCs w:val="16"/>
        </w:rPr>
        <w:t>I confirm that I have not presented any AI generated materials as my own work. I confirm</w:t>
      </w:r>
      <w:r>
        <w:rPr>
          <w:sz w:val="16"/>
          <w:szCs w:val="16"/>
        </w:rPr>
        <w:t xml:space="preserve"> that</w:t>
      </w:r>
      <w:r w:rsidRPr="00DD5969">
        <w:rPr>
          <w:sz w:val="16"/>
          <w:szCs w:val="16"/>
        </w:rPr>
        <w:t xml:space="preserve"> I have copies of my drafts, notes, and other resources I used before and after the use of AI tools which I may be asked to provide in evidence. </w:t>
      </w:r>
    </w:p>
    <w:p w14:paraId="70BCC5D1" w14:textId="77777777" w:rsidR="00757E0C" w:rsidRDefault="00757E0C" w:rsidP="00D7020E">
      <w:pPr>
        <w:spacing w:line="360" w:lineRule="auto"/>
        <w:rPr>
          <w:rFonts w:ascii="Times New Roman" w:eastAsia="Times New Roman" w:hAnsi="Times New Roman" w:cs="Times New Roman"/>
          <w:sz w:val="20"/>
          <w:szCs w:val="20"/>
          <w:u w:val="single"/>
        </w:rPr>
      </w:pPr>
    </w:p>
    <w:p w14:paraId="693ECEE8" w14:textId="77777777" w:rsidR="00757E0C" w:rsidRDefault="00757E0C" w:rsidP="00D7020E">
      <w:pPr>
        <w:spacing w:line="360" w:lineRule="auto"/>
        <w:rPr>
          <w:rFonts w:ascii="Times New Roman" w:eastAsia="Times New Roman" w:hAnsi="Times New Roman" w:cs="Times New Roman"/>
          <w:sz w:val="20"/>
          <w:szCs w:val="20"/>
          <w:u w:val="single"/>
        </w:rPr>
      </w:pPr>
    </w:p>
    <w:p w14:paraId="448CFD81" w14:textId="77777777" w:rsidR="00757E0C" w:rsidRDefault="00757E0C" w:rsidP="00D7020E">
      <w:pPr>
        <w:spacing w:line="360" w:lineRule="auto"/>
        <w:rPr>
          <w:rFonts w:ascii="Times New Roman" w:eastAsia="Times New Roman" w:hAnsi="Times New Roman" w:cs="Times New Roman"/>
          <w:sz w:val="20"/>
          <w:szCs w:val="20"/>
          <w:u w:val="single"/>
        </w:rPr>
      </w:pPr>
    </w:p>
    <w:p w14:paraId="68F18884" w14:textId="77777777" w:rsidR="00757E0C" w:rsidRDefault="00757E0C" w:rsidP="00D7020E">
      <w:pPr>
        <w:spacing w:line="360" w:lineRule="auto"/>
        <w:rPr>
          <w:rFonts w:ascii="Times New Roman" w:eastAsia="Times New Roman" w:hAnsi="Times New Roman" w:cs="Times New Roman"/>
          <w:sz w:val="20"/>
          <w:szCs w:val="20"/>
          <w:u w:val="single"/>
        </w:rPr>
      </w:pPr>
    </w:p>
    <w:p w14:paraId="4ABF0799" w14:textId="77777777" w:rsidR="00757E0C" w:rsidRDefault="00757E0C" w:rsidP="00D7020E">
      <w:pPr>
        <w:spacing w:line="360" w:lineRule="auto"/>
        <w:rPr>
          <w:rFonts w:ascii="Times New Roman" w:eastAsia="Times New Roman" w:hAnsi="Times New Roman" w:cs="Times New Roman"/>
          <w:sz w:val="20"/>
          <w:szCs w:val="20"/>
          <w:u w:val="single"/>
        </w:rPr>
      </w:pPr>
    </w:p>
    <w:p w14:paraId="3AEA0715" w14:textId="77777777" w:rsidR="00757E0C" w:rsidRDefault="00757E0C" w:rsidP="00D7020E">
      <w:pPr>
        <w:spacing w:line="360" w:lineRule="auto"/>
        <w:rPr>
          <w:rFonts w:ascii="Times New Roman" w:eastAsia="Times New Roman" w:hAnsi="Times New Roman" w:cs="Times New Roman"/>
          <w:sz w:val="20"/>
          <w:szCs w:val="20"/>
          <w:u w:val="single"/>
        </w:rPr>
      </w:pPr>
    </w:p>
    <w:p w14:paraId="1308FFE1" w14:textId="77777777" w:rsidR="00757E0C" w:rsidRDefault="00757E0C" w:rsidP="00D7020E">
      <w:pPr>
        <w:spacing w:line="360" w:lineRule="auto"/>
        <w:rPr>
          <w:rFonts w:ascii="Times New Roman" w:eastAsia="Times New Roman" w:hAnsi="Times New Roman" w:cs="Times New Roman"/>
          <w:sz w:val="20"/>
          <w:szCs w:val="20"/>
          <w:u w:val="single"/>
        </w:rPr>
      </w:pPr>
    </w:p>
    <w:p w14:paraId="3754F813" w14:textId="77777777" w:rsidR="00757E0C" w:rsidRDefault="00757E0C" w:rsidP="00D7020E">
      <w:pPr>
        <w:spacing w:line="360" w:lineRule="auto"/>
        <w:rPr>
          <w:rFonts w:ascii="Times New Roman" w:eastAsia="Times New Roman" w:hAnsi="Times New Roman" w:cs="Times New Roman"/>
          <w:sz w:val="20"/>
          <w:szCs w:val="20"/>
          <w:u w:val="single"/>
        </w:rPr>
      </w:pPr>
    </w:p>
    <w:p w14:paraId="776B5FF6" w14:textId="77777777" w:rsidR="00757E0C" w:rsidRDefault="00757E0C" w:rsidP="00D7020E">
      <w:pPr>
        <w:spacing w:line="360" w:lineRule="auto"/>
        <w:rPr>
          <w:rFonts w:ascii="Times New Roman" w:eastAsia="Times New Roman" w:hAnsi="Times New Roman" w:cs="Times New Roman"/>
          <w:sz w:val="20"/>
          <w:szCs w:val="20"/>
          <w:u w:val="single"/>
        </w:rPr>
      </w:pPr>
    </w:p>
    <w:p w14:paraId="4C75F319" w14:textId="77777777" w:rsidR="00757E0C" w:rsidRDefault="00757E0C" w:rsidP="00D7020E">
      <w:pPr>
        <w:spacing w:line="360" w:lineRule="auto"/>
        <w:rPr>
          <w:rFonts w:ascii="Times New Roman" w:eastAsia="Times New Roman" w:hAnsi="Times New Roman" w:cs="Times New Roman"/>
          <w:sz w:val="20"/>
          <w:szCs w:val="20"/>
          <w:u w:val="single"/>
        </w:rPr>
      </w:pPr>
    </w:p>
    <w:p w14:paraId="52961DB7" w14:textId="77777777" w:rsidR="00757E0C" w:rsidRDefault="00757E0C" w:rsidP="00D7020E">
      <w:pPr>
        <w:spacing w:line="360" w:lineRule="auto"/>
        <w:rPr>
          <w:rFonts w:ascii="Times New Roman" w:eastAsia="Times New Roman" w:hAnsi="Times New Roman" w:cs="Times New Roman"/>
          <w:sz w:val="20"/>
          <w:szCs w:val="20"/>
          <w:u w:val="single"/>
        </w:rPr>
      </w:pPr>
    </w:p>
    <w:p w14:paraId="403F1BA7" w14:textId="77777777" w:rsidR="00757E0C" w:rsidRDefault="00757E0C" w:rsidP="00D7020E">
      <w:pPr>
        <w:spacing w:line="360" w:lineRule="auto"/>
        <w:rPr>
          <w:rFonts w:ascii="Times New Roman" w:eastAsia="Times New Roman" w:hAnsi="Times New Roman" w:cs="Times New Roman"/>
          <w:sz w:val="20"/>
          <w:szCs w:val="20"/>
          <w:u w:val="single"/>
        </w:rPr>
      </w:pPr>
    </w:p>
    <w:p w14:paraId="444D6385" w14:textId="77777777" w:rsidR="00757E0C" w:rsidRDefault="00757E0C" w:rsidP="00D7020E">
      <w:pPr>
        <w:spacing w:line="360" w:lineRule="auto"/>
        <w:rPr>
          <w:rFonts w:ascii="Times New Roman" w:eastAsia="Times New Roman" w:hAnsi="Times New Roman" w:cs="Times New Roman"/>
          <w:sz w:val="20"/>
          <w:szCs w:val="20"/>
          <w:u w:val="single"/>
        </w:rPr>
      </w:pPr>
    </w:p>
    <w:p w14:paraId="737F7375" w14:textId="77777777" w:rsidR="00757E0C" w:rsidRDefault="00757E0C" w:rsidP="00D7020E">
      <w:pPr>
        <w:spacing w:line="360" w:lineRule="auto"/>
        <w:rPr>
          <w:rFonts w:ascii="Times New Roman" w:eastAsia="Times New Roman" w:hAnsi="Times New Roman" w:cs="Times New Roman"/>
          <w:sz w:val="20"/>
          <w:szCs w:val="20"/>
          <w:u w:val="single"/>
        </w:rPr>
      </w:pPr>
    </w:p>
    <w:p w14:paraId="1292970E" w14:textId="77777777" w:rsidR="00757E0C" w:rsidRDefault="00757E0C" w:rsidP="00D7020E">
      <w:pPr>
        <w:spacing w:line="360" w:lineRule="auto"/>
        <w:rPr>
          <w:rFonts w:ascii="Times New Roman" w:eastAsia="Times New Roman" w:hAnsi="Times New Roman" w:cs="Times New Roman"/>
          <w:sz w:val="20"/>
          <w:szCs w:val="20"/>
          <w:u w:val="single"/>
        </w:rPr>
      </w:pPr>
    </w:p>
    <w:p w14:paraId="195E10FD" w14:textId="77777777" w:rsidR="00757E0C" w:rsidRDefault="00757E0C" w:rsidP="00D7020E">
      <w:pPr>
        <w:spacing w:line="360" w:lineRule="auto"/>
        <w:rPr>
          <w:rFonts w:ascii="Times New Roman" w:eastAsia="Times New Roman" w:hAnsi="Times New Roman" w:cs="Times New Roman"/>
          <w:sz w:val="20"/>
          <w:szCs w:val="20"/>
          <w:u w:val="single"/>
        </w:rPr>
      </w:pPr>
    </w:p>
    <w:p w14:paraId="4C66016A" w14:textId="77777777" w:rsidR="00757E0C" w:rsidRDefault="00757E0C" w:rsidP="00D7020E">
      <w:pPr>
        <w:spacing w:line="360" w:lineRule="auto"/>
        <w:rPr>
          <w:rFonts w:ascii="Times New Roman" w:eastAsia="Times New Roman" w:hAnsi="Times New Roman" w:cs="Times New Roman"/>
          <w:sz w:val="20"/>
          <w:szCs w:val="20"/>
          <w:u w:val="single"/>
        </w:rPr>
      </w:pPr>
    </w:p>
    <w:p w14:paraId="4029D551" w14:textId="77777777" w:rsidR="00757E0C" w:rsidRDefault="00757E0C" w:rsidP="00D7020E">
      <w:pPr>
        <w:spacing w:line="360" w:lineRule="auto"/>
        <w:rPr>
          <w:rFonts w:ascii="Times New Roman" w:eastAsia="Times New Roman" w:hAnsi="Times New Roman" w:cs="Times New Roman"/>
          <w:sz w:val="20"/>
          <w:szCs w:val="20"/>
          <w:u w:val="single"/>
        </w:rPr>
      </w:pPr>
    </w:p>
    <w:p w14:paraId="57E06A9A" w14:textId="77777777" w:rsidR="00757E0C" w:rsidRDefault="00757E0C" w:rsidP="00D7020E">
      <w:pPr>
        <w:spacing w:line="360" w:lineRule="auto"/>
        <w:rPr>
          <w:rFonts w:ascii="Times New Roman" w:eastAsia="Times New Roman" w:hAnsi="Times New Roman" w:cs="Times New Roman"/>
          <w:sz w:val="20"/>
          <w:szCs w:val="20"/>
          <w:u w:val="single"/>
        </w:rPr>
      </w:pPr>
    </w:p>
    <w:p w14:paraId="1C76EF44" w14:textId="77777777" w:rsidR="00C34200" w:rsidRDefault="00C34200" w:rsidP="00D7020E">
      <w:pPr>
        <w:spacing w:line="360" w:lineRule="auto"/>
        <w:rPr>
          <w:rFonts w:ascii="Times New Roman" w:eastAsia="Times New Roman" w:hAnsi="Times New Roman" w:cs="Times New Roman"/>
          <w:sz w:val="20"/>
          <w:szCs w:val="20"/>
          <w:u w:val="single"/>
        </w:rPr>
      </w:pPr>
    </w:p>
    <w:p w14:paraId="14421100" w14:textId="77777777" w:rsidR="00757E0C" w:rsidRDefault="00757E0C" w:rsidP="00D7020E">
      <w:pPr>
        <w:spacing w:line="360" w:lineRule="auto"/>
        <w:rPr>
          <w:rFonts w:ascii="Times New Roman" w:eastAsia="Times New Roman" w:hAnsi="Times New Roman" w:cs="Times New Roman"/>
          <w:sz w:val="20"/>
          <w:szCs w:val="20"/>
          <w:u w:val="single"/>
        </w:rPr>
      </w:pPr>
    </w:p>
    <w:p w14:paraId="497E1D6F" w14:textId="6FE61647" w:rsidR="008F3554" w:rsidRPr="00D7020E" w:rsidRDefault="008F3554" w:rsidP="00D7020E">
      <w:pPr>
        <w:spacing w:line="360" w:lineRule="auto"/>
        <w:rPr>
          <w:rFonts w:ascii="Times New Roman" w:eastAsia="Times New Roman" w:hAnsi="Times New Roman" w:cs="Times New Roman"/>
          <w:sz w:val="20"/>
          <w:szCs w:val="20"/>
          <w:u w:val="single"/>
        </w:rPr>
      </w:pPr>
      <w:r w:rsidRPr="00D7020E">
        <w:rPr>
          <w:rFonts w:ascii="Times New Roman" w:eastAsia="Times New Roman" w:hAnsi="Times New Roman" w:cs="Times New Roman"/>
          <w:sz w:val="20"/>
          <w:szCs w:val="20"/>
          <w:u w:val="single"/>
        </w:rPr>
        <w:lastRenderedPageBreak/>
        <w:t>Introduction</w:t>
      </w:r>
    </w:p>
    <w:p w14:paraId="484B662B" w14:textId="48E62A1C" w:rsidR="008F3554" w:rsidRPr="00513C36" w:rsidRDefault="00BE023C" w:rsidP="00513C36">
      <w:pPr>
        <w:spacing w:line="360" w:lineRule="auto"/>
        <w:rPr>
          <w:rFonts w:ascii="Times New Roman" w:hAnsi="Times New Roman" w:cs="Times New Roman"/>
          <w:sz w:val="20"/>
          <w:szCs w:val="20"/>
        </w:rPr>
      </w:pPr>
      <w:r w:rsidRPr="00513C36">
        <w:rPr>
          <w:rFonts w:ascii="Times New Roman" w:hAnsi="Times New Roman" w:cs="Times New Roman"/>
          <w:sz w:val="20"/>
          <w:szCs w:val="20"/>
        </w:rPr>
        <w:t xml:space="preserve">Early literacy development is foundational for learners’ academic progress, and phonics instruction is widely implemented to support reading acquisition in primary education (Castles, </w:t>
      </w:r>
      <w:proofErr w:type="spellStart"/>
      <w:r w:rsidRPr="00513C36">
        <w:rPr>
          <w:rFonts w:ascii="Times New Roman" w:hAnsi="Times New Roman" w:cs="Times New Roman"/>
          <w:sz w:val="20"/>
          <w:szCs w:val="20"/>
        </w:rPr>
        <w:t>Rastle</w:t>
      </w:r>
      <w:proofErr w:type="spellEnd"/>
      <w:r w:rsidRPr="00513C36">
        <w:rPr>
          <w:rFonts w:ascii="Times New Roman" w:hAnsi="Times New Roman" w:cs="Times New Roman"/>
          <w:sz w:val="20"/>
          <w:szCs w:val="20"/>
        </w:rPr>
        <w:t xml:space="preserve"> and Nation, 2018). The </w:t>
      </w:r>
      <w:r w:rsidRPr="00513C36">
        <w:rPr>
          <w:rStyle w:val="s2"/>
          <w:rFonts w:ascii="Times New Roman" w:hAnsi="Times New Roman" w:cs="Times New Roman"/>
          <w:sz w:val="20"/>
          <w:szCs w:val="20"/>
        </w:rPr>
        <w:t>Letters and Sounds</w:t>
      </w:r>
      <w:r w:rsidRPr="00513C36">
        <w:rPr>
          <w:rStyle w:val="s1"/>
          <w:rFonts w:ascii="Times New Roman" w:hAnsi="Times New Roman" w:cs="Times New Roman"/>
          <w:sz w:val="20"/>
          <w:szCs w:val="20"/>
        </w:rPr>
        <w:t xml:space="preserve"> phonics programme </w:t>
      </w:r>
      <w:proofErr w:type="gramStart"/>
      <w:r w:rsidRPr="00513C36">
        <w:rPr>
          <w:rStyle w:val="s1"/>
          <w:rFonts w:ascii="Times New Roman" w:hAnsi="Times New Roman" w:cs="Times New Roman"/>
          <w:sz w:val="20"/>
          <w:szCs w:val="20"/>
        </w:rPr>
        <w:t>provides</w:t>
      </w:r>
      <w:proofErr w:type="gramEnd"/>
      <w:r w:rsidRPr="00513C36">
        <w:rPr>
          <w:rStyle w:val="s1"/>
          <w:rFonts w:ascii="Times New Roman" w:hAnsi="Times New Roman" w:cs="Times New Roman"/>
          <w:sz w:val="20"/>
          <w:szCs w:val="20"/>
        </w:rPr>
        <w:t xml:space="preserve"> structured guidance for teaching phoneme–grapheme correspondences, supporting decoding and early reading skills. A substantial body of research demonstrates that systematic phonics instruction is effective in improving word recognition, spelling, and reading accuracy in the early stages of literacy development (National Reading Panel, 2000; </w:t>
      </w:r>
      <w:proofErr w:type="spellStart"/>
      <w:r w:rsidRPr="00513C36">
        <w:rPr>
          <w:rStyle w:val="s1"/>
          <w:rFonts w:ascii="Times New Roman" w:hAnsi="Times New Roman" w:cs="Times New Roman"/>
          <w:sz w:val="20"/>
          <w:szCs w:val="20"/>
        </w:rPr>
        <w:t>Ehri</w:t>
      </w:r>
      <w:proofErr w:type="spellEnd"/>
      <w:r w:rsidRPr="00513C36">
        <w:rPr>
          <w:rStyle w:val="s1"/>
          <w:rFonts w:ascii="Times New Roman" w:hAnsi="Times New Roman" w:cs="Times New Roman"/>
          <w:sz w:val="20"/>
          <w:szCs w:val="20"/>
        </w:rPr>
        <w:t xml:space="preserve"> et al</w:t>
      </w:r>
      <w:r w:rsidR="0086575D" w:rsidRPr="00513C36">
        <w:rPr>
          <w:rStyle w:val="s1"/>
          <w:rFonts w:ascii="Times New Roman" w:hAnsi="Times New Roman" w:cs="Times New Roman"/>
          <w:sz w:val="20"/>
          <w:szCs w:val="20"/>
        </w:rPr>
        <w:t>,</w:t>
      </w:r>
      <w:r w:rsidRPr="00513C36">
        <w:rPr>
          <w:rStyle w:val="s1"/>
          <w:rFonts w:ascii="Times New Roman" w:hAnsi="Times New Roman" w:cs="Times New Roman"/>
          <w:sz w:val="20"/>
          <w:szCs w:val="20"/>
        </w:rPr>
        <w:t xml:space="preserve"> 2001; Torgerson, Brooks and Hall, 2006; Rose, 2006; de Graaff, Bosman and Hasselman, 2009). However, most of this evidence focuses on measurable outcomes such as decoding accuracy and reading fluency, while fewer studies explore learners’ subjective experiences and perceptions of phonics interventions, particularly within short-term, targeted programmes.</w:t>
      </w:r>
    </w:p>
    <w:p w14:paraId="58E2F196" w14:textId="700B8A75" w:rsidR="008F3554" w:rsidRPr="00D7020E" w:rsidRDefault="008F3554"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This component of the study focuses on Research Question 2 (RQ2): How do Year 1 learners experience and perceive the Letters and Sounds phonics intervention? The aim is to explore learners’ engagement, motivation, confidence, and emotional responses during the intervention. By focusing on learner experiences, the study seeks to uncover insights into how phonics teaching is received in practice, how it shapes learning behaviours, and how learners construct meaning from the intervention. This understanding can inform teaching strategies, highlight factors influencing engagement, and complement quantitative findings from RQ1.</w:t>
      </w:r>
    </w:p>
    <w:p w14:paraId="155AE621" w14:textId="77777777" w:rsidR="008F3554" w:rsidRPr="00D7020E" w:rsidRDefault="008F3554"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The research aligns with a constructivist epistemology, recognising that knowledge is co-constructed between learners and their learning environment, and that their subjective experiences are key to understanding the impact of educational interventions (Creswell and Creswell, 2018). The study uses this lens to guide the selection of methods, tools, and ethical considerations.</w:t>
      </w:r>
    </w:p>
    <w:p w14:paraId="4921173D" w14:textId="20F45AE1" w:rsidR="008F3554" w:rsidRPr="00D7020E" w:rsidRDefault="008F3554" w:rsidP="00D7020E">
      <w:pPr>
        <w:spacing w:line="360" w:lineRule="auto"/>
        <w:rPr>
          <w:rFonts w:ascii="Times New Roman" w:eastAsia="Times New Roman" w:hAnsi="Times New Roman" w:cs="Times New Roman"/>
          <w:sz w:val="20"/>
          <w:szCs w:val="20"/>
          <w:u w:val="single"/>
        </w:rPr>
      </w:pPr>
      <w:r w:rsidRPr="00D7020E">
        <w:rPr>
          <w:rFonts w:ascii="Times New Roman" w:eastAsia="Times New Roman" w:hAnsi="Times New Roman" w:cs="Times New Roman"/>
          <w:sz w:val="20"/>
          <w:szCs w:val="20"/>
          <w:u w:val="single"/>
        </w:rPr>
        <w:t>Chosen Method</w:t>
      </w:r>
    </w:p>
    <w:p w14:paraId="2102582E" w14:textId="4F26ED8E" w:rsidR="00EA3790" w:rsidRPr="00D7020E" w:rsidRDefault="00F93F10"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Qualitative research is appropriate for RQ2, as it is well suited to exploring subjective experiences, perceptions, and meanings (Cohen, Manion and Morrison, 2018). This approach allows for an in-depth understanding of learners’ engagement, motivations, and feelings, which are not easily captured through quantitative measures alone (Braun and Clarke, 2021).</w:t>
      </w:r>
    </w:p>
    <w:p w14:paraId="2757D5B3" w14:textId="2166AC4A" w:rsidR="00EA3790" w:rsidRPr="00D7020E" w:rsidRDefault="00C20652"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A key reason for selecting a qualitative approach is its ability to access learners’ subjective understanding. Each learner experiences phonics instruction differently, shaped by their cognitive development, confidence, motivation, and emotional responses. These factors influence how they perceive and engage with the intervention. Qualitative methods allow participants to express these experiences in their own words, often revealing insights that would remain hidden in standardised assessments or surveys. Narrative data, for example, can highlight whether learners feel more confident, confused, or motivated, offering a deeper understanding of the intervention’s impact beyond measurable attainment. This emphasis on personal voice is especially important when working with children, as it respects their perspectives and recognises them as active contributors to the research (Clark and Moss, 2011).</w:t>
      </w:r>
    </w:p>
    <w:p w14:paraId="1FEC43CA" w14:textId="4C286AC2" w:rsidR="009D662A" w:rsidRPr="00D7020E" w:rsidRDefault="009D662A"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Another important strength of qualitative methods is the depth of contextual understanding they provide. Learning does not occur in isolation; it is shaped by the classroom environment, peer relationships, and </w:t>
      </w:r>
      <w:r w:rsidRPr="00D7020E">
        <w:rPr>
          <w:rFonts w:ascii="Times New Roman" w:hAnsi="Times New Roman" w:cs="Times New Roman"/>
          <w:sz w:val="20"/>
          <w:szCs w:val="20"/>
        </w:rPr>
        <w:lastRenderedPageBreak/>
        <w:t xml:space="preserve">interactions with teachers (Vygotsky, 1978; Cohen, Manion and Morrison, 2018). A phonics intervention may be experienced differently depending on factors such as group dynamics, teaching style, or classroom atmosphere. Through observations and discussions, </w:t>
      </w:r>
      <w:r w:rsidR="00463352" w:rsidRPr="00D7020E">
        <w:rPr>
          <w:rFonts w:ascii="Times New Roman" w:hAnsi="Times New Roman" w:cs="Times New Roman"/>
          <w:sz w:val="20"/>
          <w:szCs w:val="20"/>
        </w:rPr>
        <w:t xml:space="preserve">I </w:t>
      </w:r>
      <w:r w:rsidRPr="00D7020E">
        <w:rPr>
          <w:rFonts w:ascii="Times New Roman" w:hAnsi="Times New Roman" w:cs="Times New Roman"/>
          <w:sz w:val="20"/>
          <w:szCs w:val="20"/>
        </w:rPr>
        <w:t>can explore how these contextual elements influence engagement and learning. For instance, a learner’s participation may increase in a supportive peer group but decrease in a more competitive setting. Similarly, the way a teacher delivers phonics instruction</w:t>
      </w:r>
      <w:r w:rsidR="000F2BEB" w:rsidRPr="00D7020E">
        <w:rPr>
          <w:rFonts w:ascii="Times New Roman" w:hAnsi="Times New Roman" w:cs="Times New Roman"/>
          <w:sz w:val="20"/>
          <w:szCs w:val="20"/>
        </w:rPr>
        <w:t xml:space="preserve"> </w:t>
      </w:r>
      <w:r w:rsidRPr="00D7020E">
        <w:rPr>
          <w:rFonts w:ascii="Times New Roman" w:hAnsi="Times New Roman" w:cs="Times New Roman"/>
          <w:sz w:val="20"/>
          <w:szCs w:val="20"/>
        </w:rPr>
        <w:t>whether through encouragement, repetition, or interactive activities</w:t>
      </w:r>
      <w:r w:rsidR="000F2BEB" w:rsidRPr="00D7020E">
        <w:rPr>
          <w:rFonts w:ascii="Times New Roman" w:hAnsi="Times New Roman" w:cs="Times New Roman"/>
          <w:sz w:val="20"/>
          <w:szCs w:val="20"/>
        </w:rPr>
        <w:t xml:space="preserve"> </w:t>
      </w:r>
      <w:r w:rsidRPr="00D7020E">
        <w:rPr>
          <w:rFonts w:ascii="Times New Roman" w:hAnsi="Times New Roman" w:cs="Times New Roman"/>
          <w:sz w:val="20"/>
          <w:szCs w:val="20"/>
        </w:rPr>
        <w:t>can significantly affect learners’ experiences (Alexander, 2017). Qualitative data captures these nuances, enabling a more holistic understanding of how and why the intervention works in practice.</w:t>
      </w:r>
    </w:p>
    <w:p w14:paraId="17F855F0" w14:textId="564AF837" w:rsidR="00AB49AF" w:rsidRPr="00D7020E" w:rsidRDefault="009D662A"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The flexibility and responsiveness of qualitative research further support its suitability for this study. Semi-structured interviews or child-friendly conversations allow learners to guide the discussion, ensuring that their most relevant experiences are brought to the forefront (Cohen, Manion and Morrison, 2018). While </w:t>
      </w:r>
      <w:r w:rsidR="00DD6343" w:rsidRPr="00D7020E">
        <w:rPr>
          <w:rFonts w:ascii="Times New Roman" w:hAnsi="Times New Roman" w:cs="Times New Roman"/>
          <w:sz w:val="20"/>
          <w:szCs w:val="20"/>
        </w:rPr>
        <w:t xml:space="preserve">I </w:t>
      </w:r>
      <w:r w:rsidRPr="00D7020E">
        <w:rPr>
          <w:rFonts w:ascii="Times New Roman" w:hAnsi="Times New Roman" w:cs="Times New Roman"/>
          <w:sz w:val="20"/>
          <w:szCs w:val="20"/>
        </w:rPr>
        <w:t>may prepare guiding questions, there is freedom to adapt and explore emerging themes in greater depth. This is particularly valuable when unexpected insights arise, such as learners expressing preferences for certain phonics activities or highlighting challenges that were not initially anticipated. The adaptable nature of qualitative methods ensures that the research remains sensitive to participants’ needs and perspectives, creating a more authentic and meaningful data collection process (Kvale and Brinkmann, 2015).</w:t>
      </w:r>
    </w:p>
    <w:p w14:paraId="3230F0CE" w14:textId="19BE9141" w:rsidR="00AB49AF" w:rsidRPr="00D7020E" w:rsidRDefault="00AB49AF"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In addition, qualitative approaches are well aligned with the ethical considerations of working with young learners. Child-friendly methods, such as informal discussions, visual prompts, or interactive activities, can make participation more accessible and less intimidating (Clark and Moss, 2011; Alderson and Morrow, 2011). This helps to create a supportive environment where learners feel comfortable sharing their thoughts. As a result, the data collected is more likely to reflect genuine experiences rather than responses shaped by pressure or misunderstanding (Christensen and James, 2017).</w:t>
      </w:r>
    </w:p>
    <w:p w14:paraId="08607D32" w14:textId="7D46B59E" w:rsidR="00AB49AF" w:rsidRPr="00D7020E" w:rsidRDefault="00AB49AF"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Overall, a qualitative method is the most appropriate choice for this study because it enables an in-depth exploration of learners’ experiences with a phonics intervention. By capturing subjective perspectives, situating them within their classroom context, and allowing for flexible, responsive data collection, this approach provides a comprehensive understanding of how learners engage with and perceive phonics instruction (Cohen, Manion and Morrison, 2018; Kvale and Brinkmann, 2015).</w:t>
      </w:r>
    </w:p>
    <w:p w14:paraId="13BDB344" w14:textId="3CEB0847" w:rsidR="00EF3CCB" w:rsidRPr="00D7020E" w:rsidRDefault="008F3554" w:rsidP="00D7020E">
      <w:pPr>
        <w:spacing w:line="360" w:lineRule="auto"/>
        <w:rPr>
          <w:rFonts w:ascii="Times New Roman" w:hAnsi="Times New Roman" w:cs="Times New Roman"/>
          <w:sz w:val="20"/>
          <w:szCs w:val="20"/>
          <w:u w:val="single"/>
        </w:rPr>
      </w:pPr>
      <w:r w:rsidRPr="00D7020E">
        <w:rPr>
          <w:rFonts w:ascii="Times New Roman" w:eastAsia="Times New Roman" w:hAnsi="Times New Roman" w:cs="Times New Roman"/>
          <w:sz w:val="20"/>
          <w:szCs w:val="20"/>
          <w:u w:val="single"/>
        </w:rPr>
        <w:t>Philosophical Alignment</w:t>
      </w:r>
    </w:p>
    <w:p w14:paraId="01AEF81A" w14:textId="77777777" w:rsidR="001D6114" w:rsidRPr="00D7020E" w:rsidRDefault="008F3554"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The study is grounded in a constructivist paradigm, which views knowledge as socially constructed and contextually situated. Learners are considered active participants who interpret and construct meaning from their educational experiences. This paradigm aligns with qualitative methods, as it focuses on understanding lived experiences rather than testing predefined hypotheses (Lincoln and Guba, 1985).</w:t>
      </w:r>
    </w:p>
    <w:p w14:paraId="5A5ACD11" w14:textId="77777777" w:rsidR="00594F33" w:rsidRPr="00D7020E" w:rsidRDefault="00594F33" w:rsidP="00D7020E">
      <w:pPr>
        <w:spacing w:line="360" w:lineRule="auto"/>
        <w:rPr>
          <w:rFonts w:ascii="Times New Roman" w:eastAsia="Times New Roman" w:hAnsi="Times New Roman" w:cs="Times New Roman"/>
          <w:sz w:val="20"/>
          <w:szCs w:val="20"/>
          <w:u w:val="single"/>
        </w:rPr>
      </w:pPr>
      <w:r w:rsidRPr="00D7020E">
        <w:rPr>
          <w:rFonts w:ascii="Times New Roman" w:eastAsia="Times New Roman" w:hAnsi="Times New Roman" w:cs="Times New Roman"/>
          <w:sz w:val="20"/>
          <w:szCs w:val="20"/>
          <w:u w:val="single"/>
        </w:rPr>
        <w:t>Strengths of Qualitative Approach</w:t>
      </w:r>
    </w:p>
    <w:p w14:paraId="6879F351" w14:textId="22F77747" w:rsidR="00594F33" w:rsidRPr="00D7020E" w:rsidRDefault="00594F33"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Rich data: Qualitative methods generate detailed, nuanced data that allow for exploration of emotions, motivations, attitudes, and levels of engagement in learning contexts. This depth is particularly valuable in educational research, where understanding how and why learners respond to interventions is as important as measuring outcomes (Braun and Clarke, 2021; Cohen, Manion and Morrison, 2018). In the context of phonics </w:t>
      </w:r>
      <w:r w:rsidRPr="00D7020E">
        <w:rPr>
          <w:rFonts w:ascii="Times New Roman" w:hAnsi="Times New Roman" w:cs="Times New Roman"/>
          <w:sz w:val="20"/>
          <w:szCs w:val="20"/>
        </w:rPr>
        <w:lastRenderedPageBreak/>
        <w:t>instruction, this enables a clearer understanding of how learners experience decoding tasks, their confidence levels, and their emotional responses to reading activities.</w:t>
      </w:r>
    </w:p>
    <w:p w14:paraId="29786B14" w14:textId="34FFD41D" w:rsidR="00594F33" w:rsidRPr="00D7020E" w:rsidRDefault="00594F33"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Learner voice: A key strength of qualitative research is its emphasis on participant voice, ensuring that children’s perspectives are central to the findings. This supports more inclusive and ethical research practice by recognising children as competent social actors capable of expressing meaningful views about their learning experiences (Clark and Moss, 2011; Christensen and James, 2017). In educational settings, this is particularly important as it helps ensure that interventions are informed not only by attainment data but also by lived experience.</w:t>
      </w:r>
    </w:p>
    <w:p w14:paraId="48E806C8" w14:textId="5C7D51E3" w:rsidR="008F3554" w:rsidRPr="00D7020E" w:rsidRDefault="00594F33"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Flexibility: Qualitative methods are highly adaptable to participants’ developmental stages and needs, making them especially suitable for younger learners such as Year 1 pupils. Methods such as semi-structured interviews, visual prompts, and informal discussions </w:t>
      </w:r>
      <w:proofErr w:type="spellStart"/>
      <w:r w:rsidRPr="00D7020E">
        <w:rPr>
          <w:rFonts w:ascii="Times New Roman" w:hAnsi="Times New Roman" w:cs="Times New Roman"/>
          <w:sz w:val="20"/>
          <w:szCs w:val="20"/>
        </w:rPr>
        <w:t>allow</w:t>
      </w:r>
      <w:r w:rsidR="00DD6343" w:rsidRPr="00D7020E">
        <w:rPr>
          <w:rFonts w:ascii="Times New Roman" w:hAnsi="Times New Roman" w:cs="Times New Roman"/>
          <w:sz w:val="20"/>
          <w:szCs w:val="20"/>
        </w:rPr>
        <w:t>’s</w:t>
      </w:r>
      <w:proofErr w:type="spellEnd"/>
      <w:r w:rsidR="00DD6343" w:rsidRPr="00D7020E">
        <w:rPr>
          <w:rFonts w:ascii="Times New Roman" w:hAnsi="Times New Roman" w:cs="Times New Roman"/>
          <w:sz w:val="20"/>
          <w:szCs w:val="20"/>
        </w:rPr>
        <w:t xml:space="preserve"> me </w:t>
      </w:r>
      <w:r w:rsidRPr="00D7020E">
        <w:rPr>
          <w:rFonts w:ascii="Times New Roman" w:hAnsi="Times New Roman" w:cs="Times New Roman"/>
          <w:sz w:val="20"/>
          <w:szCs w:val="20"/>
        </w:rPr>
        <w:t>to adjust language and questioning in response to learners’ understanding and comfort levels (Kvale and Brinkmann, 2015). This flexibility helps ensure that data collection is developmentally appropriate and sensitive to children’s communication abilities.</w:t>
      </w:r>
    </w:p>
    <w:p w14:paraId="5C2017B2" w14:textId="77777777" w:rsidR="005E3E28" w:rsidRPr="00D7020E" w:rsidRDefault="008F3554" w:rsidP="00D7020E">
      <w:pPr>
        <w:spacing w:line="360" w:lineRule="auto"/>
        <w:rPr>
          <w:rFonts w:ascii="Times New Roman" w:eastAsia="Times New Roman" w:hAnsi="Times New Roman" w:cs="Times New Roman"/>
          <w:sz w:val="20"/>
          <w:szCs w:val="20"/>
          <w:u w:val="single"/>
        </w:rPr>
      </w:pPr>
      <w:r w:rsidRPr="00D7020E">
        <w:rPr>
          <w:rFonts w:ascii="Times New Roman" w:eastAsia="Times New Roman" w:hAnsi="Times New Roman" w:cs="Times New Roman"/>
          <w:sz w:val="20"/>
          <w:szCs w:val="20"/>
          <w:u w:val="single"/>
        </w:rPr>
        <w:t>Limitations</w:t>
      </w:r>
    </w:p>
    <w:p w14:paraId="7B8EA0B7" w14:textId="4E95991F" w:rsidR="00DD01AE" w:rsidRPr="00D7020E" w:rsidRDefault="00DD01AE" w:rsidP="00D7020E">
      <w:pPr>
        <w:spacing w:line="360" w:lineRule="auto"/>
        <w:rPr>
          <w:rFonts w:ascii="Times New Roman" w:eastAsia="Times New Roman" w:hAnsi="Times New Roman" w:cs="Times New Roman"/>
          <w:sz w:val="20"/>
          <w:szCs w:val="20"/>
        </w:rPr>
      </w:pPr>
      <w:r w:rsidRPr="00D7020E">
        <w:rPr>
          <w:rStyle w:val="s2"/>
          <w:rFonts w:ascii="Times New Roman" w:hAnsi="Times New Roman" w:cs="Times New Roman"/>
          <w:sz w:val="20"/>
          <w:szCs w:val="20"/>
        </w:rPr>
        <w:t>Subjectivity:</w:t>
      </w:r>
      <w:r w:rsidRPr="00D7020E">
        <w:rPr>
          <w:rStyle w:val="s1"/>
          <w:rFonts w:ascii="Times New Roman" w:hAnsi="Times New Roman" w:cs="Times New Roman"/>
          <w:sz w:val="20"/>
          <w:szCs w:val="20"/>
        </w:rPr>
        <w:t xml:space="preserve"> One limitation of qualitative research is that findings are shaped by participants’ subjective perspectives and </w:t>
      </w:r>
      <w:r w:rsidR="00020B0E" w:rsidRPr="00D7020E">
        <w:rPr>
          <w:rStyle w:val="s1"/>
          <w:rFonts w:ascii="Times New Roman" w:hAnsi="Times New Roman" w:cs="Times New Roman"/>
          <w:sz w:val="20"/>
          <w:szCs w:val="20"/>
        </w:rPr>
        <w:t>my</w:t>
      </w:r>
      <w:r w:rsidRPr="00D7020E">
        <w:rPr>
          <w:rStyle w:val="s1"/>
          <w:rFonts w:ascii="Times New Roman" w:hAnsi="Times New Roman" w:cs="Times New Roman"/>
          <w:sz w:val="20"/>
          <w:szCs w:val="20"/>
        </w:rPr>
        <w:t xml:space="preserve"> interpretation of the data. This can introduce bias during data collection, coding, and analysis (Berger, 2015). Although reflexivity and systematic analysis strategies can reduce this risk, interpretations are still influenced by </w:t>
      </w:r>
      <w:r w:rsidR="004F6E64" w:rsidRPr="00D7020E">
        <w:rPr>
          <w:rStyle w:val="s1"/>
          <w:rFonts w:ascii="Times New Roman" w:hAnsi="Times New Roman" w:cs="Times New Roman"/>
          <w:sz w:val="20"/>
          <w:szCs w:val="20"/>
        </w:rPr>
        <w:t>my</w:t>
      </w:r>
      <w:r w:rsidRPr="00D7020E">
        <w:rPr>
          <w:rStyle w:val="s1"/>
          <w:rFonts w:ascii="Times New Roman" w:hAnsi="Times New Roman" w:cs="Times New Roman"/>
          <w:sz w:val="20"/>
          <w:szCs w:val="20"/>
        </w:rPr>
        <w:t xml:space="preserve"> positionality and assumptions (Cohen, Manion and Morrison, 2018).</w:t>
      </w:r>
    </w:p>
    <w:p w14:paraId="292D7969" w14:textId="0F456D1F" w:rsidR="00DD01AE" w:rsidRPr="00D7020E" w:rsidRDefault="00DD01AE" w:rsidP="00D7020E">
      <w:pPr>
        <w:spacing w:line="360" w:lineRule="auto"/>
        <w:rPr>
          <w:rFonts w:ascii="Times New Roman" w:hAnsi="Times New Roman" w:cs="Times New Roman"/>
          <w:sz w:val="20"/>
          <w:szCs w:val="20"/>
        </w:rPr>
      </w:pPr>
      <w:r w:rsidRPr="00D7020E">
        <w:rPr>
          <w:rStyle w:val="s2"/>
          <w:rFonts w:ascii="Times New Roman" w:hAnsi="Times New Roman" w:cs="Times New Roman"/>
          <w:sz w:val="20"/>
          <w:szCs w:val="20"/>
        </w:rPr>
        <w:t>Generalisability:</w:t>
      </w:r>
      <w:r w:rsidRPr="00D7020E">
        <w:rPr>
          <w:rStyle w:val="s1"/>
          <w:rFonts w:ascii="Times New Roman" w:hAnsi="Times New Roman" w:cs="Times New Roman"/>
          <w:sz w:val="20"/>
          <w:szCs w:val="20"/>
        </w:rPr>
        <w:t xml:space="preserve"> Qualitative findings are typically context-specific, meaning they reflect the experiences of a particular group within a particular setting. As a result, conclusions may not be easily transferable to other schools, age groups, or populations (Braun and Clarke, 2021). However, qualitative research instead aims for depth and insight rather than statistical generalisation.</w:t>
      </w:r>
    </w:p>
    <w:p w14:paraId="0EACD087" w14:textId="18E00A89" w:rsidR="00594F33" w:rsidRPr="00D7020E" w:rsidRDefault="00DD01AE" w:rsidP="00D7020E">
      <w:pPr>
        <w:spacing w:line="360" w:lineRule="auto"/>
        <w:rPr>
          <w:rFonts w:ascii="Times New Roman" w:hAnsi="Times New Roman" w:cs="Times New Roman"/>
          <w:sz w:val="20"/>
          <w:szCs w:val="20"/>
        </w:rPr>
      </w:pPr>
      <w:r w:rsidRPr="00D7020E">
        <w:rPr>
          <w:rStyle w:val="s2"/>
          <w:rFonts w:ascii="Times New Roman" w:hAnsi="Times New Roman" w:cs="Times New Roman"/>
          <w:sz w:val="20"/>
          <w:szCs w:val="20"/>
        </w:rPr>
        <w:t>Time-intensive:</w:t>
      </w:r>
      <w:r w:rsidRPr="00D7020E">
        <w:rPr>
          <w:rStyle w:val="s1"/>
          <w:rFonts w:ascii="Times New Roman" w:hAnsi="Times New Roman" w:cs="Times New Roman"/>
          <w:sz w:val="20"/>
          <w:szCs w:val="20"/>
        </w:rPr>
        <w:t xml:space="preserve"> Qualitative research is often resource-intensive, requiring significant time for data collection, transcription, and thematic analysis. Interviews and observations must be carefully transcribed and analysed in detail, which can make the process more demanding compared to quantitative approaches (Kvale and Brinkmann, 2015; Cohen, Manion and Morrison, 2018).</w:t>
      </w:r>
    </w:p>
    <w:p w14:paraId="4587EA77" w14:textId="7758041C" w:rsidR="00024206" w:rsidRPr="00D7020E" w:rsidRDefault="008F3554"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Despite limitations, qualitative methods are essential for RQ2 because the focus is on understanding learners’ experiences, rather than measuring outcomes. Ethical and practical considerations, such as age-appropriate data collection, are integrated to enhance reliability and credibility.</w:t>
      </w:r>
    </w:p>
    <w:p w14:paraId="10E0CDB1" w14:textId="77777777" w:rsidR="002946E9" w:rsidRPr="00D7020E" w:rsidRDefault="002946E9" w:rsidP="00D7020E">
      <w:pPr>
        <w:spacing w:line="360" w:lineRule="auto"/>
        <w:rPr>
          <w:rFonts w:ascii="Times New Roman" w:eastAsia="Times New Roman" w:hAnsi="Times New Roman" w:cs="Times New Roman"/>
          <w:sz w:val="20"/>
          <w:szCs w:val="20"/>
          <w:u w:val="single"/>
        </w:rPr>
      </w:pPr>
      <w:r w:rsidRPr="00D7020E">
        <w:rPr>
          <w:rFonts w:ascii="Times New Roman" w:eastAsia="Times New Roman" w:hAnsi="Times New Roman" w:cs="Times New Roman"/>
          <w:sz w:val="20"/>
          <w:szCs w:val="20"/>
          <w:u w:val="single"/>
        </w:rPr>
        <w:t>Sampling</w:t>
      </w:r>
    </w:p>
    <w:p w14:paraId="747E1C30" w14:textId="77777777" w:rsidR="002946E9" w:rsidRPr="00D7020E" w:rsidRDefault="002946E9"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The population for this study consists of Year 1 learners in a primary school in South Wales who are participating in a short-term Letters and Sounds phonics intervention. This stage of education is a critical period for early literacy development, as learners are actively acquiring foundational decoding, phoneme–grapheme correspondence, and early reading fluency skills (Rose, 2006; Castles, </w:t>
      </w:r>
      <w:proofErr w:type="spellStart"/>
      <w:r w:rsidRPr="00D7020E">
        <w:rPr>
          <w:rFonts w:ascii="Times New Roman" w:hAnsi="Times New Roman" w:cs="Times New Roman"/>
          <w:sz w:val="20"/>
          <w:szCs w:val="20"/>
        </w:rPr>
        <w:t>Rastle</w:t>
      </w:r>
      <w:proofErr w:type="spellEnd"/>
      <w:r w:rsidRPr="00D7020E">
        <w:rPr>
          <w:rFonts w:ascii="Times New Roman" w:hAnsi="Times New Roman" w:cs="Times New Roman"/>
          <w:sz w:val="20"/>
          <w:szCs w:val="20"/>
        </w:rPr>
        <w:t xml:space="preserve"> and Nation, 2018). At this age, children are typically highly responsive to structured phonics teaching, making it an appropriate context for examining how such interventions are experienced in practice.</w:t>
      </w:r>
    </w:p>
    <w:p w14:paraId="789FEE16" w14:textId="0F818856" w:rsidR="00B86ED4" w:rsidRPr="00D7020E" w:rsidRDefault="002946E9"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lastRenderedPageBreak/>
        <w:t>The classroom environment also provides a naturalistic setting in which learning behaviours, peer interactions, and engagement with instruction can be observed in an authentic way. This supports ecological validity, ensuring that findings reflect genuine educational experiences rather than controlled or artificial conditions (Cohen, Manion and Morrison, 2018).</w:t>
      </w:r>
    </w:p>
    <w:p w14:paraId="72B23C3E" w14:textId="77777777" w:rsidR="00E03C45" w:rsidRPr="00D7020E" w:rsidRDefault="00E03C45" w:rsidP="00D7020E">
      <w:pPr>
        <w:spacing w:line="360" w:lineRule="auto"/>
        <w:rPr>
          <w:rFonts w:ascii="Times New Roman" w:eastAsia="Times New Roman" w:hAnsi="Times New Roman" w:cs="Times New Roman"/>
          <w:sz w:val="20"/>
          <w:szCs w:val="20"/>
          <w:u w:val="single"/>
        </w:rPr>
      </w:pPr>
      <w:r w:rsidRPr="00D7020E">
        <w:rPr>
          <w:rFonts w:ascii="Times New Roman" w:eastAsia="Times New Roman" w:hAnsi="Times New Roman" w:cs="Times New Roman"/>
          <w:sz w:val="20"/>
          <w:szCs w:val="20"/>
          <w:u w:val="single"/>
        </w:rPr>
        <w:t>Sampling Method</w:t>
      </w:r>
    </w:p>
    <w:p w14:paraId="3ABE1AC6" w14:textId="77777777" w:rsidR="00E03C45" w:rsidRPr="00D7020E" w:rsidRDefault="00E03C45"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A purposive sampling strategy will be used to select participants for this study. Purposive sampling involves intentionally selecting individuals who have direct experience of the phenomenon under investigation, ensuring that the data collected is rich, relevant, and meaningful (Patton, 2015; Cohen, Manion and Morrison, 2018). In this case, learners who have participated in the phonics intervention will be selected to ensure they can provide informed reflections on their experiences.</w:t>
      </w:r>
    </w:p>
    <w:p w14:paraId="2A15E856" w14:textId="62446CC5" w:rsidR="00E03C45" w:rsidRPr="00D7020E" w:rsidRDefault="00E03C45"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This approach is widely used in qualitative research because it prioritises depth of understanding over statistical representativeness, allowing </w:t>
      </w:r>
      <w:r w:rsidR="003120FF" w:rsidRPr="00D7020E">
        <w:rPr>
          <w:rFonts w:ascii="Times New Roman" w:hAnsi="Times New Roman" w:cs="Times New Roman"/>
          <w:sz w:val="20"/>
          <w:szCs w:val="20"/>
        </w:rPr>
        <w:t xml:space="preserve">myself </w:t>
      </w:r>
      <w:r w:rsidRPr="00D7020E">
        <w:rPr>
          <w:rFonts w:ascii="Times New Roman" w:hAnsi="Times New Roman" w:cs="Times New Roman"/>
          <w:sz w:val="20"/>
          <w:szCs w:val="20"/>
        </w:rPr>
        <w:t xml:space="preserve">to explore complex educational experiences in detail (Braun and Clarke, 2021). The sample will consist of approximately 8–10 learners, which is considered appropriate for qualitative studies involving young children, as smaller samples enable more focused engagement and richer data collection (Kvale and Brinkmann, 2015). This size also allows </w:t>
      </w:r>
      <w:r w:rsidR="003120FF" w:rsidRPr="00D7020E">
        <w:rPr>
          <w:rFonts w:ascii="Times New Roman" w:hAnsi="Times New Roman" w:cs="Times New Roman"/>
          <w:sz w:val="20"/>
          <w:szCs w:val="20"/>
        </w:rPr>
        <w:t xml:space="preserve">me </w:t>
      </w:r>
      <w:r w:rsidRPr="00D7020E">
        <w:rPr>
          <w:rFonts w:ascii="Times New Roman" w:hAnsi="Times New Roman" w:cs="Times New Roman"/>
          <w:sz w:val="20"/>
          <w:szCs w:val="20"/>
        </w:rPr>
        <w:t>to build rapport with participants, encouraging more open, confident, and authentic responses.</w:t>
      </w:r>
    </w:p>
    <w:p w14:paraId="280F2B79" w14:textId="1A52341B" w:rsidR="002946E9" w:rsidRPr="00D7020E" w:rsidRDefault="00E03C45"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Within the sample, learners will be selected to reflect a range of reading abilities and levels of engagement with phonics instruction. This variation ensures that multiple perspectives are represented, supporting a more comprehensive understanding of how the intervention is experienced across different learners (Christensen and James, 2017).</w:t>
      </w:r>
    </w:p>
    <w:p w14:paraId="6B46F119" w14:textId="77777777" w:rsidR="005C1A2C" w:rsidRPr="00D7020E" w:rsidRDefault="005C1A2C" w:rsidP="00D7020E">
      <w:pPr>
        <w:spacing w:line="360" w:lineRule="auto"/>
        <w:rPr>
          <w:rFonts w:ascii="Times New Roman" w:eastAsia="Times New Roman" w:hAnsi="Times New Roman" w:cs="Times New Roman"/>
          <w:sz w:val="20"/>
          <w:szCs w:val="20"/>
          <w:u w:val="single"/>
        </w:rPr>
      </w:pPr>
      <w:r w:rsidRPr="00D7020E">
        <w:rPr>
          <w:rFonts w:ascii="Times New Roman" w:eastAsia="Times New Roman" w:hAnsi="Times New Roman" w:cs="Times New Roman"/>
          <w:sz w:val="20"/>
          <w:szCs w:val="20"/>
          <w:u w:val="single"/>
        </w:rPr>
        <w:t>Rationale</w:t>
      </w:r>
    </w:p>
    <w:p w14:paraId="71BCE57D" w14:textId="11830AED" w:rsidR="005C1A2C" w:rsidRPr="00D7020E" w:rsidRDefault="005C1A2C" w:rsidP="00D7020E">
      <w:pPr>
        <w:spacing w:line="360" w:lineRule="auto"/>
        <w:rPr>
          <w:rFonts w:ascii="Times New Roman" w:eastAsia="Times New Roman" w:hAnsi="Times New Roman" w:cs="Times New Roman"/>
          <w:sz w:val="20"/>
          <w:szCs w:val="20"/>
        </w:rPr>
      </w:pPr>
      <w:r w:rsidRPr="00D7020E">
        <w:rPr>
          <w:rFonts w:ascii="Times New Roman" w:hAnsi="Times New Roman" w:cs="Times New Roman"/>
          <w:sz w:val="20"/>
          <w:szCs w:val="20"/>
        </w:rPr>
        <w:t>The use of purposive sampling is justified by the aims of the study, which focus on gaining an in-depth understanding of learners’ experiences rather than producing statistically generalisable findings. The intention is not to represent all Year 1 learners, but to explore how specific individuals interpret and respond to the phonics intervention within their own educational context. This aligns with a constructivist epistemology, which emphasises that knowledge is socially constructed and shaped by individual experiences and interactions (Vygotsky, 1978; Crotty, 1998).</w:t>
      </w:r>
    </w:p>
    <w:p w14:paraId="15D47DE8" w14:textId="6146CD48" w:rsidR="00E03C45" w:rsidRPr="00D7020E" w:rsidRDefault="005C1A2C"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By selecting participants who can provide rich, detailed accounts, the study is able to generate nuanced insights into both the perceived effectiveness and lived experience of the intervention. This strengthens the interpretive value of the research and supports a deeper understanding of how phonics instruction is experienced in early years education.</w:t>
      </w:r>
    </w:p>
    <w:p w14:paraId="0A59DDB0" w14:textId="79A425D9" w:rsidR="00024206" w:rsidRPr="00D7020E" w:rsidRDefault="00024206" w:rsidP="00D7020E">
      <w:pPr>
        <w:spacing w:line="360" w:lineRule="auto"/>
        <w:rPr>
          <w:rFonts w:ascii="Times New Roman" w:hAnsi="Times New Roman" w:cs="Times New Roman"/>
          <w:sz w:val="20"/>
          <w:szCs w:val="20"/>
          <w:u w:val="single"/>
        </w:rPr>
      </w:pPr>
      <w:r w:rsidRPr="00D7020E">
        <w:rPr>
          <w:rFonts w:ascii="Times New Roman" w:hAnsi="Times New Roman" w:cs="Times New Roman"/>
          <w:sz w:val="20"/>
          <w:szCs w:val="20"/>
          <w:u w:val="single"/>
        </w:rPr>
        <w:t>Considerations</w:t>
      </w:r>
    </w:p>
    <w:p w14:paraId="349A537F" w14:textId="77777777" w:rsidR="00024206" w:rsidRPr="00D7020E" w:rsidRDefault="00024206"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Several important considerations will guide the sampling process. Inclusivity is a key priority, and the sample will aim to include learners of different genders, abilities, and engagement levels </w:t>
      </w:r>
      <w:proofErr w:type="gramStart"/>
      <w:r w:rsidRPr="00D7020E">
        <w:rPr>
          <w:rFonts w:ascii="Times New Roman" w:hAnsi="Times New Roman" w:cs="Times New Roman"/>
          <w:sz w:val="20"/>
          <w:szCs w:val="20"/>
        </w:rPr>
        <w:t>in order to</w:t>
      </w:r>
      <w:proofErr w:type="gramEnd"/>
      <w:r w:rsidRPr="00D7020E">
        <w:rPr>
          <w:rFonts w:ascii="Times New Roman" w:hAnsi="Times New Roman" w:cs="Times New Roman"/>
          <w:sz w:val="20"/>
          <w:szCs w:val="20"/>
        </w:rPr>
        <w:t xml:space="preserve"> reflect a broad range of experiences. Practicality is also an important factor; selecting participants from a single class ensures </w:t>
      </w:r>
      <w:r w:rsidRPr="00D7020E">
        <w:rPr>
          <w:rFonts w:ascii="Times New Roman" w:hAnsi="Times New Roman" w:cs="Times New Roman"/>
          <w:sz w:val="20"/>
          <w:szCs w:val="20"/>
        </w:rPr>
        <w:lastRenderedPageBreak/>
        <w:t>that the research is feasible within the time and resource constraints of the study, while also allowing for consistent observation and interaction.</w:t>
      </w:r>
    </w:p>
    <w:p w14:paraId="1F720AB3" w14:textId="197F50E4" w:rsidR="00024206" w:rsidRPr="00D7020E" w:rsidRDefault="00024206"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Reflexivity will play an essential role throughout the research process. As the participants are drawn from </w:t>
      </w:r>
      <w:r w:rsidR="003120FF" w:rsidRPr="00D7020E">
        <w:rPr>
          <w:rFonts w:ascii="Times New Roman" w:hAnsi="Times New Roman" w:cs="Times New Roman"/>
          <w:sz w:val="20"/>
          <w:szCs w:val="20"/>
        </w:rPr>
        <w:t>my</w:t>
      </w:r>
      <w:r w:rsidRPr="00D7020E">
        <w:rPr>
          <w:rFonts w:ascii="Times New Roman" w:hAnsi="Times New Roman" w:cs="Times New Roman"/>
          <w:sz w:val="20"/>
          <w:szCs w:val="20"/>
        </w:rPr>
        <w:t xml:space="preserve"> own classroom, there is potential for bias in both selection and interpretation. To address this, </w:t>
      </w:r>
      <w:r w:rsidR="003120FF" w:rsidRPr="00D7020E">
        <w:rPr>
          <w:rFonts w:ascii="Times New Roman" w:hAnsi="Times New Roman" w:cs="Times New Roman"/>
          <w:sz w:val="20"/>
          <w:szCs w:val="20"/>
        </w:rPr>
        <w:t xml:space="preserve">I </w:t>
      </w:r>
      <w:r w:rsidRPr="00D7020E">
        <w:rPr>
          <w:rFonts w:ascii="Times New Roman" w:hAnsi="Times New Roman" w:cs="Times New Roman"/>
          <w:sz w:val="20"/>
          <w:szCs w:val="20"/>
        </w:rPr>
        <w:t>will maintain a reflective journal to critically examine their decisions, assumptions, and interactions. This process will help to enhance the transparency and credibility of the study, ensuring that the findings are grounded in the data rather than influenced by preconceived expectations.</w:t>
      </w:r>
    </w:p>
    <w:p w14:paraId="2F9939B8" w14:textId="4CEF4FD5" w:rsidR="00AE7C08" w:rsidRPr="00D7020E" w:rsidRDefault="008F3554" w:rsidP="00D7020E">
      <w:pPr>
        <w:spacing w:line="360" w:lineRule="auto"/>
        <w:rPr>
          <w:rFonts w:ascii="Times New Roman" w:eastAsia="Times New Roman" w:hAnsi="Times New Roman" w:cs="Times New Roman"/>
          <w:sz w:val="20"/>
          <w:szCs w:val="20"/>
          <w:u w:val="single"/>
        </w:rPr>
      </w:pPr>
      <w:r w:rsidRPr="00D7020E">
        <w:rPr>
          <w:rFonts w:ascii="Times New Roman" w:eastAsia="Times New Roman" w:hAnsi="Times New Roman" w:cs="Times New Roman"/>
          <w:sz w:val="20"/>
          <w:szCs w:val="20"/>
          <w:u w:val="single"/>
        </w:rPr>
        <w:t>Ethics</w:t>
      </w:r>
    </w:p>
    <w:p w14:paraId="0149A547" w14:textId="4F22FFB9" w:rsidR="0019328A" w:rsidRPr="00D7020E" w:rsidRDefault="0019328A"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Conducting research with young children requires careful and ongoing ethical consideration to ensure that participants are protected, respected, and able to participate safely. This study is guided by the principles outlined in the British Educational Research Association (BERA, 2018) ethical guidelines, alongside institutional guidance such as the University of Wales Trinity Saint David Ethics Guide (UWTSD, 2023). These frameworks emphasise the importance of informed consent, child assent, confidentiality, and safeguarding throughout the research process, ensuring that children are treated as respected participants rather than passive subjects (BERA, 2018). Together, they provide a structured approach to ensuring that ethical standards are upheld at every stage of the study.</w:t>
      </w:r>
    </w:p>
    <w:p w14:paraId="6821D997" w14:textId="5DDF007F" w:rsidR="0019328A" w:rsidRPr="00D7020E" w:rsidRDefault="0019328A"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A central ethical principle in this research is the process of gaining both parental consent and child assent. As participants are Year 1 learners, informed consent will be obtained from parents or legal guardians prior to any data collection. Consent procedures must ensure that information is clear, accessible, and fully transparent regarding the purpose of the study and participants’ rights (BERA, 2018). Parents will be informed of their right to withdraw their child at any time without consequence. However, parental consent alone is not sufficient when working with children; it is equally important to obtain child assent, recognising children’s agency in research participation (Alderson and Morrow, 2011). Child-friendly explanations will be used to ensure understanding, and learners will be reassured that participation is voluntary and can be stopped at any time. This aligns with ethical frameworks emphasising children’s rights to participate in decisions affecting them (Alderson, 2008).</w:t>
      </w:r>
    </w:p>
    <w:p w14:paraId="6246C66D" w14:textId="7D7A8A14" w:rsidR="0019328A" w:rsidRPr="00D7020E" w:rsidRDefault="0019328A"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Confidentiality and anonymity are also critical considerations in this study. All participants’ identities will be protected </w:t>
      </w:r>
      <w:proofErr w:type="gramStart"/>
      <w:r w:rsidRPr="00D7020E">
        <w:rPr>
          <w:rFonts w:ascii="Times New Roman" w:hAnsi="Times New Roman" w:cs="Times New Roman"/>
          <w:sz w:val="20"/>
          <w:szCs w:val="20"/>
        </w:rPr>
        <w:t>through the use of</w:t>
      </w:r>
      <w:proofErr w:type="gramEnd"/>
      <w:r w:rsidRPr="00D7020E">
        <w:rPr>
          <w:rFonts w:ascii="Times New Roman" w:hAnsi="Times New Roman" w:cs="Times New Roman"/>
          <w:sz w:val="20"/>
          <w:szCs w:val="20"/>
        </w:rPr>
        <w:t xml:space="preserve"> pseudonyms in transcripts, field notes, and any dissemination of findings. Any identifiable information, including the name of the school, will be removed or altered to ensure anonymity. Data will be handled in accordance with the General Data Protection Regulation (GDPR) (European Union, 2016), meaning it will be stored securely on password-protected devices and accessed only by </w:t>
      </w:r>
      <w:r w:rsidR="00E83B92" w:rsidRPr="00D7020E">
        <w:rPr>
          <w:rFonts w:ascii="Times New Roman" w:hAnsi="Times New Roman" w:cs="Times New Roman"/>
          <w:sz w:val="20"/>
          <w:szCs w:val="20"/>
        </w:rPr>
        <w:t>myself</w:t>
      </w:r>
      <w:r w:rsidRPr="00D7020E">
        <w:rPr>
          <w:rFonts w:ascii="Times New Roman" w:hAnsi="Times New Roman" w:cs="Times New Roman"/>
          <w:sz w:val="20"/>
          <w:szCs w:val="20"/>
        </w:rPr>
        <w:t>. Observations will focus on learning behaviours and engagement with the phonics intervention rather than unnecessary personal details. These measures ensure compliance with both legal and ethical standards for data protection and participant privacy (BERA, 2018).</w:t>
      </w:r>
    </w:p>
    <w:p w14:paraId="6DAAA0C5" w14:textId="5FA63489" w:rsidR="0019328A" w:rsidRPr="00D7020E" w:rsidRDefault="0019328A"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Minimising harm is another key ethical priority, particularly when working with young children. Research activities have been designed to be age-appropriate, engaging, and non-intrusive. Sessions will be kept short in line with children’s developmental attention spans and will take place in familiar classroom environments to reduce anxiety (Christensen and James, 2017). Participants will not be asked to discuss sensitive or distressing topics, and the focus will remain on their experiences of the phonics intervention. </w:t>
      </w:r>
      <w:r w:rsidR="009511BA" w:rsidRPr="00D7020E">
        <w:rPr>
          <w:rFonts w:ascii="Times New Roman" w:hAnsi="Times New Roman" w:cs="Times New Roman"/>
          <w:sz w:val="20"/>
          <w:szCs w:val="20"/>
        </w:rPr>
        <w:t xml:space="preserve">I </w:t>
      </w:r>
      <w:r w:rsidRPr="00D7020E">
        <w:rPr>
          <w:rFonts w:ascii="Times New Roman" w:hAnsi="Times New Roman" w:cs="Times New Roman"/>
          <w:sz w:val="20"/>
          <w:szCs w:val="20"/>
        </w:rPr>
        <w:t xml:space="preserve">will remain alert to signs of </w:t>
      </w:r>
      <w:r w:rsidRPr="00D7020E">
        <w:rPr>
          <w:rFonts w:ascii="Times New Roman" w:hAnsi="Times New Roman" w:cs="Times New Roman"/>
          <w:sz w:val="20"/>
          <w:szCs w:val="20"/>
        </w:rPr>
        <w:lastRenderedPageBreak/>
        <w:t>discomfort and will pause or stop participation if necessary, ensuring that children’s wellbeing is prioritised throughout the process (BERA, 2018).</w:t>
      </w:r>
    </w:p>
    <w:p w14:paraId="3B8692EB" w14:textId="35A960E1" w:rsidR="0019328A" w:rsidRPr="00D7020E" w:rsidRDefault="0019328A"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The positionality of </w:t>
      </w:r>
      <w:r w:rsidR="009511BA" w:rsidRPr="00D7020E">
        <w:rPr>
          <w:rFonts w:ascii="Times New Roman" w:hAnsi="Times New Roman" w:cs="Times New Roman"/>
          <w:sz w:val="20"/>
          <w:szCs w:val="20"/>
        </w:rPr>
        <w:t xml:space="preserve">myself </w:t>
      </w:r>
      <w:r w:rsidRPr="00D7020E">
        <w:rPr>
          <w:rFonts w:ascii="Times New Roman" w:hAnsi="Times New Roman" w:cs="Times New Roman"/>
          <w:sz w:val="20"/>
          <w:szCs w:val="20"/>
        </w:rPr>
        <w:t xml:space="preserve">is also an important ethical consideration. As a practitioner within the school, </w:t>
      </w:r>
      <w:r w:rsidR="005F53C2" w:rsidRPr="00D7020E">
        <w:rPr>
          <w:rFonts w:ascii="Times New Roman" w:hAnsi="Times New Roman" w:cs="Times New Roman"/>
          <w:sz w:val="20"/>
          <w:szCs w:val="20"/>
        </w:rPr>
        <w:t>I have</w:t>
      </w:r>
      <w:r w:rsidRPr="00D7020E">
        <w:rPr>
          <w:rFonts w:ascii="Times New Roman" w:hAnsi="Times New Roman" w:cs="Times New Roman"/>
          <w:sz w:val="20"/>
          <w:szCs w:val="20"/>
        </w:rPr>
        <w:t xml:space="preserve"> established relationships with participants and a strong understanding of the learning environment. While this can enhance insight and contextual understanding, it also introduces the potential for bias (Berger, 2015). To address this, reflexivity will be embedded throughout the research process, with </w:t>
      </w:r>
      <w:r w:rsidR="005F53C2" w:rsidRPr="00D7020E">
        <w:rPr>
          <w:rFonts w:ascii="Times New Roman" w:hAnsi="Times New Roman" w:cs="Times New Roman"/>
          <w:sz w:val="20"/>
          <w:szCs w:val="20"/>
        </w:rPr>
        <w:t xml:space="preserve">myself </w:t>
      </w:r>
      <w:r w:rsidRPr="00D7020E">
        <w:rPr>
          <w:rFonts w:ascii="Times New Roman" w:hAnsi="Times New Roman" w:cs="Times New Roman"/>
          <w:sz w:val="20"/>
          <w:szCs w:val="20"/>
        </w:rPr>
        <w:t>maintaining a reflective journal to critically examine assumptions and decision-making. Peer debriefing will also be used to challenge interpretations and strengthen credibility (Lincoln and Guba, 1985).</w:t>
      </w:r>
    </w:p>
    <w:p w14:paraId="226419B7" w14:textId="6FB5B96E" w:rsidR="0019328A" w:rsidRPr="00D7020E" w:rsidRDefault="0019328A"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Ethical approval will be sought from the University of Wales Trinity Saint David ethics committee prior to data collection, ensuring the study meets institutional and professional ethical requirements (UWTSD, 2023). Ethical considerations will remain ongoing throughout the research process, with any emerging issues addressed promptly to maintain participant safety and research integrity.</w:t>
      </w:r>
    </w:p>
    <w:p w14:paraId="6C057B4D" w14:textId="700C68A9" w:rsidR="0019328A" w:rsidRPr="00D7020E" w:rsidRDefault="0019328A"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This ethical approach has several strengths. It prioritises participant welfare, ensures informed and voluntary participation, and establishes clear safeguards for confidentiality and data protection. However, limitations remain, including the potential influence of </w:t>
      </w:r>
      <w:r w:rsidR="000D7C14" w:rsidRPr="00D7020E">
        <w:rPr>
          <w:rFonts w:ascii="Times New Roman" w:hAnsi="Times New Roman" w:cs="Times New Roman"/>
          <w:sz w:val="20"/>
          <w:szCs w:val="20"/>
        </w:rPr>
        <w:t>my</w:t>
      </w:r>
      <w:r w:rsidRPr="00D7020E">
        <w:rPr>
          <w:rFonts w:ascii="Times New Roman" w:hAnsi="Times New Roman" w:cs="Times New Roman"/>
          <w:sz w:val="20"/>
          <w:szCs w:val="20"/>
        </w:rPr>
        <w:t xml:space="preserve"> dual role and the limited diversity of perspectives due to the small sample size. Despite these challenges, adherence to established ethical frameworks, combined with reflexivity and careful planning, helps ensure that the study maintains a high standard of ethical integrity.</w:t>
      </w:r>
    </w:p>
    <w:p w14:paraId="18381E23" w14:textId="63050125" w:rsidR="008F3554" w:rsidRPr="00D7020E" w:rsidRDefault="008F3554" w:rsidP="00D7020E">
      <w:pPr>
        <w:spacing w:line="360" w:lineRule="auto"/>
        <w:rPr>
          <w:rFonts w:ascii="Times New Roman" w:hAnsi="Times New Roman" w:cs="Times New Roman"/>
          <w:sz w:val="20"/>
          <w:szCs w:val="20"/>
          <w:u w:val="single"/>
        </w:rPr>
      </w:pPr>
      <w:r w:rsidRPr="00D7020E">
        <w:rPr>
          <w:rFonts w:ascii="Times New Roman" w:eastAsia="Times New Roman" w:hAnsi="Times New Roman" w:cs="Times New Roman"/>
          <w:sz w:val="20"/>
          <w:szCs w:val="20"/>
          <w:u w:val="single"/>
        </w:rPr>
        <w:t>Research Tools</w:t>
      </w:r>
    </w:p>
    <w:p w14:paraId="4D33A680" w14:textId="47B27DB0" w:rsidR="00332617" w:rsidRPr="00D7020E" w:rsidRDefault="00332617"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To address RQ2, it is essential that data collection methods are carefully selected to suit the developmental needs of Year 1 learners while still producing meaningful and reliable insights. Young children require approaches that are engaging, accessible, and flexible, as their communication skills and attention spans are still developing (Christensen and James, 2017; Alderson and Morrow, 2011). For this reason, the study adopts a qualitative, multi-method approach that combines semi-structured interviews, classroom observations, and reflective tasks. Using a combination of methods allows </w:t>
      </w:r>
      <w:r w:rsidR="000D7C14" w:rsidRPr="00D7020E">
        <w:rPr>
          <w:rFonts w:ascii="Times New Roman" w:hAnsi="Times New Roman" w:cs="Times New Roman"/>
          <w:sz w:val="20"/>
          <w:szCs w:val="20"/>
        </w:rPr>
        <w:t xml:space="preserve">me </w:t>
      </w:r>
      <w:r w:rsidRPr="00D7020E">
        <w:rPr>
          <w:rFonts w:ascii="Times New Roman" w:hAnsi="Times New Roman" w:cs="Times New Roman"/>
          <w:sz w:val="20"/>
          <w:szCs w:val="20"/>
        </w:rPr>
        <w:t>to capture learners’ experiences from different perspectives, creating a richer and more comprehensive understanding of how they engage with the phonics intervention (Cohen, Manion and Morrison, 2018).</w:t>
      </w:r>
    </w:p>
    <w:p w14:paraId="52A42CF6" w14:textId="77777777" w:rsidR="00053FB8" w:rsidRDefault="00332617"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Semi-structured interviews form a central component of the data collection process. These interviews are designed to provide a balance between guidance and flexibility, enabling </w:t>
      </w:r>
      <w:r w:rsidR="000D7C14" w:rsidRPr="00D7020E">
        <w:rPr>
          <w:rFonts w:ascii="Times New Roman" w:hAnsi="Times New Roman" w:cs="Times New Roman"/>
          <w:sz w:val="20"/>
          <w:szCs w:val="20"/>
        </w:rPr>
        <w:t xml:space="preserve">myself </w:t>
      </w:r>
      <w:r w:rsidRPr="00D7020E">
        <w:rPr>
          <w:rFonts w:ascii="Times New Roman" w:hAnsi="Times New Roman" w:cs="Times New Roman"/>
          <w:sz w:val="20"/>
          <w:szCs w:val="20"/>
        </w:rPr>
        <w:t xml:space="preserve">to explore key topics while still allowing learners to express their thoughts freely (Kvale and Brinkmann, 2015). Questions are open-ended and framed in simple, child-friendly language to ensure accessibility. This format encourages learners to reflect on their own experiences and articulate their views in their own words. </w:t>
      </w:r>
    </w:p>
    <w:p w14:paraId="52E2386D" w14:textId="283D4C48" w:rsidR="00332617" w:rsidRPr="00D7020E" w:rsidRDefault="00332617"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A key strength of semi-structured interviews is that they provide depth and insight, revealing both cognitive and emotional responses to learning experiences (Braun and Clarke, 2021). However, young children may require support to understand questions fully, and their responses may be influenced by social desirability bias or a desire to please adults (BERA, 2018). Careful facilitation is therefore essential to ensure authenticity.</w:t>
      </w:r>
    </w:p>
    <w:p w14:paraId="2CB276CE" w14:textId="5E79AB81" w:rsidR="00332617" w:rsidRPr="00D7020E" w:rsidRDefault="00332617"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Classroom observations provide an important complementary method to interviews. While interviews capture learners’ self-reported experiences, observations allow </w:t>
      </w:r>
      <w:r w:rsidR="000D7C14" w:rsidRPr="00D7020E">
        <w:rPr>
          <w:rFonts w:ascii="Times New Roman" w:hAnsi="Times New Roman" w:cs="Times New Roman"/>
          <w:sz w:val="20"/>
          <w:szCs w:val="20"/>
        </w:rPr>
        <w:t xml:space="preserve">me </w:t>
      </w:r>
      <w:r w:rsidRPr="00D7020E">
        <w:rPr>
          <w:rFonts w:ascii="Times New Roman" w:hAnsi="Times New Roman" w:cs="Times New Roman"/>
          <w:sz w:val="20"/>
          <w:szCs w:val="20"/>
        </w:rPr>
        <w:t xml:space="preserve">to examine behaviour in real time within a natural </w:t>
      </w:r>
      <w:r w:rsidRPr="00D7020E">
        <w:rPr>
          <w:rFonts w:ascii="Times New Roman" w:hAnsi="Times New Roman" w:cs="Times New Roman"/>
          <w:sz w:val="20"/>
          <w:szCs w:val="20"/>
        </w:rPr>
        <w:lastRenderedPageBreak/>
        <w:t xml:space="preserve">classroom setting (Cohen, Manion and Morrison, 2018). This is particularly valuable when working with young children, as they may not always be able to fully articulate their thoughts verbally. Observations will focus on engagement, participation, peer interaction, attention, and emotional responses during phonics sessions. Each observation session will last approximately 20–30 minutes, during which </w:t>
      </w:r>
      <w:r w:rsidR="000308FA" w:rsidRPr="00D7020E">
        <w:rPr>
          <w:rFonts w:ascii="Times New Roman" w:hAnsi="Times New Roman" w:cs="Times New Roman"/>
          <w:sz w:val="20"/>
          <w:szCs w:val="20"/>
        </w:rPr>
        <w:t xml:space="preserve">I </w:t>
      </w:r>
      <w:r w:rsidRPr="00D7020E">
        <w:rPr>
          <w:rFonts w:ascii="Times New Roman" w:hAnsi="Times New Roman" w:cs="Times New Roman"/>
          <w:sz w:val="20"/>
          <w:szCs w:val="20"/>
        </w:rPr>
        <w:t>will record both verbal and non-verbal behaviours. The main strength of observation is that it provides ecologically valid data by capturing authentic behaviour in context (Cohen, Manion and Morrison, 2018). However, observer bias and the potential influence of</w:t>
      </w:r>
      <w:r w:rsidR="00447D5E" w:rsidRPr="00D7020E">
        <w:rPr>
          <w:rFonts w:ascii="Times New Roman" w:hAnsi="Times New Roman" w:cs="Times New Roman"/>
          <w:sz w:val="20"/>
          <w:szCs w:val="20"/>
        </w:rPr>
        <w:t xml:space="preserve"> my</w:t>
      </w:r>
      <w:r w:rsidRPr="00D7020E">
        <w:rPr>
          <w:rFonts w:ascii="Times New Roman" w:hAnsi="Times New Roman" w:cs="Times New Roman"/>
          <w:sz w:val="20"/>
          <w:szCs w:val="20"/>
        </w:rPr>
        <w:t xml:space="preserve"> presence must be acknowledged (Berger, 2015). Reflexivity will therefore be used throughout the research process.</w:t>
      </w:r>
    </w:p>
    <w:p w14:paraId="56A729C8" w14:textId="2F020266" w:rsidR="00332617" w:rsidRPr="00D7020E" w:rsidRDefault="00332617"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Reflective tasks are included as an additional method to support young learners in expressing their experiences beyond verbal communication. Activities such as draw-and-talk exercises are widely recognised as effective child-centred research tools for accessing children’s perspectives (Clark and Moss, 2011). This approach recognises that some learners may find visual or creative expression easier than verbal explanation, particularly at early stages of literacy development. Reflective tasks can therefore provide insight into emotional responses and aspects of learning not always captured through interviews. However, interpreting children’s drawings requires caution, as representations may be symbolic. To ensure validity, learners will be asked to explain their drawings in their own words (Clark and Moss, 2011).</w:t>
      </w:r>
    </w:p>
    <w:p w14:paraId="61BCAE02" w14:textId="7B22D0AD" w:rsidR="00332617" w:rsidRPr="00D7020E" w:rsidRDefault="00332617"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The integration of these three methods enhances the overall quality of the research through triangulation. Triangulation strengthens validity by comparing data from multiple sources to identify convergence or divergence in findings (Denzin, 1978; Cohen, Manion and Morrison, 2018). For example, consistency between interview responses, observed engagement, and reflective drawings increases the credibility of interpretations, while inconsistencies may highlight areas for further exploration.</w:t>
      </w:r>
    </w:p>
    <w:p w14:paraId="428905E9" w14:textId="01AC83F3" w:rsidR="00332617" w:rsidRPr="00D7020E" w:rsidRDefault="00332617"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Once data has been collected, it will be analysed using thematic analysis, a widely used method for identifying patterns and meanings within qualitative data (Braun and Clarke, 2021). The process begins with familiarisation, followed by coding, where meaningful segments of data are labelled. These codes are then organised into broader themes such as engagement, enjoyment, motivation, confidence, and perceived difficulty. Thematic analysis is particularly appropriate for this study because it is flexible and can be applied across multiple data types, including interviews, observations, and visual data (Braun and Clarke, 2021).</w:t>
      </w:r>
    </w:p>
    <w:p w14:paraId="34618183" w14:textId="57440DE2" w:rsidR="00332617" w:rsidRPr="00D7020E" w:rsidRDefault="00332617"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However, thematic analysis is inherently interpretive, meaning that </w:t>
      </w:r>
      <w:r w:rsidR="00F91D00" w:rsidRPr="00D7020E">
        <w:rPr>
          <w:rFonts w:ascii="Times New Roman" w:hAnsi="Times New Roman" w:cs="Times New Roman"/>
          <w:sz w:val="20"/>
          <w:szCs w:val="20"/>
        </w:rPr>
        <w:t>I</w:t>
      </w:r>
      <w:r w:rsidR="008052E0" w:rsidRPr="00D7020E">
        <w:rPr>
          <w:rFonts w:ascii="Times New Roman" w:hAnsi="Times New Roman" w:cs="Times New Roman"/>
          <w:sz w:val="20"/>
          <w:szCs w:val="20"/>
        </w:rPr>
        <w:t xml:space="preserve"> </w:t>
      </w:r>
      <w:r w:rsidRPr="00D7020E">
        <w:rPr>
          <w:rFonts w:ascii="Times New Roman" w:hAnsi="Times New Roman" w:cs="Times New Roman"/>
          <w:sz w:val="20"/>
          <w:szCs w:val="20"/>
        </w:rPr>
        <w:t>subjectivity may influence</w:t>
      </w:r>
      <w:r w:rsidR="00F72A48" w:rsidRPr="00D7020E">
        <w:rPr>
          <w:rFonts w:ascii="Times New Roman" w:hAnsi="Times New Roman" w:cs="Times New Roman"/>
          <w:sz w:val="20"/>
          <w:szCs w:val="20"/>
        </w:rPr>
        <w:t xml:space="preserve"> the</w:t>
      </w:r>
      <w:r w:rsidRPr="00D7020E">
        <w:rPr>
          <w:rFonts w:ascii="Times New Roman" w:hAnsi="Times New Roman" w:cs="Times New Roman"/>
          <w:sz w:val="20"/>
          <w:szCs w:val="20"/>
        </w:rPr>
        <w:t xml:space="preserve"> findings. To address this limitation, reflexivity will be maintained throughout the analysis process, ensuring continuous reflection on assumptions and decision-making (Berger, 2015). Peer discussion may also be used to strengthen interpretive credibility.</w:t>
      </w:r>
    </w:p>
    <w:p w14:paraId="7F037B0F" w14:textId="663F2CBF" w:rsidR="008F3554" w:rsidRPr="00D7020E" w:rsidRDefault="00332617"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In summary, the combination of child-friendly data collection methods and systematic thematic analysis ensures a robust and ethical approach to exploring learners’ experiences of phonics instruction. By using interviews, observations, and reflective tasks, the study captures both verbal and non-verbal dimensions of experience, while triangulation and thematic analysis provide a structured framework for interpretation.</w:t>
      </w:r>
    </w:p>
    <w:p w14:paraId="05EA4466" w14:textId="73A07629" w:rsidR="00423CD6" w:rsidRPr="00D7020E" w:rsidRDefault="00D3149B" w:rsidP="00D7020E">
      <w:pPr>
        <w:spacing w:line="360" w:lineRule="auto"/>
        <w:rPr>
          <w:rFonts w:ascii="Times New Roman" w:eastAsia="Times New Roman" w:hAnsi="Times New Roman" w:cs="Times New Roman"/>
          <w:sz w:val="20"/>
          <w:szCs w:val="20"/>
          <w:u w:val="single"/>
        </w:rPr>
      </w:pPr>
      <w:r w:rsidRPr="00D7020E">
        <w:rPr>
          <w:rFonts w:ascii="Times New Roman" w:eastAsia="Times New Roman" w:hAnsi="Times New Roman" w:cs="Times New Roman"/>
          <w:sz w:val="20"/>
          <w:szCs w:val="20"/>
          <w:u w:val="single"/>
        </w:rPr>
        <w:t>Data analysis Method</w:t>
      </w:r>
    </w:p>
    <w:p w14:paraId="06FF8FD8" w14:textId="518A05EF" w:rsidR="001F6AFA" w:rsidRPr="00D7020E" w:rsidRDefault="00D3149B"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lastRenderedPageBreak/>
        <w:t xml:space="preserve">An appropriate data analysis method for this study is thematic analysis, as it aligns well with the qualitative design and the aim of exploring learners’ experiences of a phonics intervention. Thematic analysis is a flexible and widely used method for identifying, analysing, and reporting patterns (themes) within qualitative data (Braun and Clarke, 2006). It is particularly suitable when working with multiple data sources, such as interviews, observations, and reflective tasks, as it allows </w:t>
      </w:r>
      <w:r w:rsidR="00F102AC" w:rsidRPr="00D7020E">
        <w:rPr>
          <w:rFonts w:ascii="Times New Roman" w:hAnsi="Times New Roman" w:cs="Times New Roman"/>
          <w:sz w:val="20"/>
          <w:szCs w:val="20"/>
        </w:rPr>
        <w:t xml:space="preserve">me </w:t>
      </w:r>
      <w:r w:rsidRPr="00D7020E">
        <w:rPr>
          <w:rFonts w:ascii="Times New Roman" w:hAnsi="Times New Roman" w:cs="Times New Roman"/>
          <w:sz w:val="20"/>
          <w:szCs w:val="20"/>
        </w:rPr>
        <w:t>to integrate and interpret different forms of data in a coherent way.</w:t>
      </w:r>
    </w:p>
    <w:p w14:paraId="296FF17F" w14:textId="62407D08" w:rsidR="00D3149B" w:rsidRPr="00D7020E" w:rsidRDefault="00D3149B"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The process begins with familiarisation, where </w:t>
      </w:r>
      <w:r w:rsidR="00324174" w:rsidRPr="00D7020E">
        <w:rPr>
          <w:rFonts w:ascii="Times New Roman" w:hAnsi="Times New Roman" w:cs="Times New Roman"/>
          <w:sz w:val="20"/>
          <w:szCs w:val="20"/>
        </w:rPr>
        <w:t xml:space="preserve">I can </w:t>
      </w:r>
      <w:r w:rsidRPr="00D7020E">
        <w:rPr>
          <w:rFonts w:ascii="Times New Roman" w:hAnsi="Times New Roman" w:cs="Times New Roman"/>
          <w:sz w:val="20"/>
          <w:szCs w:val="20"/>
        </w:rPr>
        <w:t xml:space="preserve">immerse </w:t>
      </w:r>
      <w:r w:rsidR="00324174" w:rsidRPr="00D7020E">
        <w:rPr>
          <w:rFonts w:ascii="Times New Roman" w:hAnsi="Times New Roman" w:cs="Times New Roman"/>
          <w:sz w:val="20"/>
          <w:szCs w:val="20"/>
        </w:rPr>
        <w:t>myself</w:t>
      </w:r>
      <w:r w:rsidRPr="00D7020E">
        <w:rPr>
          <w:rFonts w:ascii="Times New Roman" w:hAnsi="Times New Roman" w:cs="Times New Roman"/>
          <w:sz w:val="20"/>
          <w:szCs w:val="20"/>
        </w:rPr>
        <w:t xml:space="preserve"> in the data by transcribing interviews, reviewing observation notes, and examining children’s reflective work. This stage is essential for developing an initial understanding of recurring ideas and patterns. Following this, initial codes are generated by systematically labelling meaningful segments of data. In this study, codes may relate to concepts such as enjoyment, engagement, confidence, or perceived difficulty during phonics sessions. Coding provides a structured way to organise large amounts of qualitative data and forms the foundation for theme development (Nowell et al</w:t>
      </w:r>
      <w:r w:rsidR="00074EB4" w:rsidRPr="00D7020E">
        <w:rPr>
          <w:rFonts w:ascii="Times New Roman" w:hAnsi="Times New Roman" w:cs="Times New Roman"/>
          <w:sz w:val="20"/>
          <w:szCs w:val="20"/>
        </w:rPr>
        <w:t>,</w:t>
      </w:r>
      <w:r w:rsidRPr="00D7020E">
        <w:rPr>
          <w:rFonts w:ascii="Times New Roman" w:hAnsi="Times New Roman" w:cs="Times New Roman"/>
          <w:sz w:val="20"/>
          <w:szCs w:val="20"/>
        </w:rPr>
        <w:t xml:space="preserve"> 2017).</w:t>
      </w:r>
    </w:p>
    <w:p w14:paraId="2D9C82E4" w14:textId="6D1CA3B0" w:rsidR="00D3149B" w:rsidRPr="00D7020E" w:rsidRDefault="00D3149B"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The next stage involves grouping codes into broader themes that capture significant aspects of learners’ experiences. For example, codes relating to participation and enthusiasm may form a theme of engagement, while those linked to challenge or confusion may contribute to a theme of difficulty. These themes are then reviewed and refined to ensure they accurately reflect the dataset and are supported by sufficient evidence. This iterative process enhances the credibility and coherence of the analysis. Once finalised, themes are defined and interpreted in relation to the research question and existing literature, allowing </w:t>
      </w:r>
      <w:r w:rsidR="00324174" w:rsidRPr="00D7020E">
        <w:rPr>
          <w:rFonts w:ascii="Times New Roman" w:hAnsi="Times New Roman" w:cs="Times New Roman"/>
          <w:sz w:val="20"/>
          <w:szCs w:val="20"/>
        </w:rPr>
        <w:t xml:space="preserve">me </w:t>
      </w:r>
      <w:r w:rsidRPr="00D7020E">
        <w:rPr>
          <w:rFonts w:ascii="Times New Roman" w:hAnsi="Times New Roman" w:cs="Times New Roman"/>
          <w:sz w:val="20"/>
          <w:szCs w:val="20"/>
        </w:rPr>
        <w:t>to draw meaningful conclusions.</w:t>
      </w:r>
    </w:p>
    <w:p w14:paraId="4D9E0F97" w14:textId="7CD8441A" w:rsidR="00D3149B" w:rsidRPr="00D7020E" w:rsidRDefault="00D3149B"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A key strength of thematic analysis is its flexibility. It is not tied to a specific theoretical framework, making it adaptable to the constructivist approach underpinning this study (Braun and Clarke, 2006). It also allows for rich, detailed accounts of participants’ perspectives, which is particularly valuable when exploring young learners’ experiences. However, the method is not without limitations. The process of coding and theme development is inherently subjective, meaning </w:t>
      </w:r>
      <w:r w:rsidR="00BC35A6" w:rsidRPr="00D7020E">
        <w:rPr>
          <w:rFonts w:ascii="Times New Roman" w:hAnsi="Times New Roman" w:cs="Times New Roman"/>
          <w:sz w:val="20"/>
          <w:szCs w:val="20"/>
        </w:rPr>
        <w:t>I</w:t>
      </w:r>
      <w:r w:rsidRPr="00D7020E">
        <w:rPr>
          <w:rFonts w:ascii="Times New Roman" w:hAnsi="Times New Roman" w:cs="Times New Roman"/>
          <w:sz w:val="20"/>
          <w:szCs w:val="20"/>
        </w:rPr>
        <w:t xml:space="preserve"> </w:t>
      </w:r>
      <w:r w:rsidR="00BC35A6" w:rsidRPr="00D7020E">
        <w:rPr>
          <w:rFonts w:ascii="Times New Roman" w:hAnsi="Times New Roman" w:cs="Times New Roman"/>
          <w:sz w:val="20"/>
          <w:szCs w:val="20"/>
        </w:rPr>
        <w:t>could</w:t>
      </w:r>
      <w:r w:rsidRPr="00D7020E">
        <w:rPr>
          <w:rFonts w:ascii="Times New Roman" w:hAnsi="Times New Roman" w:cs="Times New Roman"/>
          <w:sz w:val="20"/>
          <w:szCs w:val="20"/>
        </w:rPr>
        <w:t xml:space="preserve"> influence the findings. To mitigate this, strategies such as reflexive journaling and peer debriefing can be employed to enhance transparency and trustworthiness (Berger, 2015).</w:t>
      </w:r>
    </w:p>
    <w:p w14:paraId="7374E4F1" w14:textId="0FB9906F" w:rsidR="00423CD6" w:rsidRPr="00D7020E" w:rsidRDefault="00D3149B"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 xml:space="preserve">Overall, thematic analysis provides a systematic yet flexible approach to analysing qualitative data, enabling </w:t>
      </w:r>
      <w:r w:rsidR="008A4ADA" w:rsidRPr="00D7020E">
        <w:rPr>
          <w:rFonts w:ascii="Times New Roman" w:hAnsi="Times New Roman" w:cs="Times New Roman"/>
          <w:sz w:val="20"/>
          <w:szCs w:val="20"/>
        </w:rPr>
        <w:t xml:space="preserve">myself </w:t>
      </w:r>
      <w:r w:rsidRPr="00D7020E">
        <w:rPr>
          <w:rFonts w:ascii="Times New Roman" w:hAnsi="Times New Roman" w:cs="Times New Roman"/>
          <w:sz w:val="20"/>
          <w:szCs w:val="20"/>
        </w:rPr>
        <w:t>to generate meaningful insights into learners’ experiences of phonics instruction.</w:t>
      </w:r>
    </w:p>
    <w:p w14:paraId="7E9B7853" w14:textId="15B96F29" w:rsidR="008F3554" w:rsidRPr="00D7020E" w:rsidRDefault="008F3554" w:rsidP="00D7020E">
      <w:pPr>
        <w:spacing w:line="360" w:lineRule="auto"/>
        <w:rPr>
          <w:rFonts w:ascii="Times New Roman" w:eastAsia="Times New Roman" w:hAnsi="Times New Roman" w:cs="Times New Roman"/>
          <w:sz w:val="20"/>
          <w:szCs w:val="20"/>
          <w:u w:val="single"/>
        </w:rPr>
      </w:pPr>
      <w:r w:rsidRPr="00D7020E">
        <w:rPr>
          <w:rFonts w:ascii="Times New Roman" w:eastAsia="Times New Roman" w:hAnsi="Times New Roman" w:cs="Times New Roman"/>
          <w:sz w:val="20"/>
          <w:szCs w:val="20"/>
          <w:u w:val="single"/>
        </w:rPr>
        <w:t>Conclusion</w:t>
      </w:r>
    </w:p>
    <w:p w14:paraId="59EE9511" w14:textId="77777777" w:rsidR="00D7020E" w:rsidRDefault="008F3554" w:rsidP="00D7020E">
      <w:pPr>
        <w:spacing w:line="360" w:lineRule="auto"/>
        <w:rPr>
          <w:rFonts w:ascii="Times New Roman" w:hAnsi="Times New Roman" w:cs="Times New Roman"/>
          <w:sz w:val="20"/>
          <w:szCs w:val="20"/>
        </w:rPr>
      </w:pPr>
      <w:r w:rsidRPr="00D7020E">
        <w:rPr>
          <w:rFonts w:ascii="Times New Roman" w:hAnsi="Times New Roman" w:cs="Times New Roman"/>
          <w:sz w:val="20"/>
          <w:szCs w:val="20"/>
        </w:rPr>
        <w:t>This component of the study focuses on understanding Year 1 learners’ experiences of a short-term phonics intervention. By adopting a qualitative approach, using semi-structured interviews, observations, and reflective tasks, the study aims to capture the richness of learners’ perceptions, engagement, and motivation. Sampling purposively within the intervention ensures relevant insights, while ethical safeguards protect young participants’ wellbeing. Data will be analysed thematically to identify patterns and themes. Ultimately, this research seeks to provide a detailed, learner-centred understanding of how phonics instruction is experienced, informing teaching practice and enhancing the effectiveness of early reading interventions.</w:t>
      </w:r>
    </w:p>
    <w:p w14:paraId="7A4817DB" w14:textId="65BE8B30" w:rsidR="008F3554" w:rsidRPr="00D7020E" w:rsidRDefault="008F3554" w:rsidP="00D7020E">
      <w:pPr>
        <w:spacing w:line="360" w:lineRule="auto"/>
        <w:rPr>
          <w:rFonts w:ascii="Times New Roman" w:hAnsi="Times New Roman" w:cs="Times New Roman"/>
          <w:sz w:val="20"/>
          <w:szCs w:val="20"/>
        </w:rPr>
      </w:pPr>
      <w:r w:rsidRPr="00D7020E">
        <w:rPr>
          <w:rFonts w:ascii="Times New Roman" w:eastAsia="Times New Roman" w:hAnsi="Times New Roman" w:cs="Times New Roman"/>
          <w:b/>
          <w:bCs/>
          <w:kern w:val="0"/>
          <w:sz w:val="20"/>
          <w:szCs w:val="20"/>
          <w:u w:val="single"/>
          <w14:ligatures w14:val="none"/>
        </w:rPr>
        <w:lastRenderedPageBreak/>
        <w:t xml:space="preserve">References </w:t>
      </w:r>
    </w:p>
    <w:p w14:paraId="1BD04584" w14:textId="77777777" w:rsidR="00BD29AC" w:rsidRPr="00D7020E" w:rsidRDefault="00BD29AC">
      <w:pPr>
        <w:pStyle w:val="p1"/>
        <w:rPr>
          <w:sz w:val="20"/>
          <w:szCs w:val="20"/>
        </w:rPr>
      </w:pPr>
      <w:r w:rsidRPr="00D7020E">
        <w:rPr>
          <w:sz w:val="20"/>
          <w:szCs w:val="20"/>
        </w:rPr>
        <w:t xml:space="preserve">Alderson, P. (2008) ‘Children as researchers: Participation rights and research methods’, in Christensen, P. and James, A. (eds.) </w:t>
      </w:r>
      <w:r w:rsidRPr="00D7020E">
        <w:rPr>
          <w:rStyle w:val="s2"/>
          <w:sz w:val="20"/>
          <w:szCs w:val="20"/>
        </w:rPr>
        <w:t>Research with children: Perspectives and practices</w:t>
      </w:r>
      <w:r w:rsidRPr="00D7020E">
        <w:rPr>
          <w:rStyle w:val="s1"/>
          <w:sz w:val="20"/>
          <w:szCs w:val="20"/>
        </w:rPr>
        <w:t xml:space="preserve">. 2nd </w:t>
      </w:r>
      <w:proofErr w:type="spellStart"/>
      <w:r w:rsidRPr="00D7020E">
        <w:rPr>
          <w:rStyle w:val="s1"/>
          <w:sz w:val="20"/>
          <w:szCs w:val="20"/>
        </w:rPr>
        <w:t>edn</w:t>
      </w:r>
      <w:proofErr w:type="spellEnd"/>
      <w:r w:rsidRPr="00D7020E">
        <w:rPr>
          <w:rStyle w:val="s1"/>
          <w:sz w:val="20"/>
          <w:szCs w:val="20"/>
        </w:rPr>
        <w:t>. London: Routledge.</w:t>
      </w:r>
    </w:p>
    <w:p w14:paraId="5C94CA47" w14:textId="77777777" w:rsidR="00BD29AC" w:rsidRPr="00D7020E" w:rsidRDefault="00BD29AC" w:rsidP="00505A4A">
      <w:pPr>
        <w:rPr>
          <w:rFonts w:ascii="Times New Roman" w:hAnsi="Times New Roman" w:cs="Times New Roman"/>
          <w:kern w:val="0"/>
          <w:sz w:val="20"/>
          <w:szCs w:val="20"/>
          <w14:ligatures w14:val="none"/>
        </w:rPr>
      </w:pPr>
      <w:r w:rsidRPr="00D7020E">
        <w:rPr>
          <w:rFonts w:ascii="Times New Roman" w:hAnsi="Times New Roman" w:cs="Times New Roman"/>
          <w:kern w:val="0"/>
          <w:sz w:val="20"/>
          <w:szCs w:val="20"/>
          <w14:ligatures w14:val="none"/>
        </w:rPr>
        <w:t xml:space="preserve">Alderson, P. (2008) Young children’s rights: Exploring beliefs, principles and practice. 2nd </w:t>
      </w:r>
      <w:proofErr w:type="spellStart"/>
      <w:r w:rsidRPr="00D7020E">
        <w:rPr>
          <w:rFonts w:ascii="Times New Roman" w:hAnsi="Times New Roman" w:cs="Times New Roman"/>
          <w:kern w:val="0"/>
          <w:sz w:val="20"/>
          <w:szCs w:val="20"/>
          <w14:ligatures w14:val="none"/>
        </w:rPr>
        <w:t>edn</w:t>
      </w:r>
      <w:proofErr w:type="spellEnd"/>
      <w:r w:rsidRPr="00D7020E">
        <w:rPr>
          <w:rFonts w:ascii="Times New Roman" w:hAnsi="Times New Roman" w:cs="Times New Roman"/>
          <w:kern w:val="0"/>
          <w:sz w:val="20"/>
          <w:szCs w:val="20"/>
          <w14:ligatures w14:val="none"/>
        </w:rPr>
        <w:t>. London: Jessica Kingsley.</w:t>
      </w:r>
    </w:p>
    <w:p w14:paraId="323558BC" w14:textId="77777777" w:rsidR="00BD29AC" w:rsidRPr="00D7020E" w:rsidRDefault="00BD29AC">
      <w:pPr>
        <w:pStyle w:val="p1"/>
        <w:rPr>
          <w:sz w:val="20"/>
          <w:szCs w:val="20"/>
        </w:rPr>
      </w:pPr>
      <w:r w:rsidRPr="00D7020E">
        <w:rPr>
          <w:sz w:val="20"/>
          <w:szCs w:val="20"/>
        </w:rPr>
        <w:t xml:space="preserve">Alderson, P. and Morrow, V. (2011) </w:t>
      </w:r>
      <w:r w:rsidRPr="00D7020E">
        <w:rPr>
          <w:rStyle w:val="s2"/>
          <w:sz w:val="20"/>
          <w:szCs w:val="20"/>
        </w:rPr>
        <w:t>The ethics of research with children and young people: A practical handbook</w:t>
      </w:r>
      <w:r w:rsidRPr="00D7020E">
        <w:rPr>
          <w:rStyle w:val="s1"/>
          <w:sz w:val="20"/>
          <w:szCs w:val="20"/>
        </w:rPr>
        <w:t xml:space="preserve">. 2nd </w:t>
      </w:r>
      <w:proofErr w:type="spellStart"/>
      <w:r w:rsidRPr="00D7020E">
        <w:rPr>
          <w:rStyle w:val="s1"/>
          <w:sz w:val="20"/>
          <w:szCs w:val="20"/>
        </w:rPr>
        <w:t>edn</w:t>
      </w:r>
      <w:proofErr w:type="spellEnd"/>
      <w:r w:rsidRPr="00D7020E">
        <w:rPr>
          <w:rStyle w:val="s1"/>
          <w:sz w:val="20"/>
          <w:szCs w:val="20"/>
        </w:rPr>
        <w:t>. London: SAGE.</w:t>
      </w:r>
    </w:p>
    <w:p w14:paraId="24675E38" w14:textId="77777777" w:rsidR="00BD29AC" w:rsidRPr="00D7020E" w:rsidRDefault="00BD29AC">
      <w:pPr>
        <w:pStyle w:val="p1"/>
        <w:rPr>
          <w:sz w:val="20"/>
          <w:szCs w:val="20"/>
        </w:rPr>
      </w:pPr>
      <w:r w:rsidRPr="00D7020E">
        <w:rPr>
          <w:sz w:val="20"/>
          <w:szCs w:val="20"/>
        </w:rPr>
        <w:t xml:space="preserve">Alexander, R. (2017) </w:t>
      </w:r>
      <w:r w:rsidRPr="00D7020E">
        <w:rPr>
          <w:rStyle w:val="s2"/>
          <w:sz w:val="20"/>
          <w:szCs w:val="20"/>
        </w:rPr>
        <w:t>A dialogic teaching companion</w:t>
      </w:r>
      <w:r w:rsidRPr="00D7020E">
        <w:rPr>
          <w:rStyle w:val="s1"/>
          <w:sz w:val="20"/>
          <w:szCs w:val="20"/>
        </w:rPr>
        <w:t>. London: Routledge.</w:t>
      </w:r>
    </w:p>
    <w:p w14:paraId="5F3D178E" w14:textId="77777777" w:rsidR="00BD29AC" w:rsidRPr="00D7020E" w:rsidRDefault="00BD29AC">
      <w:pPr>
        <w:pStyle w:val="p1"/>
        <w:rPr>
          <w:sz w:val="20"/>
          <w:szCs w:val="20"/>
        </w:rPr>
      </w:pPr>
      <w:r w:rsidRPr="00D7020E">
        <w:rPr>
          <w:sz w:val="20"/>
          <w:szCs w:val="20"/>
        </w:rPr>
        <w:t xml:space="preserve">Berger, R. (2015) ‘Now I see it, now I don’t: Researcher’s position and reflexivity in qualitative research’, </w:t>
      </w:r>
      <w:r w:rsidRPr="00D7020E">
        <w:rPr>
          <w:rStyle w:val="s2"/>
          <w:sz w:val="20"/>
          <w:szCs w:val="20"/>
        </w:rPr>
        <w:t>Qualitative Research</w:t>
      </w:r>
      <w:r w:rsidRPr="00D7020E">
        <w:rPr>
          <w:rStyle w:val="s1"/>
          <w:sz w:val="20"/>
          <w:szCs w:val="20"/>
        </w:rPr>
        <w:t>, 15(2), pp. 219–234.</w:t>
      </w:r>
    </w:p>
    <w:p w14:paraId="45BD8531" w14:textId="77777777" w:rsidR="00BD29AC" w:rsidRPr="00D7020E" w:rsidRDefault="00BD29AC" w:rsidP="00505A4A">
      <w:pPr>
        <w:rPr>
          <w:rFonts w:ascii="Times New Roman" w:hAnsi="Times New Roman" w:cs="Times New Roman"/>
          <w:kern w:val="0"/>
          <w:sz w:val="20"/>
          <w:szCs w:val="20"/>
          <w14:ligatures w14:val="none"/>
        </w:rPr>
      </w:pPr>
      <w:r w:rsidRPr="00D7020E">
        <w:rPr>
          <w:rFonts w:ascii="Times New Roman" w:hAnsi="Times New Roman" w:cs="Times New Roman"/>
          <w:kern w:val="0"/>
          <w:sz w:val="20"/>
          <w:szCs w:val="20"/>
          <w14:ligatures w14:val="none"/>
        </w:rPr>
        <w:t>Braun, V. and Clarke, V. (2006) ‘Using thematic analysis in psychology’, Qualitative Research in Psychology.</w:t>
      </w:r>
    </w:p>
    <w:p w14:paraId="58F91CAA" w14:textId="77777777" w:rsidR="00BD29AC" w:rsidRPr="00D7020E" w:rsidRDefault="00BD29AC" w:rsidP="009C0D25">
      <w:pPr>
        <w:pStyle w:val="p1"/>
        <w:rPr>
          <w:sz w:val="20"/>
          <w:szCs w:val="20"/>
        </w:rPr>
      </w:pPr>
      <w:r w:rsidRPr="00D7020E">
        <w:rPr>
          <w:sz w:val="20"/>
          <w:szCs w:val="20"/>
        </w:rPr>
        <w:t xml:space="preserve">Braun, V. and Clarke, V. (2021) </w:t>
      </w:r>
      <w:r w:rsidRPr="00D7020E">
        <w:rPr>
          <w:rStyle w:val="s2"/>
          <w:sz w:val="20"/>
          <w:szCs w:val="20"/>
        </w:rPr>
        <w:t>Thematic analysis: A practical guide</w:t>
      </w:r>
      <w:r w:rsidRPr="00D7020E">
        <w:rPr>
          <w:rStyle w:val="s1"/>
          <w:sz w:val="20"/>
          <w:szCs w:val="20"/>
        </w:rPr>
        <w:t>. London: SAGE.</w:t>
      </w:r>
    </w:p>
    <w:p w14:paraId="318990F6" w14:textId="2CA7164E" w:rsidR="00BD29AC" w:rsidRPr="00D7020E" w:rsidRDefault="00BD29AC">
      <w:pPr>
        <w:pStyle w:val="p1"/>
        <w:rPr>
          <w:sz w:val="20"/>
          <w:szCs w:val="20"/>
        </w:rPr>
      </w:pPr>
      <w:r w:rsidRPr="00D7020E">
        <w:rPr>
          <w:sz w:val="20"/>
          <w:szCs w:val="20"/>
        </w:rPr>
        <w:t>British Educational Research Association</w:t>
      </w:r>
      <w:r w:rsidRPr="00D7020E">
        <w:rPr>
          <w:rStyle w:val="s1"/>
          <w:sz w:val="20"/>
          <w:szCs w:val="20"/>
        </w:rPr>
        <w:t xml:space="preserve"> (2018) </w:t>
      </w:r>
      <w:r w:rsidRPr="00D7020E">
        <w:rPr>
          <w:rStyle w:val="s2"/>
          <w:sz w:val="20"/>
          <w:szCs w:val="20"/>
        </w:rPr>
        <w:t>Ethical guidelines for educational research</w:t>
      </w:r>
      <w:r w:rsidRPr="00D7020E">
        <w:rPr>
          <w:rStyle w:val="s1"/>
          <w:sz w:val="20"/>
          <w:szCs w:val="20"/>
        </w:rPr>
        <w:t xml:space="preserve">. 4th </w:t>
      </w:r>
      <w:proofErr w:type="spellStart"/>
      <w:r w:rsidRPr="00D7020E">
        <w:rPr>
          <w:rStyle w:val="s1"/>
          <w:sz w:val="20"/>
          <w:szCs w:val="20"/>
        </w:rPr>
        <w:t>edn</w:t>
      </w:r>
      <w:proofErr w:type="spellEnd"/>
      <w:r w:rsidRPr="00D7020E">
        <w:rPr>
          <w:rStyle w:val="s1"/>
          <w:sz w:val="20"/>
          <w:szCs w:val="20"/>
        </w:rPr>
        <w:t xml:space="preserve">. London: BERA. Available at: </w:t>
      </w:r>
      <w:hyperlink r:id="rId8" w:history="1">
        <w:r w:rsidRPr="00D7020E">
          <w:rPr>
            <w:rStyle w:val="Hyperlink"/>
            <w:sz w:val="20"/>
            <w:szCs w:val="20"/>
            <w:u w:val="none"/>
          </w:rPr>
          <w:t>https://www.bera.ac.uk/publication/ethical-guidelines-for-educational-research-2018</w:t>
        </w:r>
      </w:hyperlink>
      <w:r w:rsidRPr="00D7020E">
        <w:rPr>
          <w:rStyle w:val="s1"/>
          <w:sz w:val="20"/>
          <w:szCs w:val="20"/>
        </w:rPr>
        <w:t xml:space="preserve"> (Accessed: </w:t>
      </w:r>
      <w:r w:rsidR="00D52711" w:rsidRPr="00D7020E">
        <w:rPr>
          <w:rStyle w:val="s1"/>
          <w:sz w:val="20"/>
          <w:szCs w:val="20"/>
        </w:rPr>
        <w:t xml:space="preserve">9 </w:t>
      </w:r>
      <w:r w:rsidRPr="00D7020E">
        <w:rPr>
          <w:rStyle w:val="s1"/>
          <w:sz w:val="20"/>
          <w:szCs w:val="20"/>
        </w:rPr>
        <w:t>April 2026).</w:t>
      </w:r>
    </w:p>
    <w:p w14:paraId="6CF5154D" w14:textId="77777777" w:rsidR="00BD29AC" w:rsidRPr="00D7020E" w:rsidRDefault="00BD29AC" w:rsidP="00505A4A">
      <w:pPr>
        <w:rPr>
          <w:rFonts w:ascii="Times New Roman" w:hAnsi="Times New Roman" w:cs="Times New Roman"/>
          <w:kern w:val="0"/>
          <w:sz w:val="20"/>
          <w:szCs w:val="20"/>
          <w14:ligatures w14:val="none"/>
        </w:rPr>
      </w:pPr>
      <w:r w:rsidRPr="00D7020E">
        <w:rPr>
          <w:rFonts w:ascii="Times New Roman" w:hAnsi="Times New Roman" w:cs="Times New Roman"/>
          <w:kern w:val="0"/>
          <w:sz w:val="20"/>
          <w:szCs w:val="20"/>
          <w14:ligatures w14:val="none"/>
        </w:rPr>
        <w:t xml:space="preserve">Castles, A. </w:t>
      </w:r>
      <w:proofErr w:type="spellStart"/>
      <w:r w:rsidRPr="00D7020E">
        <w:rPr>
          <w:rFonts w:ascii="Times New Roman" w:hAnsi="Times New Roman" w:cs="Times New Roman"/>
          <w:kern w:val="0"/>
          <w:sz w:val="20"/>
          <w:szCs w:val="20"/>
          <w14:ligatures w14:val="none"/>
        </w:rPr>
        <w:t>Rastle</w:t>
      </w:r>
      <w:proofErr w:type="spellEnd"/>
      <w:r w:rsidRPr="00D7020E">
        <w:rPr>
          <w:rFonts w:ascii="Times New Roman" w:hAnsi="Times New Roman" w:cs="Times New Roman"/>
          <w:kern w:val="0"/>
          <w:sz w:val="20"/>
          <w:szCs w:val="20"/>
          <w14:ligatures w14:val="none"/>
        </w:rPr>
        <w:t>, K. and Nation, K. (2018) ‘Ending the reading wars: Reading acquisition from novice to expert’, Psychological Science in the Public Interest.</w:t>
      </w:r>
    </w:p>
    <w:p w14:paraId="34F08137" w14:textId="77777777" w:rsidR="00BD29AC" w:rsidRPr="00D7020E" w:rsidRDefault="00BD29AC">
      <w:pPr>
        <w:pStyle w:val="p1"/>
        <w:rPr>
          <w:sz w:val="20"/>
          <w:szCs w:val="20"/>
        </w:rPr>
      </w:pPr>
      <w:r w:rsidRPr="00D7020E">
        <w:rPr>
          <w:sz w:val="20"/>
          <w:szCs w:val="20"/>
        </w:rPr>
        <w:t xml:space="preserve">Christensen, P. and James, A. (2017) </w:t>
      </w:r>
      <w:r w:rsidRPr="00D7020E">
        <w:rPr>
          <w:rStyle w:val="s2"/>
          <w:sz w:val="20"/>
          <w:szCs w:val="20"/>
        </w:rPr>
        <w:t>Research with children: Perspectives and practices</w:t>
      </w:r>
      <w:r w:rsidRPr="00D7020E">
        <w:rPr>
          <w:rStyle w:val="s1"/>
          <w:sz w:val="20"/>
          <w:szCs w:val="20"/>
        </w:rPr>
        <w:t xml:space="preserve">. 3rd </w:t>
      </w:r>
      <w:proofErr w:type="spellStart"/>
      <w:r w:rsidRPr="00D7020E">
        <w:rPr>
          <w:rStyle w:val="s1"/>
          <w:sz w:val="20"/>
          <w:szCs w:val="20"/>
        </w:rPr>
        <w:t>edn</w:t>
      </w:r>
      <w:proofErr w:type="spellEnd"/>
      <w:r w:rsidRPr="00D7020E">
        <w:rPr>
          <w:rStyle w:val="s1"/>
          <w:sz w:val="20"/>
          <w:szCs w:val="20"/>
        </w:rPr>
        <w:t>. London: Routledge.</w:t>
      </w:r>
    </w:p>
    <w:p w14:paraId="21D4A2F7" w14:textId="77777777" w:rsidR="00BD29AC" w:rsidRPr="00D7020E" w:rsidRDefault="00BD29AC" w:rsidP="00767817">
      <w:pPr>
        <w:pStyle w:val="p1"/>
        <w:rPr>
          <w:rStyle w:val="s1"/>
          <w:sz w:val="20"/>
          <w:szCs w:val="20"/>
        </w:rPr>
      </w:pPr>
      <w:r w:rsidRPr="00D7020E">
        <w:rPr>
          <w:sz w:val="20"/>
          <w:szCs w:val="20"/>
        </w:rPr>
        <w:t xml:space="preserve">Clark, A. and Moss, P. (2011) </w:t>
      </w:r>
      <w:r w:rsidRPr="00D7020E">
        <w:rPr>
          <w:rStyle w:val="s2"/>
          <w:sz w:val="20"/>
          <w:szCs w:val="20"/>
        </w:rPr>
        <w:t>Listening to young children: The Mosaic approach</w:t>
      </w:r>
      <w:r w:rsidRPr="00D7020E">
        <w:rPr>
          <w:rStyle w:val="s1"/>
          <w:sz w:val="20"/>
          <w:szCs w:val="20"/>
        </w:rPr>
        <w:t xml:space="preserve">. 2nd </w:t>
      </w:r>
      <w:proofErr w:type="spellStart"/>
      <w:r w:rsidRPr="00D7020E">
        <w:rPr>
          <w:rStyle w:val="s1"/>
          <w:sz w:val="20"/>
          <w:szCs w:val="20"/>
        </w:rPr>
        <w:t>edn</w:t>
      </w:r>
      <w:proofErr w:type="spellEnd"/>
      <w:r w:rsidRPr="00D7020E">
        <w:rPr>
          <w:rStyle w:val="s1"/>
          <w:sz w:val="20"/>
          <w:szCs w:val="20"/>
        </w:rPr>
        <w:t>. London: National Children’s Bureau.</w:t>
      </w:r>
    </w:p>
    <w:p w14:paraId="13FC0722" w14:textId="77777777" w:rsidR="00BD29AC" w:rsidRPr="00D7020E" w:rsidRDefault="00BD29AC">
      <w:pPr>
        <w:pStyle w:val="p1"/>
        <w:rPr>
          <w:sz w:val="20"/>
          <w:szCs w:val="20"/>
        </w:rPr>
      </w:pPr>
      <w:r w:rsidRPr="00D7020E">
        <w:rPr>
          <w:sz w:val="20"/>
          <w:szCs w:val="20"/>
        </w:rPr>
        <w:t xml:space="preserve">Cohen, L., Manion, L. and Morrison, K. (2018) </w:t>
      </w:r>
      <w:r w:rsidRPr="00D7020E">
        <w:rPr>
          <w:rStyle w:val="s2"/>
          <w:sz w:val="20"/>
          <w:szCs w:val="20"/>
        </w:rPr>
        <w:t>Research methods in education</w:t>
      </w:r>
      <w:r w:rsidRPr="00D7020E">
        <w:rPr>
          <w:rStyle w:val="s1"/>
          <w:sz w:val="20"/>
          <w:szCs w:val="20"/>
        </w:rPr>
        <w:t xml:space="preserve">. 8th </w:t>
      </w:r>
      <w:proofErr w:type="spellStart"/>
      <w:r w:rsidRPr="00D7020E">
        <w:rPr>
          <w:rStyle w:val="s1"/>
          <w:sz w:val="20"/>
          <w:szCs w:val="20"/>
        </w:rPr>
        <w:t>edn</w:t>
      </w:r>
      <w:proofErr w:type="spellEnd"/>
      <w:r w:rsidRPr="00D7020E">
        <w:rPr>
          <w:rStyle w:val="s1"/>
          <w:sz w:val="20"/>
          <w:szCs w:val="20"/>
        </w:rPr>
        <w:t>. London: Routledge.</w:t>
      </w:r>
    </w:p>
    <w:p w14:paraId="46AA52EE" w14:textId="77777777" w:rsidR="00BD29AC" w:rsidRPr="00D7020E" w:rsidRDefault="00BD29AC" w:rsidP="00505A4A">
      <w:pPr>
        <w:rPr>
          <w:rFonts w:ascii="Times New Roman" w:hAnsi="Times New Roman" w:cs="Times New Roman"/>
          <w:kern w:val="0"/>
          <w:sz w:val="20"/>
          <w:szCs w:val="20"/>
          <w14:ligatures w14:val="none"/>
        </w:rPr>
      </w:pPr>
      <w:r w:rsidRPr="00D7020E">
        <w:rPr>
          <w:rFonts w:ascii="Times New Roman" w:hAnsi="Times New Roman" w:cs="Times New Roman"/>
          <w:kern w:val="0"/>
          <w:sz w:val="20"/>
          <w:szCs w:val="20"/>
          <w14:ligatures w14:val="none"/>
        </w:rPr>
        <w:t xml:space="preserve">Creswell, J.W. and Creswell, J.D. (2018) Research design: Qualitative, quantitative and mixed methods </w:t>
      </w:r>
      <w:proofErr w:type="gramStart"/>
      <w:r w:rsidRPr="00D7020E">
        <w:rPr>
          <w:rFonts w:ascii="Times New Roman" w:hAnsi="Times New Roman" w:cs="Times New Roman"/>
          <w:kern w:val="0"/>
          <w:sz w:val="20"/>
          <w:szCs w:val="20"/>
          <w14:ligatures w14:val="none"/>
        </w:rPr>
        <w:t>approaches</w:t>
      </w:r>
      <w:proofErr w:type="gramEnd"/>
      <w:r w:rsidRPr="00D7020E">
        <w:rPr>
          <w:rFonts w:ascii="Times New Roman" w:hAnsi="Times New Roman" w:cs="Times New Roman"/>
          <w:kern w:val="0"/>
          <w:sz w:val="20"/>
          <w:szCs w:val="20"/>
          <w14:ligatures w14:val="none"/>
        </w:rPr>
        <w:t xml:space="preserve">. 5th </w:t>
      </w:r>
      <w:proofErr w:type="spellStart"/>
      <w:r w:rsidRPr="00D7020E">
        <w:rPr>
          <w:rFonts w:ascii="Times New Roman" w:hAnsi="Times New Roman" w:cs="Times New Roman"/>
          <w:kern w:val="0"/>
          <w:sz w:val="20"/>
          <w:szCs w:val="20"/>
          <w14:ligatures w14:val="none"/>
        </w:rPr>
        <w:t>edn</w:t>
      </w:r>
      <w:proofErr w:type="spellEnd"/>
      <w:r w:rsidRPr="00D7020E">
        <w:rPr>
          <w:rFonts w:ascii="Times New Roman" w:hAnsi="Times New Roman" w:cs="Times New Roman"/>
          <w:kern w:val="0"/>
          <w:sz w:val="20"/>
          <w:szCs w:val="20"/>
          <w14:ligatures w14:val="none"/>
        </w:rPr>
        <w:t>. London: Sage.</w:t>
      </w:r>
    </w:p>
    <w:p w14:paraId="20924333" w14:textId="77777777" w:rsidR="00BD29AC" w:rsidRPr="00D7020E" w:rsidRDefault="00BD29AC">
      <w:pPr>
        <w:pStyle w:val="p1"/>
        <w:rPr>
          <w:sz w:val="20"/>
          <w:szCs w:val="20"/>
        </w:rPr>
      </w:pPr>
      <w:r w:rsidRPr="00D7020E">
        <w:rPr>
          <w:sz w:val="20"/>
          <w:szCs w:val="20"/>
        </w:rPr>
        <w:t xml:space="preserve">Crotty, M. (1998) </w:t>
      </w:r>
      <w:r w:rsidRPr="00D7020E">
        <w:rPr>
          <w:rStyle w:val="s2"/>
          <w:sz w:val="20"/>
          <w:szCs w:val="20"/>
        </w:rPr>
        <w:t>The foundations of social research: Meaning and perspective in the research process</w:t>
      </w:r>
      <w:r w:rsidRPr="00D7020E">
        <w:rPr>
          <w:rStyle w:val="s1"/>
          <w:sz w:val="20"/>
          <w:szCs w:val="20"/>
        </w:rPr>
        <w:t>. London: SAGE.</w:t>
      </w:r>
    </w:p>
    <w:p w14:paraId="2628BE97" w14:textId="68AD5C31" w:rsidR="00BD29AC" w:rsidRPr="00D7020E" w:rsidRDefault="00F82AD1">
      <w:pPr>
        <w:pStyle w:val="p1"/>
        <w:rPr>
          <w:rStyle w:val="s1"/>
          <w:sz w:val="20"/>
          <w:szCs w:val="20"/>
        </w:rPr>
      </w:pPr>
      <w:r w:rsidRPr="00D7020E">
        <w:rPr>
          <w:sz w:val="20"/>
          <w:szCs w:val="20"/>
        </w:rPr>
        <w:t>D</w:t>
      </w:r>
      <w:r w:rsidR="00BD29AC" w:rsidRPr="00D7020E">
        <w:rPr>
          <w:sz w:val="20"/>
          <w:szCs w:val="20"/>
        </w:rPr>
        <w:t xml:space="preserve">e Graaff, S. Bosman, A.M.T. and Hasselman, F. (2009) ‘Effects of phonics instruction in Dutch children at risk for reading difficulties’, </w:t>
      </w:r>
      <w:r w:rsidR="00BD29AC" w:rsidRPr="00D7020E">
        <w:rPr>
          <w:rStyle w:val="s2"/>
          <w:sz w:val="20"/>
          <w:szCs w:val="20"/>
        </w:rPr>
        <w:t>Journal of Research in Reading</w:t>
      </w:r>
      <w:r w:rsidR="00BD29AC" w:rsidRPr="00D7020E">
        <w:rPr>
          <w:rStyle w:val="s1"/>
          <w:sz w:val="20"/>
          <w:szCs w:val="20"/>
        </w:rPr>
        <w:t>.</w:t>
      </w:r>
    </w:p>
    <w:p w14:paraId="04247024" w14:textId="77777777" w:rsidR="00BD29AC" w:rsidRPr="00D7020E" w:rsidRDefault="00BD29AC">
      <w:pPr>
        <w:pStyle w:val="p1"/>
        <w:rPr>
          <w:sz w:val="20"/>
          <w:szCs w:val="20"/>
        </w:rPr>
      </w:pPr>
      <w:r w:rsidRPr="00D7020E">
        <w:rPr>
          <w:sz w:val="20"/>
          <w:szCs w:val="20"/>
        </w:rPr>
        <w:t xml:space="preserve">Denzin, N.K. (1978) </w:t>
      </w:r>
      <w:r w:rsidRPr="00D7020E">
        <w:rPr>
          <w:rStyle w:val="s2"/>
          <w:sz w:val="20"/>
          <w:szCs w:val="20"/>
        </w:rPr>
        <w:t>The research act: A theoretical introduction to sociological methods</w:t>
      </w:r>
      <w:r w:rsidRPr="00D7020E">
        <w:rPr>
          <w:rStyle w:val="s1"/>
          <w:sz w:val="20"/>
          <w:szCs w:val="20"/>
        </w:rPr>
        <w:t>. New York: McGraw-Hill.</w:t>
      </w:r>
    </w:p>
    <w:p w14:paraId="04EEBAEC" w14:textId="77777777" w:rsidR="00BD29AC" w:rsidRPr="00D7020E" w:rsidRDefault="00BD29AC">
      <w:pPr>
        <w:pStyle w:val="p1"/>
        <w:rPr>
          <w:sz w:val="20"/>
          <w:szCs w:val="20"/>
        </w:rPr>
      </w:pPr>
      <w:r w:rsidRPr="00D7020E">
        <w:rPr>
          <w:sz w:val="20"/>
          <w:szCs w:val="20"/>
        </w:rPr>
        <w:t xml:space="preserve">Ehri, L.C. et al, (2001) ‘Systematic phonics instruction helps students learn to read: Evidence from the National Reading Panel’s meta-analysis’, </w:t>
      </w:r>
      <w:r w:rsidRPr="00D7020E">
        <w:rPr>
          <w:rStyle w:val="s2"/>
          <w:sz w:val="20"/>
          <w:szCs w:val="20"/>
        </w:rPr>
        <w:t>Review of Educational Research</w:t>
      </w:r>
      <w:r w:rsidRPr="00D7020E">
        <w:rPr>
          <w:rStyle w:val="s1"/>
          <w:sz w:val="20"/>
          <w:szCs w:val="20"/>
        </w:rPr>
        <w:t>.</w:t>
      </w:r>
    </w:p>
    <w:p w14:paraId="558598CB" w14:textId="77777777" w:rsidR="00BD29AC" w:rsidRPr="00D7020E" w:rsidRDefault="00BD29AC">
      <w:pPr>
        <w:pStyle w:val="p1"/>
        <w:rPr>
          <w:sz w:val="20"/>
          <w:szCs w:val="20"/>
        </w:rPr>
      </w:pPr>
      <w:proofErr w:type="spellStart"/>
      <w:r w:rsidRPr="00D7020E">
        <w:rPr>
          <w:sz w:val="20"/>
          <w:szCs w:val="20"/>
        </w:rPr>
        <w:t>Etikan</w:t>
      </w:r>
      <w:proofErr w:type="spellEnd"/>
      <w:r w:rsidRPr="00D7020E">
        <w:rPr>
          <w:sz w:val="20"/>
          <w:szCs w:val="20"/>
        </w:rPr>
        <w:t xml:space="preserve">, I. Musa, S.A. and Alkassim, R.S. (2016) ‘Comparison of convenience sampling and purposive sampling’, </w:t>
      </w:r>
      <w:r w:rsidRPr="00D7020E">
        <w:rPr>
          <w:rStyle w:val="s2"/>
          <w:sz w:val="20"/>
          <w:szCs w:val="20"/>
        </w:rPr>
        <w:t>American Journal of Theoretical and Applied Statistics</w:t>
      </w:r>
      <w:r w:rsidRPr="00D7020E">
        <w:rPr>
          <w:rStyle w:val="s1"/>
          <w:sz w:val="20"/>
          <w:szCs w:val="20"/>
        </w:rPr>
        <w:t>.</w:t>
      </w:r>
    </w:p>
    <w:p w14:paraId="2C5E0F79" w14:textId="77777777" w:rsidR="00BD29AC" w:rsidRPr="00D7020E" w:rsidRDefault="00BD29AC">
      <w:pPr>
        <w:pStyle w:val="p1"/>
        <w:rPr>
          <w:sz w:val="20"/>
          <w:szCs w:val="20"/>
        </w:rPr>
      </w:pPr>
      <w:r w:rsidRPr="00D7020E">
        <w:rPr>
          <w:sz w:val="20"/>
          <w:szCs w:val="20"/>
        </w:rPr>
        <w:t xml:space="preserve">European Union (2016) </w:t>
      </w:r>
      <w:r w:rsidRPr="00D7020E">
        <w:rPr>
          <w:rStyle w:val="s2"/>
          <w:sz w:val="20"/>
          <w:szCs w:val="20"/>
        </w:rPr>
        <w:t>General Data Protection Regulation (GDPR)</w:t>
      </w:r>
      <w:r w:rsidRPr="00D7020E">
        <w:rPr>
          <w:rStyle w:val="s1"/>
          <w:sz w:val="20"/>
          <w:szCs w:val="20"/>
        </w:rPr>
        <w:t>. Brussels: European Commission.</w:t>
      </w:r>
    </w:p>
    <w:p w14:paraId="2F8462FF" w14:textId="77777777" w:rsidR="00BD29AC" w:rsidRPr="00D7020E" w:rsidRDefault="00BD29AC" w:rsidP="00505A4A">
      <w:pPr>
        <w:rPr>
          <w:rFonts w:ascii="Times New Roman" w:hAnsi="Times New Roman" w:cs="Times New Roman"/>
          <w:kern w:val="0"/>
          <w:sz w:val="20"/>
          <w:szCs w:val="20"/>
          <w14:ligatures w14:val="none"/>
        </w:rPr>
      </w:pPr>
      <w:r w:rsidRPr="00D7020E">
        <w:rPr>
          <w:rFonts w:ascii="Times New Roman" w:hAnsi="Times New Roman" w:cs="Times New Roman"/>
          <w:kern w:val="0"/>
          <w:sz w:val="20"/>
          <w:szCs w:val="20"/>
          <w14:ligatures w14:val="none"/>
        </w:rPr>
        <w:lastRenderedPageBreak/>
        <w:t xml:space="preserve">Hitchcock, G. and Hughes, D. (2018) Research and the teacher: A qualitative introduction to school-based research. 4th </w:t>
      </w:r>
      <w:proofErr w:type="spellStart"/>
      <w:r w:rsidRPr="00D7020E">
        <w:rPr>
          <w:rFonts w:ascii="Times New Roman" w:hAnsi="Times New Roman" w:cs="Times New Roman"/>
          <w:kern w:val="0"/>
          <w:sz w:val="20"/>
          <w:szCs w:val="20"/>
          <w14:ligatures w14:val="none"/>
        </w:rPr>
        <w:t>edn</w:t>
      </w:r>
      <w:proofErr w:type="spellEnd"/>
      <w:r w:rsidRPr="00D7020E">
        <w:rPr>
          <w:rFonts w:ascii="Times New Roman" w:hAnsi="Times New Roman" w:cs="Times New Roman"/>
          <w:kern w:val="0"/>
          <w:sz w:val="20"/>
          <w:szCs w:val="20"/>
          <w14:ligatures w14:val="none"/>
        </w:rPr>
        <w:t>. London: Routledge.</w:t>
      </w:r>
    </w:p>
    <w:p w14:paraId="03825CBA" w14:textId="683BC12D" w:rsidR="00BD29AC" w:rsidRPr="00D7020E" w:rsidRDefault="00BD29AC" w:rsidP="004E6A67">
      <w:pPr>
        <w:pStyle w:val="p1"/>
        <w:rPr>
          <w:sz w:val="20"/>
          <w:szCs w:val="20"/>
        </w:rPr>
      </w:pPr>
      <w:r w:rsidRPr="00D7020E">
        <w:rPr>
          <w:sz w:val="20"/>
          <w:szCs w:val="20"/>
        </w:rPr>
        <w:t xml:space="preserve">Kvale, S. and Brinkmann, S. (2015) </w:t>
      </w:r>
      <w:proofErr w:type="spellStart"/>
      <w:r w:rsidRPr="00D7020E">
        <w:rPr>
          <w:rStyle w:val="s2"/>
          <w:sz w:val="20"/>
          <w:szCs w:val="20"/>
        </w:rPr>
        <w:t>InterViews</w:t>
      </w:r>
      <w:proofErr w:type="spellEnd"/>
      <w:r w:rsidRPr="00D7020E">
        <w:rPr>
          <w:rStyle w:val="s2"/>
          <w:sz w:val="20"/>
          <w:szCs w:val="20"/>
        </w:rPr>
        <w:t>: Learning the craft of qualitative research interviewing</w:t>
      </w:r>
      <w:r w:rsidRPr="00D7020E">
        <w:rPr>
          <w:rStyle w:val="s1"/>
          <w:sz w:val="20"/>
          <w:szCs w:val="20"/>
        </w:rPr>
        <w:t xml:space="preserve">. 3rd </w:t>
      </w:r>
      <w:proofErr w:type="spellStart"/>
      <w:r w:rsidRPr="00D7020E">
        <w:rPr>
          <w:rStyle w:val="s1"/>
          <w:sz w:val="20"/>
          <w:szCs w:val="20"/>
        </w:rPr>
        <w:t>edn</w:t>
      </w:r>
      <w:proofErr w:type="spellEnd"/>
      <w:r w:rsidRPr="00D7020E">
        <w:rPr>
          <w:rStyle w:val="s1"/>
          <w:sz w:val="20"/>
          <w:szCs w:val="20"/>
        </w:rPr>
        <w:t>. London: SAGE.</w:t>
      </w:r>
    </w:p>
    <w:p w14:paraId="3B2C0724" w14:textId="77777777" w:rsidR="00BD29AC" w:rsidRPr="00D7020E" w:rsidRDefault="00BD29AC" w:rsidP="001C3BE5">
      <w:pPr>
        <w:pStyle w:val="p1"/>
        <w:rPr>
          <w:sz w:val="20"/>
          <w:szCs w:val="20"/>
        </w:rPr>
      </w:pPr>
      <w:r w:rsidRPr="00D7020E">
        <w:rPr>
          <w:sz w:val="20"/>
          <w:szCs w:val="20"/>
        </w:rPr>
        <w:t xml:space="preserve">Lincoln, Y.S. and Guba, E.G. (1985) </w:t>
      </w:r>
      <w:r w:rsidRPr="00D7020E">
        <w:rPr>
          <w:rStyle w:val="s2"/>
          <w:sz w:val="20"/>
          <w:szCs w:val="20"/>
        </w:rPr>
        <w:t>Naturalistic inquiry</w:t>
      </w:r>
      <w:r w:rsidRPr="00D7020E">
        <w:rPr>
          <w:rStyle w:val="s1"/>
          <w:sz w:val="20"/>
          <w:szCs w:val="20"/>
        </w:rPr>
        <w:t>. Newbury Park, CA: SAGE.</w:t>
      </w:r>
    </w:p>
    <w:p w14:paraId="231AB311" w14:textId="77777777" w:rsidR="00BD29AC" w:rsidRPr="00D7020E" w:rsidRDefault="00BD29AC" w:rsidP="00505A4A">
      <w:pPr>
        <w:rPr>
          <w:rFonts w:ascii="Times New Roman" w:hAnsi="Times New Roman" w:cs="Times New Roman"/>
          <w:kern w:val="0"/>
          <w:sz w:val="20"/>
          <w:szCs w:val="20"/>
          <w14:ligatures w14:val="none"/>
        </w:rPr>
      </w:pPr>
      <w:r w:rsidRPr="00D7020E">
        <w:rPr>
          <w:rFonts w:ascii="Times New Roman" w:hAnsi="Times New Roman" w:cs="Times New Roman"/>
          <w:kern w:val="0"/>
          <w:sz w:val="20"/>
          <w:szCs w:val="20"/>
          <w14:ligatures w14:val="none"/>
        </w:rPr>
        <w:t xml:space="preserve">Merriam, S.B. and Tisdell, E.J. (2016) Qualitative research: A guide to design and implementation. 4th </w:t>
      </w:r>
      <w:proofErr w:type="spellStart"/>
      <w:r w:rsidRPr="00D7020E">
        <w:rPr>
          <w:rFonts w:ascii="Times New Roman" w:hAnsi="Times New Roman" w:cs="Times New Roman"/>
          <w:kern w:val="0"/>
          <w:sz w:val="20"/>
          <w:szCs w:val="20"/>
          <w14:ligatures w14:val="none"/>
        </w:rPr>
        <w:t>edn</w:t>
      </w:r>
      <w:proofErr w:type="spellEnd"/>
      <w:r w:rsidRPr="00D7020E">
        <w:rPr>
          <w:rFonts w:ascii="Times New Roman" w:hAnsi="Times New Roman" w:cs="Times New Roman"/>
          <w:kern w:val="0"/>
          <w:sz w:val="20"/>
          <w:szCs w:val="20"/>
          <w14:ligatures w14:val="none"/>
        </w:rPr>
        <w:t>. San Francisco: Jossey-Bass.</w:t>
      </w:r>
    </w:p>
    <w:p w14:paraId="76383758" w14:textId="77777777" w:rsidR="00BD29AC" w:rsidRPr="00D7020E" w:rsidRDefault="00BD29AC">
      <w:pPr>
        <w:pStyle w:val="p1"/>
        <w:rPr>
          <w:sz w:val="20"/>
          <w:szCs w:val="20"/>
        </w:rPr>
      </w:pPr>
      <w:r w:rsidRPr="00D7020E">
        <w:rPr>
          <w:sz w:val="20"/>
          <w:szCs w:val="20"/>
        </w:rPr>
        <w:t xml:space="preserve">National Reading Panel (2000) </w:t>
      </w:r>
      <w:r w:rsidRPr="00D7020E">
        <w:rPr>
          <w:rStyle w:val="s2"/>
          <w:sz w:val="20"/>
          <w:szCs w:val="20"/>
        </w:rPr>
        <w:t>Teaching children to read: An evidence-based assessment of the scientific research literature on reading and its implications for reading instruction</w:t>
      </w:r>
      <w:r w:rsidRPr="00D7020E">
        <w:rPr>
          <w:rStyle w:val="s1"/>
          <w:sz w:val="20"/>
          <w:szCs w:val="20"/>
        </w:rPr>
        <w:t>. Washington, DC: National Institute of Child Health and Human Development.</w:t>
      </w:r>
    </w:p>
    <w:p w14:paraId="65B01D02" w14:textId="77777777" w:rsidR="00BD29AC" w:rsidRPr="00D7020E" w:rsidRDefault="00BD29AC" w:rsidP="0006271D">
      <w:pPr>
        <w:pStyle w:val="p2"/>
        <w:rPr>
          <w:rStyle w:val="s1"/>
          <w:sz w:val="20"/>
          <w:szCs w:val="20"/>
        </w:rPr>
      </w:pPr>
      <w:r w:rsidRPr="00D7020E">
        <w:rPr>
          <w:sz w:val="20"/>
          <w:szCs w:val="20"/>
        </w:rPr>
        <w:t xml:space="preserve">Nowell, L.S. Norris, J.M., White, D.E. and Moules, N.J. (2017) ‘Thematic analysis: Striving to meet the trustworthiness criteria’, </w:t>
      </w:r>
      <w:r w:rsidRPr="00D7020E">
        <w:rPr>
          <w:rStyle w:val="s2"/>
          <w:sz w:val="20"/>
          <w:szCs w:val="20"/>
        </w:rPr>
        <w:t>International Journal of Qualitative Methods</w:t>
      </w:r>
      <w:r w:rsidRPr="00D7020E">
        <w:rPr>
          <w:rStyle w:val="s1"/>
          <w:sz w:val="20"/>
          <w:szCs w:val="20"/>
        </w:rPr>
        <w:t>.</w:t>
      </w:r>
    </w:p>
    <w:p w14:paraId="3055C140" w14:textId="77777777" w:rsidR="00BD29AC" w:rsidRPr="00D7020E" w:rsidRDefault="00BD29AC">
      <w:pPr>
        <w:pStyle w:val="p1"/>
        <w:rPr>
          <w:sz w:val="20"/>
          <w:szCs w:val="20"/>
        </w:rPr>
      </w:pPr>
      <w:r w:rsidRPr="00D7020E">
        <w:rPr>
          <w:sz w:val="20"/>
          <w:szCs w:val="20"/>
        </w:rPr>
        <w:t xml:space="preserve">Patton, M.Q. (2015) </w:t>
      </w:r>
      <w:r w:rsidRPr="00D7020E">
        <w:rPr>
          <w:rStyle w:val="s2"/>
          <w:sz w:val="20"/>
          <w:szCs w:val="20"/>
        </w:rPr>
        <w:t>Qualitative research and evaluation methods</w:t>
      </w:r>
      <w:r w:rsidRPr="00D7020E">
        <w:rPr>
          <w:rStyle w:val="s1"/>
          <w:sz w:val="20"/>
          <w:szCs w:val="20"/>
        </w:rPr>
        <w:t xml:space="preserve">. 4th </w:t>
      </w:r>
      <w:proofErr w:type="spellStart"/>
      <w:r w:rsidRPr="00D7020E">
        <w:rPr>
          <w:rStyle w:val="s1"/>
          <w:sz w:val="20"/>
          <w:szCs w:val="20"/>
        </w:rPr>
        <w:t>edn</w:t>
      </w:r>
      <w:proofErr w:type="spellEnd"/>
      <w:r w:rsidRPr="00D7020E">
        <w:rPr>
          <w:rStyle w:val="s1"/>
          <w:sz w:val="20"/>
          <w:szCs w:val="20"/>
        </w:rPr>
        <w:t>. Thousand Oaks, CA: SAGE.</w:t>
      </w:r>
    </w:p>
    <w:p w14:paraId="64E380D3" w14:textId="77777777" w:rsidR="00BD29AC" w:rsidRPr="00D7020E" w:rsidRDefault="00BD29AC" w:rsidP="00505A4A">
      <w:pPr>
        <w:rPr>
          <w:rFonts w:ascii="Times New Roman" w:hAnsi="Times New Roman" w:cs="Times New Roman"/>
          <w:kern w:val="0"/>
          <w:sz w:val="20"/>
          <w:szCs w:val="20"/>
          <w14:ligatures w14:val="none"/>
        </w:rPr>
      </w:pPr>
      <w:r w:rsidRPr="00D7020E">
        <w:rPr>
          <w:rFonts w:ascii="Times New Roman" w:hAnsi="Times New Roman" w:cs="Times New Roman"/>
          <w:kern w:val="0"/>
          <w:sz w:val="20"/>
          <w:szCs w:val="20"/>
          <w14:ligatures w14:val="none"/>
        </w:rPr>
        <w:t xml:space="preserve">Punch, K.F. (2016) Introduction to research methods in education. 2nd </w:t>
      </w:r>
      <w:proofErr w:type="spellStart"/>
      <w:r w:rsidRPr="00D7020E">
        <w:rPr>
          <w:rFonts w:ascii="Times New Roman" w:hAnsi="Times New Roman" w:cs="Times New Roman"/>
          <w:kern w:val="0"/>
          <w:sz w:val="20"/>
          <w:szCs w:val="20"/>
          <w14:ligatures w14:val="none"/>
        </w:rPr>
        <w:t>edn</w:t>
      </w:r>
      <w:proofErr w:type="spellEnd"/>
      <w:r w:rsidRPr="00D7020E">
        <w:rPr>
          <w:rFonts w:ascii="Times New Roman" w:hAnsi="Times New Roman" w:cs="Times New Roman"/>
          <w:kern w:val="0"/>
          <w:sz w:val="20"/>
          <w:szCs w:val="20"/>
          <w14:ligatures w14:val="none"/>
        </w:rPr>
        <w:t>. London: Sage.</w:t>
      </w:r>
    </w:p>
    <w:p w14:paraId="43DFE149" w14:textId="77777777" w:rsidR="00BD29AC" w:rsidRPr="00D7020E" w:rsidRDefault="00BD29AC" w:rsidP="00125B57">
      <w:pPr>
        <w:pStyle w:val="p1"/>
        <w:rPr>
          <w:sz w:val="20"/>
          <w:szCs w:val="20"/>
        </w:rPr>
      </w:pPr>
      <w:r w:rsidRPr="00D7020E">
        <w:rPr>
          <w:sz w:val="20"/>
          <w:szCs w:val="20"/>
        </w:rPr>
        <w:t xml:space="preserve">Rose, J. (2006) </w:t>
      </w:r>
      <w:r w:rsidRPr="00D7020E">
        <w:rPr>
          <w:rStyle w:val="s2"/>
          <w:sz w:val="20"/>
          <w:szCs w:val="20"/>
        </w:rPr>
        <w:t>Independent review of the teaching of early reading</w:t>
      </w:r>
      <w:r w:rsidRPr="00D7020E">
        <w:rPr>
          <w:rStyle w:val="s1"/>
          <w:sz w:val="20"/>
          <w:szCs w:val="20"/>
        </w:rPr>
        <w:t>. Nottingham: Department for Education and Skills.</w:t>
      </w:r>
    </w:p>
    <w:p w14:paraId="7ED28628" w14:textId="77777777" w:rsidR="00BD29AC" w:rsidRPr="00D7020E" w:rsidRDefault="00BD29AC" w:rsidP="0006271D">
      <w:pPr>
        <w:pStyle w:val="p2"/>
        <w:rPr>
          <w:rStyle w:val="s1"/>
          <w:sz w:val="20"/>
          <w:szCs w:val="20"/>
        </w:rPr>
      </w:pPr>
      <w:r w:rsidRPr="00D7020E">
        <w:rPr>
          <w:sz w:val="20"/>
          <w:szCs w:val="20"/>
        </w:rPr>
        <w:t xml:space="preserve">Torgerson, C.J. Brooks, G. and Hall, J. (2006) ‘A systematic review of the research literature on the use of phonics in the teaching of reading and spelling’, </w:t>
      </w:r>
      <w:r w:rsidRPr="00D7020E">
        <w:rPr>
          <w:rStyle w:val="s2"/>
          <w:sz w:val="20"/>
          <w:szCs w:val="20"/>
        </w:rPr>
        <w:t>Research Papers in Education</w:t>
      </w:r>
      <w:r w:rsidRPr="00D7020E">
        <w:rPr>
          <w:rStyle w:val="s1"/>
          <w:sz w:val="20"/>
          <w:szCs w:val="20"/>
        </w:rPr>
        <w:t xml:space="preserve">. </w:t>
      </w:r>
    </w:p>
    <w:p w14:paraId="3C4D2202" w14:textId="0BF954F8" w:rsidR="00BD29AC" w:rsidRPr="00D7020E" w:rsidRDefault="00BD29AC" w:rsidP="0006271D">
      <w:pPr>
        <w:pStyle w:val="p2"/>
        <w:rPr>
          <w:rStyle w:val="s1"/>
          <w:sz w:val="20"/>
          <w:szCs w:val="20"/>
        </w:rPr>
      </w:pPr>
      <w:r w:rsidRPr="00D7020E">
        <w:rPr>
          <w:sz w:val="20"/>
          <w:szCs w:val="20"/>
        </w:rPr>
        <w:t>University of Wales Trinity Saint David</w:t>
      </w:r>
      <w:r w:rsidRPr="00D7020E">
        <w:rPr>
          <w:rStyle w:val="s1"/>
          <w:sz w:val="20"/>
          <w:szCs w:val="20"/>
        </w:rPr>
        <w:t xml:space="preserve"> (no date) </w:t>
      </w:r>
      <w:r w:rsidRPr="00D7020E">
        <w:rPr>
          <w:rStyle w:val="s2"/>
          <w:sz w:val="20"/>
          <w:szCs w:val="20"/>
        </w:rPr>
        <w:t>Ethics and research governance</w:t>
      </w:r>
      <w:r w:rsidRPr="00D7020E">
        <w:rPr>
          <w:rStyle w:val="s1"/>
          <w:sz w:val="20"/>
          <w:szCs w:val="20"/>
        </w:rPr>
        <w:t xml:space="preserve">. Available at: </w:t>
      </w:r>
      <w:hyperlink r:id="rId9" w:history="1">
        <w:r w:rsidRPr="00D7020E">
          <w:rPr>
            <w:rStyle w:val="Hyperlink"/>
            <w:sz w:val="20"/>
            <w:szCs w:val="20"/>
            <w:u w:val="none"/>
          </w:rPr>
          <w:t>https://www.uwtsd.ac.uk/research/ethics/</w:t>
        </w:r>
      </w:hyperlink>
      <w:r w:rsidRPr="00D7020E">
        <w:rPr>
          <w:rStyle w:val="s1"/>
          <w:sz w:val="20"/>
          <w:szCs w:val="20"/>
        </w:rPr>
        <w:t xml:space="preserve"> (Accessed: 12 April 2026).</w:t>
      </w:r>
    </w:p>
    <w:p w14:paraId="761E7CF7" w14:textId="77777777" w:rsidR="00BD29AC" w:rsidRPr="00D7020E" w:rsidRDefault="00BD29AC" w:rsidP="006374C8">
      <w:pPr>
        <w:pStyle w:val="p2"/>
        <w:rPr>
          <w:rStyle w:val="s1"/>
          <w:sz w:val="20"/>
          <w:szCs w:val="20"/>
        </w:rPr>
      </w:pPr>
      <w:r w:rsidRPr="00D7020E">
        <w:rPr>
          <w:sz w:val="20"/>
          <w:szCs w:val="20"/>
        </w:rPr>
        <w:t xml:space="preserve">University of Wales Trinity Saint David (UWTSD) (2023) </w:t>
      </w:r>
      <w:r w:rsidRPr="00D7020E">
        <w:rPr>
          <w:rStyle w:val="s2"/>
          <w:sz w:val="20"/>
          <w:szCs w:val="20"/>
        </w:rPr>
        <w:t>Ethics guide for research students</w:t>
      </w:r>
      <w:r w:rsidRPr="00D7020E">
        <w:rPr>
          <w:rStyle w:val="s1"/>
          <w:sz w:val="20"/>
          <w:szCs w:val="20"/>
        </w:rPr>
        <w:t>. Swansea: UWTSD.</w:t>
      </w:r>
    </w:p>
    <w:p w14:paraId="2CADB11F" w14:textId="77777777" w:rsidR="00BD29AC" w:rsidRPr="00D7020E" w:rsidRDefault="00BD29AC" w:rsidP="006374C8">
      <w:pPr>
        <w:pStyle w:val="p2"/>
        <w:rPr>
          <w:rStyle w:val="s1"/>
          <w:sz w:val="20"/>
          <w:szCs w:val="20"/>
        </w:rPr>
      </w:pPr>
      <w:r w:rsidRPr="00D7020E">
        <w:rPr>
          <w:sz w:val="20"/>
          <w:szCs w:val="20"/>
        </w:rPr>
        <w:t xml:space="preserve">Vygotsky, L.S. (1978) </w:t>
      </w:r>
      <w:r w:rsidRPr="00D7020E">
        <w:rPr>
          <w:rStyle w:val="s2"/>
          <w:sz w:val="20"/>
          <w:szCs w:val="20"/>
        </w:rPr>
        <w:t>Mind in society: The development of higher psychological processes</w:t>
      </w:r>
      <w:r w:rsidRPr="00D7020E">
        <w:rPr>
          <w:rStyle w:val="s1"/>
          <w:sz w:val="20"/>
          <w:szCs w:val="20"/>
        </w:rPr>
        <w:t>. Cambridge, MA: Harvard University Press.</w:t>
      </w:r>
    </w:p>
    <w:sectPr w:rsidR="00BD29AC" w:rsidRPr="00D7020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A7C3D" w14:textId="77777777" w:rsidR="00E04E9F" w:rsidRDefault="00E04E9F" w:rsidP="001F6AFA">
      <w:pPr>
        <w:spacing w:after="0" w:line="240" w:lineRule="auto"/>
      </w:pPr>
      <w:r>
        <w:separator/>
      </w:r>
    </w:p>
  </w:endnote>
  <w:endnote w:type="continuationSeparator" w:id="0">
    <w:p w14:paraId="302A5BC4" w14:textId="77777777" w:rsidR="00E04E9F" w:rsidRDefault="00E04E9F" w:rsidP="001F6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61217" w14:textId="77777777" w:rsidR="00E04E9F" w:rsidRDefault="00E04E9F" w:rsidP="001F6AFA">
      <w:pPr>
        <w:spacing w:after="0" w:line="240" w:lineRule="auto"/>
      </w:pPr>
      <w:r>
        <w:separator/>
      </w:r>
    </w:p>
  </w:footnote>
  <w:footnote w:type="continuationSeparator" w:id="0">
    <w:p w14:paraId="1C73385F" w14:textId="77777777" w:rsidR="00E04E9F" w:rsidRDefault="00E04E9F" w:rsidP="001F6A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D35FA" w14:textId="03BD6372" w:rsidR="000C5D40" w:rsidRPr="00771469" w:rsidRDefault="000C5D40">
    <w:pPr>
      <w:pStyle w:val="Header"/>
      <w:rPr>
        <w:rFonts w:ascii="Times New Roman" w:hAnsi="Times New Roman" w:cs="Times New Roman"/>
        <w:sz w:val="16"/>
        <w:szCs w:val="16"/>
      </w:rPr>
    </w:pPr>
    <w:r w:rsidRPr="00771469">
      <w:rPr>
        <w:rFonts w:ascii="Times New Roman" w:hAnsi="Times New Roman" w:cs="Times New Roman"/>
        <w:sz w:val="16"/>
        <w:szCs w:val="16"/>
      </w:rPr>
      <w:tab/>
    </w:r>
    <w:r w:rsidRPr="00771469">
      <w:rPr>
        <w:rFonts w:ascii="Times New Roman" w:hAnsi="Times New Roman" w:cs="Times New Roman"/>
        <w:sz w:val="16"/>
        <w:szCs w:val="16"/>
      </w:rPr>
      <w:tab/>
      <w:t>S</w:t>
    </w:r>
    <w:r w:rsidR="00771469" w:rsidRPr="00771469">
      <w:rPr>
        <w:rFonts w:ascii="Times New Roman" w:hAnsi="Times New Roman" w:cs="Times New Roman"/>
        <w:sz w:val="16"/>
        <w:szCs w:val="16"/>
      </w:rPr>
      <w:t>tudent no: 1706864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925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7019A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8F5B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A60E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114BB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7C1A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0A52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A901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217F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EC63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1A44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D51A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1632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032F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941D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EA5E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1900563">
    <w:abstractNumId w:val="1"/>
  </w:num>
  <w:num w:numId="2" w16cid:durableId="1763866773">
    <w:abstractNumId w:val="5"/>
  </w:num>
  <w:num w:numId="3" w16cid:durableId="1616063542">
    <w:abstractNumId w:val="2"/>
  </w:num>
  <w:num w:numId="4" w16cid:durableId="937711268">
    <w:abstractNumId w:val="12"/>
  </w:num>
  <w:num w:numId="5" w16cid:durableId="1298685789">
    <w:abstractNumId w:val="0"/>
  </w:num>
  <w:num w:numId="6" w16cid:durableId="1071124548">
    <w:abstractNumId w:val="8"/>
  </w:num>
  <w:num w:numId="7" w16cid:durableId="954750113">
    <w:abstractNumId w:val="6"/>
  </w:num>
  <w:num w:numId="8" w16cid:durableId="1320307165">
    <w:abstractNumId w:val="14"/>
  </w:num>
  <w:num w:numId="9" w16cid:durableId="86272708">
    <w:abstractNumId w:val="15"/>
  </w:num>
  <w:num w:numId="10" w16cid:durableId="2083411581">
    <w:abstractNumId w:val="7"/>
  </w:num>
  <w:num w:numId="11" w16cid:durableId="1537230731">
    <w:abstractNumId w:val="9"/>
  </w:num>
  <w:num w:numId="12" w16cid:durableId="1158812638">
    <w:abstractNumId w:val="11"/>
  </w:num>
  <w:num w:numId="13" w16cid:durableId="664623871">
    <w:abstractNumId w:val="13"/>
  </w:num>
  <w:num w:numId="14" w16cid:durableId="1434741604">
    <w:abstractNumId w:val="3"/>
  </w:num>
  <w:num w:numId="15" w16cid:durableId="2033726926">
    <w:abstractNumId w:val="4"/>
  </w:num>
  <w:num w:numId="16" w16cid:durableId="16851321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DB6"/>
    <w:rsid w:val="00020B0E"/>
    <w:rsid w:val="00024206"/>
    <w:rsid w:val="000308FA"/>
    <w:rsid w:val="0003158B"/>
    <w:rsid w:val="00053FB8"/>
    <w:rsid w:val="0006271D"/>
    <w:rsid w:val="00074EB4"/>
    <w:rsid w:val="000C149A"/>
    <w:rsid w:val="000C4F86"/>
    <w:rsid w:val="000C5D40"/>
    <w:rsid w:val="000D7C14"/>
    <w:rsid w:val="000F2BEB"/>
    <w:rsid w:val="0012527E"/>
    <w:rsid w:val="00125B57"/>
    <w:rsid w:val="001335FA"/>
    <w:rsid w:val="00153AC4"/>
    <w:rsid w:val="001639FE"/>
    <w:rsid w:val="001657A2"/>
    <w:rsid w:val="0019233F"/>
    <w:rsid w:val="0019328A"/>
    <w:rsid w:val="001B3E16"/>
    <w:rsid w:val="001B425B"/>
    <w:rsid w:val="001C3BE5"/>
    <w:rsid w:val="001D6114"/>
    <w:rsid w:val="001E4C34"/>
    <w:rsid w:val="001F6AFA"/>
    <w:rsid w:val="001F7590"/>
    <w:rsid w:val="002325DC"/>
    <w:rsid w:val="00270DAF"/>
    <w:rsid w:val="00287C48"/>
    <w:rsid w:val="002946E9"/>
    <w:rsid w:val="002A48A6"/>
    <w:rsid w:val="002B29B1"/>
    <w:rsid w:val="002E5929"/>
    <w:rsid w:val="003120FF"/>
    <w:rsid w:val="00324174"/>
    <w:rsid w:val="00332617"/>
    <w:rsid w:val="003530AE"/>
    <w:rsid w:val="00365E75"/>
    <w:rsid w:val="003D4A9D"/>
    <w:rsid w:val="00423CD6"/>
    <w:rsid w:val="00447D5E"/>
    <w:rsid w:val="00463352"/>
    <w:rsid w:val="00475E65"/>
    <w:rsid w:val="00493A6E"/>
    <w:rsid w:val="004E0431"/>
    <w:rsid w:val="004E215A"/>
    <w:rsid w:val="004E6A67"/>
    <w:rsid w:val="004F6E64"/>
    <w:rsid w:val="00505A4A"/>
    <w:rsid w:val="00513C36"/>
    <w:rsid w:val="00550B25"/>
    <w:rsid w:val="00585A4D"/>
    <w:rsid w:val="00594C26"/>
    <w:rsid w:val="00594F33"/>
    <w:rsid w:val="005B2894"/>
    <w:rsid w:val="005C1A2C"/>
    <w:rsid w:val="005D4C69"/>
    <w:rsid w:val="005E38A9"/>
    <w:rsid w:val="005E3E28"/>
    <w:rsid w:val="005F53C2"/>
    <w:rsid w:val="00602F27"/>
    <w:rsid w:val="006335D0"/>
    <w:rsid w:val="006374C8"/>
    <w:rsid w:val="00646D68"/>
    <w:rsid w:val="0065675E"/>
    <w:rsid w:val="006666FE"/>
    <w:rsid w:val="0068039C"/>
    <w:rsid w:val="006A1353"/>
    <w:rsid w:val="006F2146"/>
    <w:rsid w:val="007169F3"/>
    <w:rsid w:val="00757E0C"/>
    <w:rsid w:val="00767817"/>
    <w:rsid w:val="00771469"/>
    <w:rsid w:val="0078104A"/>
    <w:rsid w:val="00785629"/>
    <w:rsid w:val="007B021E"/>
    <w:rsid w:val="007D2EFE"/>
    <w:rsid w:val="007D34E2"/>
    <w:rsid w:val="007D5006"/>
    <w:rsid w:val="008052E0"/>
    <w:rsid w:val="008266B0"/>
    <w:rsid w:val="00832C1F"/>
    <w:rsid w:val="0083701C"/>
    <w:rsid w:val="0086575D"/>
    <w:rsid w:val="008933CA"/>
    <w:rsid w:val="008A4ADA"/>
    <w:rsid w:val="008B4095"/>
    <w:rsid w:val="008E4E2E"/>
    <w:rsid w:val="008E4E60"/>
    <w:rsid w:val="008F3554"/>
    <w:rsid w:val="008F38EE"/>
    <w:rsid w:val="009511BA"/>
    <w:rsid w:val="0097612E"/>
    <w:rsid w:val="009C0D25"/>
    <w:rsid w:val="009D662A"/>
    <w:rsid w:val="009F371A"/>
    <w:rsid w:val="00A10DD9"/>
    <w:rsid w:val="00A53CFD"/>
    <w:rsid w:val="00A70B00"/>
    <w:rsid w:val="00A80B7B"/>
    <w:rsid w:val="00A81B6C"/>
    <w:rsid w:val="00AB49AF"/>
    <w:rsid w:val="00AB5BDC"/>
    <w:rsid w:val="00AC74D6"/>
    <w:rsid w:val="00AC7DB6"/>
    <w:rsid w:val="00AD7345"/>
    <w:rsid w:val="00AE1A63"/>
    <w:rsid w:val="00AE7C08"/>
    <w:rsid w:val="00AE7EEE"/>
    <w:rsid w:val="00B02812"/>
    <w:rsid w:val="00B46D3E"/>
    <w:rsid w:val="00B86C39"/>
    <w:rsid w:val="00B86ED4"/>
    <w:rsid w:val="00BC35A6"/>
    <w:rsid w:val="00BC6CD4"/>
    <w:rsid w:val="00BD29AC"/>
    <w:rsid w:val="00BD5EEB"/>
    <w:rsid w:val="00BE023C"/>
    <w:rsid w:val="00C03920"/>
    <w:rsid w:val="00C20652"/>
    <w:rsid w:val="00C2578E"/>
    <w:rsid w:val="00C34200"/>
    <w:rsid w:val="00C53CC8"/>
    <w:rsid w:val="00CC0F1E"/>
    <w:rsid w:val="00CC7A8D"/>
    <w:rsid w:val="00CF5452"/>
    <w:rsid w:val="00D3149B"/>
    <w:rsid w:val="00D33016"/>
    <w:rsid w:val="00D33E05"/>
    <w:rsid w:val="00D44A80"/>
    <w:rsid w:val="00D52711"/>
    <w:rsid w:val="00D56EAA"/>
    <w:rsid w:val="00D7020E"/>
    <w:rsid w:val="00D74129"/>
    <w:rsid w:val="00D74ED0"/>
    <w:rsid w:val="00DB28DB"/>
    <w:rsid w:val="00DC309C"/>
    <w:rsid w:val="00DD01AE"/>
    <w:rsid w:val="00DD6343"/>
    <w:rsid w:val="00DD65B4"/>
    <w:rsid w:val="00E03C45"/>
    <w:rsid w:val="00E04E9F"/>
    <w:rsid w:val="00E10D03"/>
    <w:rsid w:val="00E25250"/>
    <w:rsid w:val="00E3573A"/>
    <w:rsid w:val="00E43B94"/>
    <w:rsid w:val="00E6001B"/>
    <w:rsid w:val="00E83B92"/>
    <w:rsid w:val="00EA3790"/>
    <w:rsid w:val="00EF3CCB"/>
    <w:rsid w:val="00F102AC"/>
    <w:rsid w:val="00F54309"/>
    <w:rsid w:val="00F71841"/>
    <w:rsid w:val="00F72406"/>
    <w:rsid w:val="00F72A48"/>
    <w:rsid w:val="00F82AD1"/>
    <w:rsid w:val="00F91AC3"/>
    <w:rsid w:val="00F91D00"/>
    <w:rsid w:val="00F92DD6"/>
    <w:rsid w:val="00F93F10"/>
    <w:rsid w:val="00FA6468"/>
    <w:rsid w:val="00FC3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B4D29"/>
  <w15:chartTrackingRefBased/>
  <w15:docId w15:val="{21D5D3D6-DA56-9048-8BE4-797496A91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D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7D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C7D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7D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7D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7D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7D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7D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7D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D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7D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7D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7D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7D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7D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7D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7D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7DB6"/>
    <w:rPr>
      <w:rFonts w:eastAsiaTheme="majorEastAsia" w:cstheme="majorBidi"/>
      <w:color w:val="272727" w:themeColor="text1" w:themeTint="D8"/>
    </w:rPr>
  </w:style>
  <w:style w:type="paragraph" w:styleId="Title">
    <w:name w:val="Title"/>
    <w:basedOn w:val="Normal"/>
    <w:next w:val="Normal"/>
    <w:link w:val="TitleChar"/>
    <w:uiPriority w:val="10"/>
    <w:qFormat/>
    <w:rsid w:val="00AC7D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D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7D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7D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7DB6"/>
    <w:pPr>
      <w:spacing w:before="160"/>
      <w:jc w:val="center"/>
    </w:pPr>
    <w:rPr>
      <w:i/>
      <w:iCs/>
      <w:color w:val="404040" w:themeColor="text1" w:themeTint="BF"/>
    </w:rPr>
  </w:style>
  <w:style w:type="character" w:customStyle="1" w:styleId="QuoteChar">
    <w:name w:val="Quote Char"/>
    <w:basedOn w:val="DefaultParagraphFont"/>
    <w:link w:val="Quote"/>
    <w:uiPriority w:val="29"/>
    <w:rsid w:val="00AC7DB6"/>
    <w:rPr>
      <w:i/>
      <w:iCs/>
      <w:color w:val="404040" w:themeColor="text1" w:themeTint="BF"/>
    </w:rPr>
  </w:style>
  <w:style w:type="paragraph" w:styleId="ListParagraph">
    <w:name w:val="List Paragraph"/>
    <w:basedOn w:val="Normal"/>
    <w:uiPriority w:val="34"/>
    <w:qFormat/>
    <w:rsid w:val="00AC7DB6"/>
    <w:pPr>
      <w:ind w:left="720"/>
      <w:contextualSpacing/>
    </w:pPr>
  </w:style>
  <w:style w:type="character" w:styleId="IntenseEmphasis">
    <w:name w:val="Intense Emphasis"/>
    <w:basedOn w:val="DefaultParagraphFont"/>
    <w:uiPriority w:val="21"/>
    <w:qFormat/>
    <w:rsid w:val="00AC7DB6"/>
    <w:rPr>
      <w:i/>
      <w:iCs/>
      <w:color w:val="0F4761" w:themeColor="accent1" w:themeShade="BF"/>
    </w:rPr>
  </w:style>
  <w:style w:type="paragraph" w:styleId="IntenseQuote">
    <w:name w:val="Intense Quote"/>
    <w:basedOn w:val="Normal"/>
    <w:next w:val="Normal"/>
    <w:link w:val="IntenseQuoteChar"/>
    <w:uiPriority w:val="30"/>
    <w:qFormat/>
    <w:rsid w:val="00AC7D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7DB6"/>
    <w:rPr>
      <w:i/>
      <w:iCs/>
      <w:color w:val="0F4761" w:themeColor="accent1" w:themeShade="BF"/>
    </w:rPr>
  </w:style>
  <w:style w:type="character" w:styleId="IntenseReference">
    <w:name w:val="Intense Reference"/>
    <w:basedOn w:val="DefaultParagraphFont"/>
    <w:uiPriority w:val="32"/>
    <w:qFormat/>
    <w:rsid w:val="00AC7DB6"/>
    <w:rPr>
      <w:b/>
      <w:bCs/>
      <w:smallCaps/>
      <w:color w:val="0F4761" w:themeColor="accent1" w:themeShade="BF"/>
      <w:spacing w:val="5"/>
    </w:rPr>
  </w:style>
  <w:style w:type="paragraph" w:customStyle="1" w:styleId="p1">
    <w:name w:val="p1"/>
    <w:basedOn w:val="Normal"/>
    <w:rsid w:val="008F3554"/>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8F3554"/>
  </w:style>
  <w:style w:type="paragraph" w:customStyle="1" w:styleId="p2">
    <w:name w:val="p2"/>
    <w:basedOn w:val="Normal"/>
    <w:rsid w:val="008F3554"/>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8F3554"/>
  </w:style>
  <w:style w:type="paragraph" w:customStyle="1" w:styleId="p3">
    <w:name w:val="p3"/>
    <w:basedOn w:val="Normal"/>
    <w:rsid w:val="008F3554"/>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8F3554"/>
  </w:style>
  <w:style w:type="character" w:customStyle="1" w:styleId="s4">
    <w:name w:val="s4"/>
    <w:basedOn w:val="DefaultParagraphFont"/>
    <w:rsid w:val="008F3554"/>
  </w:style>
  <w:style w:type="character" w:customStyle="1" w:styleId="apple-converted-space">
    <w:name w:val="apple-converted-space"/>
    <w:basedOn w:val="DefaultParagraphFont"/>
    <w:rsid w:val="00AD7345"/>
  </w:style>
  <w:style w:type="character" w:styleId="Hyperlink">
    <w:name w:val="Hyperlink"/>
    <w:basedOn w:val="DefaultParagraphFont"/>
    <w:uiPriority w:val="99"/>
    <w:semiHidden/>
    <w:unhideWhenUsed/>
    <w:rsid w:val="00F71841"/>
    <w:rPr>
      <w:color w:val="0000FF"/>
      <w:u w:val="single"/>
    </w:rPr>
  </w:style>
  <w:style w:type="paragraph" w:styleId="Header">
    <w:name w:val="header"/>
    <w:basedOn w:val="Normal"/>
    <w:link w:val="HeaderChar"/>
    <w:uiPriority w:val="99"/>
    <w:unhideWhenUsed/>
    <w:rsid w:val="001F6A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AFA"/>
  </w:style>
  <w:style w:type="paragraph" w:styleId="Footer">
    <w:name w:val="footer"/>
    <w:basedOn w:val="Normal"/>
    <w:link w:val="FooterChar"/>
    <w:uiPriority w:val="99"/>
    <w:unhideWhenUsed/>
    <w:rsid w:val="001F6A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A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12</Pages>
  <Words>4991</Words>
  <Characters>28452</Characters>
  <Application>Microsoft Office Word</Application>
  <DocSecurity>0</DocSecurity>
  <Lines>237</Lines>
  <Paragraphs>66</Paragraphs>
  <ScaleCrop>false</ScaleCrop>
  <Company/>
  <LinksUpToDate>false</LinksUpToDate>
  <CharactersWithSpaces>33377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Pughsley (1706864)</dc:creator>
  <cp:keywords/>
  <dc:description/>
  <cp:lastModifiedBy>C Pughsley (Awel Y Mor Primary School)</cp:lastModifiedBy>
  <cp:revision>17</cp:revision>
  <dcterms:created xsi:type="dcterms:W3CDTF">2026-04-29T18:10:00Z</dcterms:created>
  <dcterms:modified xsi:type="dcterms:W3CDTF">2026-04-30T20:03:00Z</dcterms:modified>
</cp:coreProperties>
</file>