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885E6" w14:textId="77777777" w:rsidR="00B30362" w:rsidRDefault="00000000">
      <w:pPr>
        <w:pStyle w:val="Title"/>
        <w:jc w:val="left"/>
        <w:rPr>
          <w:sz w:val="32"/>
          <w:szCs w:val="32"/>
        </w:rPr>
      </w:pPr>
      <w:bookmarkStart w:id="0" w:name="_eyt4c592noxi" w:colFirst="0" w:colLast="0"/>
      <w:bookmarkEnd w:id="0"/>
      <w:r>
        <w:rPr>
          <w:noProof/>
          <w:sz w:val="32"/>
          <w:szCs w:val="32"/>
        </w:rPr>
        <w:drawing>
          <wp:inline distT="114300" distB="114300" distL="114300" distR="114300" wp14:anchorId="54B2B27E" wp14:editId="6676812F">
            <wp:extent cx="1543050" cy="7410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b="12584"/>
                    <a:stretch>
                      <a:fillRect/>
                    </a:stretch>
                  </pic:blipFill>
                  <pic:spPr>
                    <a:xfrm>
                      <a:off x="0" y="0"/>
                      <a:ext cx="1543050" cy="741045"/>
                    </a:xfrm>
                    <a:prstGeom prst="rect">
                      <a:avLst/>
                    </a:prstGeom>
                    <a:ln/>
                  </pic:spPr>
                </pic:pic>
              </a:graphicData>
            </a:graphic>
          </wp:inline>
        </w:drawing>
      </w:r>
    </w:p>
    <w:p w14:paraId="5886F22D" w14:textId="77777777" w:rsidR="00837B23" w:rsidRDefault="00837B23" w:rsidP="00837B23">
      <w:pPr>
        <w:pStyle w:val="Title"/>
        <w:jc w:val="center"/>
        <w:rPr>
          <w:sz w:val="32"/>
          <w:szCs w:val="32"/>
        </w:rPr>
      </w:pPr>
      <w:r>
        <w:t xml:space="preserve">               </w:t>
      </w:r>
      <w:r>
        <w:rPr>
          <w:sz w:val="32"/>
          <w:szCs w:val="32"/>
        </w:rPr>
        <w:t>BA (Hons) Leadership and Management Skills for the Workplace</w:t>
      </w:r>
    </w:p>
    <w:p w14:paraId="67DD8EBA" w14:textId="4C0585A2" w:rsidR="00837B23" w:rsidRDefault="00837B23" w:rsidP="00837B23"/>
    <w:p w14:paraId="79BC3B87" w14:textId="77777777" w:rsidR="00837B23" w:rsidRPr="00837B23" w:rsidRDefault="00837B23" w:rsidP="00837B23"/>
    <w:p w14:paraId="7CDFEAE3" w14:textId="77777777" w:rsidR="00837B23" w:rsidRDefault="00837B23" w:rsidP="00837B23"/>
    <w:p w14:paraId="693DEA74" w14:textId="77777777" w:rsidR="00837B23" w:rsidRPr="00837B23" w:rsidRDefault="00837B23" w:rsidP="00837B23"/>
    <w:p w14:paraId="07584819" w14:textId="77777777" w:rsidR="00837B23" w:rsidRPr="00837B23" w:rsidRDefault="00837B23" w:rsidP="00837B23">
      <w:pPr>
        <w:rPr>
          <w:b/>
          <w:bCs/>
          <w:sz w:val="36"/>
          <w:szCs w:val="36"/>
          <w:lang w:eastAsia="en-IN"/>
        </w:rPr>
      </w:pPr>
      <w:bookmarkStart w:id="1" w:name="_k9hvwun4de85" w:colFirst="0" w:colLast="0"/>
      <w:bookmarkEnd w:id="1"/>
      <w:r w:rsidRPr="00837B23">
        <w:rPr>
          <w:b/>
          <w:bCs/>
          <w:sz w:val="36"/>
          <w:szCs w:val="36"/>
          <w:lang w:eastAsia="en-IN"/>
        </w:rPr>
        <w:t>Student Name: Ionut Cojan   2109652</w:t>
      </w:r>
      <w:bookmarkStart w:id="2" w:name="_2adg5wwuv8ok" w:colFirst="0" w:colLast="0"/>
      <w:bookmarkEnd w:id="2"/>
    </w:p>
    <w:p w14:paraId="60D2A665" w14:textId="323D8F78" w:rsidR="00837B23" w:rsidRPr="00837B23" w:rsidRDefault="00837B23" w:rsidP="00837B23">
      <w:pPr>
        <w:rPr>
          <w:b/>
          <w:bCs/>
          <w:sz w:val="36"/>
          <w:szCs w:val="36"/>
          <w:lang w:eastAsia="en-IN"/>
        </w:rPr>
      </w:pPr>
      <w:r w:rsidRPr="00837B23">
        <w:rPr>
          <w:b/>
          <w:sz w:val="36"/>
          <w:szCs w:val="36"/>
          <w:lang w:eastAsia="en-IN"/>
        </w:rPr>
        <w:t xml:space="preserve">Module name: </w:t>
      </w:r>
      <w:r w:rsidRPr="00837B23">
        <w:rPr>
          <w:b/>
          <w:sz w:val="36"/>
          <w:szCs w:val="36"/>
        </w:rPr>
        <w:t xml:space="preserve">Leading and Implementing workplace </w:t>
      </w:r>
      <w:r w:rsidRPr="00837B23">
        <w:rPr>
          <w:b/>
          <w:sz w:val="36"/>
          <w:szCs w:val="36"/>
        </w:rPr>
        <w:t>change.</w:t>
      </w:r>
      <w:r w:rsidRPr="00837B23">
        <w:rPr>
          <w:b/>
          <w:sz w:val="36"/>
          <w:szCs w:val="36"/>
        </w:rPr>
        <w:t xml:space="preserve"> </w:t>
      </w:r>
    </w:p>
    <w:p w14:paraId="0C465D31" w14:textId="77777777" w:rsidR="00837B23" w:rsidRPr="00837B23" w:rsidRDefault="00837B23" w:rsidP="00837B23">
      <w:pPr>
        <w:keepNext/>
        <w:keepLines/>
        <w:rPr>
          <w:b/>
          <w:sz w:val="36"/>
          <w:szCs w:val="36"/>
          <w:lang w:eastAsia="en-IN"/>
        </w:rPr>
      </w:pPr>
      <w:r w:rsidRPr="00837B23">
        <w:rPr>
          <w:b/>
          <w:sz w:val="36"/>
          <w:szCs w:val="36"/>
        </w:rPr>
        <w:t xml:space="preserve"> </w:t>
      </w:r>
    </w:p>
    <w:p w14:paraId="0271D4E1" w14:textId="77777777" w:rsidR="00837B23" w:rsidRPr="00837B23" w:rsidRDefault="00837B23" w:rsidP="00837B23">
      <w:pPr>
        <w:keepNext/>
        <w:keepLines/>
        <w:rPr>
          <w:b/>
          <w:sz w:val="36"/>
          <w:szCs w:val="36"/>
          <w:lang w:eastAsia="en-IN"/>
        </w:rPr>
      </w:pPr>
      <w:r w:rsidRPr="00837B23">
        <w:rPr>
          <w:b/>
          <w:sz w:val="36"/>
          <w:szCs w:val="36"/>
          <w:lang w:eastAsia="en-IN"/>
        </w:rPr>
        <w:t>Module code: BMSW6103</w:t>
      </w:r>
    </w:p>
    <w:p w14:paraId="6400786E" w14:textId="77777777" w:rsidR="00837B23" w:rsidRPr="00837B23" w:rsidRDefault="00837B23" w:rsidP="00837B23">
      <w:pPr>
        <w:keepNext/>
        <w:keepLines/>
        <w:jc w:val="center"/>
        <w:rPr>
          <w:b/>
          <w:sz w:val="36"/>
          <w:szCs w:val="36"/>
          <w:lang w:eastAsia="en-IN"/>
        </w:rPr>
      </w:pPr>
      <w:r w:rsidRPr="00837B23">
        <w:rPr>
          <w:b/>
          <w:sz w:val="36"/>
          <w:szCs w:val="36"/>
          <w:lang w:eastAsia="en-IN"/>
        </w:rPr>
        <w:t>Module Lecturer: Nadeem Mirza</w:t>
      </w:r>
    </w:p>
    <w:p w14:paraId="35C5A7B7" w14:textId="77777777" w:rsidR="00B30362" w:rsidRDefault="00B30362">
      <w:pPr>
        <w:pStyle w:val="Title"/>
        <w:jc w:val="left"/>
        <w:rPr>
          <w:sz w:val="32"/>
          <w:szCs w:val="32"/>
        </w:rPr>
      </w:pPr>
    </w:p>
    <w:p w14:paraId="2EC7FD6A" w14:textId="77777777" w:rsidR="00B30362" w:rsidRDefault="00B30362">
      <w:pPr>
        <w:jc w:val="center"/>
      </w:pPr>
      <w:bookmarkStart w:id="3" w:name="_4ppc6hxnw38b" w:colFirst="0" w:colLast="0"/>
      <w:bookmarkEnd w:id="3"/>
    </w:p>
    <w:p w14:paraId="49518DF8" w14:textId="77777777" w:rsidR="00B30362" w:rsidRDefault="00B30362"/>
    <w:p w14:paraId="723BD9A9" w14:textId="77777777" w:rsidR="00B30362" w:rsidRDefault="00B30362">
      <w:pPr>
        <w:pStyle w:val="Title"/>
        <w:jc w:val="center"/>
      </w:pPr>
      <w:bookmarkStart w:id="4" w:name="_9z3egjbhsgfz" w:colFirst="0" w:colLast="0"/>
      <w:bookmarkEnd w:id="4"/>
    </w:p>
    <w:p w14:paraId="7D1A2DB0" w14:textId="314DF6E5" w:rsidR="00B30362" w:rsidRDefault="00000000">
      <w:pPr>
        <w:pStyle w:val="Title"/>
        <w:jc w:val="center"/>
      </w:pPr>
      <w:bookmarkStart w:id="5" w:name="_z7s6f8srkr57" w:colFirst="0" w:colLast="0"/>
      <w:bookmarkStart w:id="6" w:name="_Hlk165224401"/>
      <w:bookmarkEnd w:id="5"/>
      <w:r>
        <w:t>Individual Report on Change Management Plan</w:t>
      </w:r>
      <w:r w:rsidR="00E465E3">
        <w:t xml:space="preserve"> for </w:t>
      </w:r>
      <w:r w:rsidR="00E465E3" w:rsidRPr="00E465E3">
        <w:t>British Petroleum</w:t>
      </w:r>
      <w:r w:rsidR="00E465E3">
        <w:t xml:space="preserve"> (BP)</w:t>
      </w:r>
    </w:p>
    <w:bookmarkEnd w:id="6"/>
    <w:p w14:paraId="403B30F7" w14:textId="77777777" w:rsidR="00E465E3" w:rsidRPr="00E465E3" w:rsidRDefault="00E465E3" w:rsidP="00E465E3"/>
    <w:p w14:paraId="482DA32F" w14:textId="5812F67C" w:rsidR="00E465E3" w:rsidRPr="00E465E3" w:rsidRDefault="00E465E3" w:rsidP="00E465E3">
      <w:r w:rsidRPr="00E465E3">
        <w:rPr>
          <w:noProof/>
        </w:rPr>
        <w:lastRenderedPageBreak/>
        <w:drawing>
          <wp:inline distT="0" distB="0" distL="0" distR="0" wp14:anchorId="6A86D773" wp14:editId="52043FE7">
            <wp:extent cx="5934903" cy="2648320"/>
            <wp:effectExtent l="0" t="0" r="0" b="0"/>
            <wp:docPr id="48366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68520" name=""/>
                    <pic:cNvPicPr/>
                  </pic:nvPicPr>
                  <pic:blipFill>
                    <a:blip r:embed="rId8"/>
                    <a:stretch>
                      <a:fillRect/>
                    </a:stretch>
                  </pic:blipFill>
                  <pic:spPr>
                    <a:xfrm>
                      <a:off x="0" y="0"/>
                      <a:ext cx="5934903" cy="2648320"/>
                    </a:xfrm>
                    <a:prstGeom prst="rect">
                      <a:avLst/>
                    </a:prstGeom>
                  </pic:spPr>
                </pic:pic>
              </a:graphicData>
            </a:graphic>
          </wp:inline>
        </w:drawing>
      </w:r>
    </w:p>
    <w:p w14:paraId="7057BE88" w14:textId="1D0A3071" w:rsidR="00B30362" w:rsidRPr="007E3DB6" w:rsidRDefault="007E3DB6" w:rsidP="00E465E3">
      <w:pPr>
        <w:jc w:val="right"/>
        <w:rPr>
          <w:i/>
          <w:iCs/>
        </w:rPr>
      </w:pPr>
      <w:bookmarkStart w:id="7" w:name="_2r3djhdb95zc" w:colFirst="0" w:colLast="0"/>
      <w:bookmarkEnd w:id="7"/>
      <w:r>
        <w:rPr>
          <w:i/>
          <w:iCs/>
        </w:rPr>
        <w:t xml:space="preserve">Source: </w:t>
      </w:r>
      <w:proofErr w:type="spellStart"/>
      <w:r w:rsidRPr="007E3DB6">
        <w:rPr>
          <w:i/>
          <w:iCs/>
        </w:rPr>
        <w:t>InvestorsObserver</w:t>
      </w:r>
      <w:proofErr w:type="spellEnd"/>
    </w:p>
    <w:p w14:paraId="71356283" w14:textId="77777777" w:rsidR="00B30362" w:rsidRDefault="00B30362"/>
    <w:p w14:paraId="28112637" w14:textId="77777777" w:rsidR="00B30362" w:rsidRDefault="00B30362"/>
    <w:p w14:paraId="34F3D1BD" w14:textId="77777777" w:rsidR="00B30362" w:rsidRDefault="00000000">
      <w:r>
        <w:br w:type="page"/>
      </w:r>
    </w:p>
    <w:p w14:paraId="08C21DA0" w14:textId="77777777" w:rsidR="00B30362" w:rsidRDefault="00000000">
      <w:pPr>
        <w:jc w:val="center"/>
        <w:rPr>
          <w:b/>
          <w:sz w:val="28"/>
          <w:szCs w:val="28"/>
        </w:rPr>
      </w:pPr>
      <w:r>
        <w:rPr>
          <w:b/>
          <w:sz w:val="28"/>
          <w:szCs w:val="28"/>
        </w:rPr>
        <w:t>Executive Summary</w:t>
      </w:r>
    </w:p>
    <w:p w14:paraId="19F72E10" w14:textId="77777777" w:rsidR="00B30362" w:rsidRDefault="00000000">
      <w:r>
        <w:t>This report gives British Petroleum (BP) a detailed plan for managing change so that they can switch to more environmentally friendly energy sources. The plan gives BP an orderly way to go through this revolutionary process by using Kotter's 8-Step Change Model as a base. Getting a group of leaders together, stressing how important sustainability is, and coming up with a clear strategy that blends innovation with environmental responsibility are all important parts. The implementation process includes strategic planning, communicating to stakeholders, training staff, and keeping an eye on progress and changes all the time. BP's business culture is expected to change in a way that puts creativity, corporate responsibility, and working together with stakeholders at the top of the list. Finally, this plan puts BP at the top of the oil industry's sustainability efforts. This increases the value for all stakeholders over the long run and aligns with global environmental goals.</w:t>
      </w:r>
    </w:p>
    <w:p w14:paraId="3AAED25C" w14:textId="77777777" w:rsidR="00B30362" w:rsidRDefault="00B30362"/>
    <w:p w14:paraId="5FC8F640" w14:textId="77777777" w:rsidR="00B30362" w:rsidRDefault="00B30362"/>
    <w:p w14:paraId="3B9BE57E" w14:textId="77777777" w:rsidR="00B30362" w:rsidRDefault="00B30362"/>
    <w:p w14:paraId="66BFF05B" w14:textId="77777777" w:rsidR="00B30362" w:rsidRDefault="00000000">
      <w:r>
        <w:br w:type="page"/>
      </w:r>
    </w:p>
    <w:p w14:paraId="6C74CE3D" w14:textId="77777777" w:rsidR="00B30362" w:rsidRDefault="00000000">
      <w:pPr>
        <w:jc w:val="center"/>
        <w:rPr>
          <w:b/>
          <w:sz w:val="26"/>
          <w:szCs w:val="26"/>
        </w:rPr>
      </w:pPr>
      <w:r>
        <w:rPr>
          <w:b/>
          <w:sz w:val="26"/>
          <w:szCs w:val="26"/>
        </w:rPr>
        <w:t>Table of Contents</w:t>
      </w:r>
    </w:p>
    <w:p w14:paraId="5818EBAD" w14:textId="77777777" w:rsidR="00B30362" w:rsidRDefault="00B30362"/>
    <w:sdt>
      <w:sdtPr>
        <w:id w:val="-1038268638"/>
        <w:docPartObj>
          <w:docPartGallery w:val="Table of Contents"/>
          <w:docPartUnique/>
        </w:docPartObj>
      </w:sdtPr>
      <w:sdtContent>
        <w:p w14:paraId="4F162CE1" w14:textId="77777777" w:rsidR="00B30362" w:rsidRDefault="00000000">
          <w:pPr>
            <w:widowControl w:val="0"/>
            <w:tabs>
              <w:tab w:val="right" w:leader="do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ujdvt1f6viuk">
            <w:r>
              <w:rPr>
                <w:b/>
                <w:color w:val="000000"/>
              </w:rPr>
              <w:t>Introduction</w:t>
            </w:r>
            <w:r>
              <w:rPr>
                <w:b/>
                <w:color w:val="000000"/>
              </w:rPr>
              <w:tab/>
              <w:t>4</w:t>
            </w:r>
          </w:hyperlink>
        </w:p>
        <w:p w14:paraId="20C49632" w14:textId="77777777" w:rsidR="00B30362" w:rsidRDefault="00000000">
          <w:pPr>
            <w:widowControl w:val="0"/>
            <w:tabs>
              <w:tab w:val="right" w:leader="dot" w:pos="12000"/>
            </w:tabs>
            <w:spacing w:before="60"/>
            <w:jc w:val="left"/>
            <w:rPr>
              <w:b/>
              <w:color w:val="000000"/>
            </w:rPr>
          </w:pPr>
          <w:hyperlink w:anchor="_z0gv3t9ii9ri">
            <w:r>
              <w:rPr>
                <w:b/>
                <w:color w:val="000000"/>
              </w:rPr>
              <w:t>Section 1- Critical evaluation of the adopted change management process and Identification of the suitable strategic change option</w:t>
            </w:r>
            <w:r>
              <w:rPr>
                <w:b/>
                <w:color w:val="000000"/>
              </w:rPr>
              <w:tab/>
              <w:t>4</w:t>
            </w:r>
          </w:hyperlink>
        </w:p>
        <w:p w14:paraId="30C2C991" w14:textId="77777777" w:rsidR="00B30362" w:rsidRDefault="00000000">
          <w:pPr>
            <w:widowControl w:val="0"/>
            <w:tabs>
              <w:tab w:val="right" w:leader="dot" w:pos="12000"/>
            </w:tabs>
            <w:spacing w:before="60"/>
            <w:ind w:left="360"/>
            <w:jc w:val="left"/>
            <w:rPr>
              <w:color w:val="000000"/>
            </w:rPr>
          </w:pPr>
          <w:hyperlink w:anchor="_roc8rntulrda">
            <w:r>
              <w:rPr>
                <w:color w:val="000000"/>
              </w:rPr>
              <w:t>Company Overview and History with Changes</w:t>
            </w:r>
            <w:r>
              <w:rPr>
                <w:color w:val="000000"/>
              </w:rPr>
              <w:tab/>
              <w:t>4</w:t>
            </w:r>
          </w:hyperlink>
        </w:p>
        <w:p w14:paraId="3BBB8B81" w14:textId="77777777" w:rsidR="00B30362" w:rsidRDefault="00000000">
          <w:pPr>
            <w:widowControl w:val="0"/>
            <w:tabs>
              <w:tab w:val="right" w:leader="dot" w:pos="12000"/>
            </w:tabs>
            <w:spacing w:before="60"/>
            <w:ind w:left="360"/>
            <w:jc w:val="left"/>
            <w:rPr>
              <w:color w:val="000000"/>
            </w:rPr>
          </w:pPr>
          <w:hyperlink w:anchor="_w4lzh1ozo9fj">
            <w:r>
              <w:rPr>
                <w:color w:val="000000"/>
              </w:rPr>
              <w:t>External Change Drivers During and Post-COVID</w:t>
            </w:r>
            <w:r>
              <w:rPr>
                <w:color w:val="000000"/>
              </w:rPr>
              <w:tab/>
              <w:t>5</w:t>
            </w:r>
          </w:hyperlink>
        </w:p>
        <w:p w14:paraId="24E3A6D0" w14:textId="77777777" w:rsidR="00B30362" w:rsidRDefault="00000000">
          <w:pPr>
            <w:widowControl w:val="0"/>
            <w:tabs>
              <w:tab w:val="right" w:leader="dot" w:pos="12000"/>
            </w:tabs>
            <w:spacing w:before="60"/>
            <w:ind w:left="360"/>
            <w:jc w:val="left"/>
            <w:rPr>
              <w:color w:val="000000"/>
            </w:rPr>
          </w:pPr>
          <w:hyperlink w:anchor="_qro87rf7uuza">
            <w:r>
              <w:rPr>
                <w:color w:val="000000"/>
              </w:rPr>
              <w:t>Leadership Styles for Managing Change</w:t>
            </w:r>
            <w:r>
              <w:rPr>
                <w:color w:val="000000"/>
              </w:rPr>
              <w:tab/>
              <w:t>7</w:t>
            </w:r>
          </w:hyperlink>
        </w:p>
        <w:p w14:paraId="4C832FF6" w14:textId="77777777" w:rsidR="00B30362" w:rsidRDefault="00000000">
          <w:pPr>
            <w:widowControl w:val="0"/>
            <w:tabs>
              <w:tab w:val="right" w:leader="dot" w:pos="12000"/>
            </w:tabs>
            <w:spacing w:before="60"/>
            <w:ind w:left="360"/>
            <w:jc w:val="left"/>
            <w:rPr>
              <w:color w:val="000000"/>
            </w:rPr>
          </w:pPr>
          <w:hyperlink w:anchor="_qgstcy94zg2u">
            <w:r>
              <w:rPr>
                <w:color w:val="000000"/>
              </w:rPr>
              <w:t>Impact on Organisational Culture</w:t>
            </w:r>
            <w:r>
              <w:rPr>
                <w:color w:val="000000"/>
              </w:rPr>
              <w:tab/>
              <w:t>8</w:t>
            </w:r>
          </w:hyperlink>
        </w:p>
        <w:p w14:paraId="5FD3C542" w14:textId="77777777" w:rsidR="00B30362" w:rsidRDefault="00000000">
          <w:pPr>
            <w:widowControl w:val="0"/>
            <w:tabs>
              <w:tab w:val="right" w:leader="dot" w:pos="12000"/>
            </w:tabs>
            <w:spacing w:before="60"/>
            <w:ind w:left="360"/>
            <w:jc w:val="left"/>
            <w:rPr>
              <w:color w:val="000000"/>
            </w:rPr>
          </w:pPr>
          <w:hyperlink w:anchor="_gnshl54a49uo">
            <w:r>
              <w:rPr>
                <w:color w:val="000000"/>
              </w:rPr>
              <w:t>Areas for Improvement</w:t>
            </w:r>
            <w:r>
              <w:rPr>
                <w:color w:val="000000"/>
              </w:rPr>
              <w:tab/>
              <w:t>9</w:t>
            </w:r>
          </w:hyperlink>
        </w:p>
        <w:p w14:paraId="5A436D76" w14:textId="77777777" w:rsidR="00B30362" w:rsidRDefault="00000000">
          <w:pPr>
            <w:widowControl w:val="0"/>
            <w:tabs>
              <w:tab w:val="right" w:leader="dot" w:pos="12000"/>
            </w:tabs>
            <w:spacing w:before="60"/>
            <w:ind w:left="360"/>
            <w:jc w:val="left"/>
            <w:rPr>
              <w:color w:val="000000"/>
            </w:rPr>
          </w:pPr>
          <w:hyperlink w:anchor="_t3g41bu5xc0o">
            <w:r>
              <w:rPr>
                <w:color w:val="000000"/>
              </w:rPr>
              <w:t>Future Change Needs</w:t>
            </w:r>
            <w:r>
              <w:rPr>
                <w:color w:val="000000"/>
              </w:rPr>
              <w:tab/>
              <w:t>9</w:t>
            </w:r>
          </w:hyperlink>
        </w:p>
        <w:p w14:paraId="67CB24B4" w14:textId="77777777" w:rsidR="00B30362" w:rsidRDefault="00000000">
          <w:pPr>
            <w:widowControl w:val="0"/>
            <w:tabs>
              <w:tab w:val="right" w:leader="dot" w:pos="12000"/>
            </w:tabs>
            <w:spacing w:before="60"/>
            <w:jc w:val="left"/>
            <w:rPr>
              <w:b/>
              <w:color w:val="000000"/>
            </w:rPr>
          </w:pPr>
          <w:hyperlink w:anchor="_uj8teadev7p2">
            <w:r>
              <w:rPr>
                <w:b/>
                <w:color w:val="000000"/>
              </w:rPr>
              <w:t>Section 2- Critical Evaluation of the Change Management Models</w:t>
            </w:r>
            <w:r>
              <w:rPr>
                <w:b/>
                <w:color w:val="000000"/>
              </w:rPr>
              <w:tab/>
              <w:t>9</w:t>
            </w:r>
          </w:hyperlink>
        </w:p>
        <w:p w14:paraId="774BE940" w14:textId="77777777" w:rsidR="00B30362" w:rsidRDefault="00000000">
          <w:pPr>
            <w:widowControl w:val="0"/>
            <w:tabs>
              <w:tab w:val="right" w:leader="dot" w:pos="12000"/>
            </w:tabs>
            <w:spacing w:before="60"/>
            <w:ind w:left="360"/>
            <w:jc w:val="left"/>
            <w:rPr>
              <w:color w:val="000000"/>
            </w:rPr>
          </w:pPr>
          <w:hyperlink w:anchor="_u2kprmfp7adq">
            <w:r>
              <w:rPr>
                <w:color w:val="000000"/>
              </w:rPr>
              <w:t>Evaluation of Change Management Models:</w:t>
            </w:r>
            <w:r>
              <w:rPr>
                <w:color w:val="000000"/>
              </w:rPr>
              <w:tab/>
              <w:t>9</w:t>
            </w:r>
          </w:hyperlink>
        </w:p>
        <w:p w14:paraId="3640309D" w14:textId="77777777" w:rsidR="00B30362" w:rsidRDefault="00000000">
          <w:pPr>
            <w:widowControl w:val="0"/>
            <w:tabs>
              <w:tab w:val="right" w:leader="dot" w:pos="12000"/>
            </w:tabs>
            <w:spacing w:before="60"/>
            <w:ind w:left="360"/>
            <w:jc w:val="left"/>
            <w:rPr>
              <w:color w:val="000000"/>
            </w:rPr>
          </w:pPr>
          <w:hyperlink w:anchor="_wqa2eo9eik0k">
            <w:r>
              <w:rPr>
                <w:color w:val="000000"/>
              </w:rPr>
              <w:t>Selection of a Suitable Model</w:t>
            </w:r>
            <w:r>
              <w:rPr>
                <w:color w:val="000000"/>
              </w:rPr>
              <w:tab/>
              <w:t>11</w:t>
            </w:r>
          </w:hyperlink>
        </w:p>
        <w:p w14:paraId="5795D452" w14:textId="77777777" w:rsidR="00B30362" w:rsidRDefault="00000000">
          <w:pPr>
            <w:widowControl w:val="0"/>
            <w:tabs>
              <w:tab w:val="right" w:leader="dot" w:pos="12000"/>
            </w:tabs>
            <w:spacing w:before="60"/>
            <w:jc w:val="left"/>
            <w:rPr>
              <w:b/>
              <w:color w:val="000000"/>
            </w:rPr>
          </w:pPr>
          <w:hyperlink w:anchor="_5ciadbae7rau">
            <w:r>
              <w:rPr>
                <w:b/>
                <w:color w:val="000000"/>
              </w:rPr>
              <w:t>Section 3- Proposal and Implementation of Change Strategy</w:t>
            </w:r>
            <w:r>
              <w:rPr>
                <w:b/>
                <w:color w:val="000000"/>
              </w:rPr>
              <w:tab/>
              <w:t>13</w:t>
            </w:r>
          </w:hyperlink>
        </w:p>
        <w:p w14:paraId="29FF2D19" w14:textId="77777777" w:rsidR="00B30362" w:rsidRDefault="00000000">
          <w:pPr>
            <w:widowControl w:val="0"/>
            <w:tabs>
              <w:tab w:val="right" w:leader="dot" w:pos="12000"/>
            </w:tabs>
            <w:spacing w:before="60"/>
            <w:ind w:left="360"/>
            <w:jc w:val="left"/>
            <w:rPr>
              <w:color w:val="000000"/>
            </w:rPr>
          </w:pPr>
          <w:hyperlink w:anchor="_pktuplhojihm">
            <w:r>
              <w:rPr>
                <w:color w:val="000000"/>
              </w:rPr>
              <w:t>Change Management Plan:</w:t>
            </w:r>
            <w:r>
              <w:rPr>
                <w:color w:val="000000"/>
              </w:rPr>
              <w:tab/>
              <w:t>13</w:t>
            </w:r>
          </w:hyperlink>
        </w:p>
        <w:p w14:paraId="3D71F3B8" w14:textId="77777777" w:rsidR="00B30362" w:rsidRDefault="00000000">
          <w:pPr>
            <w:widowControl w:val="0"/>
            <w:tabs>
              <w:tab w:val="right" w:leader="dot" w:pos="12000"/>
            </w:tabs>
            <w:spacing w:before="60"/>
            <w:ind w:left="360"/>
            <w:jc w:val="left"/>
            <w:rPr>
              <w:color w:val="000000"/>
            </w:rPr>
          </w:pPr>
          <w:hyperlink w:anchor="_un9x1t5rnzy2">
            <w:r>
              <w:rPr>
                <w:color w:val="000000"/>
              </w:rPr>
              <w:t>Leadership Approaches/Styles:</w:t>
            </w:r>
            <w:r>
              <w:rPr>
                <w:color w:val="000000"/>
              </w:rPr>
              <w:tab/>
              <w:t>15</w:t>
            </w:r>
          </w:hyperlink>
        </w:p>
        <w:p w14:paraId="579FB94D" w14:textId="77777777" w:rsidR="00B30362" w:rsidRDefault="00000000">
          <w:pPr>
            <w:widowControl w:val="0"/>
            <w:tabs>
              <w:tab w:val="right" w:leader="dot" w:pos="12000"/>
            </w:tabs>
            <w:spacing w:before="60"/>
            <w:ind w:left="360"/>
            <w:jc w:val="left"/>
            <w:rPr>
              <w:color w:val="000000"/>
            </w:rPr>
          </w:pPr>
          <w:hyperlink w:anchor="_aodfleamglfc">
            <w:r>
              <w:rPr>
                <w:color w:val="000000"/>
              </w:rPr>
              <w:t>Impact on Organisational Culture:</w:t>
            </w:r>
            <w:r>
              <w:rPr>
                <w:color w:val="000000"/>
              </w:rPr>
              <w:tab/>
              <w:t>16</w:t>
            </w:r>
          </w:hyperlink>
        </w:p>
        <w:p w14:paraId="2594A88C" w14:textId="77777777" w:rsidR="00B30362" w:rsidRDefault="00000000">
          <w:pPr>
            <w:widowControl w:val="0"/>
            <w:tabs>
              <w:tab w:val="right" w:leader="dot" w:pos="12000"/>
            </w:tabs>
            <w:spacing w:before="60"/>
            <w:ind w:left="360"/>
            <w:jc w:val="left"/>
            <w:rPr>
              <w:color w:val="000000"/>
            </w:rPr>
          </w:pPr>
          <w:hyperlink w:anchor="_4k4p3hybnoij">
            <w:r>
              <w:rPr>
                <w:color w:val="000000"/>
              </w:rPr>
              <w:t>Implementation Process:</w:t>
            </w:r>
            <w:r>
              <w:rPr>
                <w:color w:val="000000"/>
              </w:rPr>
              <w:tab/>
              <w:t>17</w:t>
            </w:r>
          </w:hyperlink>
        </w:p>
        <w:p w14:paraId="5312DA13" w14:textId="77777777" w:rsidR="00B30362" w:rsidRDefault="00000000">
          <w:pPr>
            <w:widowControl w:val="0"/>
            <w:tabs>
              <w:tab w:val="right" w:leader="dot" w:pos="12000"/>
            </w:tabs>
            <w:spacing w:before="60"/>
            <w:jc w:val="left"/>
            <w:rPr>
              <w:b/>
              <w:color w:val="000000"/>
            </w:rPr>
          </w:pPr>
          <w:hyperlink w:anchor="_wqvboudfabog">
            <w:r>
              <w:rPr>
                <w:b/>
                <w:color w:val="000000"/>
              </w:rPr>
              <w:t>Conclusion and Recommendations</w:t>
            </w:r>
            <w:r>
              <w:rPr>
                <w:b/>
                <w:color w:val="000000"/>
              </w:rPr>
              <w:tab/>
              <w:t>18</w:t>
            </w:r>
          </w:hyperlink>
        </w:p>
        <w:p w14:paraId="1544F53B" w14:textId="77777777" w:rsidR="00B30362" w:rsidRDefault="00000000">
          <w:pPr>
            <w:widowControl w:val="0"/>
            <w:tabs>
              <w:tab w:val="right" w:leader="dot" w:pos="12000"/>
            </w:tabs>
            <w:spacing w:before="60"/>
            <w:jc w:val="left"/>
            <w:rPr>
              <w:b/>
              <w:color w:val="000000"/>
            </w:rPr>
          </w:pPr>
          <w:hyperlink w:anchor="_w9rxetkz5om9">
            <w:r>
              <w:rPr>
                <w:b/>
                <w:color w:val="000000"/>
              </w:rPr>
              <w:t>References</w:t>
            </w:r>
            <w:r>
              <w:rPr>
                <w:b/>
                <w:color w:val="000000"/>
              </w:rPr>
              <w:tab/>
              <w:t>21</w:t>
            </w:r>
          </w:hyperlink>
          <w:r>
            <w:fldChar w:fldCharType="end"/>
          </w:r>
        </w:p>
      </w:sdtContent>
    </w:sdt>
    <w:p w14:paraId="1180823F" w14:textId="77777777" w:rsidR="00B30362" w:rsidRDefault="00000000">
      <w:r>
        <w:br w:type="page"/>
      </w:r>
    </w:p>
    <w:p w14:paraId="0A116C01" w14:textId="77777777" w:rsidR="00B30362" w:rsidRDefault="00000000">
      <w:pPr>
        <w:pStyle w:val="Heading1"/>
      </w:pPr>
      <w:bookmarkStart w:id="8" w:name="_ujdvt1f6viuk" w:colFirst="0" w:colLast="0"/>
      <w:bookmarkEnd w:id="8"/>
      <w:r>
        <w:t>Introduction</w:t>
      </w:r>
    </w:p>
    <w:p w14:paraId="59690FEB" w14:textId="396592F1" w:rsidR="00B30362" w:rsidRDefault="00000000">
      <w:r>
        <w:t xml:space="preserve">Managing change inside of businesses is a difficult task that this study </w:t>
      </w:r>
      <w:r w:rsidR="00837B23">
        <w:t>investigates</w:t>
      </w:r>
      <w:r>
        <w:t xml:space="preserve">. Because </w:t>
      </w:r>
      <w:r w:rsidR="00837B23">
        <w:t>business</w:t>
      </w:r>
      <w:r>
        <w:t xml:space="preserve"> and technology are changing and growing so quickly, this problem has become more common. Its purpose is to look at the strategies and ways of leading that British Petroleum (BP) has used to get through these tough times. It will be mostly about how the company has dealt with outside factors such as the COVID-19 virus and changes in the oil business. BP's choice is backed by the fact that it is constantly switching to energy sources that are better for the environment. This is a sign of bigger changes happening in the energy business. We will use a PESTEL analysis to </w:t>
      </w:r>
      <w:r w:rsidR="00837B23">
        <w:t>investigate</w:t>
      </w:r>
      <w:r>
        <w:t xml:space="preserve"> the outside factors that affect BP's strategic choices. We will also use theoretical frameworks like Kotter's 8-Step Change Model, Lewin's Change Management Model, and ADKAR Mode to look at how well BP's change management methods work.</w:t>
      </w:r>
    </w:p>
    <w:p w14:paraId="2E9494FF" w14:textId="77777777" w:rsidR="00B30362" w:rsidRDefault="00000000">
      <w:r>
        <w:t xml:space="preserve">After, an in-depth look at </w:t>
      </w:r>
      <w:proofErr w:type="spellStart"/>
      <w:r>
        <w:t>at</w:t>
      </w:r>
      <w:proofErr w:type="spellEnd"/>
      <w:r>
        <w:t xml:space="preserve"> least three different change management models will be given, and finally, the model that will work best for BP will be suggested. In the last part, we'll talk about how the changes might affect the organization's culture and give you a complete change management plan that includes different types of leadership and a step-by-step plan for putting the plan into action. The goal of this study is to give BP useful information and suggestions on how to make its change management better, since the industry is always changing and is hard to predict.</w:t>
      </w:r>
    </w:p>
    <w:p w14:paraId="1524C053" w14:textId="77777777" w:rsidR="00B30362" w:rsidRDefault="00000000">
      <w:pPr>
        <w:pStyle w:val="Heading1"/>
      </w:pPr>
      <w:bookmarkStart w:id="9" w:name="_z0gv3t9ii9ri" w:colFirst="0" w:colLast="0"/>
      <w:bookmarkEnd w:id="9"/>
      <w:r>
        <w:t>Section 1- Critical evaluation of the adopted change management process and Identification of the suitable strategic change option</w:t>
      </w:r>
    </w:p>
    <w:p w14:paraId="3DF2E0C8" w14:textId="77777777" w:rsidR="00B30362" w:rsidRDefault="00000000">
      <w:pPr>
        <w:pStyle w:val="Heading2"/>
      </w:pPr>
      <w:bookmarkStart w:id="10" w:name="_roc8rntulrda" w:colFirst="0" w:colLast="0"/>
      <w:bookmarkEnd w:id="10"/>
      <w:r>
        <w:t>Company Overview and History with Changes</w:t>
      </w:r>
    </w:p>
    <w:p w14:paraId="29A62E14" w14:textId="38D79081" w:rsidR="00B30362" w:rsidRDefault="00000000">
      <w:r>
        <w:t xml:space="preserve">BP is the world's largest integrated oil and gas company (BP, 2023) and does things like research, growth, production, and sales of energy and petrochemical goods. Fuel, energy, oils, and petrochemicals are just some of the services that BP provides around the world. The company's global offices are in London, UK. Another important event in BP's history was the Deepwater Horizon oil spill in 2010. It was the biggest marine oil leak in history and was caused by an explosion on a rig that BP rented. In fines, fees, and settlements, this disaster cost BP billions of dollars. Also, it did a lot of damage to the Gulf of Mexico's environment. According to BBC (2024), this event was a turning point for BP because it showed how important strong change management plans are for dealing with problems, improving safety, and fixing the company's image. Because of the damage, BP had to look at and change its safety, </w:t>
      </w:r>
      <w:r w:rsidR="00837B23">
        <w:t>environment</w:t>
      </w:r>
      <w:r>
        <w:t>, and operating routines. This showed that the company is always changing to meet demands from both inside and outside the company.</w:t>
      </w:r>
    </w:p>
    <w:p w14:paraId="67426B70" w14:textId="77777777" w:rsidR="00B30362" w:rsidRDefault="00000000">
      <w:pPr>
        <w:pStyle w:val="Heading2"/>
      </w:pPr>
      <w:bookmarkStart w:id="11" w:name="_w4lzh1ozo9fj" w:colFirst="0" w:colLast="0"/>
      <w:bookmarkEnd w:id="11"/>
      <w:r>
        <w:t>External Change Drivers During and Post-COVID</w:t>
      </w:r>
    </w:p>
    <w:p w14:paraId="7A208E09" w14:textId="77777777" w:rsidR="00B30362" w:rsidRDefault="00B30362"/>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2"/>
        <w:gridCol w:w="7368"/>
      </w:tblGrid>
      <w:tr w:rsidR="00B30362" w14:paraId="5B116CF8" w14:textId="77777777">
        <w:tc>
          <w:tcPr>
            <w:tcW w:w="1992" w:type="dxa"/>
            <w:shd w:val="clear" w:color="auto" w:fill="CCCCCC"/>
            <w:tcMar>
              <w:top w:w="100" w:type="dxa"/>
              <w:left w:w="100" w:type="dxa"/>
              <w:bottom w:w="100" w:type="dxa"/>
              <w:right w:w="100" w:type="dxa"/>
            </w:tcMar>
          </w:tcPr>
          <w:p w14:paraId="4DF5F41E" w14:textId="77777777" w:rsidR="00B30362" w:rsidRDefault="00000000">
            <w:pPr>
              <w:widowControl w:val="0"/>
              <w:pBdr>
                <w:top w:val="nil"/>
                <w:left w:val="nil"/>
                <w:bottom w:val="nil"/>
                <w:right w:val="nil"/>
                <w:between w:val="nil"/>
              </w:pBdr>
              <w:jc w:val="center"/>
              <w:rPr>
                <w:b/>
              </w:rPr>
            </w:pPr>
            <w:r>
              <w:rPr>
                <w:b/>
              </w:rPr>
              <w:t>Factors</w:t>
            </w:r>
          </w:p>
        </w:tc>
        <w:tc>
          <w:tcPr>
            <w:tcW w:w="7368" w:type="dxa"/>
            <w:shd w:val="clear" w:color="auto" w:fill="CCCCCC"/>
            <w:tcMar>
              <w:top w:w="100" w:type="dxa"/>
              <w:left w:w="100" w:type="dxa"/>
              <w:bottom w:w="100" w:type="dxa"/>
              <w:right w:w="100" w:type="dxa"/>
            </w:tcMar>
          </w:tcPr>
          <w:p w14:paraId="6FA2FEAF" w14:textId="77777777" w:rsidR="00B30362" w:rsidRDefault="00000000">
            <w:pPr>
              <w:widowControl w:val="0"/>
              <w:pBdr>
                <w:top w:val="nil"/>
                <w:left w:val="nil"/>
                <w:bottom w:val="nil"/>
                <w:right w:val="nil"/>
                <w:between w:val="nil"/>
              </w:pBdr>
              <w:jc w:val="center"/>
              <w:rPr>
                <w:b/>
              </w:rPr>
            </w:pPr>
            <w:r>
              <w:rPr>
                <w:b/>
              </w:rPr>
              <w:t>Insights</w:t>
            </w:r>
          </w:p>
        </w:tc>
      </w:tr>
      <w:tr w:rsidR="00B30362" w14:paraId="6A63CAB7" w14:textId="77777777">
        <w:tc>
          <w:tcPr>
            <w:tcW w:w="1992" w:type="dxa"/>
            <w:shd w:val="clear" w:color="auto" w:fill="auto"/>
            <w:tcMar>
              <w:top w:w="100" w:type="dxa"/>
              <w:left w:w="100" w:type="dxa"/>
              <w:bottom w:w="100" w:type="dxa"/>
              <w:right w:w="100" w:type="dxa"/>
            </w:tcMar>
          </w:tcPr>
          <w:p w14:paraId="468E476D" w14:textId="77777777" w:rsidR="00B30362" w:rsidRDefault="00000000">
            <w:pPr>
              <w:widowControl w:val="0"/>
              <w:pBdr>
                <w:top w:val="nil"/>
                <w:left w:val="nil"/>
                <w:bottom w:val="nil"/>
                <w:right w:val="nil"/>
                <w:between w:val="nil"/>
              </w:pBdr>
              <w:jc w:val="left"/>
            </w:pPr>
            <w:r>
              <w:t>Political</w:t>
            </w:r>
          </w:p>
        </w:tc>
        <w:tc>
          <w:tcPr>
            <w:tcW w:w="7368" w:type="dxa"/>
            <w:shd w:val="clear" w:color="auto" w:fill="auto"/>
            <w:tcMar>
              <w:top w:w="100" w:type="dxa"/>
              <w:left w:w="100" w:type="dxa"/>
              <w:bottom w:w="100" w:type="dxa"/>
              <w:right w:w="100" w:type="dxa"/>
            </w:tcMar>
          </w:tcPr>
          <w:p w14:paraId="5B56F890" w14:textId="77777777" w:rsidR="00B30362" w:rsidRDefault="00000000">
            <w:pPr>
              <w:widowControl w:val="0"/>
              <w:numPr>
                <w:ilvl w:val="0"/>
                <w:numId w:val="9"/>
              </w:numPr>
              <w:pBdr>
                <w:top w:val="nil"/>
                <w:left w:val="nil"/>
                <w:bottom w:val="nil"/>
                <w:right w:val="nil"/>
                <w:between w:val="nil"/>
              </w:pBdr>
              <w:jc w:val="left"/>
            </w:pPr>
            <w:r>
              <w:t xml:space="preserve">BP's operations have been significantly influenced by geopolitical tensions and regulatory changes. </w:t>
            </w:r>
          </w:p>
          <w:p w14:paraId="328A8F98" w14:textId="77777777" w:rsidR="00B30362" w:rsidRDefault="00000000">
            <w:pPr>
              <w:widowControl w:val="0"/>
              <w:numPr>
                <w:ilvl w:val="0"/>
                <w:numId w:val="9"/>
              </w:numPr>
              <w:pBdr>
                <w:top w:val="nil"/>
                <w:left w:val="nil"/>
                <w:bottom w:val="nil"/>
                <w:right w:val="nil"/>
                <w:between w:val="nil"/>
              </w:pBdr>
              <w:jc w:val="left"/>
            </w:pPr>
            <w:r>
              <w:t xml:space="preserve">The aftermath of Russia's invasion of Ukraine heightened global energy insecurity, leading to increased political scrutiny on energy firms. </w:t>
            </w:r>
          </w:p>
          <w:p w14:paraId="08B3878C" w14:textId="77777777" w:rsidR="00B30362" w:rsidRDefault="00000000">
            <w:pPr>
              <w:widowControl w:val="0"/>
              <w:numPr>
                <w:ilvl w:val="0"/>
                <w:numId w:val="9"/>
              </w:numPr>
              <w:pBdr>
                <w:top w:val="nil"/>
                <w:left w:val="nil"/>
                <w:bottom w:val="nil"/>
                <w:right w:val="nil"/>
                <w:between w:val="nil"/>
              </w:pBdr>
              <w:jc w:val="left"/>
            </w:pPr>
            <w:r>
              <w:t xml:space="preserve">BP, like its peers, faced pressures from governments, including the imposition of windfall taxes like the UK's Energy Profits Levy (EPL), to fund domestic subsidies (Jiang, 2022). </w:t>
            </w:r>
          </w:p>
        </w:tc>
      </w:tr>
      <w:tr w:rsidR="00B30362" w14:paraId="72A2257A" w14:textId="77777777">
        <w:tc>
          <w:tcPr>
            <w:tcW w:w="1992" w:type="dxa"/>
            <w:shd w:val="clear" w:color="auto" w:fill="auto"/>
            <w:tcMar>
              <w:top w:w="100" w:type="dxa"/>
              <w:left w:w="100" w:type="dxa"/>
              <w:bottom w:w="100" w:type="dxa"/>
              <w:right w:w="100" w:type="dxa"/>
            </w:tcMar>
          </w:tcPr>
          <w:p w14:paraId="1164CBEA" w14:textId="77777777" w:rsidR="00B30362" w:rsidRDefault="00000000">
            <w:pPr>
              <w:widowControl w:val="0"/>
              <w:pBdr>
                <w:top w:val="nil"/>
                <w:left w:val="nil"/>
                <w:bottom w:val="nil"/>
                <w:right w:val="nil"/>
                <w:between w:val="nil"/>
              </w:pBdr>
              <w:jc w:val="left"/>
            </w:pPr>
            <w:r>
              <w:t>Economical</w:t>
            </w:r>
          </w:p>
        </w:tc>
        <w:tc>
          <w:tcPr>
            <w:tcW w:w="7368" w:type="dxa"/>
            <w:shd w:val="clear" w:color="auto" w:fill="auto"/>
            <w:tcMar>
              <w:top w:w="100" w:type="dxa"/>
              <w:left w:w="100" w:type="dxa"/>
              <w:bottom w:w="100" w:type="dxa"/>
              <w:right w:w="100" w:type="dxa"/>
            </w:tcMar>
          </w:tcPr>
          <w:p w14:paraId="62EF8608" w14:textId="77777777" w:rsidR="00B30362" w:rsidRDefault="00000000">
            <w:pPr>
              <w:widowControl w:val="0"/>
              <w:numPr>
                <w:ilvl w:val="0"/>
                <w:numId w:val="12"/>
              </w:numPr>
              <w:jc w:val="left"/>
            </w:pPr>
            <w:r>
              <w:t>$13.8 billion, down from 2022's $27.7 billion due to oil market volatility (Macrotrends, 2024).</w:t>
            </w:r>
          </w:p>
          <w:p w14:paraId="19F5B953" w14:textId="77777777" w:rsidR="00B30362" w:rsidRDefault="00000000">
            <w:pPr>
              <w:widowControl w:val="0"/>
              <w:numPr>
                <w:ilvl w:val="0"/>
                <w:numId w:val="12"/>
              </w:numPr>
              <w:jc w:val="left"/>
            </w:pPr>
            <w:r>
              <w:t>Brent crude oil price peaked at nearly $128 per barrel post-Ukraine invasion, stabilized near $80  (Macrotrends, 2024).</w:t>
            </w:r>
          </w:p>
          <w:p w14:paraId="02D36585" w14:textId="77777777" w:rsidR="00B30362" w:rsidRDefault="00000000">
            <w:pPr>
              <w:widowControl w:val="0"/>
              <w:numPr>
                <w:ilvl w:val="0"/>
                <w:numId w:val="12"/>
              </w:numPr>
              <w:jc w:val="left"/>
            </w:pPr>
            <w:r>
              <w:t>BP's 2023 UK tax contributed $1.5 billion, including $720 million for Energy Profits Levy (EPL)  (Macrotrends, 2024).</w:t>
            </w:r>
          </w:p>
          <w:p w14:paraId="02EA53EC" w14:textId="77777777" w:rsidR="00B30362" w:rsidRDefault="00000000">
            <w:pPr>
              <w:widowControl w:val="0"/>
              <w:numPr>
                <w:ilvl w:val="0"/>
                <w:numId w:val="12"/>
              </w:numPr>
              <w:jc w:val="left"/>
            </w:pPr>
            <w:r>
              <w:t>Quarterly revenue decline: 25.26% to $52.586 billion by end of 2023  (Macrotrends, 2024).</w:t>
            </w:r>
          </w:p>
        </w:tc>
      </w:tr>
      <w:tr w:rsidR="00B30362" w14:paraId="289F45FD" w14:textId="77777777">
        <w:tc>
          <w:tcPr>
            <w:tcW w:w="1992" w:type="dxa"/>
            <w:shd w:val="clear" w:color="auto" w:fill="auto"/>
            <w:tcMar>
              <w:top w:w="100" w:type="dxa"/>
              <w:left w:w="100" w:type="dxa"/>
              <w:bottom w:w="100" w:type="dxa"/>
              <w:right w:w="100" w:type="dxa"/>
            </w:tcMar>
          </w:tcPr>
          <w:p w14:paraId="5184B89E" w14:textId="77777777" w:rsidR="00B30362" w:rsidRDefault="00000000">
            <w:pPr>
              <w:widowControl w:val="0"/>
              <w:pBdr>
                <w:top w:val="nil"/>
                <w:left w:val="nil"/>
                <w:bottom w:val="nil"/>
                <w:right w:val="nil"/>
                <w:between w:val="nil"/>
              </w:pBdr>
              <w:jc w:val="left"/>
            </w:pPr>
            <w:r>
              <w:t>Social</w:t>
            </w:r>
          </w:p>
        </w:tc>
        <w:tc>
          <w:tcPr>
            <w:tcW w:w="7368" w:type="dxa"/>
            <w:shd w:val="clear" w:color="auto" w:fill="auto"/>
            <w:tcMar>
              <w:top w:w="100" w:type="dxa"/>
              <w:left w:w="100" w:type="dxa"/>
              <w:bottom w:w="100" w:type="dxa"/>
              <w:right w:w="100" w:type="dxa"/>
            </w:tcMar>
          </w:tcPr>
          <w:p w14:paraId="6BAB6EF8" w14:textId="77777777" w:rsidR="00B30362" w:rsidRDefault="00000000">
            <w:pPr>
              <w:widowControl w:val="0"/>
              <w:numPr>
                <w:ilvl w:val="0"/>
                <w:numId w:val="3"/>
              </w:numPr>
              <w:jc w:val="left"/>
            </w:pPr>
            <w:r>
              <w:t>Public perception and social responsibility are shaping BP's operational and strategic choices.</w:t>
            </w:r>
          </w:p>
          <w:p w14:paraId="2ACD1DAD" w14:textId="77777777" w:rsidR="00B30362" w:rsidRDefault="00000000">
            <w:pPr>
              <w:widowControl w:val="0"/>
              <w:numPr>
                <w:ilvl w:val="0"/>
                <w:numId w:val="3"/>
              </w:numPr>
              <w:jc w:val="left"/>
            </w:pPr>
            <w:r>
              <w:t>Environmental groups and public criticism highlight BP's evolving commitment to cleaner energy.</w:t>
            </w:r>
          </w:p>
          <w:p w14:paraId="19F839CF" w14:textId="77777777" w:rsidR="00B30362" w:rsidRDefault="00000000">
            <w:pPr>
              <w:widowControl w:val="0"/>
              <w:numPr>
                <w:ilvl w:val="0"/>
                <w:numId w:val="3"/>
              </w:numPr>
              <w:jc w:val="left"/>
            </w:pPr>
            <w:r>
              <w:t>Balancing shareholder interests with societal demands for sustainability influences BP's change management.</w:t>
            </w:r>
          </w:p>
          <w:p w14:paraId="62CE8A5F" w14:textId="77777777" w:rsidR="00B30362" w:rsidRDefault="00000000">
            <w:pPr>
              <w:widowControl w:val="0"/>
              <w:numPr>
                <w:ilvl w:val="0"/>
                <w:numId w:val="3"/>
              </w:numPr>
              <w:jc w:val="left"/>
            </w:pPr>
            <w:r>
              <w:t>Social pressures necessitate a strategic alignment with environmental stewardship in BP's planning (Duttagupta, 2021).</w:t>
            </w:r>
          </w:p>
        </w:tc>
      </w:tr>
      <w:tr w:rsidR="00B30362" w14:paraId="5706F84F" w14:textId="77777777">
        <w:tc>
          <w:tcPr>
            <w:tcW w:w="1992" w:type="dxa"/>
            <w:shd w:val="clear" w:color="auto" w:fill="auto"/>
            <w:tcMar>
              <w:top w:w="100" w:type="dxa"/>
              <w:left w:w="100" w:type="dxa"/>
              <w:bottom w:w="100" w:type="dxa"/>
              <w:right w:w="100" w:type="dxa"/>
            </w:tcMar>
          </w:tcPr>
          <w:p w14:paraId="014CCED6" w14:textId="77777777" w:rsidR="00B30362" w:rsidRDefault="00000000">
            <w:pPr>
              <w:widowControl w:val="0"/>
              <w:pBdr>
                <w:top w:val="nil"/>
                <w:left w:val="nil"/>
                <w:bottom w:val="nil"/>
                <w:right w:val="nil"/>
                <w:between w:val="nil"/>
              </w:pBdr>
              <w:jc w:val="left"/>
            </w:pPr>
            <w:r>
              <w:t>Technological</w:t>
            </w:r>
          </w:p>
        </w:tc>
        <w:tc>
          <w:tcPr>
            <w:tcW w:w="7368" w:type="dxa"/>
            <w:shd w:val="clear" w:color="auto" w:fill="auto"/>
            <w:tcMar>
              <w:top w:w="100" w:type="dxa"/>
              <w:left w:w="100" w:type="dxa"/>
              <w:bottom w:w="100" w:type="dxa"/>
              <w:right w:w="100" w:type="dxa"/>
            </w:tcMar>
          </w:tcPr>
          <w:p w14:paraId="7AA785A3" w14:textId="77777777" w:rsidR="00B30362" w:rsidRDefault="00000000">
            <w:pPr>
              <w:widowControl w:val="0"/>
              <w:numPr>
                <w:ilvl w:val="0"/>
                <w:numId w:val="6"/>
              </w:numPr>
              <w:jc w:val="left"/>
            </w:pPr>
            <w:r>
              <w:t>Technology plays a crucial role in BP's operations, especially in oil and gas exploration and production.</w:t>
            </w:r>
          </w:p>
          <w:p w14:paraId="07BEAA44" w14:textId="77777777" w:rsidR="00B30362" w:rsidRDefault="00000000">
            <w:pPr>
              <w:widowControl w:val="0"/>
              <w:numPr>
                <w:ilvl w:val="0"/>
                <w:numId w:val="6"/>
              </w:numPr>
              <w:jc w:val="left"/>
            </w:pPr>
            <w:r>
              <w:t>Advanced seismic imaging technology aids BP in identifying and accessing new hydrocarbon sources, boosting reserves and production (BP global, 2024).</w:t>
            </w:r>
          </w:p>
          <w:p w14:paraId="3896AEDF" w14:textId="77777777" w:rsidR="00B30362" w:rsidRDefault="00000000">
            <w:pPr>
              <w:widowControl w:val="0"/>
              <w:numPr>
                <w:ilvl w:val="0"/>
                <w:numId w:val="6"/>
              </w:numPr>
              <w:jc w:val="left"/>
            </w:pPr>
            <w:r>
              <w:t>BP has diversified its investments into renewable energy, including wind, solar, and biofuels, driven by rising demand for alternative energy and climate change concerns (bp global, 2018).</w:t>
            </w:r>
          </w:p>
          <w:p w14:paraId="07BF7562" w14:textId="77777777" w:rsidR="00B30362" w:rsidRDefault="00000000">
            <w:pPr>
              <w:widowControl w:val="0"/>
              <w:numPr>
                <w:ilvl w:val="0"/>
                <w:numId w:val="6"/>
              </w:numPr>
              <w:jc w:val="left"/>
            </w:pPr>
            <w:r>
              <w:t>Technological advancements in both traditional and renewable energy sectors influence BP's strategic decisions and long-term planning  (BP global, 2024).</w:t>
            </w:r>
          </w:p>
        </w:tc>
      </w:tr>
      <w:tr w:rsidR="00B30362" w14:paraId="066B705D" w14:textId="77777777">
        <w:tc>
          <w:tcPr>
            <w:tcW w:w="1992" w:type="dxa"/>
            <w:shd w:val="clear" w:color="auto" w:fill="auto"/>
            <w:tcMar>
              <w:top w:w="100" w:type="dxa"/>
              <w:left w:w="100" w:type="dxa"/>
              <w:bottom w:w="100" w:type="dxa"/>
              <w:right w:w="100" w:type="dxa"/>
            </w:tcMar>
          </w:tcPr>
          <w:p w14:paraId="4170C205" w14:textId="77777777" w:rsidR="00B30362" w:rsidRDefault="00000000">
            <w:pPr>
              <w:widowControl w:val="0"/>
              <w:jc w:val="left"/>
            </w:pPr>
            <w:r>
              <w:t>Environmental</w:t>
            </w:r>
          </w:p>
        </w:tc>
        <w:tc>
          <w:tcPr>
            <w:tcW w:w="7368" w:type="dxa"/>
            <w:shd w:val="clear" w:color="auto" w:fill="auto"/>
            <w:tcMar>
              <w:top w:w="100" w:type="dxa"/>
              <w:left w:w="100" w:type="dxa"/>
              <w:bottom w:w="100" w:type="dxa"/>
              <w:right w:w="100" w:type="dxa"/>
            </w:tcMar>
          </w:tcPr>
          <w:p w14:paraId="1DD0130F" w14:textId="77777777" w:rsidR="00B30362" w:rsidRDefault="00000000">
            <w:pPr>
              <w:widowControl w:val="0"/>
              <w:numPr>
                <w:ilvl w:val="0"/>
                <w:numId w:val="4"/>
              </w:numPr>
              <w:jc w:val="left"/>
            </w:pPr>
            <w:r>
              <w:t>GHG emissions reduced sustainably to 0.9 MtCO2 in 2023 from 1.5 MtCO2 in 2022 (bp global, 2023).</w:t>
            </w:r>
          </w:p>
          <w:p w14:paraId="5277E6BD" w14:textId="77777777" w:rsidR="00B30362" w:rsidRDefault="00000000">
            <w:pPr>
              <w:widowControl w:val="0"/>
              <w:numPr>
                <w:ilvl w:val="0"/>
                <w:numId w:val="4"/>
              </w:numPr>
              <w:jc w:val="left"/>
            </w:pPr>
            <w:r>
              <w:t>Installed renewable capacity increased to 2.7 GW from 2.2 GW in the previous year (bp global, 2023).</w:t>
            </w:r>
          </w:p>
          <w:p w14:paraId="5CDBB4A7" w14:textId="77777777" w:rsidR="00B30362" w:rsidRDefault="00000000">
            <w:pPr>
              <w:widowControl w:val="0"/>
              <w:numPr>
                <w:ilvl w:val="0"/>
                <w:numId w:val="4"/>
              </w:numPr>
              <w:jc w:val="left"/>
            </w:pPr>
            <w:r>
              <w:t>Renewable projects at final investment decision stage rose to 6.2 GW from 5.8 GW in 2022 (bp global, 2023).</w:t>
            </w:r>
          </w:p>
          <w:p w14:paraId="73AE5C42" w14:textId="77777777" w:rsidR="00B30362" w:rsidRDefault="00000000">
            <w:pPr>
              <w:widowControl w:val="0"/>
              <w:numPr>
                <w:ilvl w:val="0"/>
                <w:numId w:val="4"/>
              </w:numPr>
              <w:jc w:val="left"/>
            </w:pPr>
            <w:r>
              <w:t>BP maintains focus on oil, gas, and refining under resilient hydrocarbons while exploring bioenergy opportunities.</w:t>
            </w:r>
          </w:p>
          <w:p w14:paraId="031637E8" w14:textId="77777777" w:rsidR="00B30362" w:rsidRDefault="00000000">
            <w:pPr>
              <w:widowControl w:val="0"/>
              <w:numPr>
                <w:ilvl w:val="0"/>
                <w:numId w:val="4"/>
              </w:numPr>
              <w:jc w:val="left"/>
            </w:pPr>
            <w:r>
              <w:t>Investments in convenience and mobility include retail fuels, Castrol, aviation, and B2B midstream sectors, with a focus on EV charging for transition growth (bp global, 2023).</w:t>
            </w:r>
          </w:p>
        </w:tc>
      </w:tr>
      <w:tr w:rsidR="00B30362" w14:paraId="0E926589" w14:textId="77777777">
        <w:tc>
          <w:tcPr>
            <w:tcW w:w="1992" w:type="dxa"/>
            <w:shd w:val="clear" w:color="auto" w:fill="auto"/>
            <w:tcMar>
              <w:top w:w="100" w:type="dxa"/>
              <w:left w:w="100" w:type="dxa"/>
              <w:bottom w:w="100" w:type="dxa"/>
              <w:right w:w="100" w:type="dxa"/>
            </w:tcMar>
          </w:tcPr>
          <w:p w14:paraId="62C2524A" w14:textId="77777777" w:rsidR="00B30362" w:rsidRDefault="00000000">
            <w:pPr>
              <w:widowControl w:val="0"/>
              <w:pBdr>
                <w:top w:val="nil"/>
                <w:left w:val="nil"/>
                <w:bottom w:val="nil"/>
                <w:right w:val="nil"/>
                <w:between w:val="nil"/>
              </w:pBdr>
              <w:jc w:val="left"/>
            </w:pPr>
            <w:r>
              <w:t>Legal</w:t>
            </w:r>
          </w:p>
        </w:tc>
        <w:tc>
          <w:tcPr>
            <w:tcW w:w="7368" w:type="dxa"/>
            <w:shd w:val="clear" w:color="auto" w:fill="auto"/>
            <w:tcMar>
              <w:top w:w="100" w:type="dxa"/>
              <w:left w:w="100" w:type="dxa"/>
              <w:bottom w:w="100" w:type="dxa"/>
              <w:right w:w="100" w:type="dxa"/>
            </w:tcMar>
          </w:tcPr>
          <w:p w14:paraId="53DBBBB0" w14:textId="77777777" w:rsidR="00B30362" w:rsidRDefault="00000000">
            <w:pPr>
              <w:widowControl w:val="0"/>
              <w:numPr>
                <w:ilvl w:val="0"/>
                <w:numId w:val="13"/>
              </w:numPr>
              <w:jc w:val="left"/>
            </w:pPr>
            <w:r>
              <w:t>Environmental regulations: BP must comply with laws governing emissions, waste management, and environmental protection, with changes potentially affecting operations and profitability (bp global, 2021).</w:t>
            </w:r>
          </w:p>
          <w:p w14:paraId="2FBC1F30" w14:textId="77777777" w:rsidR="00B30362" w:rsidRDefault="00000000">
            <w:pPr>
              <w:widowControl w:val="0"/>
              <w:numPr>
                <w:ilvl w:val="0"/>
                <w:numId w:val="13"/>
              </w:numPr>
              <w:jc w:val="left"/>
            </w:pPr>
            <w:r>
              <w:t>Health and safety laws: Adherence to health and safety regulations is crucial for BP to safeguard employees and communities, with non-compliance risking fines and reputational harm (bp, 2022).</w:t>
            </w:r>
          </w:p>
          <w:p w14:paraId="5F053C84" w14:textId="77777777" w:rsidR="00B30362" w:rsidRDefault="00000000">
            <w:pPr>
              <w:widowControl w:val="0"/>
              <w:numPr>
                <w:ilvl w:val="0"/>
                <w:numId w:val="13"/>
              </w:numPr>
              <w:jc w:val="left"/>
            </w:pPr>
            <w:r>
              <w:t>Competition laws: In a competitive industry, BP must abide by antitrust and competition regulations, with changes potentially impacting its market competitiveness (bp, 2022).</w:t>
            </w:r>
          </w:p>
          <w:p w14:paraId="66EF8A1D" w14:textId="77777777" w:rsidR="00B30362" w:rsidRDefault="00000000">
            <w:pPr>
              <w:widowControl w:val="0"/>
              <w:numPr>
                <w:ilvl w:val="0"/>
                <w:numId w:val="13"/>
              </w:numPr>
              <w:jc w:val="left"/>
            </w:pPr>
            <w:r>
              <w:t>Trade laws: BP's international operations are subject to trade laws and tariffs, influencing its ability to conduct business in certain countries, with trade disputes and agreement changes affecting profitability (bp, 2022).</w:t>
            </w:r>
          </w:p>
        </w:tc>
      </w:tr>
    </w:tbl>
    <w:p w14:paraId="214DFAEF" w14:textId="77777777" w:rsidR="00B30362" w:rsidRDefault="00B30362"/>
    <w:p w14:paraId="47A06536" w14:textId="77777777" w:rsidR="00B30362" w:rsidRPr="002D7EEA" w:rsidRDefault="00000000">
      <w:pPr>
        <w:pStyle w:val="Heading2"/>
      </w:pPr>
      <w:bookmarkStart w:id="12" w:name="_qro87rf7uuza" w:colFirst="0" w:colLast="0"/>
      <w:bookmarkEnd w:id="12"/>
      <w:r w:rsidRPr="002D7EEA">
        <w:t xml:space="preserve">Leadership Styles for Managing Change </w:t>
      </w:r>
    </w:p>
    <w:p w14:paraId="6F579FE8" w14:textId="77777777" w:rsidR="00B30362" w:rsidRPr="002D7EEA" w:rsidRDefault="00000000">
      <w:pPr>
        <w:rPr>
          <w:b/>
          <w:i/>
        </w:rPr>
      </w:pPr>
      <w:r w:rsidRPr="002D7EEA">
        <w:rPr>
          <w:b/>
          <w:i/>
        </w:rPr>
        <w:t>Transformational Leadership:</w:t>
      </w:r>
    </w:p>
    <w:p w14:paraId="0F9E7893" w14:textId="77777777" w:rsidR="00B30362" w:rsidRPr="002D7EEA" w:rsidRDefault="00000000">
      <w:r w:rsidRPr="002D7EEA">
        <w:t>BP needs innovative leadership to make the switch to low-carbon energy options happen (Reeves et al., 2023). Integration of employees' sense of self with the company's purpose of creativity and sustainability may motivate and excite workers. Transformative leaders create a shared vision that motivates employees to go above and beyond what is expected of them and be open to change. Strong communication skills are necessary for BP leaders to handle emergencies like the Deepwater Horizon oil spill or shaping public opinion about fossil fuels (Ladd, 2012). Transformational leadership is very good at building a feeling of purpose and stimulating creativity, but it also needs constant reinforcement and occasionally lacks the quick direction needed in emergency situations (Shulga, L. V., &amp; Busser, 2024).</w:t>
      </w:r>
    </w:p>
    <w:p w14:paraId="4D846B74" w14:textId="77777777" w:rsidR="00B30362" w:rsidRPr="002D7EEA" w:rsidRDefault="00000000">
      <w:pPr>
        <w:rPr>
          <w:b/>
          <w:i/>
        </w:rPr>
      </w:pPr>
      <w:r w:rsidRPr="002D7EEA">
        <w:rPr>
          <w:b/>
          <w:i/>
        </w:rPr>
        <w:t>Transactional Leadership:</w:t>
      </w:r>
    </w:p>
    <w:p w14:paraId="6C1B28FD" w14:textId="7963B454" w:rsidR="00B30362" w:rsidRPr="002D7EEA" w:rsidRDefault="00000000">
      <w:r w:rsidRPr="002D7EEA">
        <w:t xml:space="preserve">BP needs practical leadership to run its day-to-day business well, especially in high-risk areas like oil research and production (Palis, 2016). Leaders make safety and performance standards clear so that everyone follows </w:t>
      </w:r>
      <w:r w:rsidR="00837B23" w:rsidRPr="002D7EEA">
        <w:t>them,</w:t>
      </w:r>
      <w:r w:rsidRPr="002D7EEA">
        <w:t xml:space="preserve"> and the business runs smoothly. A clear set of awards and punishments supports responsibility and success in transactional leadership (Palis, 2016). Its focus on the present could, however, go against long-term changes in the company's strategy. While transactional leadership is good for short-term goals, it might need to be mixed with other leadership styles to bring about bigger changes and more creativity in a company (Palis, 2016).</w:t>
      </w:r>
    </w:p>
    <w:p w14:paraId="690068AB" w14:textId="77777777" w:rsidR="00B30362" w:rsidRPr="002D7EEA" w:rsidRDefault="00000000">
      <w:pPr>
        <w:rPr>
          <w:b/>
          <w:i/>
        </w:rPr>
      </w:pPr>
      <w:r w:rsidRPr="002D7EEA">
        <w:rPr>
          <w:b/>
          <w:i/>
        </w:rPr>
        <w:t>Situational Leadership:</w:t>
      </w:r>
    </w:p>
    <w:p w14:paraId="4FBC6494" w14:textId="77777777" w:rsidR="00B30362" w:rsidRPr="002D7EEA" w:rsidRDefault="00000000">
      <w:r w:rsidRPr="002D7EEA">
        <w:t>Situational leadership at BP helps the company deal with a wide range of problems and work settings. In times of disaster, Mutch (2020) says that leaders are flexible in how they handle things by giving straight orders and taking on a more delegative role to encourage innovation and change. Because its strategy is flexible, BP can handle both short-term practical problems and long-term strategic goals well. Situational leadership lets leaders respond quickly to changing circumstances, which improves the performance and flexibility of organisations in the energy sector, which changes quickly. It may be easier for BP leaders to handle tough situations and encourage long-term growth and new ideas if they adapt their leadership style to each scenario (Mutch, 2020).</w:t>
      </w:r>
    </w:p>
    <w:p w14:paraId="096B504B" w14:textId="77777777" w:rsidR="00B30362" w:rsidRPr="002D7EEA" w:rsidRDefault="00000000">
      <w:pPr>
        <w:pStyle w:val="Heading2"/>
      </w:pPr>
      <w:bookmarkStart w:id="13" w:name="_qgstcy94zg2u" w:colFirst="0" w:colLast="0"/>
      <w:bookmarkEnd w:id="13"/>
      <w:r w:rsidRPr="002D7EEA">
        <w:t>Impact on Organisational Culture</w:t>
      </w:r>
    </w:p>
    <w:p w14:paraId="74F40E81" w14:textId="77777777" w:rsidR="00B30362" w:rsidRPr="002D7EEA" w:rsidRDefault="00000000">
      <w:r w:rsidRPr="002D7EEA">
        <w:t>By planning and carrying out reform, BP has completely changed the way its employees work together. BP's culture has changed from relying on old-fashioned oil and gas methods to being more open to new ideas and environmentally friendly (Bhatia, 2021). The switch to renewable energy and low-carbon energy sources has caused employees to change how they think and act, creating a mindset that cares about the earth and looks to the future. Due to this shift, employees have had to accept it, get used to new technology, and support the company's goal for a better future (Bhatia, 2021). Because of disasters like the Deepwater Horizon, safety, risk management, and company responsibility are now more important in the workplace culture (</w:t>
      </w:r>
      <w:proofErr w:type="spellStart"/>
      <w:r w:rsidRPr="002D7EEA">
        <w:t>Swuste</w:t>
      </w:r>
      <w:proofErr w:type="spellEnd"/>
      <w:r w:rsidRPr="002D7EEA">
        <w:t xml:space="preserve"> et al., 2020). In general, BP's commitment to change has created a culture that values sustainability, resiliency, and being proactive in dealing with industry problems. This reflects the company's changing image as a responsible global energy provider.</w:t>
      </w:r>
    </w:p>
    <w:p w14:paraId="51DD7315" w14:textId="77777777" w:rsidR="00B30362" w:rsidRPr="002D7EEA" w:rsidRDefault="00000000">
      <w:pPr>
        <w:pStyle w:val="Heading2"/>
      </w:pPr>
      <w:bookmarkStart w:id="14" w:name="_gnshl54a49uo" w:colFirst="0" w:colLast="0"/>
      <w:bookmarkEnd w:id="14"/>
      <w:r w:rsidRPr="002D7EEA">
        <w:t xml:space="preserve">Areas for Improvement </w:t>
      </w:r>
    </w:p>
    <w:p w14:paraId="3794CF29" w14:textId="73749E29" w:rsidR="00B30362" w:rsidRPr="002D7EEA" w:rsidRDefault="00000000">
      <w:r w:rsidRPr="002D7EEA">
        <w:t xml:space="preserve">BP might focus on making its openness and communication networks better in order to get partners to trust and participate more. Getting better at government and responsibility can lower risks and make it easier to follow the law (Van </w:t>
      </w:r>
      <w:proofErr w:type="spellStart"/>
      <w:r w:rsidRPr="002D7EEA">
        <w:t>Greuning</w:t>
      </w:r>
      <w:proofErr w:type="spellEnd"/>
      <w:r w:rsidRPr="002D7EEA">
        <w:t xml:space="preserve">, H., &amp; </w:t>
      </w:r>
      <w:proofErr w:type="spellStart"/>
      <w:r w:rsidRPr="002D7EEA">
        <w:t>Bratanovic</w:t>
      </w:r>
      <w:proofErr w:type="spellEnd"/>
      <w:r w:rsidRPr="002D7EEA">
        <w:t xml:space="preserve">, 2020). Funding training and development programmes for employees can also help them adapt to changes in the market and new technologies. BP could be more creative and more like the people it serves if it closes the gaps in inclusion and diversity within the company. BP can improve its social </w:t>
      </w:r>
      <w:r w:rsidR="00837B23" w:rsidRPr="002D7EEA">
        <w:t>license</w:t>
      </w:r>
      <w:r w:rsidRPr="002D7EEA">
        <w:t xml:space="preserve"> to operate and support projects that lead to sustainable growth by working together and connecting with government agencies, local groups, and other companies in the same industry.</w:t>
      </w:r>
    </w:p>
    <w:p w14:paraId="62DC2C43" w14:textId="77777777" w:rsidR="00B30362" w:rsidRPr="002D7EEA" w:rsidRDefault="00000000">
      <w:pPr>
        <w:pStyle w:val="Heading2"/>
      </w:pPr>
      <w:bookmarkStart w:id="15" w:name="_t3g41bu5xc0o" w:colFirst="0" w:colLast="0"/>
      <w:bookmarkEnd w:id="15"/>
      <w:r w:rsidRPr="002D7EEA">
        <w:t xml:space="preserve">Future Change Needs </w:t>
      </w:r>
    </w:p>
    <w:p w14:paraId="339AF469" w14:textId="77777777" w:rsidR="00B30362" w:rsidRPr="002D7EEA" w:rsidRDefault="00000000">
      <w:r w:rsidRPr="002D7EEA">
        <w:t>BP will need to focus on diversifying into low-carbon technology and green energy sources if it wants to meet the goals of world sustainability. Adopting technology and data analytics may improve business efficiency and lead to new ideas all along the value chain (Casini, 2021). In the future, BP can protect its operations from environmental dangers by reducing climate-related risks and switching to a cycle economy model. Improving resilience and crisis preparedness strategies can lessen the damage that unexpected events can do to operations and image (Mazzanti, M., &amp; Zecca, 2023-62). Moreover, BP will need to create a culture of constant change and adaptation in order to stay ahead in the changing energy market and deal with the challenges that lie ahead.</w:t>
      </w:r>
    </w:p>
    <w:p w14:paraId="5A9F3377" w14:textId="77777777" w:rsidR="00B30362" w:rsidRDefault="00000000">
      <w:pPr>
        <w:pStyle w:val="Heading1"/>
      </w:pPr>
      <w:bookmarkStart w:id="16" w:name="_uj8teadev7p2" w:colFirst="0" w:colLast="0"/>
      <w:bookmarkEnd w:id="16"/>
      <w:r w:rsidRPr="002D7EEA">
        <w:t>Section 2</w:t>
      </w:r>
      <w:r>
        <w:t>- Critical Evaluation of the Change Management Models</w:t>
      </w:r>
    </w:p>
    <w:p w14:paraId="28863579" w14:textId="77777777" w:rsidR="00B30362" w:rsidRDefault="00000000">
      <w:pPr>
        <w:pStyle w:val="Heading2"/>
      </w:pPr>
      <w:bookmarkStart w:id="17" w:name="_u2kprmfp7adq" w:colFirst="0" w:colLast="0"/>
      <w:bookmarkEnd w:id="17"/>
      <w:r>
        <w:t xml:space="preserve">Evaluation of Change Management Models: </w:t>
      </w:r>
    </w:p>
    <w:p w14:paraId="3FBE233F" w14:textId="77777777" w:rsidR="00B30362" w:rsidRDefault="00000000">
      <w:r>
        <w:rPr>
          <w:b/>
          <w:u w:val="single"/>
        </w:rPr>
        <w:t>Kotter’s 8-Step Change Model:</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79"/>
        <w:gridCol w:w="6781"/>
      </w:tblGrid>
      <w:tr w:rsidR="00B30362" w14:paraId="7BE0F670" w14:textId="77777777">
        <w:tc>
          <w:tcPr>
            <w:tcW w:w="2579" w:type="dxa"/>
            <w:shd w:val="clear" w:color="auto" w:fill="auto"/>
            <w:tcMar>
              <w:top w:w="100" w:type="dxa"/>
              <w:left w:w="100" w:type="dxa"/>
              <w:bottom w:w="100" w:type="dxa"/>
              <w:right w:w="100" w:type="dxa"/>
            </w:tcMar>
          </w:tcPr>
          <w:p w14:paraId="7C5AFBE1" w14:textId="77777777" w:rsidR="00B30362" w:rsidRDefault="00000000">
            <w:pPr>
              <w:widowControl w:val="0"/>
              <w:pBdr>
                <w:top w:val="nil"/>
                <w:left w:val="nil"/>
                <w:bottom w:val="nil"/>
                <w:right w:val="nil"/>
                <w:between w:val="nil"/>
              </w:pBdr>
              <w:jc w:val="left"/>
              <w:rPr>
                <w:b/>
              </w:rPr>
            </w:pPr>
            <w:r>
              <w:rPr>
                <w:b/>
              </w:rPr>
              <w:t>Steps</w:t>
            </w:r>
          </w:p>
        </w:tc>
        <w:tc>
          <w:tcPr>
            <w:tcW w:w="6780" w:type="dxa"/>
            <w:shd w:val="clear" w:color="auto" w:fill="auto"/>
            <w:tcMar>
              <w:top w:w="100" w:type="dxa"/>
              <w:left w:w="100" w:type="dxa"/>
              <w:bottom w:w="100" w:type="dxa"/>
              <w:right w:w="100" w:type="dxa"/>
            </w:tcMar>
          </w:tcPr>
          <w:p w14:paraId="497DD854" w14:textId="77777777" w:rsidR="00B30362" w:rsidRDefault="00000000">
            <w:pPr>
              <w:widowControl w:val="0"/>
              <w:pBdr>
                <w:top w:val="nil"/>
                <w:left w:val="nil"/>
                <w:bottom w:val="nil"/>
                <w:right w:val="nil"/>
                <w:between w:val="nil"/>
              </w:pBdr>
              <w:jc w:val="left"/>
              <w:rPr>
                <w:b/>
              </w:rPr>
            </w:pPr>
            <w:r>
              <w:rPr>
                <w:b/>
              </w:rPr>
              <w:t>Description</w:t>
            </w:r>
          </w:p>
        </w:tc>
      </w:tr>
      <w:tr w:rsidR="00B30362" w14:paraId="2A2A833E" w14:textId="77777777">
        <w:tc>
          <w:tcPr>
            <w:tcW w:w="2579" w:type="dxa"/>
            <w:shd w:val="clear" w:color="auto" w:fill="auto"/>
            <w:tcMar>
              <w:top w:w="100" w:type="dxa"/>
              <w:left w:w="100" w:type="dxa"/>
              <w:bottom w:w="100" w:type="dxa"/>
              <w:right w:w="100" w:type="dxa"/>
            </w:tcMar>
          </w:tcPr>
          <w:p w14:paraId="005B246C" w14:textId="77777777" w:rsidR="00B30362" w:rsidRDefault="00000000">
            <w:pPr>
              <w:widowControl w:val="0"/>
              <w:pBdr>
                <w:top w:val="nil"/>
                <w:left w:val="nil"/>
                <w:bottom w:val="nil"/>
                <w:right w:val="nil"/>
                <w:between w:val="nil"/>
              </w:pBdr>
              <w:jc w:val="left"/>
              <w:rPr>
                <w:b/>
              </w:rPr>
            </w:pPr>
            <w:r>
              <w:rPr>
                <w:b/>
              </w:rPr>
              <w:t>Create Urgency</w:t>
            </w:r>
          </w:p>
        </w:tc>
        <w:tc>
          <w:tcPr>
            <w:tcW w:w="6780" w:type="dxa"/>
            <w:shd w:val="clear" w:color="auto" w:fill="auto"/>
            <w:tcMar>
              <w:top w:w="100" w:type="dxa"/>
              <w:left w:w="100" w:type="dxa"/>
              <w:bottom w:w="100" w:type="dxa"/>
              <w:right w:w="100" w:type="dxa"/>
            </w:tcMar>
          </w:tcPr>
          <w:p w14:paraId="4390EEEB" w14:textId="77777777" w:rsidR="00B30362" w:rsidRDefault="00000000">
            <w:pPr>
              <w:widowControl w:val="0"/>
              <w:pBdr>
                <w:top w:val="nil"/>
                <w:left w:val="nil"/>
                <w:bottom w:val="nil"/>
                <w:right w:val="nil"/>
                <w:between w:val="nil"/>
              </w:pBdr>
              <w:jc w:val="left"/>
            </w:pPr>
            <w:r>
              <w:t>For BP, this might involve highlighting the immediate need for a shift towards renewable energy sources, driven by climate change concerns and regulatory pressures (Abdow, 2019).</w:t>
            </w:r>
          </w:p>
        </w:tc>
      </w:tr>
      <w:tr w:rsidR="00B30362" w14:paraId="6228DFEA" w14:textId="77777777">
        <w:tc>
          <w:tcPr>
            <w:tcW w:w="2579" w:type="dxa"/>
            <w:shd w:val="clear" w:color="auto" w:fill="auto"/>
            <w:tcMar>
              <w:top w:w="100" w:type="dxa"/>
              <w:left w:w="100" w:type="dxa"/>
              <w:bottom w:w="100" w:type="dxa"/>
              <w:right w:w="100" w:type="dxa"/>
            </w:tcMar>
          </w:tcPr>
          <w:p w14:paraId="3BF9A988" w14:textId="77777777" w:rsidR="00B30362" w:rsidRDefault="00000000">
            <w:pPr>
              <w:widowControl w:val="0"/>
              <w:pBdr>
                <w:top w:val="nil"/>
                <w:left w:val="nil"/>
                <w:bottom w:val="nil"/>
                <w:right w:val="nil"/>
                <w:between w:val="nil"/>
              </w:pBdr>
              <w:jc w:val="left"/>
              <w:rPr>
                <w:b/>
              </w:rPr>
            </w:pPr>
            <w:r>
              <w:rPr>
                <w:b/>
              </w:rPr>
              <w:t>Form a Powerful Coalition</w:t>
            </w:r>
          </w:p>
        </w:tc>
        <w:tc>
          <w:tcPr>
            <w:tcW w:w="6780" w:type="dxa"/>
            <w:shd w:val="clear" w:color="auto" w:fill="auto"/>
            <w:tcMar>
              <w:top w:w="100" w:type="dxa"/>
              <w:left w:w="100" w:type="dxa"/>
              <w:bottom w:w="100" w:type="dxa"/>
              <w:right w:w="100" w:type="dxa"/>
            </w:tcMar>
          </w:tcPr>
          <w:p w14:paraId="73E98F3C" w14:textId="77777777" w:rsidR="00B30362" w:rsidRDefault="00000000">
            <w:pPr>
              <w:widowControl w:val="0"/>
              <w:pBdr>
                <w:top w:val="nil"/>
                <w:left w:val="nil"/>
                <w:bottom w:val="nil"/>
                <w:right w:val="nil"/>
                <w:between w:val="nil"/>
              </w:pBdr>
              <w:jc w:val="left"/>
            </w:pPr>
            <w:r>
              <w:t>BP can bring together a diverse team of leaders and influencers who are committed to driving the change forward.</w:t>
            </w:r>
          </w:p>
        </w:tc>
      </w:tr>
      <w:tr w:rsidR="00B30362" w14:paraId="5E90EC42" w14:textId="77777777">
        <w:tc>
          <w:tcPr>
            <w:tcW w:w="2579" w:type="dxa"/>
            <w:shd w:val="clear" w:color="auto" w:fill="auto"/>
            <w:tcMar>
              <w:top w:w="100" w:type="dxa"/>
              <w:left w:w="100" w:type="dxa"/>
              <w:bottom w:w="100" w:type="dxa"/>
              <w:right w:w="100" w:type="dxa"/>
            </w:tcMar>
          </w:tcPr>
          <w:p w14:paraId="5522FC3B" w14:textId="77777777" w:rsidR="00B30362" w:rsidRDefault="00000000">
            <w:pPr>
              <w:widowControl w:val="0"/>
              <w:pBdr>
                <w:top w:val="nil"/>
                <w:left w:val="nil"/>
                <w:bottom w:val="nil"/>
                <w:right w:val="nil"/>
                <w:between w:val="nil"/>
              </w:pBdr>
              <w:jc w:val="left"/>
              <w:rPr>
                <w:b/>
              </w:rPr>
            </w:pPr>
            <w:r>
              <w:rPr>
                <w:b/>
              </w:rPr>
              <w:t>Create a Vision for Change</w:t>
            </w:r>
          </w:p>
        </w:tc>
        <w:tc>
          <w:tcPr>
            <w:tcW w:w="6780" w:type="dxa"/>
            <w:shd w:val="clear" w:color="auto" w:fill="auto"/>
            <w:tcMar>
              <w:top w:w="100" w:type="dxa"/>
              <w:left w:w="100" w:type="dxa"/>
              <w:bottom w:w="100" w:type="dxa"/>
              <w:right w:w="100" w:type="dxa"/>
            </w:tcMar>
          </w:tcPr>
          <w:p w14:paraId="3A3356AD" w14:textId="77777777" w:rsidR="00B30362" w:rsidRDefault="00000000">
            <w:pPr>
              <w:widowControl w:val="0"/>
              <w:pBdr>
                <w:top w:val="nil"/>
                <w:left w:val="nil"/>
                <w:bottom w:val="nil"/>
                <w:right w:val="nil"/>
                <w:between w:val="nil"/>
              </w:pBdr>
              <w:jc w:val="left"/>
            </w:pPr>
            <w:r>
              <w:t>BP’s vision could focus on becoming a leader in the transition to a low-carbon future, with clear objectives and strategies.</w:t>
            </w:r>
          </w:p>
        </w:tc>
      </w:tr>
      <w:tr w:rsidR="00B30362" w14:paraId="648DB102" w14:textId="77777777">
        <w:tc>
          <w:tcPr>
            <w:tcW w:w="2579" w:type="dxa"/>
            <w:shd w:val="clear" w:color="auto" w:fill="auto"/>
            <w:tcMar>
              <w:top w:w="100" w:type="dxa"/>
              <w:left w:w="100" w:type="dxa"/>
              <w:bottom w:w="100" w:type="dxa"/>
              <w:right w:w="100" w:type="dxa"/>
            </w:tcMar>
          </w:tcPr>
          <w:p w14:paraId="78C48FC4" w14:textId="77777777" w:rsidR="00B30362" w:rsidRDefault="00000000">
            <w:pPr>
              <w:widowControl w:val="0"/>
              <w:pBdr>
                <w:top w:val="nil"/>
                <w:left w:val="nil"/>
                <w:bottom w:val="nil"/>
                <w:right w:val="nil"/>
                <w:between w:val="nil"/>
              </w:pBdr>
              <w:jc w:val="left"/>
              <w:rPr>
                <w:b/>
              </w:rPr>
            </w:pPr>
            <w:r>
              <w:rPr>
                <w:b/>
              </w:rPr>
              <w:t>Communicate the Vision</w:t>
            </w:r>
          </w:p>
        </w:tc>
        <w:tc>
          <w:tcPr>
            <w:tcW w:w="6780" w:type="dxa"/>
            <w:shd w:val="clear" w:color="auto" w:fill="auto"/>
            <w:tcMar>
              <w:top w:w="100" w:type="dxa"/>
              <w:left w:w="100" w:type="dxa"/>
              <w:bottom w:w="100" w:type="dxa"/>
              <w:right w:w="100" w:type="dxa"/>
            </w:tcMar>
          </w:tcPr>
          <w:p w14:paraId="27CC52B5" w14:textId="77777777" w:rsidR="00B30362" w:rsidRDefault="00000000">
            <w:pPr>
              <w:widowControl w:val="0"/>
              <w:pBdr>
                <w:top w:val="nil"/>
                <w:left w:val="nil"/>
                <w:bottom w:val="nil"/>
                <w:right w:val="nil"/>
                <w:between w:val="nil"/>
              </w:pBdr>
              <w:jc w:val="left"/>
            </w:pPr>
            <w:r>
              <w:t>Communicating this vision effectively would be crucial for BP, utilizing all channels to explain the new direction and the reasons behind it (Abdow, 2019).</w:t>
            </w:r>
          </w:p>
        </w:tc>
      </w:tr>
      <w:tr w:rsidR="00B30362" w14:paraId="321B1B49" w14:textId="77777777">
        <w:tc>
          <w:tcPr>
            <w:tcW w:w="2579" w:type="dxa"/>
            <w:shd w:val="clear" w:color="auto" w:fill="auto"/>
            <w:tcMar>
              <w:top w:w="100" w:type="dxa"/>
              <w:left w:w="100" w:type="dxa"/>
              <w:bottom w:w="100" w:type="dxa"/>
              <w:right w:w="100" w:type="dxa"/>
            </w:tcMar>
          </w:tcPr>
          <w:p w14:paraId="2ACC8FF7" w14:textId="77777777" w:rsidR="00B30362" w:rsidRDefault="00000000">
            <w:pPr>
              <w:widowControl w:val="0"/>
              <w:pBdr>
                <w:top w:val="nil"/>
                <w:left w:val="nil"/>
                <w:bottom w:val="nil"/>
                <w:right w:val="nil"/>
                <w:between w:val="nil"/>
              </w:pBdr>
              <w:jc w:val="left"/>
              <w:rPr>
                <w:b/>
              </w:rPr>
            </w:pPr>
            <w:r>
              <w:rPr>
                <w:b/>
              </w:rPr>
              <w:t>Remove Obstacles</w:t>
            </w:r>
          </w:p>
        </w:tc>
        <w:tc>
          <w:tcPr>
            <w:tcW w:w="6780" w:type="dxa"/>
            <w:shd w:val="clear" w:color="auto" w:fill="auto"/>
            <w:tcMar>
              <w:top w:w="100" w:type="dxa"/>
              <w:left w:w="100" w:type="dxa"/>
              <w:bottom w:w="100" w:type="dxa"/>
              <w:right w:w="100" w:type="dxa"/>
            </w:tcMar>
          </w:tcPr>
          <w:p w14:paraId="04BBC256" w14:textId="77777777" w:rsidR="00B30362" w:rsidRDefault="00000000">
            <w:pPr>
              <w:widowControl w:val="0"/>
              <w:pBdr>
                <w:top w:val="nil"/>
                <w:left w:val="nil"/>
                <w:bottom w:val="nil"/>
                <w:right w:val="nil"/>
                <w:between w:val="nil"/>
              </w:pBdr>
              <w:jc w:val="left"/>
            </w:pPr>
            <w:r>
              <w:t>This could involve restructuring, addressing cultural barriers within BP, or investing in new technologies and skills.</w:t>
            </w:r>
          </w:p>
        </w:tc>
      </w:tr>
      <w:tr w:rsidR="00B30362" w14:paraId="2E747BC9" w14:textId="77777777">
        <w:tc>
          <w:tcPr>
            <w:tcW w:w="2579" w:type="dxa"/>
            <w:shd w:val="clear" w:color="auto" w:fill="auto"/>
            <w:tcMar>
              <w:top w:w="100" w:type="dxa"/>
              <w:left w:w="100" w:type="dxa"/>
              <w:bottom w:w="100" w:type="dxa"/>
              <w:right w:w="100" w:type="dxa"/>
            </w:tcMar>
          </w:tcPr>
          <w:p w14:paraId="54F28248" w14:textId="77777777" w:rsidR="00B30362" w:rsidRDefault="00000000">
            <w:pPr>
              <w:widowControl w:val="0"/>
              <w:pBdr>
                <w:top w:val="nil"/>
                <w:left w:val="nil"/>
                <w:bottom w:val="nil"/>
                <w:right w:val="nil"/>
                <w:between w:val="nil"/>
              </w:pBdr>
              <w:jc w:val="left"/>
              <w:rPr>
                <w:b/>
              </w:rPr>
            </w:pPr>
            <w:r>
              <w:rPr>
                <w:b/>
              </w:rPr>
              <w:t>Create Short-Term Wins</w:t>
            </w:r>
          </w:p>
        </w:tc>
        <w:tc>
          <w:tcPr>
            <w:tcW w:w="6780" w:type="dxa"/>
            <w:shd w:val="clear" w:color="auto" w:fill="auto"/>
            <w:tcMar>
              <w:top w:w="100" w:type="dxa"/>
              <w:left w:w="100" w:type="dxa"/>
              <w:bottom w:w="100" w:type="dxa"/>
              <w:right w:w="100" w:type="dxa"/>
            </w:tcMar>
          </w:tcPr>
          <w:p w14:paraId="767CD7EC" w14:textId="77777777" w:rsidR="00B30362" w:rsidRDefault="00000000">
            <w:pPr>
              <w:widowControl w:val="0"/>
              <w:pBdr>
                <w:top w:val="nil"/>
                <w:left w:val="nil"/>
                <w:bottom w:val="nil"/>
                <w:right w:val="nil"/>
                <w:between w:val="nil"/>
              </w:pBdr>
              <w:jc w:val="left"/>
            </w:pPr>
            <w:r>
              <w:t xml:space="preserve">BP could implement initial changes in energy efficiency or launch small-scale renewable projects to demonstrate commitment to its goals (Laig and </w:t>
            </w:r>
            <w:proofErr w:type="spellStart"/>
            <w:r>
              <w:t>Abocejo</w:t>
            </w:r>
            <w:proofErr w:type="spellEnd"/>
            <w:r>
              <w:t>, 2021).</w:t>
            </w:r>
          </w:p>
        </w:tc>
      </w:tr>
      <w:tr w:rsidR="00B30362" w14:paraId="165969E3" w14:textId="77777777">
        <w:tc>
          <w:tcPr>
            <w:tcW w:w="2579" w:type="dxa"/>
            <w:shd w:val="clear" w:color="auto" w:fill="auto"/>
            <w:tcMar>
              <w:top w:w="100" w:type="dxa"/>
              <w:left w:w="100" w:type="dxa"/>
              <w:bottom w:w="100" w:type="dxa"/>
              <w:right w:w="100" w:type="dxa"/>
            </w:tcMar>
          </w:tcPr>
          <w:p w14:paraId="45BD9C05" w14:textId="77777777" w:rsidR="00B30362" w:rsidRDefault="00000000">
            <w:pPr>
              <w:widowControl w:val="0"/>
              <w:pBdr>
                <w:top w:val="nil"/>
                <w:left w:val="nil"/>
                <w:bottom w:val="nil"/>
                <w:right w:val="nil"/>
                <w:between w:val="nil"/>
              </w:pBdr>
              <w:jc w:val="left"/>
              <w:rPr>
                <w:b/>
              </w:rPr>
            </w:pPr>
            <w:r>
              <w:rPr>
                <w:b/>
              </w:rPr>
              <w:t>Build on the Change</w:t>
            </w:r>
          </w:p>
        </w:tc>
        <w:tc>
          <w:tcPr>
            <w:tcW w:w="6780" w:type="dxa"/>
            <w:shd w:val="clear" w:color="auto" w:fill="auto"/>
            <w:tcMar>
              <w:top w:w="100" w:type="dxa"/>
              <w:left w:w="100" w:type="dxa"/>
              <w:bottom w:w="100" w:type="dxa"/>
              <w:right w:w="100" w:type="dxa"/>
            </w:tcMar>
          </w:tcPr>
          <w:p w14:paraId="16174908" w14:textId="77777777" w:rsidR="00B30362" w:rsidRDefault="00000000">
            <w:pPr>
              <w:widowControl w:val="0"/>
              <w:pBdr>
                <w:top w:val="nil"/>
                <w:left w:val="nil"/>
                <w:bottom w:val="nil"/>
                <w:right w:val="nil"/>
                <w:between w:val="nil"/>
              </w:pBdr>
              <w:jc w:val="left"/>
            </w:pPr>
            <w:r>
              <w:t>BP would need to use the momentum from these early successes to push for further and larger transformations.</w:t>
            </w:r>
          </w:p>
        </w:tc>
      </w:tr>
      <w:tr w:rsidR="00B30362" w14:paraId="79A0A088" w14:textId="77777777">
        <w:tc>
          <w:tcPr>
            <w:tcW w:w="2579" w:type="dxa"/>
            <w:shd w:val="clear" w:color="auto" w:fill="auto"/>
            <w:tcMar>
              <w:top w:w="100" w:type="dxa"/>
              <w:left w:w="100" w:type="dxa"/>
              <w:bottom w:w="100" w:type="dxa"/>
              <w:right w:w="100" w:type="dxa"/>
            </w:tcMar>
          </w:tcPr>
          <w:p w14:paraId="7F3FE2DB" w14:textId="77777777" w:rsidR="00B30362" w:rsidRDefault="00000000">
            <w:pPr>
              <w:widowControl w:val="0"/>
              <w:pBdr>
                <w:top w:val="nil"/>
                <w:left w:val="nil"/>
                <w:bottom w:val="nil"/>
                <w:right w:val="nil"/>
                <w:between w:val="nil"/>
              </w:pBdr>
              <w:jc w:val="left"/>
              <w:rPr>
                <w:b/>
              </w:rPr>
            </w:pPr>
            <w:r>
              <w:rPr>
                <w:b/>
              </w:rPr>
              <w:t>Anchor the Changes in Corporate Culture</w:t>
            </w:r>
          </w:p>
        </w:tc>
        <w:tc>
          <w:tcPr>
            <w:tcW w:w="6780" w:type="dxa"/>
            <w:shd w:val="clear" w:color="auto" w:fill="auto"/>
            <w:tcMar>
              <w:top w:w="100" w:type="dxa"/>
              <w:left w:w="100" w:type="dxa"/>
              <w:bottom w:w="100" w:type="dxa"/>
              <w:right w:w="100" w:type="dxa"/>
            </w:tcMar>
          </w:tcPr>
          <w:p w14:paraId="50EEF101" w14:textId="77777777" w:rsidR="00B30362" w:rsidRDefault="00000000">
            <w:pPr>
              <w:widowControl w:val="0"/>
              <w:pBdr>
                <w:top w:val="nil"/>
                <w:left w:val="nil"/>
                <w:bottom w:val="nil"/>
                <w:right w:val="nil"/>
                <w:between w:val="nil"/>
              </w:pBdr>
              <w:jc w:val="left"/>
            </w:pPr>
            <w:r>
              <w:t xml:space="preserve">BP should embed these new approaches into its corporate identity, ensuring that change is sustained and becomes part of the organizational DNA (Laig and </w:t>
            </w:r>
            <w:proofErr w:type="spellStart"/>
            <w:r>
              <w:t>Abocejo</w:t>
            </w:r>
            <w:proofErr w:type="spellEnd"/>
            <w:r>
              <w:t>, 2021).</w:t>
            </w:r>
          </w:p>
        </w:tc>
      </w:tr>
    </w:tbl>
    <w:p w14:paraId="223B7433" w14:textId="77777777" w:rsidR="00B30362" w:rsidRDefault="00B30362"/>
    <w:p w14:paraId="5DE5867E" w14:textId="77777777" w:rsidR="00B30362" w:rsidRDefault="00000000">
      <w:r>
        <w:rPr>
          <w:b/>
          <w:u w:val="single"/>
        </w:rPr>
        <w:t>Lewin's Change Management Model</w:t>
      </w:r>
      <w:r>
        <w:t>:</w:t>
      </w:r>
    </w:p>
    <w:p w14:paraId="496571EE" w14:textId="77777777" w:rsidR="00B30362" w:rsidRDefault="00000000">
      <w:r>
        <w:t xml:space="preserve">In Lewin's Change Management Model, there are three steps: unfreezing, changing, and refreezing. According to </w:t>
      </w:r>
      <w:proofErr w:type="spellStart"/>
      <w:r>
        <w:t>Ñkaña</w:t>
      </w:r>
      <w:proofErr w:type="spellEnd"/>
      <w:r>
        <w:t xml:space="preserve"> (2020), the unfreezing stage is when a company questions its current ways of thinking and acting, which makes people more open to change. During the change stage, new ideas, tools, or ways of doing things must be put in place in order to get the desired results. In the refreezing step, the changes are finally made stronger and part of the organization's mindset so that they will last. The way BP does things can be used to speed up the switch to clean energy sources (Bernardino and Tan, 2022). Leaders can stress the need for change during the unfreezing phase by referencing changes in the market, the law, or environmental issues. For example, BP's reaction to the Deepwater Horizon accident led to a commitment to sustainability and a review of safety processes (BBC, 2024). At this time of change, BP can restructure its operations to better meet its environmental goals, adopt new technologies for lowering pollution, and get involved in renewable energy projects. During the refreezing stage, BP can add sustainable practices to its company values, policies, and success indicators in order to make the change permanent. This paradigm has been used by BP, which has made a strategic move to invest in sustainable energy like solar and wind power and is also committed to lowering greenhouse gas pollution. Moreover, BP's attempts to thaw the changes in its business culture can be seen in the things it does to improve safety and environmental responsibility. BP can easily handle the complicated steps needed to move towards a more sustainable energy future by using Lewin's Change Management Model.</w:t>
      </w:r>
    </w:p>
    <w:p w14:paraId="53D08F5A" w14:textId="77777777" w:rsidR="00B30362" w:rsidRDefault="00000000">
      <w:r>
        <w:rPr>
          <w:b/>
          <w:u w:val="single"/>
        </w:rPr>
        <w:t>ADKAR Mode</w:t>
      </w:r>
      <w:r>
        <w:t>:</w:t>
      </w:r>
    </w:p>
    <w:p w14:paraId="03184C03" w14:textId="091F944B" w:rsidR="00B30362" w:rsidRDefault="00000000">
      <w:r>
        <w:t xml:space="preserve">The ADKAR Model is a way to handle change that focuses on how individuals change as a company changes. Lung et al. (2021) </w:t>
      </w:r>
      <w:r w:rsidR="00837B23">
        <w:t>says</w:t>
      </w:r>
      <w:r>
        <w:t xml:space="preserve"> there are five stages: wanting to learn, knowing how to learn, being able to learn, and being reinforced. BP could use the ADKAR Model to help with the switch to clean energy sources. In the Awareness stage, employees are told that they need to change, with a focus on changes in the market and problems with the environment. A public promise by BP to cut carbon pollution and invest in green energy sources is one way the company is drawing attention to the need for change (BP Global, 2021). Leaders create a shared goal for sustainability during the Desire stage, which gets employees excited about the change. In order to get people on board with its plans, BP often stresses its desire to lead the way in green energy efforts in its CEO speeches and company communications (BP Global, 2021). Employees are given the tools, training, and information they need to handle the change easily during the understanding stage. BP gives its employees training in environmental concepts and renewable energy technology to get them ready for the change. At this stage, employees show that they have the skills to put sustainable ideas into action, such as using solar panels or making the best use of energy. BP uses performance reviews to include sustainability factors and to find and reward staff members who support sustainability goals in the last step, which is called Reinforcement. Using the ADKAR Model, BP can lead corporate change towards a more sustainable future and handle individual changes more effectively.</w:t>
      </w:r>
    </w:p>
    <w:p w14:paraId="5628BA2C" w14:textId="77777777" w:rsidR="00B30362" w:rsidRDefault="00000000">
      <w:pPr>
        <w:pStyle w:val="Heading2"/>
      </w:pPr>
      <w:bookmarkStart w:id="18" w:name="_wqa2eo9eik0k" w:colFirst="0" w:colLast="0"/>
      <w:bookmarkEnd w:id="18"/>
      <w:r>
        <w:t>Selection of a Suitable Model</w:t>
      </w:r>
    </w:p>
    <w:p w14:paraId="737B14D5" w14:textId="77777777" w:rsidR="00B30362" w:rsidRDefault="00000000">
      <w:r>
        <w:t>BP needs to carefully look at its goals, its culture, and the size of the change it is about to make in order to choose the best change management approach. Market forces, legal requirements, and environmental concerns all led BP to change its strategy to focus on sustainable energy. Because of this, the company needs a model that can handle both the practical and cultural parts of change well.</w:t>
      </w:r>
    </w:p>
    <w:p w14:paraId="53DB20F8" w14:textId="77777777" w:rsidR="00B30362" w:rsidRDefault="00000000">
      <w:r>
        <w:t>BP likes the ADKAR Model a lot because it offers a personalised method that is made for the whole company to change. By putting a lot of emphasis on personal change at all levels of a company, the ADKAR Model makes sure that every worker knows and supports the move towards sustainability. This grassroots strategy helps long-lasting change by promoting widespread acceptance and internalisation within the company (Leung et al., 2021). To really deal with implementing a complete strategy, though, the ADKAR Model might need to be paired with a bigger picture plan. At first glance, Lewin's Change Management Model may seem like an easy way to make effective changes quickly because it works from the top down (</w:t>
      </w:r>
      <w:proofErr w:type="spellStart"/>
      <w:r>
        <w:t>Ñkaña</w:t>
      </w:r>
      <w:proofErr w:type="spellEnd"/>
      <w:r>
        <w:t>, 2020). In the meantime, its three-step, linear method might oversimplify how complicated and diverse BP's change is. Also, it doesn't have any internal processes that encourage change and ongoing development, which are important for BP's long-term growth in a market that is always changing. Instead, Kotter's 8-Step Change Model gives BP a complete plan that could help it handle the tricky parts of its strategic change (Abdow, 2019). The idea fits with BP's need to move quickly and strongly towards sustainable practices by putting the focus on creating a sense of urgency and putting together a group of people who will back them. Kotter's focus on keeping change going fits with BP's need to make new rules and practices part of its company culture so that old ways of thinking don't come back.</w:t>
      </w:r>
    </w:p>
    <w:p w14:paraId="188CB206" w14:textId="77777777" w:rsidR="00B30362" w:rsidRDefault="00000000">
      <w:r>
        <w:t xml:space="preserve">Now that we know these things, Kotter's 8-Step Change Model is the best choice for BP. Its planned, staged strategy can be easily passed down from the company's top managers to the people who work directly with customers. The model covers a lot of ground, so change can be easily woven into BP's culture. </w:t>
      </w:r>
    </w:p>
    <w:p w14:paraId="6896412E" w14:textId="77777777" w:rsidR="00B30362" w:rsidRDefault="00000000">
      <w:pPr>
        <w:pStyle w:val="Heading1"/>
      </w:pPr>
      <w:bookmarkStart w:id="19" w:name="_5ciadbae7rau" w:colFirst="0" w:colLast="0"/>
      <w:bookmarkEnd w:id="19"/>
      <w:r>
        <w:t>Section 3- Proposal and Implementation of Change Strategy</w:t>
      </w:r>
    </w:p>
    <w:p w14:paraId="674F79F8" w14:textId="77777777" w:rsidR="00B30362" w:rsidRDefault="00000000">
      <w:pPr>
        <w:pStyle w:val="Heading2"/>
      </w:pPr>
      <w:bookmarkStart w:id="20" w:name="_pktuplhojihm" w:colFirst="0" w:colLast="0"/>
      <w:bookmarkEnd w:id="20"/>
      <w:r>
        <w:t xml:space="preserve">Change Management Plan: </w:t>
      </w:r>
    </w:p>
    <w:p w14:paraId="6F070D63" w14:textId="77777777" w:rsidR="00B30362" w:rsidRDefault="00B30362"/>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30362" w14:paraId="267E5FC1" w14:textId="77777777">
        <w:tc>
          <w:tcPr>
            <w:tcW w:w="9360" w:type="dxa"/>
            <w:shd w:val="clear" w:color="auto" w:fill="auto"/>
            <w:tcMar>
              <w:top w:w="100" w:type="dxa"/>
              <w:left w:w="100" w:type="dxa"/>
              <w:bottom w:w="100" w:type="dxa"/>
              <w:right w:w="100" w:type="dxa"/>
            </w:tcMar>
          </w:tcPr>
          <w:p w14:paraId="7C997730" w14:textId="77777777" w:rsidR="00B30362" w:rsidRDefault="00000000">
            <w:pPr>
              <w:rPr>
                <w:b/>
              </w:rPr>
            </w:pPr>
            <w:r>
              <w:rPr>
                <w:b/>
              </w:rPr>
              <w:t>Step 1: Create Urgency</w:t>
            </w:r>
          </w:p>
        </w:tc>
      </w:tr>
      <w:tr w:rsidR="00B30362" w14:paraId="40FC9953" w14:textId="77777777">
        <w:tc>
          <w:tcPr>
            <w:tcW w:w="9360" w:type="dxa"/>
            <w:shd w:val="clear" w:color="auto" w:fill="auto"/>
            <w:tcMar>
              <w:top w:w="100" w:type="dxa"/>
              <w:left w:w="100" w:type="dxa"/>
              <w:bottom w:w="100" w:type="dxa"/>
              <w:right w:w="100" w:type="dxa"/>
            </w:tcMar>
          </w:tcPr>
          <w:p w14:paraId="592C3791" w14:textId="77777777" w:rsidR="00B30362" w:rsidRDefault="00000000">
            <w:pPr>
              <w:numPr>
                <w:ilvl w:val="0"/>
                <w:numId w:val="2"/>
              </w:numPr>
            </w:pPr>
            <w:r>
              <w:t>Present compelling environmental and market data to underscore the need for swift transition to sustainable energy.</w:t>
            </w:r>
          </w:p>
          <w:p w14:paraId="105CA852" w14:textId="77777777" w:rsidR="00B30362" w:rsidRDefault="00000000">
            <w:pPr>
              <w:numPr>
                <w:ilvl w:val="0"/>
                <w:numId w:val="2"/>
              </w:numPr>
            </w:pPr>
            <w:r>
              <w:t>Highlight stakeholder expectations, including shareholder and consumer preferences for green energy, to drive urgency.</w:t>
            </w:r>
          </w:p>
          <w:p w14:paraId="4DB201D1" w14:textId="77777777" w:rsidR="00B30362" w:rsidRDefault="00000000">
            <w:pPr>
              <w:numPr>
                <w:ilvl w:val="0"/>
                <w:numId w:val="2"/>
              </w:numPr>
            </w:pPr>
            <w:r>
              <w:t>Facilitate open forums for employees to voice concerns and ideas, fostering collective understanding of the urgent need for change.</w:t>
            </w:r>
          </w:p>
        </w:tc>
      </w:tr>
      <w:tr w:rsidR="00B30362" w14:paraId="5E1A0C99" w14:textId="77777777">
        <w:tc>
          <w:tcPr>
            <w:tcW w:w="9360" w:type="dxa"/>
            <w:shd w:val="clear" w:color="auto" w:fill="auto"/>
            <w:tcMar>
              <w:top w:w="100" w:type="dxa"/>
              <w:left w:w="100" w:type="dxa"/>
              <w:bottom w:w="100" w:type="dxa"/>
              <w:right w:w="100" w:type="dxa"/>
            </w:tcMar>
          </w:tcPr>
          <w:p w14:paraId="3592DC4B" w14:textId="77777777" w:rsidR="00B30362" w:rsidRDefault="00000000">
            <w:pPr>
              <w:rPr>
                <w:b/>
              </w:rPr>
            </w:pPr>
            <w:r>
              <w:rPr>
                <w:b/>
              </w:rPr>
              <w:t>Step 2: Form a Powerful Coalition</w:t>
            </w:r>
          </w:p>
        </w:tc>
      </w:tr>
      <w:tr w:rsidR="00B30362" w14:paraId="32598586" w14:textId="77777777">
        <w:tc>
          <w:tcPr>
            <w:tcW w:w="9360" w:type="dxa"/>
            <w:shd w:val="clear" w:color="auto" w:fill="auto"/>
            <w:tcMar>
              <w:top w:w="100" w:type="dxa"/>
              <w:left w:w="100" w:type="dxa"/>
              <w:bottom w:w="100" w:type="dxa"/>
              <w:right w:w="100" w:type="dxa"/>
            </w:tcMar>
          </w:tcPr>
          <w:p w14:paraId="2862443E" w14:textId="77777777" w:rsidR="00B30362" w:rsidRDefault="00000000">
            <w:pPr>
              <w:widowControl w:val="0"/>
              <w:numPr>
                <w:ilvl w:val="0"/>
                <w:numId w:val="10"/>
              </w:numPr>
              <w:jc w:val="left"/>
            </w:pPr>
            <w:r>
              <w:t>Assemble a diverse team of leaders across BP, including from sustainability, operations, and finance.</w:t>
            </w:r>
          </w:p>
          <w:p w14:paraId="5CE0BF43" w14:textId="77777777" w:rsidR="00B30362" w:rsidRDefault="00000000">
            <w:pPr>
              <w:widowControl w:val="0"/>
              <w:numPr>
                <w:ilvl w:val="0"/>
                <w:numId w:val="10"/>
              </w:numPr>
              <w:jc w:val="left"/>
            </w:pPr>
            <w:r>
              <w:t>Engage influential individuals to champion change and inspire enthusiasm within their respective teams.</w:t>
            </w:r>
          </w:p>
          <w:p w14:paraId="351644C8" w14:textId="77777777" w:rsidR="00B30362" w:rsidRDefault="00000000">
            <w:pPr>
              <w:widowControl w:val="0"/>
              <w:numPr>
                <w:ilvl w:val="0"/>
                <w:numId w:val="10"/>
              </w:numPr>
              <w:jc w:val="left"/>
            </w:pPr>
            <w:r>
              <w:t>Ensure visibility and activity of the coalition, empowering them to lead by example and motivate their teams.</w:t>
            </w:r>
          </w:p>
        </w:tc>
      </w:tr>
      <w:tr w:rsidR="00B30362" w14:paraId="30988903" w14:textId="77777777">
        <w:tc>
          <w:tcPr>
            <w:tcW w:w="9360" w:type="dxa"/>
            <w:shd w:val="clear" w:color="auto" w:fill="auto"/>
            <w:tcMar>
              <w:top w:w="100" w:type="dxa"/>
              <w:left w:w="100" w:type="dxa"/>
              <w:bottom w:w="100" w:type="dxa"/>
              <w:right w:w="100" w:type="dxa"/>
            </w:tcMar>
          </w:tcPr>
          <w:p w14:paraId="2F64297E" w14:textId="77777777" w:rsidR="00B30362" w:rsidRDefault="00000000">
            <w:pPr>
              <w:rPr>
                <w:b/>
              </w:rPr>
            </w:pPr>
            <w:r>
              <w:rPr>
                <w:b/>
              </w:rPr>
              <w:t>Step 3: Create a Vision for Change</w:t>
            </w:r>
          </w:p>
        </w:tc>
      </w:tr>
      <w:tr w:rsidR="00B30362" w14:paraId="27C598A4" w14:textId="77777777">
        <w:tc>
          <w:tcPr>
            <w:tcW w:w="9360" w:type="dxa"/>
            <w:shd w:val="clear" w:color="auto" w:fill="auto"/>
            <w:tcMar>
              <w:top w:w="100" w:type="dxa"/>
              <w:left w:w="100" w:type="dxa"/>
              <w:bottom w:w="100" w:type="dxa"/>
              <w:right w:w="100" w:type="dxa"/>
            </w:tcMar>
          </w:tcPr>
          <w:p w14:paraId="66CD0171" w14:textId="77777777" w:rsidR="00B30362" w:rsidRDefault="00000000">
            <w:pPr>
              <w:numPr>
                <w:ilvl w:val="0"/>
                <w:numId w:val="1"/>
              </w:numPr>
            </w:pPr>
            <w:r>
              <w:t>Develop a clear, inspirational vision integrating sustainability and innovation with BP’s corporate goals.</w:t>
            </w:r>
          </w:p>
          <w:p w14:paraId="61BD4595" w14:textId="77777777" w:rsidR="00B30362" w:rsidRDefault="00000000">
            <w:pPr>
              <w:numPr>
                <w:ilvl w:val="0"/>
                <w:numId w:val="1"/>
              </w:numPr>
            </w:pPr>
            <w:r>
              <w:t>Craft strategic initiatives reflecting the vision, such as renewable energy projects and emissions reduction targets.</w:t>
            </w:r>
          </w:p>
          <w:p w14:paraId="352356CC" w14:textId="77777777" w:rsidR="00B30362" w:rsidRDefault="00000000">
            <w:pPr>
              <w:numPr>
                <w:ilvl w:val="0"/>
                <w:numId w:val="1"/>
              </w:numPr>
            </w:pPr>
            <w:r>
              <w:t>Simplify the vision into a powerful, easily understood message capable of inspiring action.</w:t>
            </w:r>
          </w:p>
        </w:tc>
      </w:tr>
      <w:tr w:rsidR="00B30362" w14:paraId="0842D6ED" w14:textId="77777777">
        <w:tc>
          <w:tcPr>
            <w:tcW w:w="9360" w:type="dxa"/>
            <w:shd w:val="clear" w:color="auto" w:fill="auto"/>
            <w:tcMar>
              <w:top w:w="100" w:type="dxa"/>
              <w:left w:w="100" w:type="dxa"/>
              <w:bottom w:w="100" w:type="dxa"/>
              <w:right w:w="100" w:type="dxa"/>
            </w:tcMar>
          </w:tcPr>
          <w:p w14:paraId="627D9ED2" w14:textId="77777777" w:rsidR="00B30362" w:rsidRDefault="00000000">
            <w:pPr>
              <w:rPr>
                <w:b/>
              </w:rPr>
            </w:pPr>
            <w:r>
              <w:rPr>
                <w:b/>
              </w:rPr>
              <w:t>Step 4: Communicate the Vision</w:t>
            </w:r>
          </w:p>
        </w:tc>
      </w:tr>
      <w:tr w:rsidR="00B30362" w14:paraId="07BBAD4D" w14:textId="77777777">
        <w:tc>
          <w:tcPr>
            <w:tcW w:w="9360" w:type="dxa"/>
            <w:shd w:val="clear" w:color="auto" w:fill="auto"/>
            <w:tcMar>
              <w:top w:w="100" w:type="dxa"/>
              <w:left w:w="100" w:type="dxa"/>
              <w:bottom w:w="100" w:type="dxa"/>
              <w:right w:w="100" w:type="dxa"/>
            </w:tcMar>
          </w:tcPr>
          <w:p w14:paraId="073C0683" w14:textId="77777777" w:rsidR="00B30362" w:rsidRDefault="00000000">
            <w:pPr>
              <w:numPr>
                <w:ilvl w:val="0"/>
                <w:numId w:val="11"/>
              </w:numPr>
            </w:pPr>
            <w:r>
              <w:t>Utilize all communication channels within BP to consistently broadcast the change vision.</w:t>
            </w:r>
          </w:p>
          <w:p w14:paraId="24D27CD9" w14:textId="77777777" w:rsidR="00B30362" w:rsidRDefault="00000000">
            <w:pPr>
              <w:numPr>
                <w:ilvl w:val="0"/>
                <w:numId w:val="11"/>
              </w:numPr>
            </w:pPr>
            <w:r>
              <w:t>Train leaders and coalition members to effectively communicate the vision and implementation steps.</w:t>
            </w:r>
          </w:p>
          <w:p w14:paraId="3A0C5F95" w14:textId="77777777" w:rsidR="00B30362" w:rsidRDefault="00000000">
            <w:pPr>
              <w:numPr>
                <w:ilvl w:val="0"/>
                <w:numId w:val="11"/>
              </w:numPr>
            </w:pPr>
            <w:r>
              <w:t>Establish channels for feedback and discussion to encourage two-way communication about the vision and its execution.</w:t>
            </w:r>
          </w:p>
        </w:tc>
      </w:tr>
      <w:tr w:rsidR="00B30362" w14:paraId="3F6752F3" w14:textId="77777777">
        <w:tc>
          <w:tcPr>
            <w:tcW w:w="9360" w:type="dxa"/>
            <w:shd w:val="clear" w:color="auto" w:fill="auto"/>
            <w:tcMar>
              <w:top w:w="100" w:type="dxa"/>
              <w:left w:w="100" w:type="dxa"/>
              <w:bottom w:w="100" w:type="dxa"/>
              <w:right w:w="100" w:type="dxa"/>
            </w:tcMar>
          </w:tcPr>
          <w:p w14:paraId="45F4121A" w14:textId="77777777" w:rsidR="00B30362" w:rsidRDefault="00000000">
            <w:pPr>
              <w:rPr>
                <w:b/>
              </w:rPr>
            </w:pPr>
            <w:r>
              <w:rPr>
                <w:b/>
              </w:rPr>
              <w:t>Step 5: Remove Obstacles</w:t>
            </w:r>
          </w:p>
        </w:tc>
      </w:tr>
      <w:tr w:rsidR="00B30362" w14:paraId="6ED5C8A2" w14:textId="77777777">
        <w:tc>
          <w:tcPr>
            <w:tcW w:w="9360" w:type="dxa"/>
            <w:shd w:val="clear" w:color="auto" w:fill="auto"/>
            <w:tcMar>
              <w:top w:w="100" w:type="dxa"/>
              <w:left w:w="100" w:type="dxa"/>
              <w:bottom w:w="100" w:type="dxa"/>
              <w:right w:w="100" w:type="dxa"/>
            </w:tcMar>
          </w:tcPr>
          <w:p w14:paraId="79E61681" w14:textId="77777777" w:rsidR="00B30362" w:rsidRDefault="00000000">
            <w:pPr>
              <w:numPr>
                <w:ilvl w:val="0"/>
                <w:numId w:val="14"/>
              </w:numPr>
            </w:pPr>
            <w:r>
              <w:t>Conduct an audit to identify and eliminate processes, policies, or cultural elements hindering the change vision.</w:t>
            </w:r>
          </w:p>
          <w:p w14:paraId="0AFA5817" w14:textId="77777777" w:rsidR="00B30362" w:rsidRDefault="00000000">
            <w:pPr>
              <w:numPr>
                <w:ilvl w:val="0"/>
                <w:numId w:val="14"/>
              </w:numPr>
            </w:pPr>
            <w:r>
              <w:t>Empower key players with resources and authority to lead effective actions towards the vision.</w:t>
            </w:r>
          </w:p>
          <w:p w14:paraId="41121C55" w14:textId="77777777" w:rsidR="00B30362" w:rsidRDefault="00000000">
            <w:pPr>
              <w:numPr>
                <w:ilvl w:val="0"/>
                <w:numId w:val="14"/>
              </w:numPr>
            </w:pPr>
            <w:r>
              <w:t>Establish support structures, such as training programs, to assist those facing challenges due to the changes.</w:t>
            </w:r>
          </w:p>
        </w:tc>
      </w:tr>
      <w:tr w:rsidR="00B30362" w14:paraId="136EF4C8" w14:textId="77777777">
        <w:tc>
          <w:tcPr>
            <w:tcW w:w="9360" w:type="dxa"/>
            <w:shd w:val="clear" w:color="auto" w:fill="auto"/>
            <w:tcMar>
              <w:top w:w="100" w:type="dxa"/>
              <w:left w:w="100" w:type="dxa"/>
              <w:bottom w:w="100" w:type="dxa"/>
              <w:right w:w="100" w:type="dxa"/>
            </w:tcMar>
          </w:tcPr>
          <w:p w14:paraId="1A7EF44D" w14:textId="77777777" w:rsidR="00B30362" w:rsidRDefault="00000000">
            <w:pPr>
              <w:rPr>
                <w:b/>
              </w:rPr>
            </w:pPr>
            <w:r>
              <w:rPr>
                <w:b/>
              </w:rPr>
              <w:t>Step 6: Create Short-Term Wins</w:t>
            </w:r>
          </w:p>
        </w:tc>
      </w:tr>
      <w:tr w:rsidR="00B30362" w14:paraId="7888AFC8" w14:textId="77777777">
        <w:tc>
          <w:tcPr>
            <w:tcW w:w="9360" w:type="dxa"/>
            <w:shd w:val="clear" w:color="auto" w:fill="auto"/>
            <w:tcMar>
              <w:top w:w="100" w:type="dxa"/>
              <w:left w:w="100" w:type="dxa"/>
              <w:bottom w:w="100" w:type="dxa"/>
              <w:right w:w="100" w:type="dxa"/>
            </w:tcMar>
          </w:tcPr>
          <w:p w14:paraId="22B16916" w14:textId="77777777" w:rsidR="00B30362" w:rsidRDefault="00000000">
            <w:pPr>
              <w:numPr>
                <w:ilvl w:val="0"/>
                <w:numId w:val="5"/>
              </w:numPr>
            </w:pPr>
            <w:r>
              <w:t>Set and achieve attainable short-term goals aligned with the long-term vision, like completing successful pilot projects in renewable energy.</w:t>
            </w:r>
          </w:p>
          <w:p w14:paraId="0B192EF6" w14:textId="77777777" w:rsidR="00B30362" w:rsidRDefault="00000000">
            <w:pPr>
              <w:numPr>
                <w:ilvl w:val="0"/>
                <w:numId w:val="5"/>
              </w:numPr>
            </w:pPr>
            <w:r>
              <w:t>Recognize and reward contributors to these wins through formal acknowledgment or incentives.</w:t>
            </w:r>
          </w:p>
          <w:p w14:paraId="602B4F29" w14:textId="77777777" w:rsidR="00B30362" w:rsidRDefault="00000000">
            <w:pPr>
              <w:numPr>
                <w:ilvl w:val="0"/>
                <w:numId w:val="5"/>
              </w:numPr>
            </w:pPr>
            <w:r>
              <w:t>Communicate early successes promptly to build momentum and illustrate the benefits of the change.</w:t>
            </w:r>
          </w:p>
        </w:tc>
      </w:tr>
      <w:tr w:rsidR="00B30362" w14:paraId="787D2453" w14:textId="77777777">
        <w:tc>
          <w:tcPr>
            <w:tcW w:w="9360" w:type="dxa"/>
            <w:shd w:val="clear" w:color="auto" w:fill="auto"/>
            <w:tcMar>
              <w:top w:w="100" w:type="dxa"/>
              <w:left w:w="100" w:type="dxa"/>
              <w:bottom w:w="100" w:type="dxa"/>
              <w:right w:w="100" w:type="dxa"/>
            </w:tcMar>
          </w:tcPr>
          <w:p w14:paraId="2ECC8E55" w14:textId="77777777" w:rsidR="00B30362" w:rsidRDefault="00000000">
            <w:pPr>
              <w:rPr>
                <w:b/>
              </w:rPr>
            </w:pPr>
            <w:r>
              <w:rPr>
                <w:b/>
              </w:rPr>
              <w:t>Step 7: Build on the Change</w:t>
            </w:r>
          </w:p>
        </w:tc>
      </w:tr>
      <w:tr w:rsidR="00B30362" w14:paraId="04B5533F" w14:textId="77777777">
        <w:tc>
          <w:tcPr>
            <w:tcW w:w="9360" w:type="dxa"/>
            <w:shd w:val="clear" w:color="auto" w:fill="auto"/>
            <w:tcMar>
              <w:top w:w="100" w:type="dxa"/>
              <w:left w:w="100" w:type="dxa"/>
              <w:bottom w:w="100" w:type="dxa"/>
              <w:right w:w="100" w:type="dxa"/>
            </w:tcMar>
          </w:tcPr>
          <w:p w14:paraId="73E76EFF" w14:textId="77777777" w:rsidR="00B30362" w:rsidRDefault="00000000">
            <w:pPr>
              <w:numPr>
                <w:ilvl w:val="0"/>
                <w:numId w:val="7"/>
              </w:numPr>
            </w:pPr>
            <w:r>
              <w:t>Leverage credibility from early wins to tackle larger, transformative projects.</w:t>
            </w:r>
          </w:p>
          <w:p w14:paraId="109A2DBE" w14:textId="77777777" w:rsidR="00B30362" w:rsidRDefault="00000000">
            <w:pPr>
              <w:numPr>
                <w:ilvl w:val="0"/>
                <w:numId w:val="7"/>
              </w:numPr>
            </w:pPr>
            <w:r>
              <w:t>Emphasize continuous improvement by evaluating results and processes regularly.</w:t>
            </w:r>
          </w:p>
          <w:p w14:paraId="05D9844E" w14:textId="77777777" w:rsidR="00B30362" w:rsidRDefault="00000000">
            <w:pPr>
              <w:numPr>
                <w:ilvl w:val="0"/>
                <w:numId w:val="7"/>
              </w:numPr>
            </w:pPr>
            <w:r>
              <w:t>Introduce new change agents and leaders to maintain innovation and prevent fatigue.</w:t>
            </w:r>
          </w:p>
        </w:tc>
      </w:tr>
      <w:tr w:rsidR="00B30362" w14:paraId="3773D3DB" w14:textId="77777777">
        <w:tc>
          <w:tcPr>
            <w:tcW w:w="9360" w:type="dxa"/>
            <w:shd w:val="clear" w:color="auto" w:fill="auto"/>
            <w:tcMar>
              <w:top w:w="100" w:type="dxa"/>
              <w:left w:w="100" w:type="dxa"/>
              <w:bottom w:w="100" w:type="dxa"/>
              <w:right w:w="100" w:type="dxa"/>
            </w:tcMar>
          </w:tcPr>
          <w:p w14:paraId="3B474020" w14:textId="77777777" w:rsidR="00B30362" w:rsidRDefault="00000000">
            <w:pPr>
              <w:rPr>
                <w:b/>
              </w:rPr>
            </w:pPr>
            <w:r>
              <w:rPr>
                <w:b/>
              </w:rPr>
              <w:t>Step 8: Anchor the Changes in Corporate Culture</w:t>
            </w:r>
          </w:p>
        </w:tc>
      </w:tr>
      <w:tr w:rsidR="00B30362" w14:paraId="040591E2" w14:textId="77777777">
        <w:tc>
          <w:tcPr>
            <w:tcW w:w="9360" w:type="dxa"/>
            <w:shd w:val="clear" w:color="auto" w:fill="auto"/>
            <w:tcMar>
              <w:top w:w="100" w:type="dxa"/>
              <w:left w:w="100" w:type="dxa"/>
              <w:bottom w:w="100" w:type="dxa"/>
              <w:right w:w="100" w:type="dxa"/>
            </w:tcMar>
          </w:tcPr>
          <w:p w14:paraId="7193564B" w14:textId="77777777" w:rsidR="00B30362" w:rsidRDefault="00000000">
            <w:pPr>
              <w:numPr>
                <w:ilvl w:val="0"/>
                <w:numId w:val="8"/>
              </w:numPr>
            </w:pPr>
            <w:r>
              <w:t>Embed new approaches and values into BP's culture by linking them to success.</w:t>
            </w:r>
          </w:p>
          <w:p w14:paraId="3C625E01" w14:textId="77777777" w:rsidR="00B30362" w:rsidRDefault="00000000">
            <w:pPr>
              <w:numPr>
                <w:ilvl w:val="0"/>
                <w:numId w:val="8"/>
              </w:numPr>
            </w:pPr>
            <w:r>
              <w:t>Ensure consistent demonstration of changed behavior by leadership.</w:t>
            </w:r>
          </w:p>
          <w:p w14:paraId="24BD0F6D" w14:textId="77777777" w:rsidR="00B30362" w:rsidRDefault="00000000">
            <w:pPr>
              <w:numPr>
                <w:ilvl w:val="0"/>
                <w:numId w:val="8"/>
              </w:numPr>
            </w:pPr>
            <w:r>
              <w:t>Integrate changes into onboarding, leadership training, and company policies for current and future employees' alignment.</w:t>
            </w:r>
          </w:p>
        </w:tc>
      </w:tr>
    </w:tbl>
    <w:p w14:paraId="64BA30F0" w14:textId="77777777" w:rsidR="00B30362" w:rsidRDefault="00B30362"/>
    <w:p w14:paraId="55F45CF9" w14:textId="77777777" w:rsidR="00B30362" w:rsidRDefault="00000000">
      <w:pPr>
        <w:pStyle w:val="Heading2"/>
      </w:pPr>
      <w:bookmarkStart w:id="21" w:name="_un9x1t5rnzy2" w:colFirst="0" w:colLast="0"/>
      <w:bookmarkEnd w:id="21"/>
      <w:r>
        <w:t>Leadership Approaches/Styles:</w:t>
      </w:r>
    </w:p>
    <w:p w14:paraId="1A9FAAFB" w14:textId="360A1ABC" w:rsidR="00B30362" w:rsidRDefault="00000000">
      <w:r>
        <w:t xml:space="preserve">BP can start and carry out the planned strategic change by thinking about three different types of leadership: transformational leadership, transactional leadership, and situational leadership. If BP wanted to speed up its move to clean energy sources, innovative leadership would be very helpful. Leadership styles that use this method motivate their employees to go above and beyond what is expected of them by combining their own identity with the company's goal. </w:t>
      </w:r>
      <w:r w:rsidR="00837B23">
        <w:t>Considering</w:t>
      </w:r>
      <w:r>
        <w:t xml:space="preserve"> BP's move towards sustainability, transformational leaders have the power to bring the workforce together around a shared goal of innovation and environmental care. To handle tough changes like the ones BP is going through, this method puts a lot of weight on giving people power, talking to them, and making goals. Transactional leadership, which focuses on rewards and fines based on performance, can be used with transformational leadership to help run day-to-day activities more smoothly (Palis, 2016). In high-risk areas like oil exploration and production, transactional leaders set clear safety criteria and performance measures </w:t>
      </w:r>
      <w:r w:rsidR="00837B23">
        <w:t>to ensure</w:t>
      </w:r>
      <w:r>
        <w:t xml:space="preserve"> compliance and operating efficiency (Palis, 2016). While this method works well for short-term goals, it might need a more creative approach to make long-term strategy changes. To get through BP's complicated change, you need situational leadership, which is able to adapt to different conditions and situations (Mutch, 2020). Leaders may delegate tasks, encourage </w:t>
      </w:r>
      <w:r w:rsidR="00837B23">
        <w:t>creativity,</w:t>
      </w:r>
      <w:r>
        <w:t xml:space="preserve"> and change, and provide hands-on assistance during times of trouble so that they can tailor their approach to each situation. This flexible approach lets BP move forward with long-term goals that are in line with the company's goals for innovation and sustainability, while also taking care of immediate operational problems.</w:t>
      </w:r>
    </w:p>
    <w:p w14:paraId="7A6F0F96" w14:textId="77777777" w:rsidR="00B30362" w:rsidRDefault="00000000">
      <w:r>
        <w:t>By using a mix of these leadership types, BP may be able to successfully start and implement the identified strategy change. When things change, situational leadership encourages people to be flexible and adaptable. Transformational leadership, on the other hand, provides drive and direction. Transactional leadership ensures that operations will run smoothly. All of these tactics work together to create a complete leadership plan that will help BP make the difficult transition to a more sustainable future.</w:t>
      </w:r>
    </w:p>
    <w:p w14:paraId="11B5D45F" w14:textId="77777777" w:rsidR="00B30362" w:rsidRDefault="00000000">
      <w:pPr>
        <w:pStyle w:val="Heading2"/>
      </w:pPr>
      <w:bookmarkStart w:id="22" w:name="_aodfleamglfc" w:colFirst="0" w:colLast="0"/>
      <w:bookmarkEnd w:id="22"/>
      <w:r>
        <w:t xml:space="preserve">Impact on Organisational Culture: </w:t>
      </w:r>
    </w:p>
    <w:p w14:paraId="07A10320" w14:textId="77777777" w:rsidR="00B30362" w:rsidRDefault="00000000">
      <w:r>
        <w:t>The move towards clean energy solutions described in BP's change plan is likely to have a big effect on the way the company works. Operational efficiency, risk control, and making money have always been very important to BP. Methods used in the past for oil and gas are used. But as we move towards sustainability, this culture will need to change so that people can accept new ideals, goals, and ways of acting. Being focused on sustainability and environmental stewardship will help BP create a mindset of business responsibility and social awareness. When workers make choices, they will be told to put sustainability first and think about how their actions will impact the world. It is expected that this shift towards a more environmentally friendly mindset will make employees more engaged because they will feel like they have a greater purpose and are more in line with BP's overall goals. To make the switch to sustainable energy options, BP may also need to change the way it thinks about innovation and taking risks (</w:t>
      </w:r>
      <w:proofErr w:type="spellStart"/>
      <w:r>
        <w:t>Sovacool</w:t>
      </w:r>
      <w:proofErr w:type="spellEnd"/>
      <w:r>
        <w:t>, B. K., and Griffiths, 2020). People in the oil and gas industry have always been wary of new ideas, putting more stress on reducing risk and using tried-and-true technology. But BP might need to create a more creative and innovative work environment that encourages trying new things and being willing to take calculated risks in order to use green energy technology.</w:t>
      </w:r>
    </w:p>
    <w:p w14:paraId="4701A875" w14:textId="77777777" w:rsidR="00B30362" w:rsidRDefault="00000000">
      <w:pPr>
        <w:pStyle w:val="Heading2"/>
      </w:pPr>
      <w:bookmarkStart w:id="23" w:name="_4k4p3hybnoij" w:colFirst="0" w:colLast="0"/>
      <w:bookmarkEnd w:id="23"/>
      <w:r>
        <w:t xml:space="preserve">Implementation Process: </w:t>
      </w:r>
    </w:p>
    <w:p w14:paraId="25A8756F" w14:textId="77777777" w:rsidR="00B30362" w:rsidRDefault="00B30362"/>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2079"/>
        <w:gridCol w:w="2375"/>
        <w:gridCol w:w="4906"/>
      </w:tblGrid>
      <w:tr w:rsidR="00B30362" w14:paraId="2D990B28" w14:textId="77777777">
        <w:trPr>
          <w:trHeight w:val="710"/>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ADF080" w14:textId="77777777" w:rsidR="00B30362" w:rsidRDefault="00000000">
            <w:pPr>
              <w:jc w:val="center"/>
              <w:rPr>
                <w:b/>
              </w:rPr>
            </w:pPr>
            <w:r>
              <w:rPr>
                <w:b/>
              </w:rPr>
              <w:t>Phase</w:t>
            </w: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DF03BCA" w14:textId="77777777" w:rsidR="00B30362" w:rsidRDefault="00000000">
            <w:pPr>
              <w:jc w:val="center"/>
              <w:rPr>
                <w:b/>
              </w:rPr>
            </w:pPr>
            <w:r>
              <w:rPr>
                <w:b/>
              </w:rPr>
              <w:t>Action Steps</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326D54" w14:textId="77777777" w:rsidR="00B30362" w:rsidRDefault="00000000">
            <w:pPr>
              <w:jc w:val="center"/>
              <w:rPr>
                <w:b/>
              </w:rPr>
            </w:pPr>
            <w:r>
              <w:rPr>
                <w:b/>
              </w:rPr>
              <w:t>Details</w:t>
            </w:r>
          </w:p>
        </w:tc>
      </w:tr>
      <w:tr w:rsidR="00B30362" w14:paraId="6CFCBFD8"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34DB6A0" w14:textId="77777777" w:rsidR="00B30362" w:rsidRDefault="00000000">
            <w:pPr>
              <w:jc w:val="left"/>
              <w:rPr>
                <w:b/>
                <w:i/>
              </w:rPr>
            </w:pPr>
            <w:r>
              <w:rPr>
                <w:b/>
                <w:i/>
              </w:rPr>
              <w:t>1. Planning and Preparation</w:t>
            </w: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76401B3" w14:textId="77777777" w:rsidR="00B30362" w:rsidRDefault="00000000">
            <w:pPr>
              <w:jc w:val="left"/>
            </w:pPr>
            <w:r>
              <w:t>Define Change Objectives</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2A2073F" w14:textId="77777777" w:rsidR="00B30362" w:rsidRDefault="00000000">
            <w:r>
              <w:t>Identify the specific goals of the change towards sustainability, such as increasing renewable energy capacity or reducing carbon emissions.</w:t>
            </w:r>
          </w:p>
        </w:tc>
      </w:tr>
      <w:tr w:rsidR="00B30362" w14:paraId="2613CD96"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758B802"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197E5FD" w14:textId="77777777" w:rsidR="00B30362" w:rsidRDefault="00000000">
            <w:pPr>
              <w:jc w:val="left"/>
            </w:pPr>
            <w:r>
              <w:t>Develop Training and Development Plan</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B5EFCC5" w14:textId="77777777" w:rsidR="00B30362" w:rsidRDefault="00000000">
            <w:r>
              <w:t>Outline necessary training programs for employees on new technologies, sustainability practices, and innovative thinking.</w:t>
            </w:r>
          </w:p>
        </w:tc>
      </w:tr>
      <w:tr w:rsidR="00B30362" w14:paraId="4D3F81BE"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0C2B9EC"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963890C" w14:textId="77777777" w:rsidR="00B30362" w:rsidRDefault="00000000">
            <w:pPr>
              <w:jc w:val="left"/>
            </w:pPr>
            <w:r>
              <w:t>Establish Communication Plan</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8D63EE" w14:textId="77777777" w:rsidR="00B30362" w:rsidRDefault="00000000">
            <w:r>
              <w:t>Create a comprehensive communication strategy to keep all stakeholders informed and engaged throughout the change process.</w:t>
            </w:r>
          </w:p>
        </w:tc>
      </w:tr>
      <w:tr w:rsidR="00B30362" w14:paraId="3DEC4D4C"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8613F86" w14:textId="77777777" w:rsidR="00B30362" w:rsidRDefault="00000000">
            <w:pPr>
              <w:jc w:val="left"/>
              <w:rPr>
                <w:b/>
                <w:i/>
              </w:rPr>
            </w:pPr>
            <w:r>
              <w:rPr>
                <w:b/>
                <w:i/>
              </w:rPr>
              <w:t>2. Launching the Initiative</w:t>
            </w: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5CEC7ED" w14:textId="77777777" w:rsidR="00B30362" w:rsidRDefault="00000000">
            <w:pPr>
              <w:jc w:val="left"/>
            </w:pPr>
            <w:r>
              <w:t>Official Change Announcement</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8D8BD8B" w14:textId="77777777" w:rsidR="00B30362" w:rsidRDefault="00000000">
            <w:r>
              <w:t>Publicly announce the change initiative, emphasizing its importance and benefits to the company and the wider community.</w:t>
            </w:r>
          </w:p>
        </w:tc>
      </w:tr>
      <w:tr w:rsidR="00B30362" w14:paraId="72FA7A76"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D5E213F"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F2E300D" w14:textId="77777777" w:rsidR="00B30362" w:rsidRDefault="00000000">
            <w:pPr>
              <w:jc w:val="left"/>
            </w:pPr>
            <w:r>
              <w:t>Begin Training Programs</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9F6251B" w14:textId="77777777" w:rsidR="00B30362" w:rsidRDefault="00000000">
            <w:r>
              <w:t>Implement the training and development plan, starting with key teams directly involved in the change initiatives.</w:t>
            </w:r>
          </w:p>
        </w:tc>
      </w:tr>
      <w:tr w:rsidR="00B30362" w14:paraId="4136B2B2"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E38F23D"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9B1BAE5" w14:textId="77777777" w:rsidR="00B30362" w:rsidRDefault="00000000">
            <w:pPr>
              <w:jc w:val="left"/>
            </w:pPr>
            <w:r>
              <w:t>Set up Feedback Channels</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25BA786" w14:textId="77777777" w:rsidR="00B30362" w:rsidRDefault="00000000">
            <w:r>
              <w:t>Establish mechanisms for employees and other stakeholders to provide feedback and ask questions regarding the change process.</w:t>
            </w:r>
          </w:p>
        </w:tc>
      </w:tr>
      <w:tr w:rsidR="00B30362" w14:paraId="77332376"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72299B" w14:textId="77777777" w:rsidR="00B30362" w:rsidRDefault="00000000">
            <w:pPr>
              <w:jc w:val="left"/>
              <w:rPr>
                <w:b/>
                <w:i/>
              </w:rPr>
            </w:pPr>
            <w:r>
              <w:rPr>
                <w:b/>
                <w:i/>
              </w:rPr>
              <w:t>3. Implementation</w:t>
            </w: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8B3226F" w14:textId="77777777" w:rsidR="00B30362" w:rsidRDefault="00000000">
            <w:pPr>
              <w:jc w:val="left"/>
            </w:pPr>
            <w:r>
              <w:t>Roll-out Change Initiatives</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B3CD138" w14:textId="77777777" w:rsidR="00B30362" w:rsidRDefault="00000000">
            <w:r>
              <w:t>Begin the phased implementation of the change strategy, starting with pilot projects or specific departments.</w:t>
            </w:r>
          </w:p>
        </w:tc>
      </w:tr>
      <w:tr w:rsidR="00B30362" w14:paraId="306D1BE6"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FE46910"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89F8D1C" w14:textId="77777777" w:rsidR="00B30362" w:rsidRDefault="00000000">
            <w:pPr>
              <w:jc w:val="left"/>
            </w:pPr>
            <w:r>
              <w:t>Monitor Progress and Adjust</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BF56695" w14:textId="5596AF92" w:rsidR="00B30362" w:rsidRDefault="00000000">
            <w:r>
              <w:t xml:space="preserve">Regularly review the progress of the change initiatives and </w:t>
            </w:r>
            <w:r w:rsidR="00837B23">
              <w:t>adjust</w:t>
            </w:r>
            <w:r>
              <w:t xml:space="preserve"> as necessary based on feedback and results.</w:t>
            </w:r>
          </w:p>
        </w:tc>
      </w:tr>
      <w:tr w:rsidR="00B30362" w14:paraId="42BAFA3D" w14:textId="77777777">
        <w:trPr>
          <w:trHeight w:val="105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4D4221D"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92DB164" w14:textId="77777777" w:rsidR="00B30362" w:rsidRDefault="00000000">
            <w:pPr>
              <w:jc w:val="left"/>
            </w:pPr>
            <w:r>
              <w:t>Continuous Communication</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8FB10A9" w14:textId="77777777" w:rsidR="00B30362" w:rsidRDefault="00000000">
            <w:r>
              <w:t>Maintain ongoing communication with all stakeholders, sharing updates, successes, and lessons learned.</w:t>
            </w:r>
          </w:p>
        </w:tc>
      </w:tr>
      <w:tr w:rsidR="00B30362" w14:paraId="333E89EC"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A1EBDA5" w14:textId="77777777" w:rsidR="00B30362" w:rsidRDefault="00000000">
            <w:pPr>
              <w:jc w:val="left"/>
              <w:rPr>
                <w:b/>
                <w:i/>
              </w:rPr>
            </w:pPr>
            <w:r>
              <w:rPr>
                <w:b/>
                <w:i/>
              </w:rPr>
              <w:t>4. Reinforcement and Evaluation</w:t>
            </w: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85E215C" w14:textId="77777777" w:rsidR="00B30362" w:rsidRDefault="00000000">
            <w:pPr>
              <w:jc w:val="left"/>
            </w:pPr>
            <w:r>
              <w:t>Evaluate Impact</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E3285A9" w14:textId="77777777" w:rsidR="00B30362" w:rsidRDefault="00000000">
            <w:r>
              <w:t>Conduct a comprehensive evaluation of the change initiatives, assessing their impact on sustainability goals, employee engagement, and business outcomes.</w:t>
            </w:r>
          </w:p>
        </w:tc>
      </w:tr>
      <w:tr w:rsidR="00B30362" w14:paraId="2AA6CAB6"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13E014C" w14:textId="77777777" w:rsidR="00B30362" w:rsidRDefault="00B30362">
            <w:pPr>
              <w:jc w:val="left"/>
              <w:rPr>
                <w:b/>
                <w:i/>
              </w:rPr>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2C47CED" w14:textId="77777777" w:rsidR="00B30362" w:rsidRDefault="00000000">
            <w:pPr>
              <w:jc w:val="left"/>
            </w:pPr>
            <w:r>
              <w:t>Recognize and Reward</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6F97269" w14:textId="77777777" w:rsidR="00B30362" w:rsidRDefault="00000000">
            <w:r>
              <w:t>Acknowledge and reward teams and individuals who have made significant contributions to the success of the change initiatives.</w:t>
            </w:r>
          </w:p>
        </w:tc>
      </w:tr>
      <w:tr w:rsidR="00B30362" w14:paraId="58738813" w14:textId="77777777">
        <w:trPr>
          <w:trHeight w:val="1415"/>
        </w:trPr>
        <w:tc>
          <w:tcPr>
            <w:tcW w:w="20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BBB742B" w14:textId="77777777" w:rsidR="00B30362" w:rsidRDefault="00B30362">
            <w:pPr>
              <w:jc w:val="left"/>
            </w:pPr>
          </w:p>
        </w:tc>
        <w:tc>
          <w:tcPr>
            <w:tcW w:w="2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1647D79" w14:textId="77777777" w:rsidR="00B30362" w:rsidRDefault="00000000">
            <w:pPr>
              <w:jc w:val="left"/>
            </w:pPr>
            <w:r>
              <w:t>Institutionalize Changes</w:t>
            </w:r>
          </w:p>
        </w:tc>
        <w:tc>
          <w:tcPr>
            <w:tcW w:w="49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72E5B5B" w14:textId="77777777" w:rsidR="00B30362" w:rsidRDefault="00000000">
            <w:r>
              <w:t>Embed the successful aspects of the change into the company’s culture, operations, and policies to ensure long-term sustainability.</w:t>
            </w:r>
          </w:p>
        </w:tc>
      </w:tr>
    </w:tbl>
    <w:p w14:paraId="63382ED2" w14:textId="77777777" w:rsidR="00B30362" w:rsidRDefault="00B30362"/>
    <w:p w14:paraId="7D691A08" w14:textId="77777777" w:rsidR="00B30362" w:rsidRDefault="00000000">
      <w:pPr>
        <w:pStyle w:val="Heading1"/>
      </w:pPr>
      <w:bookmarkStart w:id="24" w:name="_wqvboudfabog" w:colFirst="0" w:colLast="0"/>
      <w:bookmarkEnd w:id="24"/>
      <w:r>
        <w:t>Conclusion and Recommendations</w:t>
      </w:r>
    </w:p>
    <w:p w14:paraId="4418ACC0" w14:textId="77777777" w:rsidR="00B30362" w:rsidRDefault="00000000">
      <w:r>
        <w:t>The report uncovers that BP needs to switch to cleaner energy sources to meet government rules, business needs, and public opinion. A careful study showed that we need an organised change strategy with clear goals, good communication, and participation from everyone involved. The suggested method for change comes with steps for planning, starting, applying, and strengthening it to make sure it works well. BP should value openness, clear communication, and quick problem-solving in order to keep problems and negative effects to a minimum. Change actions will also need to be constantly looked at and changed to make sure they are in line with environmental goals and lower risks. BP can handle the change well and become a leader in the evolving energy sector while also creating long-term value for all stakeholders by making change part of the company's mindset and processes.</w:t>
      </w:r>
    </w:p>
    <w:p w14:paraId="01A827BB" w14:textId="77777777" w:rsidR="00B30362" w:rsidRDefault="00B30362"/>
    <w:p w14:paraId="2B08EC94" w14:textId="77777777" w:rsidR="00B30362" w:rsidRDefault="00000000">
      <w:r>
        <w:rPr>
          <w:b/>
          <w:i/>
        </w:rPr>
        <w:t>Recommendations</w:t>
      </w:r>
      <w:r>
        <w:t xml:space="preserve">: </w:t>
      </w:r>
    </w:p>
    <w:tbl>
      <w:tblPr>
        <w:tblStyle w:val="a3"/>
        <w:tblW w:w="9375" w:type="dxa"/>
        <w:tblBorders>
          <w:top w:val="nil"/>
          <w:left w:val="nil"/>
          <w:bottom w:val="nil"/>
          <w:right w:val="nil"/>
          <w:insideH w:val="nil"/>
          <w:insideV w:val="nil"/>
        </w:tblBorders>
        <w:tblLayout w:type="fixed"/>
        <w:tblLook w:val="0600" w:firstRow="0" w:lastRow="0" w:firstColumn="0" w:lastColumn="0" w:noHBand="1" w:noVBand="1"/>
      </w:tblPr>
      <w:tblGrid>
        <w:gridCol w:w="1260"/>
        <w:gridCol w:w="2103"/>
        <w:gridCol w:w="1902"/>
        <w:gridCol w:w="1860"/>
        <w:gridCol w:w="2250"/>
      </w:tblGrid>
      <w:tr w:rsidR="00B30362" w14:paraId="51192A8A" w14:textId="77777777">
        <w:trPr>
          <w:trHeight w:val="392"/>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68B3B9" w14:textId="77777777" w:rsidR="00B30362" w:rsidRDefault="00000000">
            <w:pPr>
              <w:rPr>
                <w:b/>
                <w:sz w:val="20"/>
                <w:szCs w:val="20"/>
              </w:rPr>
            </w:pPr>
            <w:r>
              <w:rPr>
                <w:b/>
                <w:sz w:val="20"/>
                <w:szCs w:val="20"/>
              </w:rPr>
              <w:t>Time Frame</w:t>
            </w:r>
          </w:p>
        </w:tc>
        <w:tc>
          <w:tcPr>
            <w:tcW w:w="21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C389E7" w14:textId="77777777" w:rsidR="00B30362" w:rsidRDefault="00000000">
            <w:pPr>
              <w:rPr>
                <w:b/>
                <w:sz w:val="20"/>
                <w:szCs w:val="20"/>
              </w:rPr>
            </w:pPr>
            <w:r>
              <w:rPr>
                <w:b/>
                <w:sz w:val="20"/>
                <w:szCs w:val="20"/>
              </w:rPr>
              <w:t>Recommendations</w:t>
            </w:r>
          </w:p>
        </w:tc>
        <w:tc>
          <w:tcPr>
            <w:tcW w:w="19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8E1BE7" w14:textId="77777777" w:rsidR="00B30362" w:rsidRDefault="00000000">
            <w:pPr>
              <w:rPr>
                <w:b/>
                <w:sz w:val="20"/>
                <w:szCs w:val="20"/>
              </w:rPr>
            </w:pPr>
            <w:r>
              <w:rPr>
                <w:b/>
                <w:sz w:val="20"/>
                <w:szCs w:val="20"/>
              </w:rPr>
              <w:t>Importance</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D138DB" w14:textId="77777777" w:rsidR="00B30362" w:rsidRDefault="00000000">
            <w:pPr>
              <w:rPr>
                <w:b/>
                <w:sz w:val="20"/>
                <w:szCs w:val="20"/>
              </w:rPr>
            </w:pPr>
            <w:r>
              <w:rPr>
                <w:b/>
                <w:sz w:val="20"/>
                <w:szCs w:val="20"/>
              </w:rPr>
              <w:t>Implementation Strategies</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7F1A1A" w14:textId="77777777" w:rsidR="00B30362" w:rsidRDefault="00000000">
            <w:pPr>
              <w:rPr>
                <w:b/>
                <w:sz w:val="20"/>
                <w:szCs w:val="20"/>
              </w:rPr>
            </w:pPr>
            <w:r>
              <w:rPr>
                <w:b/>
                <w:sz w:val="20"/>
                <w:szCs w:val="20"/>
              </w:rPr>
              <w:t>Potential Consequences of Non-implementation</w:t>
            </w:r>
          </w:p>
        </w:tc>
      </w:tr>
      <w:tr w:rsidR="00B30362" w14:paraId="10F87A59" w14:textId="77777777">
        <w:trPr>
          <w:trHeight w:val="3215"/>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D81DAD5" w14:textId="77777777" w:rsidR="00B30362" w:rsidRDefault="00000000">
            <w:pPr>
              <w:rPr>
                <w:b/>
                <w:sz w:val="22"/>
                <w:szCs w:val="22"/>
              </w:rPr>
            </w:pPr>
            <w:r>
              <w:rPr>
                <w:b/>
                <w:sz w:val="22"/>
                <w:szCs w:val="22"/>
              </w:rPr>
              <w:t>Short-term</w:t>
            </w:r>
          </w:p>
        </w:tc>
        <w:tc>
          <w:tcPr>
            <w:tcW w:w="21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9B4EA09" w14:textId="77777777" w:rsidR="00B30362" w:rsidRDefault="00000000">
            <w:pPr>
              <w:jc w:val="left"/>
              <w:rPr>
                <w:b/>
                <w:u w:val="single"/>
              </w:rPr>
            </w:pPr>
            <w:r>
              <w:rPr>
                <w:b/>
                <w:u w:val="single"/>
              </w:rPr>
              <w:t>Enhance Employee Training</w:t>
            </w:r>
          </w:p>
        </w:tc>
        <w:tc>
          <w:tcPr>
            <w:tcW w:w="19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8307C6" w14:textId="77777777" w:rsidR="00B30362" w:rsidRDefault="00000000">
            <w:r>
              <w:t>To equip employees with the necessary skills and knowledge for implementing sustainable energy solutions effectively.</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CE3316" w14:textId="77777777" w:rsidR="00B30362" w:rsidRDefault="00000000">
            <w:r>
              <w:t>Implement targeted training programs focusing on renewable energy technologies, sustainability practices, and innovative thinking (Pathak et al., 2022).</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8AAC16" w14:textId="77777777" w:rsidR="00B30362" w:rsidRDefault="00000000">
            <w:r>
              <w:t>Without adequate training, employees may struggle to adapt to new technologies and practices, leading to inefficiencies and delays in achieving sustainability goals.</w:t>
            </w:r>
          </w:p>
        </w:tc>
      </w:tr>
      <w:tr w:rsidR="00B30362" w14:paraId="478954B9" w14:textId="77777777">
        <w:trPr>
          <w:trHeight w:val="3558"/>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77A5E35" w14:textId="77777777" w:rsidR="00B30362" w:rsidRDefault="00000000">
            <w:pPr>
              <w:rPr>
                <w:b/>
                <w:sz w:val="22"/>
                <w:szCs w:val="22"/>
              </w:rPr>
            </w:pPr>
            <w:r>
              <w:rPr>
                <w:b/>
                <w:sz w:val="22"/>
                <w:szCs w:val="22"/>
              </w:rPr>
              <w:t>Mid-term</w:t>
            </w:r>
          </w:p>
        </w:tc>
        <w:tc>
          <w:tcPr>
            <w:tcW w:w="21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C7CE1BC" w14:textId="77777777" w:rsidR="00B30362" w:rsidRDefault="00000000">
            <w:pPr>
              <w:jc w:val="left"/>
              <w:rPr>
                <w:b/>
                <w:u w:val="single"/>
              </w:rPr>
            </w:pPr>
            <w:r>
              <w:rPr>
                <w:b/>
                <w:u w:val="single"/>
              </w:rPr>
              <w:t>Strengthen Stakeholder Engagement</w:t>
            </w:r>
          </w:p>
        </w:tc>
        <w:tc>
          <w:tcPr>
            <w:tcW w:w="19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ECB1E6" w14:textId="77777777" w:rsidR="00B30362" w:rsidRDefault="00000000">
            <w:r>
              <w:t>To build support and alignment among stakeholders, including employees, shareholders, government regulators, and local communities.</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71C521" w14:textId="77777777" w:rsidR="00B30362" w:rsidRDefault="00000000">
            <w:r>
              <w:t>Host regular stakeholder forums, engage in transparent communication, and solicit feedback to address concerns and foster buy-in for sustainability initiatives (Garrison et al., 2021).</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A47781" w14:textId="77777777" w:rsidR="00B30362" w:rsidRDefault="00000000">
            <w:r>
              <w:t>Failure to engage stakeholders may result in resistance, regulatory challenges, reputational damage, and hindered progress towards sustainability targets.</w:t>
            </w:r>
          </w:p>
        </w:tc>
      </w:tr>
      <w:tr w:rsidR="00B30362" w14:paraId="0D3EBFC8" w14:textId="77777777">
        <w:trPr>
          <w:trHeight w:val="3269"/>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A841445" w14:textId="77777777" w:rsidR="00B30362" w:rsidRDefault="00000000">
            <w:pPr>
              <w:rPr>
                <w:b/>
                <w:sz w:val="22"/>
                <w:szCs w:val="22"/>
              </w:rPr>
            </w:pPr>
            <w:r>
              <w:rPr>
                <w:b/>
                <w:sz w:val="22"/>
                <w:szCs w:val="22"/>
              </w:rPr>
              <w:t>Long-term</w:t>
            </w:r>
          </w:p>
        </w:tc>
        <w:tc>
          <w:tcPr>
            <w:tcW w:w="21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80A9DD1" w14:textId="77777777" w:rsidR="00B30362" w:rsidRDefault="00000000">
            <w:pPr>
              <w:jc w:val="left"/>
              <w:rPr>
                <w:b/>
                <w:u w:val="single"/>
              </w:rPr>
            </w:pPr>
            <w:r>
              <w:rPr>
                <w:b/>
                <w:u w:val="single"/>
              </w:rPr>
              <w:t>Diversify Energy Portfolio</w:t>
            </w:r>
          </w:p>
        </w:tc>
        <w:tc>
          <w:tcPr>
            <w:tcW w:w="19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55336B" w14:textId="77777777" w:rsidR="00B30362" w:rsidRDefault="00000000">
            <w:r>
              <w:t>To mitigate risks associated with fossil fuel dependency and position BP for long-term growth and resilience in a rapidly evolving energy landscape.</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A25735" w14:textId="77777777" w:rsidR="00B30362" w:rsidRDefault="00000000">
            <w:r>
              <w:t>Invest in renewable energy projects, explore emerging technologies, and diversify revenue streams to reduce reliance on traditional oil and gas operations (Cantarero, 2020).</w:t>
            </w:r>
          </w:p>
        </w:tc>
        <w:tc>
          <w:tcPr>
            <w:tcW w:w="22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F83CBB" w14:textId="77777777" w:rsidR="00B30362" w:rsidRDefault="00000000">
            <w:r>
              <w:t>Continued reliance on fossil fuels may expose BP to market volatility, regulatory constraints, and reputational risks, hindering its competitiveness and sustainability in the long run.</w:t>
            </w:r>
          </w:p>
        </w:tc>
      </w:tr>
    </w:tbl>
    <w:p w14:paraId="3B502589" w14:textId="77777777" w:rsidR="00B30362" w:rsidRDefault="00B30362"/>
    <w:p w14:paraId="0CBCD65C" w14:textId="77777777" w:rsidR="00B30362" w:rsidRDefault="00B30362"/>
    <w:p w14:paraId="437835E1" w14:textId="77777777" w:rsidR="00B30362" w:rsidRDefault="00000000">
      <w:r>
        <w:br w:type="page"/>
      </w:r>
    </w:p>
    <w:p w14:paraId="25E2E2CA" w14:textId="035A84E1" w:rsidR="00B30362" w:rsidRPr="00B445D7" w:rsidRDefault="00000000" w:rsidP="00B445D7">
      <w:pPr>
        <w:pStyle w:val="Heading1"/>
      </w:pPr>
      <w:bookmarkStart w:id="25" w:name="_w9rxetkz5om9" w:colFirst="0" w:colLast="0"/>
      <w:bookmarkEnd w:id="25"/>
      <w:r>
        <w:t>References</w:t>
      </w:r>
    </w:p>
    <w:p w14:paraId="0C2314A9" w14:textId="5A1A0377" w:rsidR="00B30362" w:rsidRDefault="00000000">
      <w:pPr>
        <w:widowControl w:val="0"/>
        <w:spacing w:before="200"/>
        <w:rPr>
          <w:color w:val="222222"/>
          <w:highlight w:val="white"/>
        </w:rPr>
      </w:pPr>
      <w:r>
        <w:rPr>
          <w:color w:val="222222"/>
          <w:highlight w:val="white"/>
        </w:rPr>
        <w:t xml:space="preserve">Abdow, A. I. (2019). </w:t>
      </w:r>
      <w:r>
        <w:rPr>
          <w:i/>
          <w:color w:val="222222"/>
          <w:highlight w:val="white"/>
        </w:rPr>
        <w:t>Influence of strategic leadership on organizational change in the petroleum industry in Kenya</w:t>
      </w:r>
      <w:r>
        <w:rPr>
          <w:color w:val="222222"/>
          <w:highlight w:val="white"/>
        </w:rPr>
        <w:t xml:space="preserve"> (Doctoral dissertation, JKUAT-COHRED).</w:t>
      </w:r>
      <w:r w:rsidR="00D02D81">
        <w:rPr>
          <w:color w:val="222222"/>
          <w:highlight w:val="white"/>
        </w:rPr>
        <w:t xml:space="preserve"> </w:t>
      </w:r>
      <w:hyperlink r:id="rId9" w:history="1">
        <w:r w:rsidR="00D02D81" w:rsidRPr="00E23F35">
          <w:rPr>
            <w:rStyle w:val="Hyperlink"/>
          </w:rPr>
          <w:t>http://hdl.handle.net/123456789/4904</w:t>
        </w:r>
      </w:hyperlink>
      <w:r w:rsidR="00D02D81">
        <w:rPr>
          <w:color w:val="222222"/>
        </w:rPr>
        <w:t xml:space="preserve"> </w:t>
      </w:r>
    </w:p>
    <w:p w14:paraId="38DC507E" w14:textId="487513AF" w:rsidR="00B30362" w:rsidRDefault="00000000">
      <w:pPr>
        <w:widowControl w:val="0"/>
        <w:spacing w:before="200"/>
        <w:rPr>
          <w:color w:val="222222"/>
          <w:highlight w:val="white"/>
        </w:rPr>
      </w:pPr>
      <w:r>
        <w:rPr>
          <w:color w:val="222222"/>
          <w:highlight w:val="white"/>
        </w:rPr>
        <w:t xml:space="preserve">BBC. (2024). </w:t>
      </w:r>
      <w:r>
        <w:rPr>
          <w:i/>
          <w:color w:val="222222"/>
          <w:highlight w:val="white"/>
        </w:rPr>
        <w:t>BP reports second highest profit in a decade</w:t>
      </w:r>
      <w:r>
        <w:rPr>
          <w:color w:val="222222"/>
          <w:highlight w:val="white"/>
        </w:rPr>
        <w:t xml:space="preserve">. [online] 6 Feb. Available at: </w:t>
      </w:r>
      <w:hyperlink r:id="rId10" w:history="1">
        <w:r w:rsidR="00D02D81" w:rsidRPr="00E23F35">
          <w:rPr>
            <w:rStyle w:val="Hyperlink"/>
            <w:highlight w:val="white"/>
          </w:rPr>
          <w:t>https://www.bbc.com/news/business-68206788</w:t>
        </w:r>
      </w:hyperlink>
      <w:r>
        <w:rPr>
          <w:color w:val="222222"/>
          <w:highlight w:val="white"/>
        </w:rPr>
        <w:t>.</w:t>
      </w:r>
      <w:r w:rsidR="00D02D81">
        <w:rPr>
          <w:color w:val="222222"/>
          <w:highlight w:val="white"/>
        </w:rPr>
        <w:t xml:space="preserve"> </w:t>
      </w:r>
    </w:p>
    <w:p w14:paraId="7708B4FB" w14:textId="7C66ABCF" w:rsidR="00B30362" w:rsidRDefault="00000000">
      <w:pPr>
        <w:widowControl w:val="0"/>
        <w:spacing w:before="200"/>
        <w:rPr>
          <w:color w:val="222222"/>
          <w:highlight w:val="white"/>
        </w:rPr>
      </w:pPr>
      <w:r>
        <w:rPr>
          <w:color w:val="222222"/>
          <w:highlight w:val="white"/>
        </w:rPr>
        <w:t>Bernardino, M. J. D., &amp; Tan, E. B. (2022). Utilization of the Unfreeze, Change, and Freeze Model to Enhance the Organizational Culture in Public Schools.</w:t>
      </w:r>
      <w:r w:rsidR="002B79E0">
        <w:rPr>
          <w:color w:val="222222"/>
          <w:highlight w:val="white"/>
        </w:rPr>
        <w:t xml:space="preserve"> </w:t>
      </w:r>
      <w:hyperlink r:id="rId11" w:history="1">
        <w:r w:rsidR="002B79E0" w:rsidRPr="00F80C8C">
          <w:rPr>
            <w:rStyle w:val="Hyperlink"/>
          </w:rPr>
          <w:t>https://www.ijams-bbp.net/wp-content/uploads/2022/12/1-IJAMS-NOVEMBER-10-20.pdf</w:t>
        </w:r>
      </w:hyperlink>
      <w:r w:rsidR="002B79E0">
        <w:rPr>
          <w:color w:val="222222"/>
        </w:rPr>
        <w:t xml:space="preserve"> </w:t>
      </w:r>
    </w:p>
    <w:p w14:paraId="2413FEC4" w14:textId="4A953F30" w:rsidR="00B30362" w:rsidRDefault="00000000">
      <w:pPr>
        <w:widowControl w:val="0"/>
        <w:spacing w:before="200"/>
        <w:rPr>
          <w:color w:val="222222"/>
          <w:highlight w:val="white"/>
        </w:rPr>
      </w:pPr>
      <w:r>
        <w:rPr>
          <w:color w:val="222222"/>
          <w:highlight w:val="white"/>
        </w:rPr>
        <w:t>Bhatia, G. (2021). Crisis Management BP Deepwater Horizon disaster.</w:t>
      </w:r>
      <w:r w:rsidR="002B79E0" w:rsidRPr="002B79E0">
        <w:t xml:space="preserve"> </w:t>
      </w:r>
      <w:hyperlink r:id="rId12" w:history="1">
        <w:r w:rsidR="002B79E0" w:rsidRPr="00F80C8C">
          <w:rPr>
            <w:rStyle w:val="Hyperlink"/>
          </w:rPr>
          <w:t>https://mgmt-cs.github.io/my-portfolio/img/MBA_LMS_Bhatia_Gaurav.pdf</w:t>
        </w:r>
      </w:hyperlink>
      <w:r w:rsidR="002B79E0">
        <w:rPr>
          <w:color w:val="222222"/>
        </w:rPr>
        <w:t xml:space="preserve"> </w:t>
      </w:r>
    </w:p>
    <w:p w14:paraId="2E21692A" w14:textId="596B4B38" w:rsidR="00B30362" w:rsidRDefault="00000000">
      <w:pPr>
        <w:widowControl w:val="0"/>
        <w:spacing w:before="200"/>
        <w:rPr>
          <w:color w:val="222222"/>
          <w:highlight w:val="white"/>
        </w:rPr>
      </w:pPr>
      <w:r>
        <w:rPr>
          <w:color w:val="222222"/>
          <w:highlight w:val="white"/>
        </w:rPr>
        <w:t xml:space="preserve">bp. (2022). </w:t>
      </w:r>
      <w:r>
        <w:rPr>
          <w:i/>
          <w:color w:val="222222"/>
          <w:highlight w:val="white"/>
        </w:rPr>
        <w:t>Legal notice</w:t>
      </w:r>
      <w:r>
        <w:rPr>
          <w:color w:val="222222"/>
          <w:highlight w:val="white"/>
        </w:rPr>
        <w:t xml:space="preserve">. [online] Available at: </w:t>
      </w:r>
      <w:hyperlink r:id="rId13" w:history="1">
        <w:r w:rsidR="002B79E0" w:rsidRPr="00F80C8C">
          <w:rPr>
            <w:rStyle w:val="Hyperlink"/>
            <w:highlight w:val="white"/>
          </w:rPr>
          <w:t>https://www.bp.com/en/global/bp-trading-and-shipping/legal-notice.html</w:t>
        </w:r>
      </w:hyperlink>
      <w:r w:rsidR="002B79E0">
        <w:rPr>
          <w:color w:val="222222"/>
          <w:highlight w:val="white"/>
        </w:rPr>
        <w:t xml:space="preserve"> </w:t>
      </w:r>
    </w:p>
    <w:p w14:paraId="52CC406E" w14:textId="77777777" w:rsidR="00B30362" w:rsidRDefault="00000000">
      <w:pPr>
        <w:widowControl w:val="0"/>
        <w:spacing w:before="200"/>
        <w:rPr>
          <w:color w:val="222222"/>
          <w:highlight w:val="white"/>
        </w:rPr>
      </w:pPr>
      <w:r>
        <w:rPr>
          <w:color w:val="222222"/>
          <w:highlight w:val="white"/>
        </w:rPr>
        <w:t>BP (2023).</w:t>
      </w:r>
      <w:r>
        <w:rPr>
          <w:i/>
          <w:color w:val="222222"/>
          <w:highlight w:val="white"/>
        </w:rPr>
        <w:t xml:space="preserve"> Our purpose | Who we are | Home.</w:t>
      </w:r>
      <w:r>
        <w:rPr>
          <w:color w:val="222222"/>
          <w:highlight w:val="white"/>
        </w:rPr>
        <w:t xml:space="preserve"> [online] bp global. Available at: </w:t>
      </w:r>
      <w:hyperlink r:id="rId14">
        <w:r>
          <w:rPr>
            <w:color w:val="1155CC"/>
            <w:highlight w:val="white"/>
            <w:u w:val="single"/>
          </w:rPr>
          <w:t>https://www.bp.com/en/global/corporate/who-we-are/our-purpose.html</w:t>
        </w:r>
      </w:hyperlink>
      <w:r>
        <w:rPr>
          <w:color w:val="222222"/>
          <w:highlight w:val="white"/>
        </w:rPr>
        <w:t>.</w:t>
      </w:r>
    </w:p>
    <w:p w14:paraId="00D0A371" w14:textId="183DD4CF" w:rsidR="00B30362" w:rsidRDefault="00000000">
      <w:pPr>
        <w:widowControl w:val="0"/>
        <w:spacing w:before="200"/>
        <w:rPr>
          <w:color w:val="222222"/>
          <w:highlight w:val="white"/>
        </w:rPr>
      </w:pPr>
      <w:r>
        <w:rPr>
          <w:color w:val="222222"/>
          <w:highlight w:val="white"/>
        </w:rPr>
        <w:t xml:space="preserve">bp global. (2018). </w:t>
      </w:r>
      <w:r>
        <w:rPr>
          <w:i/>
          <w:color w:val="222222"/>
          <w:highlight w:val="white"/>
        </w:rPr>
        <w:t>BP Technology Outlook 2018 | News and insights | Home</w:t>
      </w:r>
      <w:r>
        <w:rPr>
          <w:color w:val="222222"/>
          <w:highlight w:val="white"/>
        </w:rPr>
        <w:t xml:space="preserve">. [online] Available at: </w:t>
      </w:r>
      <w:hyperlink r:id="rId15" w:history="1">
        <w:r w:rsidR="002B79E0" w:rsidRPr="00F80C8C">
          <w:rPr>
            <w:rStyle w:val="Hyperlink"/>
            <w:highlight w:val="white"/>
          </w:rPr>
          <w:t>https://www.bp.com/en/global/corporate/news-and-insights/press-releases/bp-technology-outlook-2018.html</w:t>
        </w:r>
      </w:hyperlink>
      <w:r w:rsidR="002B79E0">
        <w:rPr>
          <w:color w:val="222222"/>
          <w:highlight w:val="white"/>
        </w:rPr>
        <w:t xml:space="preserve"> </w:t>
      </w:r>
    </w:p>
    <w:p w14:paraId="5F1AD39B" w14:textId="0862712B" w:rsidR="00B30362" w:rsidRDefault="00000000">
      <w:pPr>
        <w:widowControl w:val="0"/>
        <w:spacing w:before="200"/>
        <w:rPr>
          <w:color w:val="222222"/>
          <w:highlight w:val="white"/>
        </w:rPr>
      </w:pPr>
      <w:r>
        <w:rPr>
          <w:color w:val="222222"/>
          <w:highlight w:val="white"/>
        </w:rPr>
        <w:t>bp global. (2021, May).</w:t>
      </w:r>
      <w:r>
        <w:rPr>
          <w:i/>
          <w:color w:val="222222"/>
          <w:highlight w:val="white"/>
        </w:rPr>
        <w:t xml:space="preserve"> Environmental Policy and Law</w:t>
      </w:r>
      <w:r>
        <w:rPr>
          <w:color w:val="222222"/>
          <w:highlight w:val="white"/>
        </w:rPr>
        <w:t xml:space="preserve">, [online] 7(4), pp.181–181. </w:t>
      </w:r>
      <w:proofErr w:type="spellStart"/>
      <w:r>
        <w:rPr>
          <w:color w:val="222222"/>
          <w:highlight w:val="white"/>
        </w:rPr>
        <w:t>doi</w:t>
      </w:r>
      <w:proofErr w:type="spellEnd"/>
      <w:r>
        <w:rPr>
          <w:color w:val="222222"/>
          <w:highlight w:val="white"/>
        </w:rPr>
        <w:t>:</w:t>
      </w:r>
      <w:r w:rsidR="00D02D81">
        <w:rPr>
          <w:color w:val="222222"/>
          <w:highlight w:val="white"/>
        </w:rPr>
        <w:t xml:space="preserve"> </w:t>
      </w:r>
      <w:hyperlink r:id="rId16" w:history="1">
        <w:r w:rsidR="00D02D81" w:rsidRPr="00E23F35">
          <w:rPr>
            <w:rStyle w:val="Hyperlink"/>
            <w:highlight w:val="white"/>
          </w:rPr>
          <w:t>https://doi.org/10.1016/s0378-777x(81)80053-4</w:t>
        </w:r>
      </w:hyperlink>
      <w:r w:rsidR="00D02D81">
        <w:rPr>
          <w:color w:val="222222"/>
          <w:highlight w:val="white"/>
        </w:rPr>
        <w:t xml:space="preserve"> </w:t>
      </w:r>
    </w:p>
    <w:p w14:paraId="2334CBEF" w14:textId="77777777" w:rsidR="00B30362" w:rsidRDefault="00000000">
      <w:pPr>
        <w:widowControl w:val="0"/>
        <w:spacing w:before="200"/>
        <w:rPr>
          <w:color w:val="222222"/>
          <w:highlight w:val="white"/>
        </w:rPr>
      </w:pPr>
      <w:r>
        <w:rPr>
          <w:color w:val="222222"/>
          <w:highlight w:val="white"/>
        </w:rPr>
        <w:t xml:space="preserve">BP global. (2024). </w:t>
      </w:r>
      <w:r>
        <w:rPr>
          <w:i/>
          <w:color w:val="222222"/>
          <w:highlight w:val="white"/>
        </w:rPr>
        <w:t>BP takes leap forward in seismic imaging technology | News and insights | Home.</w:t>
      </w:r>
      <w:r>
        <w:rPr>
          <w:color w:val="222222"/>
          <w:highlight w:val="white"/>
        </w:rPr>
        <w:t xml:space="preserve"> [online] Available at: </w:t>
      </w:r>
      <w:hyperlink r:id="rId17">
        <w:r>
          <w:rPr>
            <w:color w:val="1155CC"/>
            <w:highlight w:val="white"/>
            <w:u w:val="single"/>
          </w:rPr>
          <w:t>https://www.bp.com/en/global/corporate/news-and-insights/press-releases/bp-takes-leap-forward-in-seismic-imaging-technology.html</w:t>
        </w:r>
      </w:hyperlink>
      <w:r>
        <w:rPr>
          <w:color w:val="222222"/>
          <w:highlight w:val="white"/>
        </w:rPr>
        <w:t>.</w:t>
      </w:r>
    </w:p>
    <w:p w14:paraId="3B8060F9" w14:textId="39D09FF1" w:rsidR="00B30362" w:rsidRDefault="00000000">
      <w:pPr>
        <w:widowControl w:val="0"/>
        <w:spacing w:before="200"/>
        <w:rPr>
          <w:color w:val="222222"/>
          <w:highlight w:val="white"/>
        </w:rPr>
      </w:pPr>
      <w:r>
        <w:rPr>
          <w:color w:val="222222"/>
          <w:highlight w:val="white"/>
        </w:rPr>
        <w:t xml:space="preserve">bp global (2023). </w:t>
      </w:r>
      <w:r>
        <w:rPr>
          <w:i/>
          <w:color w:val="222222"/>
          <w:highlight w:val="white"/>
        </w:rPr>
        <w:t>bp global.</w:t>
      </w:r>
      <w:r>
        <w:rPr>
          <w:color w:val="222222"/>
          <w:highlight w:val="white"/>
        </w:rPr>
        <w:t xml:space="preserve"> [online] bp global. Available at: </w:t>
      </w:r>
      <w:hyperlink r:id="rId18" w:anchor="ar-highlights-3-2" w:history="1">
        <w:r w:rsidR="002B79E0" w:rsidRPr="00F80C8C">
          <w:rPr>
            <w:rStyle w:val="Hyperlink"/>
            <w:highlight w:val="white"/>
          </w:rPr>
          <w:t>https://www.bp.com/en/global/corporate/investors/results-reporting-and-presentations/annual-report.html#ar-highlights-3-2</w:t>
        </w:r>
      </w:hyperlink>
      <w:r w:rsidR="002B79E0">
        <w:rPr>
          <w:color w:val="222222"/>
          <w:highlight w:val="white"/>
        </w:rPr>
        <w:t xml:space="preserve"> </w:t>
      </w:r>
      <w:r>
        <w:rPr>
          <w:color w:val="222222"/>
          <w:highlight w:val="white"/>
        </w:rPr>
        <w:t>[Accessed 13 Mar. 2024].</w:t>
      </w:r>
    </w:p>
    <w:p w14:paraId="4714FF6E" w14:textId="56255720" w:rsidR="00B30362" w:rsidRDefault="00000000">
      <w:pPr>
        <w:widowControl w:val="0"/>
        <w:spacing w:before="200"/>
        <w:rPr>
          <w:color w:val="222222"/>
          <w:highlight w:val="white"/>
        </w:rPr>
      </w:pPr>
      <w:r>
        <w:rPr>
          <w:color w:val="222222"/>
          <w:highlight w:val="white"/>
        </w:rPr>
        <w:t xml:space="preserve">Cantarero, M. M. V. (2020). Of renewable energy, energy democracy, and sustainable development: A roadmap to accelerate the energy transition in developing countries. </w:t>
      </w:r>
      <w:r>
        <w:rPr>
          <w:i/>
          <w:color w:val="222222"/>
          <w:highlight w:val="white"/>
        </w:rPr>
        <w:t>Energy Research &amp; Social Science</w:t>
      </w:r>
      <w:r>
        <w:rPr>
          <w:color w:val="222222"/>
          <w:highlight w:val="white"/>
        </w:rPr>
        <w:t xml:space="preserve">, </w:t>
      </w:r>
      <w:r>
        <w:rPr>
          <w:i/>
          <w:color w:val="222222"/>
          <w:highlight w:val="white"/>
        </w:rPr>
        <w:t>70</w:t>
      </w:r>
      <w:r>
        <w:rPr>
          <w:color w:val="222222"/>
          <w:highlight w:val="white"/>
        </w:rPr>
        <w:t>, 101716.</w:t>
      </w:r>
      <w:r w:rsidR="002B79E0">
        <w:rPr>
          <w:color w:val="222222"/>
          <w:highlight w:val="white"/>
        </w:rPr>
        <w:t xml:space="preserve"> </w:t>
      </w:r>
      <w:hyperlink r:id="rId19" w:history="1">
        <w:r w:rsidR="002B79E0" w:rsidRPr="00F80C8C">
          <w:rPr>
            <w:rStyle w:val="Hyperlink"/>
          </w:rPr>
          <w:t>https://www.sciencedirect.com/science/article/pii/S2214629620302917</w:t>
        </w:r>
      </w:hyperlink>
      <w:r w:rsidR="002B79E0">
        <w:rPr>
          <w:color w:val="222222"/>
        </w:rPr>
        <w:t xml:space="preserve"> </w:t>
      </w:r>
    </w:p>
    <w:p w14:paraId="0B980A09" w14:textId="7C955691" w:rsidR="00B30362" w:rsidRDefault="00000000">
      <w:pPr>
        <w:widowControl w:val="0"/>
        <w:spacing w:before="200"/>
        <w:rPr>
          <w:color w:val="222222"/>
          <w:highlight w:val="white"/>
        </w:rPr>
      </w:pPr>
      <w:r>
        <w:rPr>
          <w:color w:val="222222"/>
          <w:highlight w:val="white"/>
        </w:rPr>
        <w:t xml:space="preserve">Casini, M. (2021). </w:t>
      </w:r>
      <w:r>
        <w:rPr>
          <w:i/>
          <w:color w:val="222222"/>
          <w:highlight w:val="white"/>
        </w:rPr>
        <w:t>Construction 4.0: Advanced Technology, Tools and Materials for the Digital Transformation of the Construction Industry</w:t>
      </w:r>
      <w:r>
        <w:rPr>
          <w:color w:val="222222"/>
          <w:highlight w:val="white"/>
        </w:rPr>
        <w:t>. Woodhead Publishing.</w:t>
      </w:r>
      <w:r w:rsidR="002B79E0">
        <w:rPr>
          <w:color w:val="222222"/>
          <w:highlight w:val="white"/>
        </w:rPr>
        <w:t xml:space="preserve"> </w:t>
      </w:r>
      <w:hyperlink r:id="rId20" w:history="1">
        <w:r w:rsidR="002B79E0" w:rsidRPr="00F80C8C">
          <w:rPr>
            <w:rStyle w:val="Hyperlink"/>
          </w:rPr>
          <w:t>https://books.google.com/books?hl=en&amp;lr=&amp;id=GkAyEAAAQBAJ&amp;oi=fnd&amp;pg=PP1&amp;dq=Casini,+M.+(2021).+Construction+4.0:+Advanced+Technology,+Tools+and+Materials+for+the+Digital+Transformation+of+the+Construction+Industry.+Woodhead+Publishing.&amp;ots=wWG_HROOtL&amp;sig=BNv0PLN9e4Awm8tb0IHn1nMLoD8</w:t>
        </w:r>
      </w:hyperlink>
      <w:r w:rsidR="002B79E0">
        <w:rPr>
          <w:color w:val="222222"/>
        </w:rPr>
        <w:t xml:space="preserve"> </w:t>
      </w:r>
    </w:p>
    <w:p w14:paraId="62C5C466" w14:textId="78EFF468" w:rsidR="00B30362" w:rsidRDefault="00000000">
      <w:pPr>
        <w:widowControl w:val="0"/>
        <w:spacing w:before="200"/>
        <w:rPr>
          <w:color w:val="222222"/>
          <w:highlight w:val="white"/>
        </w:rPr>
      </w:pPr>
      <w:r>
        <w:rPr>
          <w:color w:val="222222"/>
          <w:highlight w:val="white"/>
        </w:rPr>
        <w:t xml:space="preserve">Duttagupta, A. (2021). Corporate Social Responsibility And Sustainability: A Perspective From The Oil And Gas Industry. </w:t>
      </w:r>
      <w:r>
        <w:rPr>
          <w:i/>
          <w:color w:val="222222"/>
          <w:highlight w:val="white"/>
        </w:rPr>
        <w:t>Journal of Nature, Science &amp; Technology</w:t>
      </w:r>
      <w:r>
        <w:rPr>
          <w:color w:val="222222"/>
          <w:highlight w:val="white"/>
        </w:rPr>
        <w:t xml:space="preserve">, 1(2), pp.22–29. </w:t>
      </w:r>
      <w:proofErr w:type="spellStart"/>
      <w:r>
        <w:rPr>
          <w:color w:val="222222"/>
          <w:highlight w:val="white"/>
        </w:rPr>
        <w:t>doi</w:t>
      </w:r>
      <w:proofErr w:type="spellEnd"/>
      <w:r>
        <w:rPr>
          <w:color w:val="222222"/>
          <w:highlight w:val="white"/>
        </w:rPr>
        <w:t>:</w:t>
      </w:r>
      <w:r w:rsidR="00431536">
        <w:rPr>
          <w:color w:val="222222"/>
          <w:highlight w:val="white"/>
        </w:rPr>
        <w:t xml:space="preserve"> </w:t>
      </w:r>
      <w:hyperlink r:id="rId21" w:history="1">
        <w:r w:rsidR="00431536" w:rsidRPr="00E23F35">
          <w:rPr>
            <w:rStyle w:val="Hyperlink"/>
            <w:highlight w:val="white"/>
          </w:rPr>
          <w:t>https://doi.org/10.36937/janset.2021.002.004</w:t>
        </w:r>
      </w:hyperlink>
      <w:r>
        <w:rPr>
          <w:color w:val="222222"/>
          <w:highlight w:val="white"/>
        </w:rPr>
        <w:t>.</w:t>
      </w:r>
      <w:r w:rsidR="00431536">
        <w:t xml:space="preserve"> </w:t>
      </w:r>
      <w:r w:rsidR="002B79E0">
        <w:rPr>
          <w:color w:val="222222"/>
        </w:rPr>
        <w:t xml:space="preserve"> </w:t>
      </w:r>
    </w:p>
    <w:p w14:paraId="580C61AF" w14:textId="2D91D7F2" w:rsidR="00B30362" w:rsidRDefault="00000000">
      <w:pPr>
        <w:widowControl w:val="0"/>
        <w:spacing w:before="200"/>
        <w:rPr>
          <w:color w:val="222222"/>
          <w:highlight w:val="white"/>
        </w:rPr>
      </w:pPr>
      <w:r>
        <w:rPr>
          <w:color w:val="222222"/>
          <w:highlight w:val="white"/>
        </w:rPr>
        <w:t xml:space="preserve">Garrison, Helen, Marta Agostinho, Laura Alvarez, Sofie Bekaert, Luiza Bengtsson, Elisabetta Broglio, Digna Couso et al. (2021) "Involving society in science: Reflections on meaningful and impactful stakeholder engagement in fundamental research." </w:t>
      </w:r>
      <w:r>
        <w:rPr>
          <w:i/>
          <w:color w:val="222222"/>
          <w:highlight w:val="white"/>
        </w:rPr>
        <w:t>EMBO reports</w:t>
      </w:r>
      <w:r>
        <w:rPr>
          <w:color w:val="222222"/>
          <w:highlight w:val="white"/>
        </w:rPr>
        <w:t xml:space="preserve"> 22, no. 11 (2021): e54000.</w:t>
      </w:r>
      <w:r w:rsidR="002B79E0">
        <w:rPr>
          <w:color w:val="222222"/>
          <w:highlight w:val="white"/>
        </w:rPr>
        <w:t xml:space="preserve"> </w:t>
      </w:r>
      <w:hyperlink r:id="rId22" w:history="1">
        <w:r w:rsidR="002B79E0" w:rsidRPr="00F80C8C">
          <w:rPr>
            <w:rStyle w:val="Hyperlink"/>
          </w:rPr>
          <w:t>https://www.embopress.org/doi/abs/10.15252/embr.202154000</w:t>
        </w:r>
      </w:hyperlink>
      <w:r w:rsidR="002B79E0">
        <w:rPr>
          <w:color w:val="222222"/>
        </w:rPr>
        <w:t xml:space="preserve"> </w:t>
      </w:r>
    </w:p>
    <w:p w14:paraId="6E0C4E3D" w14:textId="50E9C092" w:rsidR="00B30362" w:rsidRDefault="00000000">
      <w:pPr>
        <w:widowControl w:val="0"/>
        <w:spacing w:before="200"/>
        <w:rPr>
          <w:color w:val="222222"/>
          <w:highlight w:val="white"/>
        </w:rPr>
      </w:pPr>
      <w:r>
        <w:rPr>
          <w:color w:val="222222"/>
          <w:highlight w:val="white"/>
        </w:rPr>
        <w:t xml:space="preserve">Jiang, C. (2022, December). The Influence of the Russia-Ukraine War on BP. In </w:t>
      </w:r>
      <w:r>
        <w:rPr>
          <w:i/>
          <w:color w:val="222222"/>
          <w:highlight w:val="white"/>
        </w:rPr>
        <w:t>2022 2nd International Conference on Economic Development and Business Culture (ICEDBC 2022)</w:t>
      </w:r>
      <w:r>
        <w:rPr>
          <w:color w:val="222222"/>
          <w:highlight w:val="white"/>
        </w:rPr>
        <w:t xml:space="preserve"> (pp. 245-250). Atlantis Press. </w:t>
      </w:r>
      <w:hyperlink r:id="rId23" w:history="1">
        <w:r w:rsidR="002B79E0" w:rsidRPr="00F80C8C">
          <w:rPr>
            <w:rStyle w:val="Hyperlink"/>
            <w:highlight w:val="white"/>
          </w:rPr>
          <w:t>https://www.atlantis-press.com/article/125983771.pdf</w:t>
        </w:r>
      </w:hyperlink>
      <w:r w:rsidR="002B79E0">
        <w:rPr>
          <w:color w:val="222222"/>
          <w:highlight w:val="white"/>
        </w:rPr>
        <w:t xml:space="preserve"> </w:t>
      </w:r>
    </w:p>
    <w:p w14:paraId="692267EE" w14:textId="38A0E72D" w:rsidR="00B30362" w:rsidRDefault="00000000">
      <w:pPr>
        <w:widowControl w:val="0"/>
        <w:spacing w:before="200"/>
        <w:rPr>
          <w:color w:val="222222"/>
          <w:highlight w:val="white"/>
        </w:rPr>
      </w:pPr>
      <w:r>
        <w:rPr>
          <w:color w:val="222222"/>
          <w:highlight w:val="white"/>
        </w:rPr>
        <w:t xml:space="preserve">Ladd, A. E. (2012). Pandora’s well: Hubris, deregulation, fossil fuels, and the BP oil disaster in the Gulf. </w:t>
      </w:r>
      <w:r>
        <w:rPr>
          <w:i/>
          <w:color w:val="222222"/>
          <w:highlight w:val="white"/>
        </w:rPr>
        <w:t>American Behavioral Scientist</w:t>
      </w:r>
      <w:r>
        <w:rPr>
          <w:color w:val="222222"/>
          <w:highlight w:val="white"/>
        </w:rPr>
        <w:t xml:space="preserve">, </w:t>
      </w:r>
      <w:r>
        <w:rPr>
          <w:i/>
          <w:color w:val="222222"/>
          <w:highlight w:val="white"/>
        </w:rPr>
        <w:t>56</w:t>
      </w:r>
      <w:r>
        <w:rPr>
          <w:color w:val="222222"/>
          <w:highlight w:val="white"/>
        </w:rPr>
        <w:t>(1), 104-127.</w:t>
      </w:r>
      <w:r w:rsidR="00431536">
        <w:rPr>
          <w:color w:val="222222"/>
          <w:highlight w:val="white"/>
        </w:rPr>
        <w:t xml:space="preserve"> </w:t>
      </w:r>
      <w:hyperlink r:id="rId24" w:history="1">
        <w:r w:rsidR="00431536" w:rsidRPr="00E23F35">
          <w:rPr>
            <w:rStyle w:val="Hyperlink"/>
          </w:rPr>
          <w:t>https://doi.org/10.1177/0002764211409195</w:t>
        </w:r>
      </w:hyperlink>
      <w:r w:rsidR="00431536">
        <w:rPr>
          <w:color w:val="222222"/>
        </w:rPr>
        <w:t xml:space="preserve"> </w:t>
      </w:r>
    </w:p>
    <w:p w14:paraId="67F9F358" w14:textId="159D9A4C" w:rsidR="00B30362" w:rsidRDefault="00000000">
      <w:pPr>
        <w:widowControl w:val="0"/>
        <w:spacing w:before="200"/>
        <w:rPr>
          <w:color w:val="222222"/>
          <w:highlight w:val="white"/>
        </w:rPr>
      </w:pPr>
      <w:r>
        <w:rPr>
          <w:color w:val="222222"/>
          <w:highlight w:val="white"/>
        </w:rPr>
        <w:t xml:space="preserve">Laig, R. B. D., and </w:t>
      </w:r>
      <w:proofErr w:type="spellStart"/>
      <w:r>
        <w:rPr>
          <w:color w:val="222222"/>
          <w:highlight w:val="white"/>
        </w:rPr>
        <w:t>Abocejo</w:t>
      </w:r>
      <w:proofErr w:type="spellEnd"/>
      <w:r>
        <w:rPr>
          <w:color w:val="222222"/>
          <w:highlight w:val="white"/>
        </w:rPr>
        <w:t xml:space="preserve">, F. T. (2021). Change management process in a mining company: Kotter’s 8-step change model. </w:t>
      </w:r>
      <w:r>
        <w:rPr>
          <w:i/>
          <w:color w:val="222222"/>
          <w:highlight w:val="white"/>
        </w:rPr>
        <w:t>Journal of Management, Economics, and Industrial Organization</w:t>
      </w:r>
      <w:r>
        <w:rPr>
          <w:color w:val="222222"/>
          <w:highlight w:val="white"/>
        </w:rPr>
        <w:t xml:space="preserve">, </w:t>
      </w:r>
      <w:r>
        <w:rPr>
          <w:i/>
          <w:color w:val="222222"/>
          <w:highlight w:val="white"/>
        </w:rPr>
        <w:t>5</w:t>
      </w:r>
      <w:r>
        <w:rPr>
          <w:color w:val="222222"/>
          <w:highlight w:val="white"/>
        </w:rPr>
        <w:t>(3), 31-50</w:t>
      </w:r>
      <w:r w:rsidR="002B79E0">
        <w:rPr>
          <w:color w:val="222222"/>
          <w:highlight w:val="white"/>
        </w:rPr>
        <w:t xml:space="preserve"> </w:t>
      </w:r>
      <w:hyperlink r:id="rId25" w:history="1">
        <w:r w:rsidR="002B79E0" w:rsidRPr="00F80C8C">
          <w:rPr>
            <w:rStyle w:val="Hyperlink"/>
          </w:rPr>
          <w:t>https://jomeino.com/sites/default/files/paper_attachment/Change%20Management%20Project%20in%20a%20Mining%20Company.pdf</w:t>
        </w:r>
      </w:hyperlink>
      <w:r w:rsidR="002B79E0">
        <w:rPr>
          <w:color w:val="222222"/>
        </w:rPr>
        <w:t xml:space="preserve"> </w:t>
      </w:r>
    </w:p>
    <w:p w14:paraId="7AF967A8" w14:textId="6CC9126A" w:rsidR="00B30362" w:rsidRDefault="00000000">
      <w:pPr>
        <w:widowControl w:val="0"/>
        <w:spacing w:before="200"/>
        <w:rPr>
          <w:color w:val="222222"/>
          <w:highlight w:val="white"/>
        </w:rPr>
      </w:pPr>
      <w:r>
        <w:rPr>
          <w:color w:val="222222"/>
          <w:highlight w:val="white"/>
        </w:rPr>
        <w:t xml:space="preserve">Leung, C. Y., Barclay, J. E., Botz, C. T., Hanf, N. K., Jasperson, J. C., Kirby, K. N., ... &amp; Vogl, M. M. (2021). Change management: A framework for measuring and implementing organisational change. </w:t>
      </w:r>
      <w:r>
        <w:rPr>
          <w:i/>
          <w:color w:val="222222"/>
          <w:highlight w:val="white"/>
        </w:rPr>
        <w:t>Management in Healthcare</w:t>
      </w:r>
      <w:r>
        <w:rPr>
          <w:color w:val="222222"/>
          <w:highlight w:val="white"/>
        </w:rPr>
        <w:t xml:space="preserve">, </w:t>
      </w:r>
      <w:r>
        <w:rPr>
          <w:i/>
          <w:color w:val="222222"/>
          <w:highlight w:val="white"/>
        </w:rPr>
        <w:t>5</w:t>
      </w:r>
      <w:r>
        <w:rPr>
          <w:color w:val="222222"/>
          <w:highlight w:val="white"/>
        </w:rPr>
        <w:t>(4), 299-316.</w:t>
      </w:r>
      <w:r w:rsidR="00431536">
        <w:rPr>
          <w:color w:val="222222"/>
          <w:highlight w:val="white"/>
        </w:rPr>
        <w:t xml:space="preserve"> </w:t>
      </w:r>
      <w:hyperlink r:id="rId26" w:anchor="Refs" w:history="1">
        <w:r w:rsidR="00431536" w:rsidRPr="00E23F35">
          <w:rPr>
            <w:rStyle w:val="Hyperlink"/>
          </w:rPr>
          <w:t>https://www.ingentaconnect.com/content/hsp/mih/2021/00000005/00000004/art00002#Refs</w:t>
        </w:r>
      </w:hyperlink>
      <w:r w:rsidR="00431536">
        <w:rPr>
          <w:color w:val="222222"/>
        </w:rPr>
        <w:t xml:space="preserve"> </w:t>
      </w:r>
    </w:p>
    <w:p w14:paraId="4D0A9F6D" w14:textId="14DA3778" w:rsidR="00B30362" w:rsidRDefault="00000000">
      <w:pPr>
        <w:widowControl w:val="0"/>
        <w:spacing w:before="200"/>
        <w:rPr>
          <w:color w:val="222222"/>
          <w:highlight w:val="white"/>
        </w:rPr>
      </w:pPr>
      <w:r>
        <w:rPr>
          <w:color w:val="222222"/>
          <w:highlight w:val="white"/>
        </w:rPr>
        <w:t xml:space="preserve">Macrotrends. (2024). </w:t>
      </w:r>
      <w:r>
        <w:rPr>
          <w:i/>
          <w:color w:val="222222"/>
          <w:highlight w:val="white"/>
        </w:rPr>
        <w:t xml:space="preserve">BP - 43 Year Stock Price History | BP. </w:t>
      </w:r>
      <w:r>
        <w:rPr>
          <w:color w:val="222222"/>
          <w:highlight w:val="white"/>
        </w:rPr>
        <w:t xml:space="preserve">[online] Available at: </w:t>
      </w:r>
      <w:hyperlink r:id="rId27" w:history="1">
        <w:r w:rsidR="00431536" w:rsidRPr="00E23F35">
          <w:rPr>
            <w:rStyle w:val="Hyperlink"/>
            <w:highlight w:val="white"/>
          </w:rPr>
          <w:t>https://www.macrotrends.net/stocks/charts/BP/bp/stock-price-history</w:t>
        </w:r>
      </w:hyperlink>
      <w:r>
        <w:rPr>
          <w:color w:val="222222"/>
          <w:highlight w:val="white"/>
        </w:rPr>
        <w:t>.</w:t>
      </w:r>
      <w:r w:rsidR="00431536">
        <w:rPr>
          <w:color w:val="222222"/>
          <w:highlight w:val="white"/>
        </w:rPr>
        <w:t xml:space="preserve"> </w:t>
      </w:r>
    </w:p>
    <w:p w14:paraId="2B92FB21" w14:textId="1BCB8DD5" w:rsidR="00B30362" w:rsidRDefault="00000000">
      <w:pPr>
        <w:widowControl w:val="0"/>
        <w:spacing w:before="200"/>
        <w:rPr>
          <w:color w:val="222222"/>
          <w:highlight w:val="white"/>
        </w:rPr>
      </w:pPr>
      <w:r>
        <w:rPr>
          <w:color w:val="222222"/>
          <w:highlight w:val="white"/>
        </w:rPr>
        <w:t xml:space="preserve">Mazzanti, M., &amp; Zecca, E. (2023). Industry, innovations and transition to the green and circular economy. In </w:t>
      </w:r>
      <w:r>
        <w:rPr>
          <w:i/>
          <w:color w:val="222222"/>
          <w:highlight w:val="white"/>
        </w:rPr>
        <w:t>Handbook of Industrial Development</w:t>
      </w:r>
      <w:r>
        <w:rPr>
          <w:color w:val="222222"/>
          <w:highlight w:val="white"/>
        </w:rPr>
        <w:t xml:space="preserve"> (pp. 302-320). Edward Elgar Publishing.</w:t>
      </w:r>
      <w:r w:rsidR="002B79E0">
        <w:rPr>
          <w:color w:val="222222"/>
          <w:highlight w:val="white"/>
        </w:rPr>
        <w:t xml:space="preserve"> </w:t>
      </w:r>
      <w:hyperlink r:id="rId28" w:history="1">
        <w:r w:rsidR="002B79E0" w:rsidRPr="00F80C8C">
          <w:rPr>
            <w:rStyle w:val="Hyperlink"/>
          </w:rPr>
          <w:t>https://www.elgaronline.com/edcollchap/book/9781800379091/book-part-9781800379091-28.xml</w:t>
        </w:r>
      </w:hyperlink>
      <w:r w:rsidR="002B79E0">
        <w:rPr>
          <w:color w:val="222222"/>
        </w:rPr>
        <w:t xml:space="preserve"> </w:t>
      </w:r>
    </w:p>
    <w:p w14:paraId="40B8F55C" w14:textId="1A07B44A" w:rsidR="00B30362" w:rsidRDefault="00000000">
      <w:pPr>
        <w:widowControl w:val="0"/>
        <w:spacing w:before="200"/>
        <w:rPr>
          <w:color w:val="222222"/>
          <w:highlight w:val="white"/>
        </w:rPr>
      </w:pPr>
      <w:r>
        <w:rPr>
          <w:color w:val="222222"/>
          <w:highlight w:val="white"/>
        </w:rPr>
        <w:t xml:space="preserve">Mutch, C. (2020). Crisis leadership: Evaluating our leadership approaches in the time of COVID-19. </w:t>
      </w:r>
      <w:r>
        <w:rPr>
          <w:i/>
          <w:color w:val="222222"/>
          <w:highlight w:val="white"/>
        </w:rPr>
        <w:t xml:space="preserve">Evaluation Matters—He Take </w:t>
      </w:r>
      <w:proofErr w:type="spellStart"/>
      <w:r>
        <w:rPr>
          <w:i/>
          <w:color w:val="222222"/>
          <w:highlight w:val="white"/>
        </w:rPr>
        <w:t>Tō</w:t>
      </w:r>
      <w:proofErr w:type="spellEnd"/>
      <w:r>
        <w:rPr>
          <w:i/>
          <w:color w:val="222222"/>
          <w:highlight w:val="white"/>
        </w:rPr>
        <w:t xml:space="preserve"> </w:t>
      </w:r>
      <w:proofErr w:type="spellStart"/>
      <w:r>
        <w:rPr>
          <w:i/>
          <w:color w:val="222222"/>
          <w:highlight w:val="white"/>
        </w:rPr>
        <w:t>Te</w:t>
      </w:r>
      <w:proofErr w:type="spellEnd"/>
      <w:r>
        <w:rPr>
          <w:i/>
          <w:color w:val="222222"/>
          <w:highlight w:val="white"/>
        </w:rPr>
        <w:t xml:space="preserve"> </w:t>
      </w:r>
      <w:proofErr w:type="spellStart"/>
      <w:r>
        <w:rPr>
          <w:i/>
          <w:color w:val="222222"/>
          <w:highlight w:val="white"/>
        </w:rPr>
        <w:t>Aromatawai</w:t>
      </w:r>
      <w:proofErr w:type="spellEnd"/>
      <w:r>
        <w:rPr>
          <w:color w:val="222222"/>
          <w:highlight w:val="white"/>
        </w:rPr>
        <w:t xml:space="preserve">, </w:t>
      </w:r>
      <w:r>
        <w:rPr>
          <w:i/>
          <w:color w:val="222222"/>
          <w:highlight w:val="white"/>
        </w:rPr>
        <w:t>6</w:t>
      </w:r>
      <w:r>
        <w:rPr>
          <w:color w:val="222222"/>
          <w:highlight w:val="white"/>
        </w:rPr>
        <w:t>, 69-92.</w:t>
      </w:r>
      <w:r w:rsidR="002B79E0">
        <w:rPr>
          <w:color w:val="222222"/>
          <w:highlight w:val="white"/>
        </w:rPr>
        <w:t xml:space="preserve"> </w:t>
      </w:r>
      <w:hyperlink r:id="rId29" w:history="1">
        <w:r w:rsidR="002B79E0" w:rsidRPr="00F80C8C">
          <w:rPr>
            <w:rStyle w:val="Hyperlink"/>
          </w:rPr>
          <w:t>https://www.researchgate.net/profile/Carol-Mutch/publication/348924470_Crisis_leadership_Evaluating_our_leadership_approaches_in_the_time_of_COVID-19/links/60190ccca6fdcc071bac4e90/Crisis-leadership-Evaluating-our-leadership-approaches-in-the-time-of-COVID-19.pdf</w:t>
        </w:r>
      </w:hyperlink>
      <w:r w:rsidR="002B79E0">
        <w:rPr>
          <w:color w:val="222222"/>
        </w:rPr>
        <w:t xml:space="preserve"> </w:t>
      </w:r>
    </w:p>
    <w:p w14:paraId="12A99222" w14:textId="3346DB8E" w:rsidR="00B30362" w:rsidRDefault="00000000">
      <w:pPr>
        <w:widowControl w:val="0"/>
        <w:spacing w:before="200"/>
        <w:rPr>
          <w:color w:val="222222"/>
          <w:highlight w:val="white"/>
        </w:rPr>
      </w:pPr>
      <w:proofErr w:type="spellStart"/>
      <w:r>
        <w:rPr>
          <w:color w:val="222222"/>
          <w:highlight w:val="white"/>
        </w:rPr>
        <w:t>Ñkaña</w:t>
      </w:r>
      <w:proofErr w:type="spellEnd"/>
      <w:r>
        <w:rPr>
          <w:color w:val="222222"/>
          <w:highlight w:val="white"/>
        </w:rPr>
        <w:t xml:space="preserve">, D. S. (2020). </w:t>
      </w:r>
      <w:r>
        <w:rPr>
          <w:i/>
          <w:color w:val="222222"/>
          <w:highlight w:val="white"/>
        </w:rPr>
        <w:t>An Investigation of Organizational Change: A Single Case Study</w:t>
      </w:r>
      <w:r>
        <w:rPr>
          <w:color w:val="222222"/>
          <w:highlight w:val="white"/>
        </w:rPr>
        <w:t xml:space="preserve"> (Doctoral dissertation, Grand Canyon University).</w:t>
      </w:r>
      <w:r w:rsidR="002B79E0">
        <w:rPr>
          <w:color w:val="222222"/>
          <w:highlight w:val="white"/>
        </w:rPr>
        <w:t xml:space="preserve"> </w:t>
      </w:r>
      <w:hyperlink r:id="rId30" w:history="1">
        <w:r w:rsidR="002B79E0" w:rsidRPr="00F80C8C">
          <w:rPr>
            <w:rStyle w:val="Hyperlink"/>
          </w:rPr>
          <w:t>https://search.proquest.com/openview/a0558180c209d9f3fd0ffe1d43b2b6be/1?pq-origsite=gscholar&amp;cbl=18750&amp;diss=y</w:t>
        </w:r>
      </w:hyperlink>
      <w:r w:rsidR="002B79E0">
        <w:rPr>
          <w:color w:val="222222"/>
        </w:rPr>
        <w:t xml:space="preserve"> </w:t>
      </w:r>
    </w:p>
    <w:p w14:paraId="0E57CF50" w14:textId="320126A1" w:rsidR="00B30362" w:rsidRDefault="00000000">
      <w:pPr>
        <w:widowControl w:val="0"/>
        <w:spacing w:before="200"/>
        <w:rPr>
          <w:color w:val="222222"/>
          <w:highlight w:val="white"/>
        </w:rPr>
      </w:pPr>
      <w:r>
        <w:rPr>
          <w:color w:val="222222"/>
          <w:highlight w:val="white"/>
        </w:rPr>
        <w:t xml:space="preserve">Palis, G. E. (2016). </w:t>
      </w:r>
      <w:r>
        <w:rPr>
          <w:i/>
          <w:color w:val="222222"/>
          <w:highlight w:val="white"/>
        </w:rPr>
        <w:t>Case study exploring oil and gas industry leaders' safety behavior and resulting safety performance</w:t>
      </w:r>
      <w:r>
        <w:rPr>
          <w:color w:val="222222"/>
          <w:highlight w:val="white"/>
        </w:rPr>
        <w:t>. Northcentral University.</w:t>
      </w:r>
      <w:r w:rsidR="00431536">
        <w:rPr>
          <w:color w:val="222222"/>
          <w:highlight w:val="white"/>
        </w:rPr>
        <w:t xml:space="preserve"> </w:t>
      </w:r>
      <w:hyperlink r:id="rId31" w:history="1">
        <w:r w:rsidR="00431536" w:rsidRPr="00E23F35">
          <w:rPr>
            <w:rStyle w:val="Hyperlink"/>
          </w:rPr>
          <w:t>https://www.proquest.com/openview/975318e7737a54623833e496aabd63f9/1?pq-origsite=gscholar&amp;cbl=18750</w:t>
        </w:r>
      </w:hyperlink>
      <w:r w:rsidR="00431536">
        <w:rPr>
          <w:color w:val="222222"/>
        </w:rPr>
        <w:t xml:space="preserve"> </w:t>
      </w:r>
    </w:p>
    <w:p w14:paraId="59B8E2F0" w14:textId="5E63DD42" w:rsidR="00B30362" w:rsidRDefault="00000000">
      <w:pPr>
        <w:widowControl w:val="0"/>
        <w:spacing w:before="200"/>
        <w:rPr>
          <w:color w:val="222222"/>
          <w:highlight w:val="white"/>
        </w:rPr>
      </w:pPr>
      <w:r>
        <w:rPr>
          <w:color w:val="222222"/>
          <w:highlight w:val="white"/>
        </w:rPr>
        <w:t xml:space="preserve">Pathak, S. K., Sharma, V., </w:t>
      </w:r>
      <w:proofErr w:type="spellStart"/>
      <w:r>
        <w:rPr>
          <w:color w:val="222222"/>
          <w:highlight w:val="white"/>
        </w:rPr>
        <w:t>Chougule</w:t>
      </w:r>
      <w:proofErr w:type="spellEnd"/>
      <w:r>
        <w:rPr>
          <w:color w:val="222222"/>
          <w:highlight w:val="white"/>
        </w:rPr>
        <w:t xml:space="preserve">, S. S., &amp; Goel, V. (2022). Prioritization of barriers to the development of renewable energy technologies in India using integrated Modified Delphi and AHP method. </w:t>
      </w:r>
      <w:r>
        <w:rPr>
          <w:i/>
          <w:color w:val="222222"/>
          <w:highlight w:val="white"/>
        </w:rPr>
        <w:t>Sustainable Energy Technologies and Assessments</w:t>
      </w:r>
      <w:r>
        <w:rPr>
          <w:color w:val="222222"/>
          <w:highlight w:val="white"/>
        </w:rPr>
        <w:t xml:space="preserve">, </w:t>
      </w:r>
      <w:r>
        <w:rPr>
          <w:i/>
          <w:color w:val="222222"/>
          <w:highlight w:val="white"/>
        </w:rPr>
        <w:t>50</w:t>
      </w:r>
      <w:r>
        <w:rPr>
          <w:color w:val="222222"/>
          <w:highlight w:val="white"/>
        </w:rPr>
        <w:t>, 101818.</w:t>
      </w:r>
      <w:r w:rsidR="002B79E0">
        <w:rPr>
          <w:color w:val="222222"/>
          <w:highlight w:val="white"/>
        </w:rPr>
        <w:t xml:space="preserve"> </w:t>
      </w:r>
      <w:hyperlink r:id="rId32" w:history="1">
        <w:r w:rsidR="002B79E0" w:rsidRPr="00F80C8C">
          <w:rPr>
            <w:rStyle w:val="Hyperlink"/>
          </w:rPr>
          <w:t>https://www.sciencedirect.com/science/article/pii/S2213138821008328</w:t>
        </w:r>
      </w:hyperlink>
      <w:r w:rsidR="002B79E0">
        <w:rPr>
          <w:color w:val="222222"/>
        </w:rPr>
        <w:t xml:space="preserve"> </w:t>
      </w:r>
    </w:p>
    <w:p w14:paraId="24E6F7D7" w14:textId="19F1FBE4" w:rsidR="00B30362" w:rsidRDefault="00000000">
      <w:pPr>
        <w:widowControl w:val="0"/>
        <w:spacing w:before="200"/>
        <w:rPr>
          <w:color w:val="222222"/>
          <w:highlight w:val="white"/>
        </w:rPr>
      </w:pPr>
      <w:r>
        <w:rPr>
          <w:color w:val="222222"/>
          <w:highlight w:val="white"/>
        </w:rPr>
        <w:t xml:space="preserve">Reeves, K., Irons-Mclean, R., &amp; Need, I. (2023). THE ROLE OF LEADERSHIP AND ENABLING CHANGE-SPECIFIC TO THE CLUSTER AND ENERGY TRANSITION. </w:t>
      </w:r>
      <w:r>
        <w:rPr>
          <w:i/>
          <w:color w:val="222222"/>
          <w:highlight w:val="white"/>
        </w:rPr>
        <w:t>The Handbook of Climate Change Leadership in Organisations: Developing Leadership for the Age of Sustainability</w:t>
      </w:r>
      <w:r>
        <w:rPr>
          <w:color w:val="222222"/>
          <w:highlight w:val="white"/>
        </w:rPr>
        <w:t>.</w:t>
      </w:r>
      <w:r w:rsidR="002B79E0">
        <w:rPr>
          <w:color w:val="222222"/>
          <w:highlight w:val="white"/>
        </w:rPr>
        <w:t xml:space="preserve"> </w:t>
      </w:r>
      <w:hyperlink r:id="rId33" w:history="1">
        <w:r w:rsidR="002B79E0" w:rsidRPr="00F80C8C">
          <w:rPr>
            <w:rStyle w:val="Hyperlink"/>
          </w:rPr>
          <w:t>https://books.google.com/books?hl=en&amp;lr=&amp;id=EHnaEAAAQBAJ&amp;oi=fnd&amp;pg=PT268&amp;dq=Reeves,+K.,+Irons-Mclean,+R.,+%26+Need,+I.+(2023).+THE+ROLE+OF+LEADERSHIP+AND+ENABLING+CHANGE-SPECIFIC+TO+THE+CLUSTER+AND+ENERGY+TRANSITION.+The+Handbook+of+Climate+Change+Leadership+in+Organisations:+Developing+Leadership+for+the+Age+of+Sustainability.&amp;ots=UuXMTbcj8W&amp;sig=K37zhQIstX4TANg8UuZiTUcko9Y</w:t>
        </w:r>
      </w:hyperlink>
      <w:r w:rsidR="002B79E0">
        <w:rPr>
          <w:color w:val="222222"/>
        </w:rPr>
        <w:t xml:space="preserve"> </w:t>
      </w:r>
    </w:p>
    <w:p w14:paraId="4BBEC71A" w14:textId="324B830D" w:rsidR="00B30362" w:rsidRDefault="00000000">
      <w:pPr>
        <w:widowControl w:val="0"/>
        <w:spacing w:before="200"/>
        <w:rPr>
          <w:color w:val="222222"/>
          <w:highlight w:val="white"/>
        </w:rPr>
      </w:pPr>
      <w:r>
        <w:rPr>
          <w:color w:val="222222"/>
          <w:highlight w:val="white"/>
        </w:rPr>
        <w:t xml:space="preserve">Shulga, L. V., &amp; Busser, J. A. (2024). Covid-19 crisis management human resource cost-retrenchment: the role of transformational leadership and ethical climate. </w:t>
      </w:r>
      <w:r>
        <w:rPr>
          <w:i/>
          <w:color w:val="222222"/>
          <w:highlight w:val="white"/>
        </w:rPr>
        <w:t>International Journal of Contemporary Hospitality Management</w:t>
      </w:r>
      <w:r>
        <w:rPr>
          <w:color w:val="222222"/>
          <w:highlight w:val="white"/>
        </w:rPr>
        <w:t xml:space="preserve">, </w:t>
      </w:r>
      <w:r>
        <w:rPr>
          <w:i/>
          <w:color w:val="222222"/>
          <w:highlight w:val="white"/>
        </w:rPr>
        <w:t>36</w:t>
      </w:r>
      <w:r>
        <w:rPr>
          <w:color w:val="222222"/>
          <w:highlight w:val="white"/>
        </w:rPr>
        <w:t>(4), 1213-1234.</w:t>
      </w:r>
      <w:r w:rsidR="002B79E0">
        <w:rPr>
          <w:color w:val="222222"/>
          <w:highlight w:val="white"/>
        </w:rPr>
        <w:t xml:space="preserve"> </w:t>
      </w:r>
      <w:hyperlink r:id="rId34" w:history="1">
        <w:r w:rsidR="002B79E0" w:rsidRPr="00F80C8C">
          <w:rPr>
            <w:rStyle w:val="Hyperlink"/>
          </w:rPr>
          <w:t>https://www.emerald.com/insight/content/doi/10.1108/IJCHM-07-2022-0903/full/html</w:t>
        </w:r>
      </w:hyperlink>
      <w:r w:rsidR="002B79E0">
        <w:rPr>
          <w:color w:val="222222"/>
        </w:rPr>
        <w:t xml:space="preserve"> </w:t>
      </w:r>
    </w:p>
    <w:p w14:paraId="70E8FBAC" w14:textId="451A7F58" w:rsidR="00B30362" w:rsidRDefault="00000000">
      <w:pPr>
        <w:widowControl w:val="0"/>
        <w:spacing w:before="200"/>
        <w:rPr>
          <w:color w:val="222222"/>
          <w:highlight w:val="white"/>
        </w:rPr>
      </w:pPr>
      <w:proofErr w:type="spellStart"/>
      <w:r>
        <w:rPr>
          <w:color w:val="222222"/>
          <w:highlight w:val="white"/>
        </w:rPr>
        <w:t>Sovacool</w:t>
      </w:r>
      <w:proofErr w:type="spellEnd"/>
      <w:r>
        <w:rPr>
          <w:color w:val="222222"/>
          <w:highlight w:val="white"/>
        </w:rPr>
        <w:t xml:space="preserve">, B. K., and Griffiths, S. (2020). The cultural barriers to a low-carbon future: A review of six mobility and energy transitions across 28 countries. </w:t>
      </w:r>
      <w:r>
        <w:rPr>
          <w:i/>
          <w:color w:val="222222"/>
          <w:highlight w:val="white"/>
        </w:rPr>
        <w:t>Renewable and Sustainable Energy Reviews</w:t>
      </w:r>
      <w:r>
        <w:rPr>
          <w:color w:val="222222"/>
          <w:highlight w:val="white"/>
        </w:rPr>
        <w:t xml:space="preserve">, </w:t>
      </w:r>
      <w:r>
        <w:rPr>
          <w:i/>
          <w:color w:val="222222"/>
          <w:highlight w:val="white"/>
        </w:rPr>
        <w:t>119</w:t>
      </w:r>
      <w:r>
        <w:rPr>
          <w:color w:val="222222"/>
          <w:highlight w:val="white"/>
        </w:rPr>
        <w:t>, 109569.</w:t>
      </w:r>
      <w:r w:rsidR="002B79E0">
        <w:rPr>
          <w:color w:val="222222"/>
          <w:highlight w:val="white"/>
        </w:rPr>
        <w:t xml:space="preserve"> </w:t>
      </w:r>
      <w:hyperlink r:id="rId35" w:history="1">
        <w:r w:rsidR="002B79E0" w:rsidRPr="00F80C8C">
          <w:rPr>
            <w:rStyle w:val="Hyperlink"/>
          </w:rPr>
          <w:t>https://www.sciencedirect.com/science/article/pii/S1364032119307774</w:t>
        </w:r>
      </w:hyperlink>
      <w:r w:rsidR="002B79E0">
        <w:rPr>
          <w:color w:val="222222"/>
        </w:rPr>
        <w:t xml:space="preserve"> </w:t>
      </w:r>
    </w:p>
    <w:p w14:paraId="350BDD69" w14:textId="544F5602" w:rsidR="00B30362" w:rsidRDefault="00000000">
      <w:pPr>
        <w:widowControl w:val="0"/>
        <w:spacing w:before="200"/>
        <w:rPr>
          <w:color w:val="222222"/>
          <w:highlight w:val="white"/>
        </w:rPr>
      </w:pPr>
      <w:proofErr w:type="spellStart"/>
      <w:r>
        <w:rPr>
          <w:color w:val="222222"/>
          <w:highlight w:val="white"/>
        </w:rPr>
        <w:t>Swuste</w:t>
      </w:r>
      <w:proofErr w:type="spellEnd"/>
      <w:r>
        <w:rPr>
          <w:color w:val="222222"/>
          <w:highlight w:val="white"/>
        </w:rPr>
        <w:t xml:space="preserve">, P., van </w:t>
      </w:r>
      <w:proofErr w:type="spellStart"/>
      <w:r>
        <w:rPr>
          <w:color w:val="222222"/>
          <w:highlight w:val="white"/>
        </w:rPr>
        <w:t>Gulijk</w:t>
      </w:r>
      <w:proofErr w:type="spellEnd"/>
      <w:r>
        <w:rPr>
          <w:color w:val="222222"/>
          <w:highlight w:val="white"/>
        </w:rPr>
        <w:t xml:space="preserve">, C., Groeneweg, J., </w:t>
      </w:r>
      <w:proofErr w:type="spellStart"/>
      <w:r>
        <w:rPr>
          <w:color w:val="222222"/>
          <w:highlight w:val="white"/>
        </w:rPr>
        <w:t>Zwaard</w:t>
      </w:r>
      <w:proofErr w:type="spellEnd"/>
      <w:r>
        <w:rPr>
          <w:color w:val="222222"/>
          <w:highlight w:val="white"/>
        </w:rPr>
        <w:t xml:space="preserve">, W., </w:t>
      </w:r>
      <w:proofErr w:type="spellStart"/>
      <w:r>
        <w:rPr>
          <w:color w:val="222222"/>
          <w:highlight w:val="white"/>
        </w:rPr>
        <w:t>Lemkowitz</w:t>
      </w:r>
      <w:proofErr w:type="spellEnd"/>
      <w:r>
        <w:rPr>
          <w:color w:val="222222"/>
          <w:highlight w:val="white"/>
        </w:rPr>
        <w:t xml:space="preserve">, S., &amp; </w:t>
      </w:r>
      <w:proofErr w:type="spellStart"/>
      <w:r>
        <w:rPr>
          <w:color w:val="222222"/>
          <w:highlight w:val="white"/>
        </w:rPr>
        <w:t>Guldenmund</w:t>
      </w:r>
      <w:proofErr w:type="spellEnd"/>
      <w:r>
        <w:rPr>
          <w:color w:val="222222"/>
          <w:highlight w:val="white"/>
        </w:rPr>
        <w:t xml:space="preserve">, F. (2020). From </w:t>
      </w:r>
      <w:proofErr w:type="spellStart"/>
      <w:r>
        <w:rPr>
          <w:color w:val="222222"/>
          <w:highlight w:val="white"/>
        </w:rPr>
        <w:t>clapham</w:t>
      </w:r>
      <w:proofErr w:type="spellEnd"/>
      <w:r>
        <w:rPr>
          <w:color w:val="222222"/>
          <w:highlight w:val="white"/>
        </w:rPr>
        <w:t xml:space="preserve"> junction to </w:t>
      </w:r>
      <w:proofErr w:type="spellStart"/>
      <w:r>
        <w:rPr>
          <w:color w:val="222222"/>
          <w:highlight w:val="white"/>
        </w:rPr>
        <w:t>macondo</w:t>
      </w:r>
      <w:proofErr w:type="spellEnd"/>
      <w:r>
        <w:rPr>
          <w:color w:val="222222"/>
          <w:highlight w:val="white"/>
        </w:rPr>
        <w:t xml:space="preserve">, deepwater horizon: Risk and safety management in high-tech-high-hazard sectors: A review of English and Dutch literature: 1988–2010. </w:t>
      </w:r>
      <w:r>
        <w:rPr>
          <w:i/>
          <w:color w:val="222222"/>
          <w:highlight w:val="white"/>
        </w:rPr>
        <w:t>Safety science</w:t>
      </w:r>
      <w:r>
        <w:rPr>
          <w:color w:val="222222"/>
          <w:highlight w:val="white"/>
        </w:rPr>
        <w:t xml:space="preserve">, </w:t>
      </w:r>
      <w:r>
        <w:rPr>
          <w:i/>
          <w:color w:val="222222"/>
          <w:highlight w:val="white"/>
        </w:rPr>
        <w:t>121</w:t>
      </w:r>
      <w:r>
        <w:rPr>
          <w:color w:val="222222"/>
          <w:highlight w:val="white"/>
        </w:rPr>
        <w:t>, 249-282.</w:t>
      </w:r>
      <w:r w:rsidR="002B79E0">
        <w:rPr>
          <w:color w:val="222222"/>
          <w:highlight w:val="white"/>
        </w:rPr>
        <w:t xml:space="preserve"> </w:t>
      </w:r>
      <w:hyperlink r:id="rId36" w:history="1">
        <w:r w:rsidR="002B79E0" w:rsidRPr="00F80C8C">
          <w:rPr>
            <w:rStyle w:val="Hyperlink"/>
          </w:rPr>
          <w:t>https://www.sciencedirect.com/science/article/pii/S0925753518318654</w:t>
        </w:r>
      </w:hyperlink>
      <w:r w:rsidR="002B79E0">
        <w:rPr>
          <w:color w:val="222222"/>
        </w:rPr>
        <w:t xml:space="preserve"> </w:t>
      </w:r>
    </w:p>
    <w:p w14:paraId="6CAD701B" w14:textId="378F5929" w:rsidR="00B30362" w:rsidRPr="00431536" w:rsidRDefault="00000000" w:rsidP="00431536">
      <w:pPr>
        <w:widowControl w:val="0"/>
        <w:spacing w:before="200"/>
        <w:rPr>
          <w:color w:val="222222"/>
          <w:highlight w:val="white"/>
        </w:rPr>
      </w:pPr>
      <w:r>
        <w:rPr>
          <w:color w:val="222222"/>
          <w:highlight w:val="white"/>
        </w:rPr>
        <w:t xml:space="preserve">Van </w:t>
      </w:r>
      <w:proofErr w:type="spellStart"/>
      <w:r>
        <w:rPr>
          <w:color w:val="222222"/>
          <w:highlight w:val="white"/>
        </w:rPr>
        <w:t>Greuning</w:t>
      </w:r>
      <w:proofErr w:type="spellEnd"/>
      <w:r>
        <w:rPr>
          <w:color w:val="222222"/>
          <w:highlight w:val="white"/>
        </w:rPr>
        <w:t xml:space="preserve">, H., &amp; </w:t>
      </w:r>
      <w:proofErr w:type="spellStart"/>
      <w:r>
        <w:rPr>
          <w:color w:val="222222"/>
          <w:highlight w:val="white"/>
        </w:rPr>
        <w:t>Bratanovic</w:t>
      </w:r>
      <w:proofErr w:type="spellEnd"/>
      <w:r>
        <w:rPr>
          <w:color w:val="222222"/>
          <w:highlight w:val="white"/>
        </w:rPr>
        <w:t xml:space="preserve">, S. B. (2020). </w:t>
      </w:r>
      <w:r>
        <w:rPr>
          <w:i/>
          <w:color w:val="222222"/>
          <w:highlight w:val="white"/>
        </w:rPr>
        <w:t>Analyzing banking risk: a framework for assessing corporate governance and risk management</w:t>
      </w:r>
      <w:r>
        <w:rPr>
          <w:color w:val="222222"/>
          <w:highlight w:val="white"/>
        </w:rPr>
        <w:t>. World Bank Publications.</w:t>
      </w:r>
      <w:r w:rsidR="002B79E0">
        <w:rPr>
          <w:color w:val="222222"/>
          <w:highlight w:val="white"/>
        </w:rPr>
        <w:t xml:space="preserve"> </w:t>
      </w:r>
      <w:hyperlink r:id="rId37" w:history="1">
        <w:r w:rsidR="002B79E0" w:rsidRPr="00F80C8C">
          <w:rPr>
            <w:rStyle w:val="Hyperlink"/>
          </w:rPr>
          <w:t>https://books.google.com/books?hl=en&amp;lr=&amp;id=PFPsDwAAQBAJ&amp;oi=fnd&amp;pg=PT11&amp;dq=Van+Greuning,+H.,+%26+Bratanovic,+S.+B.+(2020).+Analyzing+banking+risk:+a+framework+for+assessing+corporate+governance+and+risk+management.+World+Bank+Publications.&amp;ots=dAHcMIl7BF&amp;sig=TuG36q-_dTfB9u6o01AUuoAxxaE</w:t>
        </w:r>
      </w:hyperlink>
      <w:r w:rsidR="002B79E0">
        <w:rPr>
          <w:color w:val="222222"/>
        </w:rPr>
        <w:t xml:space="preserve"> </w:t>
      </w:r>
    </w:p>
    <w:sectPr w:rsidR="00B30362" w:rsidRPr="00431536" w:rsidSect="0035711F">
      <w:footerReference w:type="default" r:id="rId3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DD5C9" w14:textId="77777777" w:rsidR="0035711F" w:rsidRDefault="0035711F" w:rsidP="007542B6">
      <w:pPr>
        <w:spacing w:line="240" w:lineRule="auto"/>
      </w:pPr>
      <w:r>
        <w:separator/>
      </w:r>
    </w:p>
  </w:endnote>
  <w:endnote w:type="continuationSeparator" w:id="0">
    <w:p w14:paraId="171709CB" w14:textId="77777777" w:rsidR="0035711F" w:rsidRDefault="0035711F" w:rsidP="007542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886378"/>
      <w:docPartObj>
        <w:docPartGallery w:val="Page Numbers (Bottom of Page)"/>
        <w:docPartUnique/>
      </w:docPartObj>
    </w:sdtPr>
    <w:sdtEndPr>
      <w:rPr>
        <w:noProof/>
      </w:rPr>
    </w:sdtEndPr>
    <w:sdtContent>
      <w:p w14:paraId="3CB92F17" w14:textId="21C5E18E" w:rsidR="007542B6" w:rsidRDefault="007542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104D57" w14:textId="77777777" w:rsidR="007542B6" w:rsidRDefault="00754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03F29" w14:textId="77777777" w:rsidR="0035711F" w:rsidRDefault="0035711F" w:rsidP="007542B6">
      <w:pPr>
        <w:spacing w:line="240" w:lineRule="auto"/>
      </w:pPr>
      <w:r>
        <w:separator/>
      </w:r>
    </w:p>
  </w:footnote>
  <w:footnote w:type="continuationSeparator" w:id="0">
    <w:p w14:paraId="37785875" w14:textId="77777777" w:rsidR="0035711F" w:rsidRDefault="0035711F" w:rsidP="007542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96046"/>
    <w:multiLevelType w:val="multilevel"/>
    <w:tmpl w:val="5948B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864D57"/>
    <w:multiLevelType w:val="multilevel"/>
    <w:tmpl w:val="9746C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F1414D"/>
    <w:multiLevelType w:val="multilevel"/>
    <w:tmpl w:val="E9F05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B86A3F"/>
    <w:multiLevelType w:val="multilevel"/>
    <w:tmpl w:val="A4A28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7F653BC"/>
    <w:multiLevelType w:val="multilevel"/>
    <w:tmpl w:val="2BCEE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B55DF6"/>
    <w:multiLevelType w:val="multilevel"/>
    <w:tmpl w:val="EA544E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F74CD4"/>
    <w:multiLevelType w:val="multilevel"/>
    <w:tmpl w:val="5538A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77C1DEF"/>
    <w:multiLevelType w:val="multilevel"/>
    <w:tmpl w:val="206C3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7A6246"/>
    <w:multiLevelType w:val="multilevel"/>
    <w:tmpl w:val="A8788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367D61"/>
    <w:multiLevelType w:val="multilevel"/>
    <w:tmpl w:val="79C4E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9A78BF"/>
    <w:multiLevelType w:val="multilevel"/>
    <w:tmpl w:val="2BDAC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9A243C4"/>
    <w:multiLevelType w:val="multilevel"/>
    <w:tmpl w:val="DACA1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8436293"/>
    <w:multiLevelType w:val="multilevel"/>
    <w:tmpl w:val="DB76C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C2A3984"/>
    <w:multiLevelType w:val="multilevel"/>
    <w:tmpl w:val="8A648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5455204">
    <w:abstractNumId w:val="4"/>
  </w:num>
  <w:num w:numId="2" w16cid:durableId="887692270">
    <w:abstractNumId w:val="1"/>
  </w:num>
  <w:num w:numId="3" w16cid:durableId="392967092">
    <w:abstractNumId w:val="7"/>
  </w:num>
  <w:num w:numId="4" w16cid:durableId="861941707">
    <w:abstractNumId w:val="8"/>
  </w:num>
  <w:num w:numId="5" w16cid:durableId="1249658842">
    <w:abstractNumId w:val="0"/>
  </w:num>
  <w:num w:numId="6" w16cid:durableId="814954643">
    <w:abstractNumId w:val="5"/>
  </w:num>
  <w:num w:numId="7" w16cid:durableId="601187132">
    <w:abstractNumId w:val="9"/>
  </w:num>
  <w:num w:numId="8" w16cid:durableId="1508597326">
    <w:abstractNumId w:val="6"/>
  </w:num>
  <w:num w:numId="9" w16cid:durableId="2041197613">
    <w:abstractNumId w:val="2"/>
  </w:num>
  <w:num w:numId="10" w16cid:durableId="274019178">
    <w:abstractNumId w:val="10"/>
  </w:num>
  <w:num w:numId="11" w16cid:durableId="879627987">
    <w:abstractNumId w:val="13"/>
  </w:num>
  <w:num w:numId="12" w16cid:durableId="1311328413">
    <w:abstractNumId w:val="11"/>
  </w:num>
  <w:num w:numId="13" w16cid:durableId="1040209842">
    <w:abstractNumId w:val="12"/>
  </w:num>
  <w:num w:numId="14" w16cid:durableId="299960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362"/>
    <w:rsid w:val="00010A5F"/>
    <w:rsid w:val="002B79E0"/>
    <w:rsid w:val="002D7EEA"/>
    <w:rsid w:val="0035711F"/>
    <w:rsid w:val="00431536"/>
    <w:rsid w:val="00457598"/>
    <w:rsid w:val="0051453C"/>
    <w:rsid w:val="00703BD0"/>
    <w:rsid w:val="007542B6"/>
    <w:rsid w:val="007E3DB6"/>
    <w:rsid w:val="00837B23"/>
    <w:rsid w:val="00A961EC"/>
    <w:rsid w:val="00B30362"/>
    <w:rsid w:val="00B445D7"/>
    <w:rsid w:val="00B646C9"/>
    <w:rsid w:val="00C57867"/>
    <w:rsid w:val="00D02D81"/>
    <w:rsid w:val="00E465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A2A5C"/>
  <w15:docId w15:val="{D35DCFB3-5171-4D7A-96CE-0995E0214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212121"/>
    </w:tcPr>
  </w:style>
  <w:style w:type="paragraph" w:styleId="Header">
    <w:name w:val="header"/>
    <w:basedOn w:val="Normal"/>
    <w:link w:val="HeaderChar"/>
    <w:uiPriority w:val="99"/>
    <w:unhideWhenUsed/>
    <w:rsid w:val="007542B6"/>
    <w:pPr>
      <w:tabs>
        <w:tab w:val="center" w:pos="4513"/>
        <w:tab w:val="right" w:pos="9026"/>
      </w:tabs>
      <w:spacing w:line="240" w:lineRule="auto"/>
    </w:pPr>
  </w:style>
  <w:style w:type="character" w:customStyle="1" w:styleId="HeaderChar">
    <w:name w:val="Header Char"/>
    <w:basedOn w:val="DefaultParagraphFont"/>
    <w:link w:val="Header"/>
    <w:uiPriority w:val="99"/>
    <w:rsid w:val="007542B6"/>
  </w:style>
  <w:style w:type="paragraph" w:styleId="Footer">
    <w:name w:val="footer"/>
    <w:basedOn w:val="Normal"/>
    <w:link w:val="FooterChar"/>
    <w:uiPriority w:val="99"/>
    <w:unhideWhenUsed/>
    <w:rsid w:val="007542B6"/>
    <w:pPr>
      <w:tabs>
        <w:tab w:val="center" w:pos="4513"/>
        <w:tab w:val="right" w:pos="9026"/>
      </w:tabs>
      <w:spacing w:line="240" w:lineRule="auto"/>
    </w:pPr>
  </w:style>
  <w:style w:type="character" w:customStyle="1" w:styleId="FooterChar">
    <w:name w:val="Footer Char"/>
    <w:basedOn w:val="DefaultParagraphFont"/>
    <w:link w:val="Footer"/>
    <w:uiPriority w:val="99"/>
    <w:rsid w:val="007542B6"/>
  </w:style>
  <w:style w:type="character" w:styleId="Hyperlink">
    <w:name w:val="Hyperlink"/>
    <w:basedOn w:val="DefaultParagraphFont"/>
    <w:uiPriority w:val="99"/>
    <w:unhideWhenUsed/>
    <w:rsid w:val="002B79E0"/>
    <w:rPr>
      <w:color w:val="0000FF" w:themeColor="hyperlink"/>
      <w:u w:val="single"/>
    </w:rPr>
  </w:style>
  <w:style w:type="character" w:styleId="UnresolvedMention">
    <w:name w:val="Unresolved Mention"/>
    <w:basedOn w:val="DefaultParagraphFont"/>
    <w:uiPriority w:val="99"/>
    <w:semiHidden/>
    <w:unhideWhenUsed/>
    <w:rsid w:val="002B79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p.com/en/global/bp-trading-and-shipping/legal-notice.html" TargetMode="External"/><Relationship Id="rId18" Type="http://schemas.openxmlformats.org/officeDocument/2006/relationships/hyperlink" Target="https://www.bp.com/en/global/corporate/investors/results-reporting-and-presentations/annual-report.html" TargetMode="External"/><Relationship Id="rId26" Type="http://schemas.openxmlformats.org/officeDocument/2006/relationships/hyperlink" Target="https://www.ingentaconnect.com/content/hsp/mih/2021/00000005/00000004/art00002"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36937/janset.2021.002.004" TargetMode="External"/><Relationship Id="rId34" Type="http://schemas.openxmlformats.org/officeDocument/2006/relationships/hyperlink" Target="https://www.emerald.com/insight/content/doi/10.1108/IJCHM-07-2022-0903/full/html" TargetMode="External"/><Relationship Id="rId7" Type="http://schemas.openxmlformats.org/officeDocument/2006/relationships/image" Target="media/image1.png"/><Relationship Id="rId12" Type="http://schemas.openxmlformats.org/officeDocument/2006/relationships/hyperlink" Target="https://mgmt-cs.github.io/my-portfolio/img/MBA_LMS_Bhatia_Gaurav.pdf" TargetMode="External"/><Relationship Id="rId17" Type="http://schemas.openxmlformats.org/officeDocument/2006/relationships/hyperlink" Target="https://www.bp.com/en/global/corporate/news-and-insights/press-releases/bp-takes-leap-forward-in-seismic-imaging-technology.html" TargetMode="External"/><Relationship Id="rId25" Type="http://schemas.openxmlformats.org/officeDocument/2006/relationships/hyperlink" Target="https://jomeino.com/sites/default/files/paper_attachment/Change%20Management%20Project%20in%20a%20Mining%20Company.pdf" TargetMode="External"/><Relationship Id="rId33" Type="http://schemas.openxmlformats.org/officeDocument/2006/relationships/hyperlink" Target="https://books.google.com/books?hl=en&amp;lr=&amp;id=EHnaEAAAQBAJ&amp;oi=fnd&amp;pg=PT268&amp;dq=Reeves,+K.,+Irons-Mclean,+R.,+%26+Need,+I.+(2023).+THE+ROLE+OF+LEADERSHIP+AND+ENABLING+CHANGE-SPECIFIC+TO+THE+CLUSTER+AND+ENERGY+TRANSITION.+The+Handbook+of+Climate+Change+Leadership+in+Organisations:+Developing+Leadership+for+the+Age+of+Sustainability.&amp;ots=UuXMTbcj8W&amp;sig=K37zhQIstX4TANg8UuZiTUcko9Y"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s0378-777x(81)80053-4" TargetMode="External"/><Relationship Id="rId20" Type="http://schemas.openxmlformats.org/officeDocument/2006/relationships/hyperlink" Target="https://books.google.com/books?hl=en&amp;lr=&amp;id=GkAyEAAAQBAJ&amp;oi=fnd&amp;pg=PP1&amp;dq=Casini,+M.+(2021).+Construction+4.0:+Advanced+Technology,+Tools+and+Materials+for+the+Digital+Transformation+of+the+Construction+Industry.+Woodhead+Publishing.&amp;ots=wWG_HROOtL&amp;sig=BNv0PLN9e4Awm8tb0IHn1nMLoD8" TargetMode="External"/><Relationship Id="rId29" Type="http://schemas.openxmlformats.org/officeDocument/2006/relationships/hyperlink" Target="https://www.researchgate.net/profile/Carol-Mutch/publication/348924470_Crisis_leadership_Evaluating_our_leadership_approaches_in_the_time_of_COVID-19/links/60190ccca6fdcc071bac4e90/Crisis-leadership-Evaluating-our-leadership-approaches-in-the-time-of-COVID-1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jams-bbp.net/wp-content/uploads/2022/12/1-IJAMS-NOVEMBER-10-20.pdf" TargetMode="External"/><Relationship Id="rId24" Type="http://schemas.openxmlformats.org/officeDocument/2006/relationships/hyperlink" Target="https://doi.org/10.1177/0002764211409195" TargetMode="External"/><Relationship Id="rId32" Type="http://schemas.openxmlformats.org/officeDocument/2006/relationships/hyperlink" Target="https://www.sciencedirect.com/science/article/pii/S2213138821008328" TargetMode="External"/><Relationship Id="rId37" Type="http://schemas.openxmlformats.org/officeDocument/2006/relationships/hyperlink" Target="https://books.google.com/books?hl=en&amp;lr=&amp;id=PFPsDwAAQBAJ&amp;oi=fnd&amp;pg=PT11&amp;dq=Van+Greuning,+H.,+%26+Bratanovic,+S.+B.+(2020).+Analyzing+banking+risk:+a+framework+for+assessing+corporate+governance+and+risk+management.+World+Bank+Publications.&amp;ots=dAHcMIl7BF&amp;sig=TuG36q-_dTfB9u6o01AUuoAxxaE"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p.com/en/global/corporate/news-and-insights/press-releases/bp-technology-outlook-2018.html" TargetMode="External"/><Relationship Id="rId23" Type="http://schemas.openxmlformats.org/officeDocument/2006/relationships/hyperlink" Target="https://www.atlantis-press.com/article/125983771.pdf" TargetMode="External"/><Relationship Id="rId28" Type="http://schemas.openxmlformats.org/officeDocument/2006/relationships/hyperlink" Target="https://www.elgaronline.com/edcollchap/book/9781800379091/book-part-9781800379091-28.xml" TargetMode="External"/><Relationship Id="rId36" Type="http://schemas.openxmlformats.org/officeDocument/2006/relationships/hyperlink" Target="https://www.sciencedirect.com/science/article/pii/S0925753518318654" TargetMode="External"/><Relationship Id="rId10" Type="http://schemas.openxmlformats.org/officeDocument/2006/relationships/hyperlink" Target="https://www.bbc.com/news/business-68206788" TargetMode="External"/><Relationship Id="rId19" Type="http://schemas.openxmlformats.org/officeDocument/2006/relationships/hyperlink" Target="https://www.sciencedirect.com/science/article/pii/S2214629620302917" TargetMode="External"/><Relationship Id="rId31" Type="http://schemas.openxmlformats.org/officeDocument/2006/relationships/hyperlink" Target="https://www.proquest.com/openview/975318e7737a54623833e496aabd63f9/1?pq-origsite=gscholar&amp;cbl=18750" TargetMode="External"/><Relationship Id="rId4" Type="http://schemas.openxmlformats.org/officeDocument/2006/relationships/webSettings" Target="webSettings.xml"/><Relationship Id="rId9" Type="http://schemas.openxmlformats.org/officeDocument/2006/relationships/hyperlink" Target="http://hdl.handle.net/123456789/4904" TargetMode="External"/><Relationship Id="rId14" Type="http://schemas.openxmlformats.org/officeDocument/2006/relationships/hyperlink" Target="https://www.bp.com/en/global/corporate/who-we-are/our-purpose.html" TargetMode="External"/><Relationship Id="rId22" Type="http://schemas.openxmlformats.org/officeDocument/2006/relationships/hyperlink" Target="https://www.embopress.org/doi/abs/10.15252/embr.202154000" TargetMode="External"/><Relationship Id="rId27" Type="http://schemas.openxmlformats.org/officeDocument/2006/relationships/hyperlink" Target="https://www.macrotrends.net/stocks/charts/BP/bp/stock-price-history" TargetMode="External"/><Relationship Id="rId30" Type="http://schemas.openxmlformats.org/officeDocument/2006/relationships/hyperlink" Target="https://search.proquest.com/openview/a0558180c209d9f3fd0ffe1d43b2b6be/1?pq-origsite=gscholar&amp;cbl=18750&amp;diss=y" TargetMode="External"/><Relationship Id="rId35" Type="http://schemas.openxmlformats.org/officeDocument/2006/relationships/hyperlink" Target="https://www.sciencedirect.com/science/article/pii/S13640321193077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6524</Words>
  <Characters>37189</Characters>
  <Application>Microsoft Office Word</Application>
  <DocSecurity>0</DocSecurity>
  <Lines>309</Lines>
  <Paragraphs>87</Paragraphs>
  <ScaleCrop>false</ScaleCrop>
  <Company/>
  <LinksUpToDate>false</LinksUpToDate>
  <CharactersWithSpaces>43626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3</cp:revision>
  <dcterms:created xsi:type="dcterms:W3CDTF">2024-03-13T15:47:00Z</dcterms:created>
  <dcterms:modified xsi:type="dcterms:W3CDTF">2024-04-28T18:24:00Z</dcterms:modified>
</cp:coreProperties>
</file>