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235F5" w14:textId="468722F8" w:rsidR="008F42DF" w:rsidRPr="008F42DF" w:rsidRDefault="008F42DF" w:rsidP="008F42DF">
      <w:pPr>
        <w:jc w:val="center"/>
      </w:pPr>
      <w:bookmarkStart w:id="0" w:name="_Hlk237302599"/>
      <w:bookmarkEnd w:id="0"/>
      <w:r>
        <w:rPr>
          <w:rFonts w:ascii="Times New Roman" w:hAnsi="Times New Roman"/>
          <w:noProof/>
        </w:rPr>
        <w:drawing>
          <wp:inline distT="0" distB="0" distL="0" distR="0" wp14:anchorId="55326DEE" wp14:editId="0AB038E1">
            <wp:extent cx="3381378" cy="1352553"/>
            <wp:effectExtent l="0" t="0" r="9522" b="0"/>
            <wp:docPr id="189656480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381378" cy="1352553"/>
                    </a:xfrm>
                    <a:prstGeom prst="rect">
                      <a:avLst/>
                    </a:prstGeom>
                    <a:noFill/>
                    <a:ln>
                      <a:noFill/>
                      <a:prstDash/>
                    </a:ln>
                  </pic:spPr>
                </pic:pic>
              </a:graphicData>
            </a:graphic>
          </wp:inline>
        </w:drawing>
      </w:r>
    </w:p>
    <w:p w14:paraId="719CD6DC" w14:textId="77777777" w:rsidR="008F42DF" w:rsidRDefault="008F42DF" w:rsidP="008F42DF">
      <w:pPr>
        <w:jc w:val="center"/>
        <w:rPr>
          <w:rFonts w:ascii="Times New Roman" w:hAnsi="Times New Roman"/>
        </w:rPr>
      </w:pPr>
    </w:p>
    <w:p w14:paraId="28EBB4A1" w14:textId="77777777" w:rsidR="008F42DF" w:rsidRDefault="008F42DF" w:rsidP="008F42DF">
      <w:pPr>
        <w:jc w:val="center"/>
        <w:rPr>
          <w:rFonts w:ascii="Times New Roman" w:hAnsi="Times New Roman"/>
          <w:b/>
          <w:bCs/>
          <w:sz w:val="28"/>
          <w:szCs w:val="28"/>
        </w:rPr>
      </w:pPr>
      <w:r>
        <w:rPr>
          <w:rFonts w:ascii="Times New Roman" w:hAnsi="Times New Roman"/>
          <w:b/>
          <w:bCs/>
          <w:sz w:val="28"/>
          <w:szCs w:val="28"/>
        </w:rPr>
        <w:t>Student Name: Boubacar Sidiki Ouedraogo</w:t>
      </w:r>
    </w:p>
    <w:p w14:paraId="757D3DF5" w14:textId="77777777" w:rsidR="008F42DF" w:rsidRDefault="008F42DF" w:rsidP="008F42DF">
      <w:pPr>
        <w:jc w:val="center"/>
        <w:rPr>
          <w:rFonts w:ascii="Times New Roman" w:hAnsi="Times New Roman"/>
          <w:b/>
          <w:bCs/>
          <w:sz w:val="28"/>
          <w:szCs w:val="28"/>
        </w:rPr>
      </w:pPr>
    </w:p>
    <w:p w14:paraId="11C0F037" w14:textId="495568F2" w:rsidR="008F42DF" w:rsidRPr="008F42DF" w:rsidRDefault="008F42DF" w:rsidP="008F42DF">
      <w:pPr>
        <w:jc w:val="center"/>
        <w:rPr>
          <w:rFonts w:ascii="Times New Roman" w:hAnsi="Times New Roman"/>
          <w:b/>
          <w:bCs/>
          <w:sz w:val="28"/>
          <w:szCs w:val="28"/>
        </w:rPr>
      </w:pPr>
      <w:r>
        <w:rPr>
          <w:rFonts w:ascii="Times New Roman" w:hAnsi="Times New Roman"/>
          <w:b/>
          <w:bCs/>
          <w:sz w:val="28"/>
          <w:szCs w:val="28"/>
        </w:rPr>
        <w:t>Student ID: 2543702</w:t>
      </w:r>
    </w:p>
    <w:p w14:paraId="31CC1B63" w14:textId="77777777" w:rsidR="008F42DF" w:rsidRDefault="008F42DF" w:rsidP="008F42DF">
      <w:pPr>
        <w:jc w:val="center"/>
        <w:rPr>
          <w:rFonts w:ascii="Times New Roman" w:hAnsi="Times New Roman"/>
          <w:sz w:val="28"/>
          <w:szCs w:val="28"/>
        </w:rPr>
      </w:pPr>
    </w:p>
    <w:p w14:paraId="7E4381A6" w14:textId="4E9A7782" w:rsidR="008F42DF" w:rsidRDefault="008F42DF" w:rsidP="008F42DF">
      <w:pPr>
        <w:jc w:val="center"/>
        <w:rPr>
          <w:rFonts w:ascii="Times New Roman" w:hAnsi="Times New Roman"/>
          <w:b/>
          <w:bCs/>
          <w:sz w:val="28"/>
          <w:szCs w:val="28"/>
        </w:rPr>
      </w:pPr>
      <w:r>
        <w:rPr>
          <w:rFonts w:ascii="Times New Roman" w:hAnsi="Times New Roman"/>
          <w:b/>
          <w:bCs/>
          <w:sz w:val="28"/>
          <w:szCs w:val="28"/>
        </w:rPr>
        <w:t xml:space="preserve">Module Name: </w:t>
      </w:r>
      <w:r w:rsidRPr="008F42DF">
        <w:rPr>
          <w:rFonts w:ascii="Times New Roman" w:hAnsi="Times New Roman"/>
          <w:b/>
          <w:bCs/>
          <w:sz w:val="28"/>
          <w:szCs w:val="28"/>
        </w:rPr>
        <w:t>Financial Management</w:t>
      </w:r>
      <w:r>
        <w:rPr>
          <w:rFonts w:ascii="Times New Roman" w:hAnsi="Times New Roman"/>
          <w:b/>
          <w:bCs/>
          <w:sz w:val="28"/>
          <w:szCs w:val="28"/>
        </w:rPr>
        <w:t xml:space="preserve"> </w:t>
      </w:r>
    </w:p>
    <w:p w14:paraId="7ED1B197" w14:textId="77777777" w:rsidR="008F42DF" w:rsidRDefault="008F42DF" w:rsidP="008F42DF">
      <w:pPr>
        <w:jc w:val="center"/>
        <w:rPr>
          <w:rFonts w:ascii="Times New Roman" w:hAnsi="Times New Roman"/>
          <w:b/>
          <w:bCs/>
          <w:sz w:val="28"/>
          <w:szCs w:val="28"/>
        </w:rPr>
      </w:pPr>
    </w:p>
    <w:p w14:paraId="7E6FFA0C" w14:textId="2771896D" w:rsidR="008F42DF" w:rsidRDefault="008F42DF" w:rsidP="008F42DF">
      <w:pPr>
        <w:jc w:val="center"/>
        <w:rPr>
          <w:rFonts w:ascii="Times New Roman" w:hAnsi="Times New Roman"/>
          <w:b/>
          <w:bCs/>
          <w:sz w:val="28"/>
          <w:szCs w:val="28"/>
        </w:rPr>
      </w:pPr>
      <w:r>
        <w:rPr>
          <w:rFonts w:ascii="Times New Roman" w:hAnsi="Times New Roman"/>
          <w:b/>
          <w:bCs/>
          <w:sz w:val="28"/>
          <w:szCs w:val="28"/>
        </w:rPr>
        <w:t xml:space="preserve">Module Code: </w:t>
      </w:r>
      <w:r w:rsidRPr="008F42DF">
        <w:rPr>
          <w:rFonts w:ascii="Times New Roman" w:hAnsi="Times New Roman"/>
          <w:b/>
          <w:bCs/>
          <w:sz w:val="28"/>
          <w:szCs w:val="28"/>
        </w:rPr>
        <w:t>LCMB7002</w:t>
      </w:r>
    </w:p>
    <w:p w14:paraId="486EBBB7" w14:textId="77777777" w:rsidR="008F42DF" w:rsidRDefault="008F42DF" w:rsidP="008F42DF">
      <w:pPr>
        <w:jc w:val="center"/>
        <w:rPr>
          <w:rFonts w:ascii="Times New Roman" w:hAnsi="Times New Roman"/>
          <w:b/>
          <w:bCs/>
          <w:sz w:val="28"/>
          <w:szCs w:val="28"/>
        </w:rPr>
      </w:pPr>
    </w:p>
    <w:p w14:paraId="28D8A070" w14:textId="77777777" w:rsidR="008F42DF" w:rsidRDefault="008F42DF" w:rsidP="008F42DF">
      <w:pPr>
        <w:jc w:val="center"/>
        <w:rPr>
          <w:rFonts w:ascii="Times New Roman" w:hAnsi="Times New Roman"/>
          <w:b/>
          <w:bCs/>
          <w:sz w:val="28"/>
          <w:szCs w:val="28"/>
        </w:rPr>
      </w:pPr>
    </w:p>
    <w:p w14:paraId="198FA8C1" w14:textId="3EFB6AAF" w:rsidR="008F42DF" w:rsidRDefault="008F42DF" w:rsidP="008F42DF">
      <w:pPr>
        <w:jc w:val="center"/>
        <w:rPr>
          <w:rFonts w:ascii="Times New Roman" w:hAnsi="Times New Roman"/>
          <w:b/>
          <w:bCs/>
          <w:sz w:val="28"/>
          <w:szCs w:val="28"/>
        </w:rPr>
      </w:pPr>
      <w:r>
        <w:rPr>
          <w:rFonts w:ascii="Times New Roman" w:hAnsi="Times New Roman"/>
          <w:b/>
          <w:bCs/>
          <w:sz w:val="28"/>
          <w:szCs w:val="28"/>
        </w:rPr>
        <w:t xml:space="preserve">Lecturer’s Name: </w:t>
      </w:r>
      <w:r w:rsidRPr="008F42DF">
        <w:rPr>
          <w:rFonts w:ascii="Times New Roman" w:hAnsi="Times New Roman"/>
          <w:b/>
          <w:bCs/>
          <w:sz w:val="28"/>
          <w:szCs w:val="28"/>
        </w:rPr>
        <w:t>Md Kalam</w:t>
      </w:r>
    </w:p>
    <w:p w14:paraId="3749B334" w14:textId="77777777" w:rsidR="008F42DF" w:rsidRDefault="008F42DF" w:rsidP="008F42DF">
      <w:pPr>
        <w:rPr>
          <w:rFonts w:ascii="Times New Roman" w:hAnsi="Times New Roman"/>
          <w:b/>
          <w:bCs/>
          <w:sz w:val="28"/>
          <w:szCs w:val="28"/>
        </w:rPr>
      </w:pPr>
    </w:p>
    <w:p w14:paraId="216CA97C" w14:textId="77777777" w:rsidR="008F42DF" w:rsidRDefault="008F42DF" w:rsidP="008F42DF">
      <w:pPr>
        <w:rPr>
          <w:rFonts w:ascii="Times New Roman" w:hAnsi="Times New Roman"/>
          <w:b/>
          <w:bCs/>
          <w:sz w:val="28"/>
          <w:szCs w:val="28"/>
        </w:rPr>
      </w:pPr>
    </w:p>
    <w:p w14:paraId="60AEBA7C" w14:textId="77777777" w:rsidR="008F42DF" w:rsidRDefault="008F42DF" w:rsidP="008F42DF">
      <w:pPr>
        <w:jc w:val="center"/>
        <w:rPr>
          <w:rFonts w:ascii="Times New Roman" w:hAnsi="Times New Roman"/>
          <w:b/>
          <w:bCs/>
          <w:sz w:val="28"/>
          <w:szCs w:val="28"/>
        </w:rPr>
      </w:pPr>
      <w:r>
        <w:rPr>
          <w:rFonts w:ascii="Times New Roman" w:hAnsi="Times New Roman"/>
          <w:b/>
          <w:bCs/>
          <w:sz w:val="28"/>
          <w:szCs w:val="28"/>
        </w:rPr>
        <w:t xml:space="preserve">Work Count: </w:t>
      </w:r>
      <w:r w:rsidRPr="008F42DF">
        <w:rPr>
          <w:rFonts w:ascii="Times New Roman" w:hAnsi="Times New Roman"/>
          <w:b/>
          <w:bCs/>
          <w:sz w:val="28"/>
          <w:szCs w:val="28"/>
          <w:highlight w:val="yellow"/>
        </w:rPr>
        <w:t>2626 words</w:t>
      </w:r>
    </w:p>
    <w:p w14:paraId="2A3508FB" w14:textId="77777777" w:rsidR="008F42DF" w:rsidRDefault="008F42DF" w:rsidP="008F42DF">
      <w:pPr>
        <w:jc w:val="center"/>
        <w:rPr>
          <w:rFonts w:ascii="Times New Roman" w:hAnsi="Times New Roman"/>
          <w:b/>
          <w:bCs/>
          <w:sz w:val="28"/>
          <w:szCs w:val="28"/>
        </w:rPr>
      </w:pPr>
    </w:p>
    <w:p w14:paraId="4FA6482B" w14:textId="77777777" w:rsidR="008F42DF" w:rsidRDefault="008F42DF" w:rsidP="008F42DF">
      <w:pPr>
        <w:jc w:val="center"/>
        <w:rPr>
          <w:rFonts w:ascii="Times New Roman" w:hAnsi="Times New Roman"/>
          <w:b/>
          <w:bCs/>
          <w:sz w:val="28"/>
          <w:szCs w:val="28"/>
        </w:rPr>
      </w:pPr>
      <w:r>
        <w:rPr>
          <w:rFonts w:ascii="Times New Roman" w:hAnsi="Times New Roman"/>
          <w:b/>
          <w:bCs/>
          <w:sz w:val="28"/>
          <w:szCs w:val="28"/>
        </w:rPr>
        <w:t xml:space="preserve">Term 1 </w:t>
      </w:r>
    </w:p>
    <w:p w14:paraId="392B824C" w14:textId="77777777" w:rsidR="008F42DF" w:rsidRDefault="008F42DF" w:rsidP="008F42DF"/>
    <w:p w14:paraId="2CC5C794" w14:textId="0EB41A90" w:rsidR="008F42DF" w:rsidRPr="008F42DF" w:rsidRDefault="008F42DF" w:rsidP="008F42DF">
      <w:pPr>
        <w:spacing w:line="360" w:lineRule="auto"/>
        <w:jc w:val="center"/>
        <w:rPr>
          <w:b/>
          <w:bCs/>
          <w:sz w:val="24"/>
          <w:szCs w:val="28"/>
          <w:lang w:val="en-GB"/>
        </w:rPr>
      </w:pPr>
      <w:r w:rsidRPr="008F42DF">
        <w:rPr>
          <w:b/>
          <w:bCs/>
          <w:sz w:val="24"/>
          <w:szCs w:val="28"/>
          <w:lang w:val="en-GB"/>
        </w:rPr>
        <w:t>ASSESSMENT COMPONENT: FINANCIAL PERFORMANCE AND MANAGEMENT</w:t>
      </w:r>
    </w:p>
    <w:p w14:paraId="3A426331" w14:textId="77777777" w:rsidR="0013798C" w:rsidRPr="00C236AD" w:rsidRDefault="00000000" w:rsidP="00C236AD">
      <w:pPr>
        <w:spacing w:after="0" w:line="360" w:lineRule="auto"/>
        <w:jc w:val="both"/>
        <w:rPr>
          <w:rFonts w:cs="Arial"/>
          <w:b/>
          <w:bCs/>
          <w:sz w:val="24"/>
          <w:szCs w:val="24"/>
        </w:rPr>
      </w:pPr>
      <w:r w:rsidRPr="00C236AD">
        <w:rPr>
          <w:rFonts w:cs="Arial"/>
          <w:sz w:val="24"/>
          <w:szCs w:val="24"/>
        </w:rPr>
        <w:lastRenderedPageBreak/>
        <w:t>LIST OF FIGURES AND GRAPHS</w:t>
      </w:r>
    </w:p>
    <w:p w14:paraId="1C687800" w14:textId="77777777" w:rsidR="00861346" w:rsidRDefault="00861346" w:rsidP="00861346">
      <w:pPr>
        <w:spacing w:after="0" w:line="360" w:lineRule="auto"/>
        <w:jc w:val="both"/>
        <w:rPr>
          <w:rFonts w:cs="Arial"/>
          <w:sz w:val="24"/>
          <w:szCs w:val="24"/>
        </w:rPr>
      </w:pPr>
    </w:p>
    <w:p w14:paraId="47D839E6" w14:textId="77777777" w:rsidR="00861346" w:rsidRDefault="00861346" w:rsidP="00861346">
      <w:pPr>
        <w:spacing w:after="0" w:line="360" w:lineRule="auto"/>
        <w:jc w:val="both"/>
        <w:rPr>
          <w:rFonts w:cs="Arial"/>
          <w:sz w:val="24"/>
          <w:szCs w:val="24"/>
        </w:rPr>
      </w:pPr>
    </w:p>
    <w:p w14:paraId="11B0B370" w14:textId="77777777" w:rsidR="00861346" w:rsidRDefault="00861346" w:rsidP="00861346">
      <w:pPr>
        <w:spacing w:after="0" w:line="360" w:lineRule="auto"/>
        <w:jc w:val="both"/>
        <w:rPr>
          <w:rFonts w:cs="Arial"/>
          <w:sz w:val="24"/>
          <w:szCs w:val="24"/>
        </w:rPr>
      </w:pPr>
    </w:p>
    <w:p w14:paraId="3B0BE8CF" w14:textId="77777777" w:rsidR="00861346" w:rsidRDefault="00861346" w:rsidP="00861346">
      <w:pPr>
        <w:spacing w:after="0" w:line="360" w:lineRule="auto"/>
        <w:jc w:val="both"/>
        <w:rPr>
          <w:rFonts w:cs="Arial"/>
          <w:sz w:val="24"/>
          <w:szCs w:val="24"/>
        </w:rPr>
      </w:pPr>
    </w:p>
    <w:p w14:paraId="3A498CDC" w14:textId="77777777" w:rsidR="00861346" w:rsidRDefault="00861346" w:rsidP="00861346">
      <w:pPr>
        <w:spacing w:after="0" w:line="360" w:lineRule="auto"/>
        <w:jc w:val="both"/>
        <w:rPr>
          <w:rFonts w:cs="Arial"/>
          <w:sz w:val="24"/>
          <w:szCs w:val="24"/>
        </w:rPr>
      </w:pPr>
    </w:p>
    <w:p w14:paraId="4A6EB4D7" w14:textId="77777777" w:rsidR="00861346" w:rsidRDefault="00861346" w:rsidP="00861346">
      <w:pPr>
        <w:spacing w:after="0" w:line="360" w:lineRule="auto"/>
        <w:jc w:val="both"/>
        <w:rPr>
          <w:rFonts w:cs="Arial"/>
          <w:sz w:val="24"/>
          <w:szCs w:val="24"/>
        </w:rPr>
      </w:pPr>
    </w:p>
    <w:p w14:paraId="2518FD3D" w14:textId="77777777" w:rsidR="00861346" w:rsidRDefault="00861346" w:rsidP="00861346">
      <w:pPr>
        <w:spacing w:after="0" w:line="360" w:lineRule="auto"/>
        <w:jc w:val="both"/>
        <w:rPr>
          <w:rFonts w:cs="Arial"/>
          <w:sz w:val="24"/>
          <w:szCs w:val="24"/>
        </w:rPr>
      </w:pPr>
    </w:p>
    <w:p w14:paraId="0BC40113" w14:textId="77777777" w:rsidR="00861346" w:rsidRDefault="00861346" w:rsidP="00861346">
      <w:pPr>
        <w:spacing w:after="0" w:line="360" w:lineRule="auto"/>
        <w:jc w:val="both"/>
        <w:rPr>
          <w:rFonts w:cs="Arial"/>
          <w:sz w:val="24"/>
          <w:szCs w:val="24"/>
        </w:rPr>
      </w:pPr>
    </w:p>
    <w:p w14:paraId="6D1A17B4" w14:textId="77777777" w:rsidR="00861346" w:rsidRDefault="00861346" w:rsidP="00861346">
      <w:pPr>
        <w:spacing w:after="0" w:line="360" w:lineRule="auto"/>
        <w:jc w:val="both"/>
        <w:rPr>
          <w:rFonts w:cs="Arial"/>
          <w:sz w:val="24"/>
          <w:szCs w:val="24"/>
        </w:rPr>
      </w:pPr>
    </w:p>
    <w:p w14:paraId="7BB1AD00" w14:textId="77777777" w:rsidR="00861346" w:rsidRDefault="00861346" w:rsidP="00861346">
      <w:pPr>
        <w:spacing w:after="0" w:line="360" w:lineRule="auto"/>
        <w:jc w:val="both"/>
        <w:rPr>
          <w:rFonts w:cs="Arial"/>
          <w:sz w:val="24"/>
          <w:szCs w:val="24"/>
        </w:rPr>
      </w:pPr>
    </w:p>
    <w:p w14:paraId="38193378" w14:textId="77777777" w:rsidR="00861346" w:rsidRDefault="00861346" w:rsidP="00861346">
      <w:pPr>
        <w:spacing w:after="0" w:line="360" w:lineRule="auto"/>
        <w:jc w:val="both"/>
        <w:rPr>
          <w:rFonts w:cs="Arial"/>
          <w:sz w:val="24"/>
          <w:szCs w:val="24"/>
        </w:rPr>
      </w:pPr>
    </w:p>
    <w:p w14:paraId="38DB287A" w14:textId="77777777" w:rsidR="00861346" w:rsidRDefault="00861346" w:rsidP="00861346">
      <w:pPr>
        <w:spacing w:after="0" w:line="360" w:lineRule="auto"/>
        <w:jc w:val="both"/>
        <w:rPr>
          <w:rFonts w:cs="Arial"/>
          <w:sz w:val="24"/>
          <w:szCs w:val="24"/>
        </w:rPr>
      </w:pPr>
    </w:p>
    <w:p w14:paraId="5ACCB24D" w14:textId="77777777" w:rsidR="00861346" w:rsidRDefault="00861346" w:rsidP="00861346">
      <w:pPr>
        <w:spacing w:after="0" w:line="360" w:lineRule="auto"/>
        <w:jc w:val="both"/>
        <w:rPr>
          <w:rFonts w:cs="Arial"/>
          <w:sz w:val="24"/>
          <w:szCs w:val="24"/>
        </w:rPr>
      </w:pPr>
    </w:p>
    <w:p w14:paraId="4BF53E0D" w14:textId="77777777" w:rsidR="00861346" w:rsidRDefault="00861346" w:rsidP="00861346">
      <w:pPr>
        <w:spacing w:after="0" w:line="360" w:lineRule="auto"/>
        <w:jc w:val="both"/>
        <w:rPr>
          <w:rFonts w:cs="Arial"/>
          <w:sz w:val="24"/>
          <w:szCs w:val="24"/>
        </w:rPr>
      </w:pPr>
    </w:p>
    <w:p w14:paraId="158E7674" w14:textId="77777777" w:rsidR="00861346" w:rsidRDefault="00861346" w:rsidP="00861346">
      <w:pPr>
        <w:spacing w:after="0" w:line="360" w:lineRule="auto"/>
        <w:jc w:val="both"/>
        <w:rPr>
          <w:rFonts w:cs="Arial"/>
          <w:sz w:val="24"/>
          <w:szCs w:val="24"/>
        </w:rPr>
      </w:pPr>
    </w:p>
    <w:p w14:paraId="1239AE47" w14:textId="77777777" w:rsidR="00861346" w:rsidRDefault="00861346" w:rsidP="00861346">
      <w:pPr>
        <w:spacing w:after="0" w:line="360" w:lineRule="auto"/>
        <w:jc w:val="both"/>
        <w:rPr>
          <w:rFonts w:cs="Arial"/>
          <w:sz w:val="24"/>
          <w:szCs w:val="24"/>
        </w:rPr>
      </w:pPr>
    </w:p>
    <w:p w14:paraId="218312FF" w14:textId="77777777" w:rsidR="00861346" w:rsidRDefault="00861346" w:rsidP="00861346">
      <w:pPr>
        <w:spacing w:after="0" w:line="360" w:lineRule="auto"/>
        <w:jc w:val="both"/>
        <w:rPr>
          <w:rFonts w:cs="Arial"/>
          <w:sz w:val="24"/>
          <w:szCs w:val="24"/>
        </w:rPr>
      </w:pPr>
    </w:p>
    <w:p w14:paraId="11C39D11" w14:textId="77777777" w:rsidR="00861346" w:rsidRDefault="00861346" w:rsidP="00861346">
      <w:pPr>
        <w:spacing w:after="0" w:line="360" w:lineRule="auto"/>
        <w:jc w:val="both"/>
        <w:rPr>
          <w:rFonts w:cs="Arial"/>
          <w:sz w:val="24"/>
          <w:szCs w:val="24"/>
        </w:rPr>
      </w:pPr>
    </w:p>
    <w:p w14:paraId="0C800403" w14:textId="77777777" w:rsidR="00FD5F42" w:rsidRDefault="00FD5F42" w:rsidP="00861346">
      <w:pPr>
        <w:spacing w:after="0" w:line="360" w:lineRule="auto"/>
        <w:jc w:val="both"/>
        <w:rPr>
          <w:rFonts w:cs="Arial"/>
          <w:sz w:val="24"/>
          <w:szCs w:val="24"/>
        </w:rPr>
      </w:pPr>
    </w:p>
    <w:p w14:paraId="349100FE" w14:textId="77777777" w:rsidR="00FD5F42" w:rsidRDefault="00FD5F42" w:rsidP="00861346">
      <w:pPr>
        <w:spacing w:after="0" w:line="360" w:lineRule="auto"/>
        <w:jc w:val="both"/>
        <w:rPr>
          <w:rFonts w:cs="Arial"/>
          <w:sz w:val="24"/>
          <w:szCs w:val="24"/>
        </w:rPr>
      </w:pPr>
    </w:p>
    <w:p w14:paraId="5BDDA675" w14:textId="77777777" w:rsidR="00FD5F42" w:rsidRDefault="00FD5F42" w:rsidP="00861346">
      <w:pPr>
        <w:spacing w:after="0" w:line="360" w:lineRule="auto"/>
        <w:jc w:val="both"/>
        <w:rPr>
          <w:rFonts w:cs="Arial"/>
          <w:sz w:val="24"/>
          <w:szCs w:val="24"/>
        </w:rPr>
      </w:pPr>
    </w:p>
    <w:p w14:paraId="1AD6DD02" w14:textId="77777777" w:rsidR="00FD5F42" w:rsidRDefault="00FD5F42" w:rsidP="00861346">
      <w:pPr>
        <w:spacing w:after="0" w:line="360" w:lineRule="auto"/>
        <w:jc w:val="both"/>
        <w:rPr>
          <w:rFonts w:cs="Arial"/>
          <w:sz w:val="24"/>
          <w:szCs w:val="24"/>
        </w:rPr>
      </w:pPr>
    </w:p>
    <w:p w14:paraId="7533EFD8" w14:textId="77777777" w:rsidR="00FD5F42" w:rsidRDefault="00FD5F42" w:rsidP="00861346">
      <w:pPr>
        <w:spacing w:after="0" w:line="360" w:lineRule="auto"/>
        <w:jc w:val="both"/>
        <w:rPr>
          <w:rFonts w:cs="Arial"/>
          <w:sz w:val="24"/>
          <w:szCs w:val="24"/>
        </w:rPr>
      </w:pPr>
    </w:p>
    <w:p w14:paraId="609F358B" w14:textId="77777777" w:rsidR="00FD5F42" w:rsidRDefault="00FD5F42" w:rsidP="00861346">
      <w:pPr>
        <w:spacing w:after="0" w:line="360" w:lineRule="auto"/>
        <w:jc w:val="both"/>
        <w:rPr>
          <w:rFonts w:cs="Arial"/>
          <w:sz w:val="24"/>
          <w:szCs w:val="24"/>
        </w:rPr>
      </w:pPr>
    </w:p>
    <w:p w14:paraId="6AB58C1B" w14:textId="77777777" w:rsidR="00FD5F42" w:rsidRDefault="00FD5F42" w:rsidP="00861346">
      <w:pPr>
        <w:spacing w:after="0" w:line="360" w:lineRule="auto"/>
        <w:jc w:val="both"/>
        <w:rPr>
          <w:rFonts w:cs="Arial"/>
          <w:sz w:val="24"/>
          <w:szCs w:val="24"/>
        </w:rPr>
      </w:pPr>
    </w:p>
    <w:p w14:paraId="3C4F73E0" w14:textId="77777777" w:rsidR="00FD5F42" w:rsidRDefault="00FD5F42" w:rsidP="00861346">
      <w:pPr>
        <w:spacing w:after="0" w:line="360" w:lineRule="auto"/>
        <w:jc w:val="both"/>
        <w:rPr>
          <w:rFonts w:cs="Arial"/>
          <w:sz w:val="24"/>
          <w:szCs w:val="24"/>
        </w:rPr>
      </w:pPr>
    </w:p>
    <w:p w14:paraId="34803538" w14:textId="77777777" w:rsidR="00861346" w:rsidRDefault="00861346" w:rsidP="00861346">
      <w:pPr>
        <w:spacing w:after="0" w:line="360" w:lineRule="auto"/>
        <w:jc w:val="both"/>
        <w:rPr>
          <w:rFonts w:cs="Arial"/>
          <w:sz w:val="24"/>
          <w:szCs w:val="24"/>
        </w:rPr>
      </w:pPr>
    </w:p>
    <w:p w14:paraId="025A104E" w14:textId="77777777" w:rsidR="00861346" w:rsidRDefault="00861346" w:rsidP="00861346">
      <w:pPr>
        <w:spacing w:after="0" w:line="360" w:lineRule="auto"/>
        <w:jc w:val="both"/>
        <w:rPr>
          <w:rFonts w:cs="Arial"/>
          <w:sz w:val="24"/>
          <w:szCs w:val="24"/>
        </w:rPr>
      </w:pPr>
    </w:p>
    <w:p w14:paraId="56BF5591" w14:textId="77777777" w:rsidR="00861346" w:rsidRDefault="00861346" w:rsidP="00861346">
      <w:pPr>
        <w:spacing w:after="0" w:line="360" w:lineRule="auto"/>
        <w:jc w:val="both"/>
        <w:rPr>
          <w:rFonts w:cs="Arial"/>
          <w:sz w:val="24"/>
          <w:szCs w:val="24"/>
        </w:rPr>
      </w:pPr>
    </w:p>
    <w:p w14:paraId="624F560C" w14:textId="77777777" w:rsidR="00861346" w:rsidRDefault="00861346" w:rsidP="00861346">
      <w:pPr>
        <w:spacing w:after="0" w:line="360" w:lineRule="auto"/>
        <w:jc w:val="both"/>
        <w:rPr>
          <w:rFonts w:cs="Arial"/>
          <w:sz w:val="24"/>
          <w:szCs w:val="24"/>
        </w:rPr>
      </w:pPr>
    </w:p>
    <w:p w14:paraId="374F0AD5" w14:textId="3FB6C925" w:rsidR="00861346" w:rsidRPr="00861346" w:rsidRDefault="00861346" w:rsidP="00861346">
      <w:pPr>
        <w:spacing w:after="0" w:line="360" w:lineRule="auto"/>
        <w:jc w:val="both"/>
        <w:rPr>
          <w:rFonts w:cs="Arial"/>
          <w:b/>
          <w:bCs/>
          <w:sz w:val="24"/>
          <w:szCs w:val="24"/>
          <w:lang w:val="en-GB"/>
        </w:rPr>
      </w:pPr>
      <w:r w:rsidRPr="00861346">
        <w:rPr>
          <w:rFonts w:cs="Arial"/>
          <w:b/>
          <w:bCs/>
          <w:sz w:val="24"/>
          <w:szCs w:val="24"/>
          <w:lang w:val="en-GB"/>
        </w:rPr>
        <w:lastRenderedPageBreak/>
        <w:t>Executive Summary</w:t>
      </w:r>
    </w:p>
    <w:p w14:paraId="6E5F6AE3"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This report looks at Marriott International’s financial position and performance over the 2021–2025 period, with particular attention to profitability, liquidity, working capital, debt management and investment decisions. Overall, the analysis shows that Marriott has recovered strongly following the COVID-19 period and continues to benefit from its asset-light business model. Revenue increased from $13.857 billion in 2021 to $26.186 billion in 2025, while operating income increased from $1.750 billion to $4.141 billion. By the end of 2025, Marriott had around 9,805 properties and 1.78 million rooms, with less than 1% of its properties owned directly. The company also had a development pipeline of approximately 610,000 rooms, showing its continued potential for growth (Marriott International, 2026).</w:t>
      </w:r>
    </w:p>
    <w:p w14:paraId="5D947AAD"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However, the analysis also highlights some areas of concern. Marriott’s total debt increased significantly, from $10.138 billion in 2021 to $16.204 billion in 2025. At the same time, shareholders’ equity became negative at approximately $3.771 billion. Liquidity also remains tight, with a current ratio of only 0.43 in 2025. Interest coverage declined to 5.12 times, showing that although Marriott can still comfortably meet its interest commitments, its financial flexibility has reduced. This risk is partly balanced by strong operating cash flow of $3.212 billion and access to a $4.5 billion revolving credit facility (Marriott International, 2026).</w:t>
      </w:r>
    </w:p>
    <w:p w14:paraId="24333490"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Working capital is another important issue. Marriott has operated with negative net working capital throughout the period, which is largely linked to its asset-light business model. This does not automatically indicate financial weakness, but it means that cash flow management is particularly important. There has been some positive progress, especially in receivables management, with DSO falling from 52.2 days in 2021 to 40.5 days in 2025. The report therefore recommends continuing to improve collections, using electronic invoicing and automated payment systems, while also managing supplier payment terms carefully. Protecting operating cash flow should remain a key priority.</w:t>
      </w:r>
    </w:p>
    <w:p w14:paraId="5B743980"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 xml:space="preserve">In terms of financial restructuring, the report does not recommend major changes to Marriott’s business model. Instead, a more cautious approach is appropriate. Marriott should continue with its asset-light strategy, refinance debt before major </w:t>
      </w:r>
      <w:r w:rsidRPr="00861346">
        <w:rPr>
          <w:rFonts w:cs="Arial"/>
          <w:sz w:val="24"/>
          <w:szCs w:val="24"/>
          <w:lang w:val="en-GB"/>
        </w:rPr>
        <w:lastRenderedPageBreak/>
        <w:t>maturities become due and reduce the pace of share buybacks when leverage is high. This would allow the company to maintain shareholder returns while also protecting its financial flexibility. A major equity injection is not considered necessary under normal conditions because Marriott continues to generate strong profits and operating cash flow (Marriott International, 2026).</w:t>
      </w:r>
    </w:p>
    <w:p w14:paraId="14CEBE64"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The investment appraisal compares three projects, each requiring an initial investment of £50 million. Using an 8% required rate of return, Project C is clearly the strongest option. It has the shortest payback period at 3.60 years, the highest ARR at 12%, a positive NPV of approximately £0.86 million, a PI of 1.02 and an IRR of approximately 8.6%. Projects A and B should be rejected because they do not generate sufficient returns to meet the required rate of return. Under the £100 million investment limit, the best decision is therefore to invest £50 million in Project C and keep the remaining £50 million available for liquidity, debt management or future investment opportunities.</w:t>
      </w:r>
    </w:p>
    <w:p w14:paraId="5A6AC277"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Overall, Marriott is in a strong operating position, but its higher debt levels and limited liquidity need to be managed carefully. The main recommendation is therefore to protect cash generation, control the growth of debt, refinance upcoming maturities early and be more selective with shareholder distributions when financial pressure increases. At the same time, Marriott should continue to invest in projects that provide clear financial value while considering wider risks such as foreign exchange, interest rates, international regulation and ESG factors.</w:t>
      </w:r>
    </w:p>
    <w:p w14:paraId="5D5B66E2" w14:textId="77777777" w:rsidR="003E59E5" w:rsidRPr="00861346" w:rsidRDefault="003E59E5" w:rsidP="00C236AD">
      <w:pPr>
        <w:spacing w:after="0" w:line="360" w:lineRule="auto"/>
        <w:jc w:val="both"/>
        <w:rPr>
          <w:rFonts w:cs="Arial"/>
          <w:sz w:val="24"/>
          <w:szCs w:val="24"/>
          <w:lang w:val="en-GB"/>
        </w:rPr>
      </w:pPr>
    </w:p>
    <w:p w14:paraId="4DA3665B" w14:textId="77777777" w:rsidR="003E59E5" w:rsidRDefault="003E59E5" w:rsidP="00C236AD">
      <w:pPr>
        <w:spacing w:after="0" w:line="360" w:lineRule="auto"/>
        <w:jc w:val="both"/>
        <w:rPr>
          <w:rFonts w:cs="Arial"/>
          <w:sz w:val="24"/>
          <w:szCs w:val="24"/>
        </w:rPr>
      </w:pPr>
    </w:p>
    <w:p w14:paraId="63AF1DE6" w14:textId="77777777" w:rsidR="00FD5F42" w:rsidRDefault="00FD5F42" w:rsidP="00C236AD">
      <w:pPr>
        <w:spacing w:after="0" w:line="360" w:lineRule="auto"/>
        <w:jc w:val="both"/>
        <w:rPr>
          <w:rFonts w:cs="Arial"/>
          <w:sz w:val="24"/>
          <w:szCs w:val="24"/>
        </w:rPr>
      </w:pPr>
    </w:p>
    <w:p w14:paraId="3466A1C4" w14:textId="77777777" w:rsidR="00FD5F42" w:rsidRDefault="00FD5F42" w:rsidP="00C236AD">
      <w:pPr>
        <w:spacing w:after="0" w:line="360" w:lineRule="auto"/>
        <w:jc w:val="both"/>
        <w:rPr>
          <w:rFonts w:cs="Arial"/>
          <w:sz w:val="24"/>
          <w:szCs w:val="24"/>
        </w:rPr>
      </w:pPr>
    </w:p>
    <w:p w14:paraId="43EE10F5" w14:textId="77777777" w:rsidR="00FD5F42" w:rsidRDefault="00FD5F42" w:rsidP="00C236AD">
      <w:pPr>
        <w:spacing w:after="0" w:line="360" w:lineRule="auto"/>
        <w:jc w:val="both"/>
        <w:rPr>
          <w:rFonts w:cs="Arial"/>
          <w:sz w:val="24"/>
          <w:szCs w:val="24"/>
        </w:rPr>
      </w:pPr>
    </w:p>
    <w:p w14:paraId="5D4C4708" w14:textId="77777777" w:rsidR="00FD5F42" w:rsidRDefault="00FD5F42" w:rsidP="00C236AD">
      <w:pPr>
        <w:spacing w:after="0" w:line="360" w:lineRule="auto"/>
        <w:jc w:val="both"/>
        <w:rPr>
          <w:rFonts w:cs="Arial"/>
          <w:sz w:val="24"/>
          <w:szCs w:val="24"/>
        </w:rPr>
      </w:pPr>
    </w:p>
    <w:p w14:paraId="0F5D6BEF" w14:textId="77777777" w:rsidR="00FD5F42" w:rsidRDefault="00FD5F42" w:rsidP="00C236AD">
      <w:pPr>
        <w:spacing w:after="0" w:line="360" w:lineRule="auto"/>
        <w:jc w:val="both"/>
        <w:rPr>
          <w:rFonts w:cs="Arial"/>
          <w:sz w:val="24"/>
          <w:szCs w:val="24"/>
        </w:rPr>
      </w:pPr>
    </w:p>
    <w:p w14:paraId="0BF8FA89" w14:textId="77777777" w:rsidR="00FD5F42" w:rsidRPr="00C236AD" w:rsidRDefault="00FD5F42" w:rsidP="00C236AD">
      <w:pPr>
        <w:spacing w:after="0" w:line="360" w:lineRule="auto"/>
        <w:jc w:val="both"/>
        <w:rPr>
          <w:rFonts w:cs="Arial"/>
          <w:sz w:val="24"/>
          <w:szCs w:val="24"/>
        </w:rPr>
      </w:pPr>
    </w:p>
    <w:p w14:paraId="16B509DD" w14:textId="77777777" w:rsidR="003E59E5" w:rsidRPr="00C236AD" w:rsidRDefault="003E59E5" w:rsidP="00C236AD">
      <w:pPr>
        <w:spacing w:after="0" w:line="360" w:lineRule="auto"/>
        <w:jc w:val="both"/>
        <w:rPr>
          <w:rFonts w:cs="Arial"/>
          <w:sz w:val="24"/>
          <w:szCs w:val="24"/>
        </w:rPr>
      </w:pPr>
    </w:p>
    <w:p w14:paraId="7C307667" w14:textId="77777777" w:rsidR="003E59E5" w:rsidRPr="00C236AD" w:rsidRDefault="003E59E5" w:rsidP="00C236AD">
      <w:pPr>
        <w:spacing w:after="0" w:line="360" w:lineRule="auto"/>
        <w:jc w:val="both"/>
        <w:rPr>
          <w:rFonts w:cs="Arial"/>
          <w:sz w:val="24"/>
          <w:szCs w:val="24"/>
        </w:rPr>
      </w:pPr>
    </w:p>
    <w:p w14:paraId="1567E177" w14:textId="77777777" w:rsidR="00861346" w:rsidRPr="00861346" w:rsidRDefault="00861346" w:rsidP="00861346">
      <w:pPr>
        <w:spacing w:after="0" w:line="360" w:lineRule="auto"/>
        <w:jc w:val="both"/>
        <w:rPr>
          <w:rFonts w:cs="Arial"/>
          <w:b/>
          <w:bCs/>
          <w:sz w:val="24"/>
          <w:szCs w:val="24"/>
          <w:lang w:val="en-GB"/>
        </w:rPr>
      </w:pPr>
      <w:r w:rsidRPr="00861346">
        <w:rPr>
          <w:rFonts w:cs="Arial"/>
          <w:b/>
          <w:bCs/>
          <w:sz w:val="24"/>
          <w:szCs w:val="24"/>
          <w:lang w:val="en-GB"/>
        </w:rPr>
        <w:lastRenderedPageBreak/>
        <w:t>List of Abbreviations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2"/>
        <w:gridCol w:w="6545"/>
      </w:tblGrid>
      <w:tr w:rsidR="00861346" w:rsidRPr="00861346" w14:paraId="416FB375" w14:textId="77777777">
        <w:trPr>
          <w:tblHeader/>
          <w:tblCellSpacing w:w="15" w:type="dxa"/>
        </w:trPr>
        <w:tc>
          <w:tcPr>
            <w:tcW w:w="0" w:type="auto"/>
            <w:vAlign w:val="center"/>
            <w:hideMark/>
          </w:tcPr>
          <w:p w14:paraId="4D4146C1" w14:textId="77777777" w:rsidR="00861346" w:rsidRPr="00861346" w:rsidRDefault="00861346" w:rsidP="00861346">
            <w:pPr>
              <w:spacing w:after="0" w:line="360" w:lineRule="auto"/>
              <w:jc w:val="both"/>
              <w:rPr>
                <w:rFonts w:cs="Arial"/>
                <w:b/>
                <w:bCs/>
                <w:sz w:val="24"/>
                <w:szCs w:val="24"/>
                <w:lang w:val="en-GB"/>
              </w:rPr>
            </w:pPr>
            <w:r w:rsidRPr="00861346">
              <w:rPr>
                <w:rFonts w:cs="Arial"/>
                <w:b/>
                <w:bCs/>
                <w:sz w:val="24"/>
                <w:szCs w:val="24"/>
                <w:lang w:val="en-GB"/>
              </w:rPr>
              <w:t>Abbreviation</w:t>
            </w:r>
          </w:p>
        </w:tc>
        <w:tc>
          <w:tcPr>
            <w:tcW w:w="0" w:type="auto"/>
            <w:vAlign w:val="center"/>
            <w:hideMark/>
          </w:tcPr>
          <w:p w14:paraId="5C44409D" w14:textId="77777777" w:rsidR="00861346" w:rsidRPr="00861346" w:rsidRDefault="00861346" w:rsidP="00861346">
            <w:pPr>
              <w:spacing w:after="0" w:line="360" w:lineRule="auto"/>
              <w:jc w:val="both"/>
              <w:rPr>
                <w:rFonts w:cs="Arial"/>
                <w:b/>
                <w:bCs/>
                <w:sz w:val="24"/>
                <w:szCs w:val="24"/>
                <w:lang w:val="en-GB"/>
              </w:rPr>
            </w:pPr>
            <w:r w:rsidRPr="00861346">
              <w:rPr>
                <w:rFonts w:cs="Arial"/>
                <w:b/>
                <w:bCs/>
                <w:sz w:val="24"/>
                <w:szCs w:val="24"/>
                <w:lang w:val="en-GB"/>
              </w:rPr>
              <w:t>Full term</w:t>
            </w:r>
          </w:p>
        </w:tc>
      </w:tr>
      <w:tr w:rsidR="00861346" w:rsidRPr="00861346" w14:paraId="1D981257" w14:textId="77777777">
        <w:trPr>
          <w:tblCellSpacing w:w="15" w:type="dxa"/>
        </w:trPr>
        <w:tc>
          <w:tcPr>
            <w:tcW w:w="0" w:type="auto"/>
            <w:vAlign w:val="center"/>
            <w:hideMark/>
          </w:tcPr>
          <w:p w14:paraId="754462F9"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AI</w:t>
            </w:r>
          </w:p>
        </w:tc>
        <w:tc>
          <w:tcPr>
            <w:tcW w:w="0" w:type="auto"/>
            <w:vAlign w:val="center"/>
            <w:hideMark/>
          </w:tcPr>
          <w:p w14:paraId="5B95D1A2"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Artificial Intelligence</w:t>
            </w:r>
          </w:p>
        </w:tc>
      </w:tr>
      <w:tr w:rsidR="00861346" w:rsidRPr="00861346" w14:paraId="163634B5" w14:textId="77777777">
        <w:trPr>
          <w:tblCellSpacing w:w="15" w:type="dxa"/>
        </w:trPr>
        <w:tc>
          <w:tcPr>
            <w:tcW w:w="0" w:type="auto"/>
            <w:vAlign w:val="center"/>
            <w:hideMark/>
          </w:tcPr>
          <w:p w14:paraId="6E0448F4"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ARR</w:t>
            </w:r>
          </w:p>
        </w:tc>
        <w:tc>
          <w:tcPr>
            <w:tcW w:w="0" w:type="auto"/>
            <w:vAlign w:val="center"/>
            <w:hideMark/>
          </w:tcPr>
          <w:p w14:paraId="356F9F12"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Accounting Rate of Return</w:t>
            </w:r>
          </w:p>
        </w:tc>
      </w:tr>
      <w:tr w:rsidR="00861346" w:rsidRPr="00861346" w14:paraId="16140850" w14:textId="77777777">
        <w:trPr>
          <w:tblCellSpacing w:w="15" w:type="dxa"/>
        </w:trPr>
        <w:tc>
          <w:tcPr>
            <w:tcW w:w="0" w:type="auto"/>
            <w:vAlign w:val="center"/>
            <w:hideMark/>
          </w:tcPr>
          <w:p w14:paraId="3890BBF3"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Bonvoy</w:t>
            </w:r>
          </w:p>
        </w:tc>
        <w:tc>
          <w:tcPr>
            <w:tcW w:w="0" w:type="auto"/>
            <w:vAlign w:val="center"/>
            <w:hideMark/>
          </w:tcPr>
          <w:p w14:paraId="23873BF6"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Marriott Bonvoy Loyalty Programme</w:t>
            </w:r>
          </w:p>
        </w:tc>
      </w:tr>
      <w:tr w:rsidR="00861346" w:rsidRPr="00861346" w14:paraId="582961BB" w14:textId="77777777">
        <w:trPr>
          <w:tblCellSpacing w:w="15" w:type="dxa"/>
        </w:trPr>
        <w:tc>
          <w:tcPr>
            <w:tcW w:w="0" w:type="auto"/>
            <w:vAlign w:val="center"/>
            <w:hideMark/>
          </w:tcPr>
          <w:p w14:paraId="198FA488"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CSR</w:t>
            </w:r>
          </w:p>
        </w:tc>
        <w:tc>
          <w:tcPr>
            <w:tcW w:w="0" w:type="auto"/>
            <w:vAlign w:val="center"/>
            <w:hideMark/>
          </w:tcPr>
          <w:p w14:paraId="36A7A31D"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Corporate Social Responsibility</w:t>
            </w:r>
          </w:p>
        </w:tc>
      </w:tr>
      <w:tr w:rsidR="00861346" w:rsidRPr="00861346" w14:paraId="730755CA" w14:textId="77777777">
        <w:trPr>
          <w:tblCellSpacing w:w="15" w:type="dxa"/>
        </w:trPr>
        <w:tc>
          <w:tcPr>
            <w:tcW w:w="0" w:type="auto"/>
            <w:vAlign w:val="center"/>
            <w:hideMark/>
          </w:tcPr>
          <w:p w14:paraId="469726BD"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DPO</w:t>
            </w:r>
          </w:p>
        </w:tc>
        <w:tc>
          <w:tcPr>
            <w:tcW w:w="0" w:type="auto"/>
            <w:vAlign w:val="center"/>
            <w:hideMark/>
          </w:tcPr>
          <w:p w14:paraId="2FB5F867"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Days Payable Outstanding</w:t>
            </w:r>
          </w:p>
        </w:tc>
      </w:tr>
      <w:tr w:rsidR="00861346" w:rsidRPr="00861346" w14:paraId="221AA2D0" w14:textId="77777777">
        <w:trPr>
          <w:tblCellSpacing w:w="15" w:type="dxa"/>
        </w:trPr>
        <w:tc>
          <w:tcPr>
            <w:tcW w:w="0" w:type="auto"/>
            <w:vAlign w:val="center"/>
            <w:hideMark/>
          </w:tcPr>
          <w:p w14:paraId="7B73266F"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DSI</w:t>
            </w:r>
          </w:p>
        </w:tc>
        <w:tc>
          <w:tcPr>
            <w:tcW w:w="0" w:type="auto"/>
            <w:vAlign w:val="center"/>
            <w:hideMark/>
          </w:tcPr>
          <w:p w14:paraId="0B965A80"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Days Sales Inventory / Days Inventory Outstanding</w:t>
            </w:r>
          </w:p>
        </w:tc>
      </w:tr>
      <w:tr w:rsidR="00861346" w:rsidRPr="00861346" w14:paraId="006177B6" w14:textId="77777777">
        <w:trPr>
          <w:tblCellSpacing w:w="15" w:type="dxa"/>
        </w:trPr>
        <w:tc>
          <w:tcPr>
            <w:tcW w:w="0" w:type="auto"/>
            <w:vAlign w:val="center"/>
            <w:hideMark/>
          </w:tcPr>
          <w:p w14:paraId="72E4D5E2"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DSO</w:t>
            </w:r>
          </w:p>
        </w:tc>
        <w:tc>
          <w:tcPr>
            <w:tcW w:w="0" w:type="auto"/>
            <w:vAlign w:val="center"/>
            <w:hideMark/>
          </w:tcPr>
          <w:p w14:paraId="4FEE3483"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Days Sales Outstanding</w:t>
            </w:r>
          </w:p>
        </w:tc>
      </w:tr>
      <w:tr w:rsidR="00861346" w:rsidRPr="00861346" w14:paraId="66E198D4" w14:textId="77777777">
        <w:trPr>
          <w:tblCellSpacing w:w="15" w:type="dxa"/>
        </w:trPr>
        <w:tc>
          <w:tcPr>
            <w:tcW w:w="0" w:type="auto"/>
            <w:vAlign w:val="center"/>
            <w:hideMark/>
          </w:tcPr>
          <w:p w14:paraId="363A26BB"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EBITDA</w:t>
            </w:r>
          </w:p>
        </w:tc>
        <w:tc>
          <w:tcPr>
            <w:tcW w:w="0" w:type="auto"/>
            <w:vAlign w:val="center"/>
            <w:hideMark/>
          </w:tcPr>
          <w:p w14:paraId="6FECB4D1"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Earnings Before Interest, Tax, Depreciation and Amortisation</w:t>
            </w:r>
          </w:p>
        </w:tc>
      </w:tr>
      <w:tr w:rsidR="00861346" w:rsidRPr="00861346" w14:paraId="4E84131D" w14:textId="77777777">
        <w:trPr>
          <w:tblCellSpacing w:w="15" w:type="dxa"/>
        </w:trPr>
        <w:tc>
          <w:tcPr>
            <w:tcW w:w="0" w:type="auto"/>
            <w:vAlign w:val="center"/>
            <w:hideMark/>
          </w:tcPr>
          <w:p w14:paraId="77B0F439"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EPS</w:t>
            </w:r>
          </w:p>
        </w:tc>
        <w:tc>
          <w:tcPr>
            <w:tcW w:w="0" w:type="auto"/>
            <w:vAlign w:val="center"/>
            <w:hideMark/>
          </w:tcPr>
          <w:p w14:paraId="5A962E89"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Earnings Per Share</w:t>
            </w:r>
          </w:p>
        </w:tc>
      </w:tr>
      <w:tr w:rsidR="00861346" w:rsidRPr="00861346" w14:paraId="10E4C57C" w14:textId="77777777">
        <w:trPr>
          <w:tblCellSpacing w:w="15" w:type="dxa"/>
        </w:trPr>
        <w:tc>
          <w:tcPr>
            <w:tcW w:w="0" w:type="auto"/>
            <w:vAlign w:val="center"/>
            <w:hideMark/>
          </w:tcPr>
          <w:p w14:paraId="3BDE151B"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ESG</w:t>
            </w:r>
          </w:p>
        </w:tc>
        <w:tc>
          <w:tcPr>
            <w:tcW w:w="0" w:type="auto"/>
            <w:vAlign w:val="center"/>
            <w:hideMark/>
          </w:tcPr>
          <w:p w14:paraId="51DC70EB"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Environmental, Social and Governance</w:t>
            </w:r>
          </w:p>
        </w:tc>
      </w:tr>
      <w:tr w:rsidR="00861346" w:rsidRPr="00861346" w14:paraId="65170D36" w14:textId="77777777">
        <w:trPr>
          <w:tblCellSpacing w:w="15" w:type="dxa"/>
        </w:trPr>
        <w:tc>
          <w:tcPr>
            <w:tcW w:w="0" w:type="auto"/>
            <w:vAlign w:val="center"/>
            <w:hideMark/>
          </w:tcPr>
          <w:p w14:paraId="3378DEEB"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FX</w:t>
            </w:r>
          </w:p>
        </w:tc>
        <w:tc>
          <w:tcPr>
            <w:tcW w:w="0" w:type="auto"/>
            <w:vAlign w:val="center"/>
            <w:hideMark/>
          </w:tcPr>
          <w:p w14:paraId="3F0CB20A"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Foreign Exchange</w:t>
            </w:r>
          </w:p>
        </w:tc>
      </w:tr>
      <w:tr w:rsidR="00861346" w:rsidRPr="00861346" w14:paraId="7FD28F52" w14:textId="77777777">
        <w:trPr>
          <w:tblCellSpacing w:w="15" w:type="dxa"/>
        </w:trPr>
        <w:tc>
          <w:tcPr>
            <w:tcW w:w="0" w:type="auto"/>
            <w:vAlign w:val="center"/>
            <w:hideMark/>
          </w:tcPr>
          <w:p w14:paraId="4062B9D1"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IRR</w:t>
            </w:r>
          </w:p>
        </w:tc>
        <w:tc>
          <w:tcPr>
            <w:tcW w:w="0" w:type="auto"/>
            <w:vAlign w:val="center"/>
            <w:hideMark/>
          </w:tcPr>
          <w:p w14:paraId="267F61AA"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Internal Rate of Return</w:t>
            </w:r>
          </w:p>
        </w:tc>
      </w:tr>
      <w:tr w:rsidR="00861346" w:rsidRPr="00861346" w14:paraId="784E2302" w14:textId="77777777">
        <w:trPr>
          <w:tblCellSpacing w:w="15" w:type="dxa"/>
        </w:trPr>
        <w:tc>
          <w:tcPr>
            <w:tcW w:w="0" w:type="auto"/>
            <w:vAlign w:val="center"/>
            <w:hideMark/>
          </w:tcPr>
          <w:p w14:paraId="4BD13174"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N/A</w:t>
            </w:r>
          </w:p>
        </w:tc>
        <w:tc>
          <w:tcPr>
            <w:tcW w:w="0" w:type="auto"/>
            <w:vAlign w:val="center"/>
            <w:hideMark/>
          </w:tcPr>
          <w:p w14:paraId="336301F0"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Not Applicable</w:t>
            </w:r>
          </w:p>
        </w:tc>
      </w:tr>
      <w:tr w:rsidR="00861346" w:rsidRPr="00861346" w14:paraId="229F6BCE" w14:textId="77777777">
        <w:trPr>
          <w:tblCellSpacing w:w="15" w:type="dxa"/>
        </w:trPr>
        <w:tc>
          <w:tcPr>
            <w:tcW w:w="0" w:type="auto"/>
            <w:vAlign w:val="center"/>
            <w:hideMark/>
          </w:tcPr>
          <w:p w14:paraId="68A20739"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NPV</w:t>
            </w:r>
          </w:p>
        </w:tc>
        <w:tc>
          <w:tcPr>
            <w:tcW w:w="0" w:type="auto"/>
            <w:vAlign w:val="center"/>
            <w:hideMark/>
          </w:tcPr>
          <w:p w14:paraId="2AFC0D85"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Net Present Value</w:t>
            </w:r>
          </w:p>
        </w:tc>
      </w:tr>
      <w:tr w:rsidR="00861346" w:rsidRPr="00861346" w14:paraId="4834B798" w14:textId="77777777">
        <w:trPr>
          <w:tblCellSpacing w:w="15" w:type="dxa"/>
        </w:trPr>
        <w:tc>
          <w:tcPr>
            <w:tcW w:w="0" w:type="auto"/>
            <w:vAlign w:val="center"/>
            <w:hideMark/>
          </w:tcPr>
          <w:p w14:paraId="58F7720F"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PBP</w:t>
            </w:r>
          </w:p>
        </w:tc>
        <w:tc>
          <w:tcPr>
            <w:tcW w:w="0" w:type="auto"/>
            <w:vAlign w:val="center"/>
            <w:hideMark/>
          </w:tcPr>
          <w:p w14:paraId="27DF9A71"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Payback Period</w:t>
            </w:r>
          </w:p>
        </w:tc>
      </w:tr>
      <w:tr w:rsidR="00861346" w:rsidRPr="00861346" w14:paraId="1A053922" w14:textId="77777777">
        <w:trPr>
          <w:tblCellSpacing w:w="15" w:type="dxa"/>
        </w:trPr>
        <w:tc>
          <w:tcPr>
            <w:tcW w:w="0" w:type="auto"/>
            <w:vAlign w:val="center"/>
            <w:hideMark/>
          </w:tcPr>
          <w:p w14:paraId="29741431"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P/E</w:t>
            </w:r>
          </w:p>
        </w:tc>
        <w:tc>
          <w:tcPr>
            <w:tcW w:w="0" w:type="auto"/>
            <w:vAlign w:val="center"/>
            <w:hideMark/>
          </w:tcPr>
          <w:p w14:paraId="65376AB3"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Price-to-Earnings Ratio</w:t>
            </w:r>
          </w:p>
        </w:tc>
      </w:tr>
      <w:tr w:rsidR="00861346" w:rsidRPr="00861346" w14:paraId="31B581B7" w14:textId="77777777">
        <w:trPr>
          <w:tblCellSpacing w:w="15" w:type="dxa"/>
        </w:trPr>
        <w:tc>
          <w:tcPr>
            <w:tcW w:w="0" w:type="auto"/>
            <w:vAlign w:val="center"/>
            <w:hideMark/>
          </w:tcPr>
          <w:p w14:paraId="556D9A9A"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PI</w:t>
            </w:r>
          </w:p>
        </w:tc>
        <w:tc>
          <w:tcPr>
            <w:tcW w:w="0" w:type="auto"/>
            <w:vAlign w:val="center"/>
            <w:hideMark/>
          </w:tcPr>
          <w:p w14:paraId="68D0EA32"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Profitability Index</w:t>
            </w:r>
          </w:p>
        </w:tc>
      </w:tr>
      <w:tr w:rsidR="00861346" w:rsidRPr="00861346" w14:paraId="0BD9D117" w14:textId="77777777">
        <w:trPr>
          <w:tblCellSpacing w:w="15" w:type="dxa"/>
        </w:trPr>
        <w:tc>
          <w:tcPr>
            <w:tcW w:w="0" w:type="auto"/>
            <w:vAlign w:val="center"/>
            <w:hideMark/>
          </w:tcPr>
          <w:p w14:paraId="1B3E257F"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ROCE</w:t>
            </w:r>
          </w:p>
        </w:tc>
        <w:tc>
          <w:tcPr>
            <w:tcW w:w="0" w:type="auto"/>
            <w:vAlign w:val="center"/>
            <w:hideMark/>
          </w:tcPr>
          <w:p w14:paraId="3A312EB6"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Return on Capital Employed</w:t>
            </w:r>
          </w:p>
        </w:tc>
      </w:tr>
      <w:tr w:rsidR="00861346" w:rsidRPr="00861346" w14:paraId="3F247435" w14:textId="77777777">
        <w:trPr>
          <w:tblCellSpacing w:w="15" w:type="dxa"/>
        </w:trPr>
        <w:tc>
          <w:tcPr>
            <w:tcW w:w="0" w:type="auto"/>
            <w:vAlign w:val="center"/>
            <w:hideMark/>
          </w:tcPr>
          <w:p w14:paraId="3E371215"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UWTSD</w:t>
            </w:r>
          </w:p>
        </w:tc>
        <w:tc>
          <w:tcPr>
            <w:tcW w:w="0" w:type="auto"/>
            <w:vAlign w:val="center"/>
            <w:hideMark/>
          </w:tcPr>
          <w:p w14:paraId="61BD8858" w14:textId="77777777" w:rsidR="00861346" w:rsidRPr="00861346" w:rsidRDefault="00861346" w:rsidP="00861346">
            <w:pPr>
              <w:spacing w:after="0" w:line="360" w:lineRule="auto"/>
              <w:jc w:val="both"/>
              <w:rPr>
                <w:rFonts w:cs="Arial"/>
                <w:sz w:val="24"/>
                <w:szCs w:val="24"/>
                <w:lang w:val="en-GB"/>
              </w:rPr>
            </w:pPr>
            <w:r w:rsidRPr="00861346">
              <w:rPr>
                <w:rFonts w:cs="Arial"/>
                <w:sz w:val="24"/>
                <w:szCs w:val="24"/>
                <w:lang w:val="en-GB"/>
              </w:rPr>
              <w:t>University of Wales Trinity Saint David</w:t>
            </w:r>
          </w:p>
        </w:tc>
      </w:tr>
    </w:tbl>
    <w:p w14:paraId="7FD2E1DE" w14:textId="77777777" w:rsidR="003E59E5" w:rsidRPr="00861346" w:rsidRDefault="003E59E5" w:rsidP="00C236AD">
      <w:pPr>
        <w:spacing w:after="0" w:line="360" w:lineRule="auto"/>
        <w:jc w:val="both"/>
        <w:rPr>
          <w:rFonts w:cs="Arial"/>
          <w:sz w:val="24"/>
          <w:szCs w:val="24"/>
          <w:lang w:val="en-GB"/>
        </w:rPr>
      </w:pPr>
    </w:p>
    <w:p w14:paraId="448D3C53" w14:textId="77777777" w:rsidR="003E59E5" w:rsidRDefault="003E59E5" w:rsidP="00C236AD">
      <w:pPr>
        <w:spacing w:after="0" w:line="360" w:lineRule="auto"/>
        <w:jc w:val="both"/>
        <w:rPr>
          <w:rFonts w:cs="Arial"/>
          <w:b/>
          <w:bCs/>
          <w:sz w:val="24"/>
          <w:szCs w:val="24"/>
        </w:rPr>
      </w:pPr>
    </w:p>
    <w:p w14:paraId="2D83E082" w14:textId="77777777" w:rsidR="00FD5F42" w:rsidRDefault="00FD5F42" w:rsidP="00C236AD">
      <w:pPr>
        <w:spacing w:after="0" w:line="360" w:lineRule="auto"/>
        <w:jc w:val="both"/>
        <w:rPr>
          <w:rFonts w:cs="Arial"/>
          <w:b/>
          <w:bCs/>
          <w:sz w:val="24"/>
          <w:szCs w:val="24"/>
        </w:rPr>
      </w:pPr>
    </w:p>
    <w:p w14:paraId="798293ED" w14:textId="77777777" w:rsidR="00FD5F42" w:rsidRDefault="00FD5F42" w:rsidP="00C236AD">
      <w:pPr>
        <w:spacing w:after="0" w:line="360" w:lineRule="auto"/>
        <w:jc w:val="both"/>
        <w:rPr>
          <w:rFonts w:cs="Arial"/>
          <w:b/>
          <w:bCs/>
          <w:sz w:val="24"/>
          <w:szCs w:val="24"/>
        </w:rPr>
      </w:pPr>
    </w:p>
    <w:p w14:paraId="2779FC08" w14:textId="77777777" w:rsidR="00FD5F42" w:rsidRDefault="00FD5F42" w:rsidP="00C236AD">
      <w:pPr>
        <w:spacing w:after="0" w:line="360" w:lineRule="auto"/>
        <w:jc w:val="both"/>
        <w:rPr>
          <w:rFonts w:cs="Arial"/>
          <w:b/>
          <w:bCs/>
          <w:sz w:val="24"/>
          <w:szCs w:val="24"/>
        </w:rPr>
      </w:pPr>
    </w:p>
    <w:p w14:paraId="16A24BC7" w14:textId="77777777" w:rsidR="00FD5F42" w:rsidRDefault="00FD5F42" w:rsidP="00C236AD">
      <w:pPr>
        <w:spacing w:after="0" w:line="360" w:lineRule="auto"/>
        <w:jc w:val="both"/>
        <w:rPr>
          <w:rFonts w:cs="Arial"/>
          <w:b/>
          <w:bCs/>
          <w:sz w:val="24"/>
          <w:szCs w:val="24"/>
        </w:rPr>
      </w:pPr>
    </w:p>
    <w:p w14:paraId="568DDB12" w14:textId="77777777" w:rsidR="00FD5F42" w:rsidRPr="00C236AD" w:rsidRDefault="00FD5F42" w:rsidP="00C236AD">
      <w:pPr>
        <w:spacing w:after="0" w:line="360" w:lineRule="auto"/>
        <w:jc w:val="both"/>
        <w:rPr>
          <w:rFonts w:cs="Arial"/>
          <w:b/>
          <w:bCs/>
          <w:sz w:val="24"/>
          <w:szCs w:val="24"/>
        </w:rPr>
      </w:pPr>
    </w:p>
    <w:p w14:paraId="45116503" w14:textId="123441C0" w:rsidR="00944AE4" w:rsidRPr="00C236AD" w:rsidRDefault="00944AE4" w:rsidP="00C236AD">
      <w:pPr>
        <w:spacing w:after="0" w:line="360" w:lineRule="auto"/>
        <w:jc w:val="both"/>
        <w:rPr>
          <w:rFonts w:cs="Arial"/>
          <w:sz w:val="24"/>
          <w:szCs w:val="24"/>
          <w:lang w:val="en-GB"/>
        </w:rPr>
      </w:pPr>
      <w:r w:rsidRPr="00C236AD">
        <w:rPr>
          <w:rFonts w:cs="Arial"/>
          <w:b/>
          <w:bCs/>
          <w:sz w:val="24"/>
          <w:szCs w:val="24"/>
        </w:rPr>
        <w:lastRenderedPageBreak/>
        <w:t xml:space="preserve">1. Financial Health Check </w:t>
      </w:r>
    </w:p>
    <w:p w14:paraId="11DFECC2" w14:textId="6B77DE14" w:rsidR="003E59E5" w:rsidRPr="00C236AD" w:rsidRDefault="003E59E5" w:rsidP="00C236AD">
      <w:pPr>
        <w:spacing w:after="0" w:line="360" w:lineRule="auto"/>
        <w:jc w:val="both"/>
        <w:rPr>
          <w:rFonts w:cs="Arial"/>
          <w:sz w:val="24"/>
          <w:szCs w:val="24"/>
        </w:rPr>
      </w:pPr>
      <w:r w:rsidRPr="00C236AD">
        <w:rPr>
          <w:rFonts w:cs="Arial"/>
          <w:sz w:val="24"/>
          <w:szCs w:val="24"/>
        </w:rPr>
        <w:t>The evaluation of financial health is critical to assessing a company’s capacity to sustain operations, meet obligations, and create shareholder value. For Marriott International, the period 2021</w:t>
      </w:r>
      <w:r w:rsidR="00ED72CF">
        <w:rPr>
          <w:rFonts w:cs="Arial"/>
          <w:sz w:val="24"/>
          <w:szCs w:val="24"/>
        </w:rPr>
        <w:t>-</w:t>
      </w:r>
      <w:r w:rsidRPr="00C236AD">
        <w:rPr>
          <w:rFonts w:cs="Arial"/>
          <w:sz w:val="24"/>
          <w:szCs w:val="24"/>
        </w:rPr>
        <w:t>2025 encompasses the post</w:t>
      </w:r>
      <w:r w:rsidR="00ED72CF">
        <w:rPr>
          <w:rFonts w:cs="Arial"/>
          <w:sz w:val="24"/>
          <w:szCs w:val="24"/>
        </w:rPr>
        <w:t>-</w:t>
      </w:r>
      <w:r w:rsidRPr="00C236AD">
        <w:rPr>
          <w:rFonts w:cs="Arial"/>
          <w:sz w:val="24"/>
          <w:szCs w:val="24"/>
        </w:rPr>
        <w:t>COVID recovery and the maturation of its asset</w:t>
      </w:r>
      <w:r w:rsidR="00ED72CF">
        <w:rPr>
          <w:rFonts w:cs="Arial"/>
          <w:sz w:val="24"/>
          <w:szCs w:val="24"/>
        </w:rPr>
        <w:t>-</w:t>
      </w:r>
      <w:r w:rsidRPr="00C236AD">
        <w:rPr>
          <w:rFonts w:cs="Arial"/>
          <w:sz w:val="24"/>
          <w:szCs w:val="24"/>
        </w:rPr>
        <w:t>light, fee</w:t>
      </w:r>
      <w:r w:rsidR="00ED72CF">
        <w:rPr>
          <w:rFonts w:cs="Arial"/>
          <w:sz w:val="24"/>
          <w:szCs w:val="24"/>
        </w:rPr>
        <w:t>-</w:t>
      </w:r>
      <w:r w:rsidRPr="00C236AD">
        <w:rPr>
          <w:rFonts w:cs="Arial"/>
          <w:sz w:val="24"/>
          <w:szCs w:val="24"/>
        </w:rPr>
        <w:t>based model. This section analyses Marriott’s performance, financial position, and risk profile using data from audited Annual Reports (Marriott International, 2022</w:t>
      </w:r>
      <w:r w:rsidR="00ED72CF">
        <w:rPr>
          <w:rFonts w:cs="Arial"/>
          <w:sz w:val="24"/>
          <w:szCs w:val="24"/>
        </w:rPr>
        <w:t>-</w:t>
      </w:r>
      <w:r w:rsidRPr="00C236AD">
        <w:rPr>
          <w:rFonts w:cs="Arial"/>
          <w:sz w:val="24"/>
          <w:szCs w:val="24"/>
        </w:rPr>
        <w:t>2026). Trends in revenue, profitability, capital structure, cash flow, and key ratios are examined, with liquidity benchmarked against Hilton (Hilton Worldwide Holdings, 2025, p. 50). The objective is to establish a factual basis for strategic and investment decisions in later sections.</w:t>
      </w:r>
    </w:p>
    <w:p w14:paraId="4C6E72B3" w14:textId="601EE27F" w:rsidR="00944AE4" w:rsidRPr="00C236AD" w:rsidRDefault="00944AE4" w:rsidP="00C236AD">
      <w:pPr>
        <w:spacing w:after="0" w:line="360" w:lineRule="auto"/>
        <w:jc w:val="both"/>
        <w:rPr>
          <w:rFonts w:cs="Arial"/>
          <w:b/>
          <w:bCs/>
          <w:sz w:val="24"/>
          <w:szCs w:val="24"/>
          <w:lang w:val="en-GB"/>
        </w:rPr>
      </w:pPr>
      <w:r w:rsidRPr="00C236AD">
        <w:rPr>
          <w:rFonts w:cs="Arial"/>
          <w:b/>
          <w:bCs/>
          <w:sz w:val="24"/>
          <w:szCs w:val="24"/>
          <w:lang w:val="en-GB"/>
        </w:rPr>
        <w:t>1.</w:t>
      </w:r>
      <w:proofErr w:type="spellStart"/>
      <w:r w:rsidRPr="00C236AD">
        <w:rPr>
          <w:rFonts w:cs="Arial"/>
          <w:b/>
          <w:bCs/>
          <w:sz w:val="24"/>
          <w:szCs w:val="24"/>
          <w:lang w:val="en-GB"/>
        </w:rPr>
        <w:t>a</w:t>
      </w:r>
      <w:proofErr w:type="spellEnd"/>
      <w:r w:rsidRPr="00C236AD">
        <w:rPr>
          <w:rFonts w:cs="Arial"/>
          <w:b/>
          <w:bCs/>
          <w:sz w:val="24"/>
          <w:szCs w:val="24"/>
          <w:lang w:val="en-GB"/>
        </w:rPr>
        <w:t xml:space="preserve"> Analysis of the Financial Statements</w:t>
      </w:r>
      <w:r w:rsidR="003E59E5" w:rsidRPr="00C236AD">
        <w:rPr>
          <w:rFonts w:cs="Arial"/>
          <w:b/>
          <w:bCs/>
          <w:sz w:val="24"/>
          <w:szCs w:val="24"/>
          <w:lang w:val="en-GB"/>
        </w:rPr>
        <w:t xml:space="preserve"> </w:t>
      </w:r>
      <w:r w:rsidR="003E59E5" w:rsidRPr="00C236AD">
        <w:rPr>
          <w:rFonts w:cs="Arial"/>
          <w:b/>
          <w:bCs/>
          <w:sz w:val="24"/>
          <w:szCs w:val="24"/>
        </w:rPr>
        <w:t>over the past five years</w:t>
      </w:r>
    </w:p>
    <w:p w14:paraId="02AA3A64" w14:textId="1EC51DBB" w:rsidR="008B27CF" w:rsidRPr="00C236AD" w:rsidRDefault="003E59E5" w:rsidP="00C236AD">
      <w:pPr>
        <w:spacing w:after="0" w:line="360" w:lineRule="auto"/>
        <w:jc w:val="both"/>
        <w:rPr>
          <w:rFonts w:cs="Arial"/>
          <w:sz w:val="24"/>
          <w:szCs w:val="24"/>
        </w:rPr>
      </w:pPr>
      <w:r w:rsidRPr="00C236AD">
        <w:rPr>
          <w:rFonts w:cs="Arial"/>
          <w:sz w:val="24"/>
          <w:szCs w:val="24"/>
        </w:rPr>
        <w:t>The f</w:t>
      </w:r>
      <w:r w:rsidR="008B27CF" w:rsidRPr="00C236AD">
        <w:rPr>
          <w:rFonts w:cs="Arial"/>
          <w:sz w:val="24"/>
          <w:szCs w:val="24"/>
        </w:rPr>
        <w:t>inancial statements provide the empirical foundation for performance assessment.</w:t>
      </w:r>
      <w:r w:rsidR="00B42BA8">
        <w:rPr>
          <w:rFonts w:cs="Arial"/>
          <w:sz w:val="24"/>
          <w:szCs w:val="24"/>
        </w:rPr>
        <w:t xml:space="preserve"> </w:t>
      </w:r>
      <w:r w:rsidR="00B42BA8" w:rsidRPr="00B42BA8">
        <w:rPr>
          <w:rFonts w:cs="Arial"/>
          <w:sz w:val="24"/>
          <w:szCs w:val="24"/>
        </w:rPr>
        <w:t>Financial statement analysis provides a basis for assessing profitability, liquidity, financial risk and the efficiency of capital allocation (Brealey, Myers and Allen, 2020).</w:t>
      </w:r>
      <w:r w:rsidR="008B27CF" w:rsidRPr="00C236AD">
        <w:rPr>
          <w:rFonts w:cs="Arial"/>
          <w:sz w:val="24"/>
          <w:szCs w:val="24"/>
        </w:rPr>
        <w:t xml:space="preserve"> </w:t>
      </w:r>
      <w:r w:rsidR="00BC323F" w:rsidRPr="00C236AD">
        <w:rPr>
          <w:rFonts w:cs="Arial"/>
          <w:sz w:val="24"/>
          <w:szCs w:val="24"/>
        </w:rPr>
        <w:t xml:space="preserve">Firs, </w:t>
      </w:r>
      <w:r w:rsidRPr="00C236AD">
        <w:rPr>
          <w:rFonts w:cs="Arial"/>
          <w:sz w:val="24"/>
          <w:szCs w:val="24"/>
        </w:rPr>
        <w:t>t</w:t>
      </w:r>
      <w:r w:rsidR="008B27CF" w:rsidRPr="00C236AD">
        <w:rPr>
          <w:rFonts w:cs="Arial"/>
          <w:sz w:val="24"/>
          <w:szCs w:val="24"/>
        </w:rPr>
        <w:t xml:space="preserve">he income statement shows revenue and profit generation. </w:t>
      </w:r>
      <w:r w:rsidR="00BC323F" w:rsidRPr="00C236AD">
        <w:rPr>
          <w:rFonts w:cs="Arial"/>
          <w:sz w:val="24"/>
          <w:szCs w:val="24"/>
        </w:rPr>
        <w:t>Next, t</w:t>
      </w:r>
      <w:r w:rsidR="008B27CF" w:rsidRPr="00C236AD">
        <w:rPr>
          <w:rFonts w:cs="Arial"/>
          <w:sz w:val="24"/>
          <w:szCs w:val="24"/>
        </w:rPr>
        <w:t>he balance sheet reveals capital structure and solvency.</w:t>
      </w:r>
      <w:r w:rsidR="00BC323F" w:rsidRPr="00C236AD">
        <w:rPr>
          <w:rFonts w:cs="Arial"/>
          <w:sz w:val="24"/>
          <w:szCs w:val="24"/>
        </w:rPr>
        <w:t xml:space="preserve"> Finally, t</w:t>
      </w:r>
      <w:r w:rsidR="008B27CF" w:rsidRPr="00C236AD">
        <w:rPr>
          <w:rFonts w:cs="Arial"/>
          <w:sz w:val="24"/>
          <w:szCs w:val="24"/>
        </w:rPr>
        <w:t>he cash flow statement indicates earnings quality and capital allocation. Together they demonstrate how Marriott’s asset</w:t>
      </w:r>
      <w:r w:rsidR="00ED72CF">
        <w:rPr>
          <w:rFonts w:cs="Arial"/>
          <w:sz w:val="24"/>
          <w:szCs w:val="24"/>
        </w:rPr>
        <w:t>-</w:t>
      </w:r>
      <w:r w:rsidR="008B27CF" w:rsidRPr="00C236AD">
        <w:rPr>
          <w:rFonts w:cs="Arial"/>
          <w:sz w:val="24"/>
          <w:szCs w:val="24"/>
        </w:rPr>
        <w:t>light model translates into financial results.</w:t>
      </w:r>
    </w:p>
    <w:p w14:paraId="578EBA9C" w14:textId="77777777" w:rsidR="008B27CF" w:rsidRPr="00C236AD" w:rsidRDefault="008B27CF" w:rsidP="00C236AD">
      <w:pPr>
        <w:spacing w:after="0" w:line="360" w:lineRule="auto"/>
        <w:jc w:val="both"/>
        <w:rPr>
          <w:rFonts w:cs="Arial"/>
          <w:b/>
          <w:bCs/>
          <w:sz w:val="24"/>
          <w:szCs w:val="24"/>
        </w:rPr>
      </w:pPr>
      <w:r w:rsidRPr="00C236AD">
        <w:rPr>
          <w:rFonts w:cs="Arial"/>
          <w:b/>
          <w:bCs/>
          <w:sz w:val="24"/>
          <w:szCs w:val="24"/>
        </w:rPr>
        <w:t xml:space="preserve">Revenue and Profitability  </w:t>
      </w:r>
    </w:p>
    <w:p w14:paraId="3E4A2F1E" w14:textId="077DA4D6" w:rsidR="008B27CF" w:rsidRPr="00C236AD" w:rsidRDefault="00BC323F" w:rsidP="00C236AD">
      <w:pPr>
        <w:spacing w:after="0" w:line="360" w:lineRule="auto"/>
        <w:jc w:val="both"/>
        <w:rPr>
          <w:rFonts w:cs="Arial"/>
          <w:sz w:val="24"/>
          <w:szCs w:val="24"/>
        </w:rPr>
      </w:pPr>
      <w:r w:rsidRPr="00C236AD">
        <w:rPr>
          <w:rFonts w:cs="Arial"/>
          <w:sz w:val="24"/>
          <w:szCs w:val="24"/>
        </w:rPr>
        <w:t>Revenue almost doubled, from $13,857m in 2021 to $26,186m in 2025. This was driven by the rebound in travel and 4.3% net rooms growth (Marriott International, 2022; 2026). Operating income also climbed, from $1,750m to $4,141m. There was a dip in 2024 linked to cost inflation, before recovering (Marriott International, 2022; 2025). Net income hit $3,083m in 2023, dropped to $2,375m in 2024, then bounced back to $2,601m in 2025 (Marriott International, 2024</w:t>
      </w:r>
      <w:r w:rsidR="00ED72CF">
        <w:rPr>
          <w:rFonts w:cs="Arial"/>
          <w:sz w:val="24"/>
          <w:szCs w:val="24"/>
        </w:rPr>
        <w:t>-</w:t>
      </w:r>
      <w:r w:rsidRPr="00C236AD">
        <w:rPr>
          <w:rFonts w:cs="Arial"/>
          <w:sz w:val="24"/>
          <w:szCs w:val="24"/>
        </w:rPr>
        <w:t>2026). Diluted EPS followed a similar path: $3.34 in 2021 up to $9.51 in 2025 (Marriott International, 2022; 2026). Adjusted EBITDA reached $5,383m. By year</w:t>
      </w:r>
      <w:r w:rsidR="00ED72CF">
        <w:rPr>
          <w:rFonts w:cs="Arial"/>
          <w:sz w:val="24"/>
          <w:szCs w:val="24"/>
        </w:rPr>
        <w:t>-</w:t>
      </w:r>
      <w:r w:rsidRPr="00C236AD">
        <w:rPr>
          <w:rFonts w:cs="Arial"/>
          <w:sz w:val="24"/>
          <w:szCs w:val="24"/>
        </w:rPr>
        <w:t>end 2025 Marriott ran 9,805 properties with 1.78m rooms, less than 1% owned, plus a pipeline of 610,000 rooms (Marriott International, 2026).</w:t>
      </w:r>
      <w:r w:rsidR="00B42BA8" w:rsidRPr="00B42BA8">
        <w:t xml:space="preserve"> </w:t>
      </w:r>
      <w:r w:rsidR="00B42BA8" w:rsidRPr="00B42BA8">
        <w:rPr>
          <w:rFonts w:cs="Arial"/>
          <w:sz w:val="24"/>
          <w:szCs w:val="24"/>
        </w:rPr>
        <w:t xml:space="preserve">The improvement in profitability is particularly important for an asset-light business because the model can generate relatively </w:t>
      </w:r>
      <w:r w:rsidR="00B42BA8" w:rsidRPr="00B42BA8">
        <w:rPr>
          <w:rFonts w:cs="Arial"/>
          <w:sz w:val="24"/>
          <w:szCs w:val="24"/>
        </w:rPr>
        <w:lastRenderedPageBreak/>
        <w:t xml:space="preserve">high returns while requiring less direct investment in hotel assets (Ross, </w:t>
      </w:r>
      <w:proofErr w:type="spellStart"/>
      <w:r w:rsidR="00B42BA8" w:rsidRPr="00B42BA8">
        <w:rPr>
          <w:rFonts w:cs="Arial"/>
          <w:sz w:val="24"/>
          <w:szCs w:val="24"/>
        </w:rPr>
        <w:t>Westerfield</w:t>
      </w:r>
      <w:proofErr w:type="spellEnd"/>
      <w:r w:rsidR="00B42BA8" w:rsidRPr="00B42BA8">
        <w:rPr>
          <w:rFonts w:cs="Arial"/>
          <w:sz w:val="24"/>
          <w:szCs w:val="24"/>
        </w:rPr>
        <w:t xml:space="preserve"> and Jordan, 2022).</w:t>
      </w:r>
    </w:p>
    <w:p w14:paraId="3EFE5975" w14:textId="77777777" w:rsidR="008B27CF" w:rsidRPr="00C236AD" w:rsidRDefault="008B27CF" w:rsidP="00C236AD">
      <w:pPr>
        <w:spacing w:after="0" w:line="360" w:lineRule="auto"/>
        <w:jc w:val="both"/>
        <w:rPr>
          <w:rFonts w:cs="Arial"/>
          <w:b/>
          <w:bCs/>
          <w:sz w:val="24"/>
          <w:szCs w:val="24"/>
        </w:rPr>
      </w:pPr>
      <w:r w:rsidRPr="00C236AD">
        <w:rPr>
          <w:rFonts w:cs="Arial"/>
          <w:b/>
          <w:bCs/>
          <w:sz w:val="24"/>
          <w:szCs w:val="24"/>
        </w:rPr>
        <w:t xml:space="preserve">Balance Sheet and Cash Flow  </w:t>
      </w:r>
    </w:p>
    <w:p w14:paraId="24A27063" w14:textId="656CC943" w:rsidR="008B27CF" w:rsidRPr="00C236AD" w:rsidRDefault="00BC323F" w:rsidP="00C236AD">
      <w:pPr>
        <w:spacing w:after="0" w:line="360" w:lineRule="auto"/>
        <w:jc w:val="both"/>
        <w:rPr>
          <w:rFonts w:cs="Arial"/>
          <w:sz w:val="24"/>
          <w:szCs w:val="24"/>
        </w:rPr>
      </w:pPr>
      <w:r w:rsidRPr="00C236AD">
        <w:rPr>
          <w:rFonts w:cs="Arial"/>
          <w:sz w:val="24"/>
          <w:szCs w:val="24"/>
        </w:rPr>
        <w:t>Total assets stood at $27,540m in 2025 (Marriott International, 2026). Debt is the main change. It went from $10,138m in 2021 to $16,204m in 2025 after several senior note issues (Marriott International, 2022; 2026). Cash was only $358m. Equity turned negative at $(</w:t>
      </w:r>
      <w:proofErr w:type="gramStart"/>
      <w:r w:rsidRPr="00C236AD">
        <w:rPr>
          <w:rFonts w:cs="Arial"/>
          <w:sz w:val="24"/>
          <w:szCs w:val="24"/>
        </w:rPr>
        <w:t>3,771)m</w:t>
      </w:r>
      <w:proofErr w:type="gramEnd"/>
      <w:r w:rsidRPr="00C236AD">
        <w:rPr>
          <w:rFonts w:cs="Arial"/>
          <w:sz w:val="24"/>
          <w:szCs w:val="24"/>
        </w:rPr>
        <w:t>, largely because Marriott spent $3.3bn on buybacks in 2025 alone (Marriott International, 2026). The current ratio sat at 0.43. On cash, operations generated $3,212m in 2025 versus $1,177m in 2021, while capex stayed low at $604m (Marriott International, 2022; 2026). Between 2023</w:t>
      </w:r>
      <w:r w:rsidR="00ED72CF">
        <w:rPr>
          <w:rFonts w:cs="Arial"/>
          <w:sz w:val="24"/>
          <w:szCs w:val="24"/>
        </w:rPr>
        <w:t>-</w:t>
      </w:r>
      <w:r w:rsidRPr="00C236AD">
        <w:rPr>
          <w:rFonts w:cs="Arial"/>
          <w:sz w:val="24"/>
          <w:szCs w:val="24"/>
        </w:rPr>
        <w:t>2025 the company returned $11.0bn through buybacks and $1.99bn in dividends. A $4.5bn revolving facility backs liquidity (Marriott International, 2026).</w:t>
      </w:r>
    </w:p>
    <w:p w14:paraId="693976AF" w14:textId="5E0DCB1F" w:rsidR="002C7A45" w:rsidRPr="00C236AD" w:rsidRDefault="00000000" w:rsidP="00C236AD">
      <w:pPr>
        <w:spacing w:after="0" w:line="360" w:lineRule="auto"/>
        <w:jc w:val="both"/>
        <w:rPr>
          <w:rFonts w:cs="Arial"/>
          <w:b/>
          <w:bCs/>
          <w:sz w:val="24"/>
          <w:szCs w:val="24"/>
          <w:lang w:val="en-GB"/>
        </w:rPr>
      </w:pPr>
      <w:r w:rsidRPr="00C236AD">
        <w:rPr>
          <w:rFonts w:cs="Arial"/>
          <w:b/>
          <w:bCs/>
          <w:sz w:val="24"/>
          <w:szCs w:val="24"/>
          <w:lang w:val="en-GB"/>
        </w:rPr>
        <w:t>1.b Comprehensive Ratio Analysis</w:t>
      </w:r>
    </w:p>
    <w:p w14:paraId="17057DB7" w14:textId="3E3ABA54" w:rsidR="002C7A45" w:rsidRPr="00C236AD" w:rsidRDefault="008B27CF" w:rsidP="00C236AD">
      <w:pPr>
        <w:spacing w:after="0" w:line="360" w:lineRule="auto"/>
        <w:jc w:val="both"/>
        <w:rPr>
          <w:rFonts w:cs="Arial"/>
          <w:b/>
          <w:bCs/>
          <w:sz w:val="24"/>
          <w:szCs w:val="24"/>
          <w:lang w:val="en-GB"/>
        </w:rPr>
      </w:pPr>
      <w:r w:rsidRPr="00C236AD">
        <w:rPr>
          <w:rFonts w:cs="Arial"/>
          <w:sz w:val="24"/>
          <w:szCs w:val="24"/>
        </w:rPr>
        <w:t xml:space="preserve">Ratio analysis provides a structured method to interpret financial statements across key dimensions. By </w:t>
      </w:r>
      <w:proofErr w:type="spellStart"/>
      <w:r w:rsidRPr="00C236AD">
        <w:rPr>
          <w:rFonts w:cs="Arial"/>
          <w:sz w:val="24"/>
          <w:szCs w:val="24"/>
        </w:rPr>
        <w:t>categorising</w:t>
      </w:r>
      <w:proofErr w:type="spellEnd"/>
      <w:r w:rsidRPr="00C236AD">
        <w:rPr>
          <w:rFonts w:cs="Arial"/>
          <w:sz w:val="24"/>
          <w:szCs w:val="24"/>
        </w:rPr>
        <w:t xml:space="preserve"> ratios into profitability, liquidity, efficiency, leverage and investment, this subsection evaluates Marriott’s operational effectiveness, short</w:t>
      </w:r>
      <w:r w:rsidR="00ED72CF">
        <w:rPr>
          <w:rFonts w:cs="Arial"/>
          <w:sz w:val="24"/>
          <w:szCs w:val="24"/>
        </w:rPr>
        <w:t>-</w:t>
      </w:r>
      <w:r w:rsidRPr="00C236AD">
        <w:rPr>
          <w:rFonts w:cs="Arial"/>
          <w:sz w:val="24"/>
          <w:szCs w:val="24"/>
        </w:rPr>
        <w:t xml:space="preserve">term solvency, asset </w:t>
      </w:r>
      <w:proofErr w:type="spellStart"/>
      <w:r w:rsidRPr="00C236AD">
        <w:rPr>
          <w:rFonts w:cs="Arial"/>
          <w:sz w:val="24"/>
          <w:szCs w:val="24"/>
        </w:rPr>
        <w:t>utilisation</w:t>
      </w:r>
      <w:proofErr w:type="spellEnd"/>
      <w:r w:rsidRPr="00C236AD">
        <w:rPr>
          <w:rFonts w:cs="Arial"/>
          <w:sz w:val="24"/>
          <w:szCs w:val="24"/>
        </w:rPr>
        <w:t>, financial risk and market valuation. All ratios are calculated from Marriott</w:t>
      </w:r>
      <w:r w:rsidR="00BC323F" w:rsidRPr="00C236AD">
        <w:rPr>
          <w:rFonts w:cs="Arial"/>
          <w:sz w:val="24"/>
          <w:szCs w:val="24"/>
        </w:rPr>
        <w:t xml:space="preserve"> annual reports </w:t>
      </w:r>
      <w:r w:rsidRPr="00C236AD">
        <w:rPr>
          <w:rFonts w:cs="Arial"/>
          <w:sz w:val="24"/>
          <w:szCs w:val="24"/>
        </w:rPr>
        <w:t>(Marriott International, 2022</w:t>
      </w:r>
      <w:r w:rsidR="00ED72CF">
        <w:rPr>
          <w:rFonts w:cs="Arial"/>
          <w:sz w:val="24"/>
          <w:szCs w:val="24"/>
        </w:rPr>
        <w:t>-</w:t>
      </w:r>
      <w:r w:rsidRPr="00C236AD">
        <w:rPr>
          <w:rFonts w:cs="Arial"/>
          <w:sz w:val="24"/>
          <w:szCs w:val="24"/>
        </w:rPr>
        <w:t xml:space="preserve">2026). </w:t>
      </w:r>
    </w:p>
    <w:p w14:paraId="48B4940C" w14:textId="77777777" w:rsidR="002C7A45" w:rsidRPr="00C236AD" w:rsidRDefault="002C7A45" w:rsidP="00C236AD">
      <w:pPr>
        <w:spacing w:after="0" w:line="360" w:lineRule="auto"/>
        <w:jc w:val="both"/>
        <w:rPr>
          <w:rFonts w:cs="Arial"/>
          <w:b/>
          <w:bCs/>
          <w:sz w:val="24"/>
          <w:szCs w:val="24"/>
          <w:lang w:val="en-GB"/>
        </w:rPr>
      </w:pPr>
      <w:r w:rsidRPr="00C236AD">
        <w:rPr>
          <w:rFonts w:cs="Arial"/>
          <w:b/>
          <w:bCs/>
          <w:sz w:val="24"/>
          <w:szCs w:val="24"/>
          <w:lang w:val="en-GB"/>
        </w:rPr>
        <w:t>A. Profitability Ratios</w:t>
      </w:r>
    </w:p>
    <w:p w14:paraId="5B7EBA4B" w14:textId="377A4DD3" w:rsidR="008B27CF" w:rsidRPr="00C236AD" w:rsidRDefault="008B27CF" w:rsidP="00C236AD">
      <w:pPr>
        <w:spacing w:after="0" w:line="360" w:lineRule="auto"/>
        <w:jc w:val="both"/>
        <w:rPr>
          <w:rFonts w:cs="Arial"/>
          <w:sz w:val="24"/>
          <w:szCs w:val="24"/>
          <w:lang w:val="en-GB"/>
        </w:rPr>
      </w:pPr>
      <w:r w:rsidRPr="00C236AD">
        <w:rPr>
          <w:rFonts w:cs="Arial"/>
          <w:sz w:val="24"/>
          <w:szCs w:val="24"/>
        </w:rPr>
        <w:t>These ratios assess the ability to convert revenue into earnings and to generate returns on capital. They are central to evaluating the efficiency of Marriott’s fee</w:t>
      </w:r>
      <w:r w:rsidR="00ED72CF">
        <w:rPr>
          <w:rFonts w:cs="Arial"/>
          <w:sz w:val="24"/>
          <w:szCs w:val="24"/>
        </w:rPr>
        <w:t>-</w:t>
      </w:r>
      <w:r w:rsidRPr="00C236AD">
        <w:rPr>
          <w:rFonts w:cs="Arial"/>
          <w:sz w:val="24"/>
          <w:szCs w:val="24"/>
        </w:rPr>
        <w:t>based model.</w:t>
      </w:r>
    </w:p>
    <w:p w14:paraId="1761F3F9" w14:textId="625570AA" w:rsidR="007A01C8" w:rsidRPr="00C236AD" w:rsidRDefault="007A01C8" w:rsidP="00C236AD">
      <w:pPr>
        <w:spacing w:after="0" w:line="360" w:lineRule="auto"/>
        <w:jc w:val="both"/>
        <w:rPr>
          <w:rFonts w:cs="Arial"/>
          <w:sz w:val="24"/>
          <w:szCs w:val="24"/>
        </w:rPr>
      </w:pPr>
      <w:bookmarkStart w:id="1" w:name="_Hlk237444509"/>
      <w:r w:rsidRPr="00C236AD">
        <w:rPr>
          <w:rFonts w:cs="Arial"/>
          <w:b/>
          <w:bCs/>
          <w:sz w:val="24"/>
          <w:szCs w:val="24"/>
          <w:u w:val="single"/>
          <w:lang w:val="en-GB"/>
        </w:rPr>
        <w:t>Table</w:t>
      </w:r>
      <w:r w:rsidR="00674BAF">
        <w:rPr>
          <w:rFonts w:cs="Arial"/>
          <w:b/>
          <w:bCs/>
          <w:sz w:val="24"/>
          <w:szCs w:val="24"/>
          <w:u w:val="single"/>
          <w:lang w:val="en-GB"/>
        </w:rPr>
        <w:t xml:space="preserve"> 1</w:t>
      </w:r>
      <w:r w:rsidRPr="00C236AD">
        <w:rPr>
          <w:rFonts w:cs="Arial"/>
          <w:b/>
          <w:bCs/>
          <w:sz w:val="24"/>
          <w:szCs w:val="24"/>
          <w:u w:val="single"/>
          <w:lang w:val="en-GB"/>
        </w:rPr>
        <w:t>:</w:t>
      </w:r>
      <w:r w:rsidRPr="00C236AD">
        <w:rPr>
          <w:rFonts w:cs="Arial"/>
          <w:b/>
          <w:bCs/>
          <w:sz w:val="24"/>
          <w:szCs w:val="24"/>
          <w:lang w:val="en-GB"/>
        </w:rPr>
        <w:t xml:space="preserve"> </w:t>
      </w:r>
      <w:r w:rsidR="00455722" w:rsidRPr="00C236AD">
        <w:rPr>
          <w:rFonts w:cs="Arial"/>
          <w:b/>
          <w:bCs/>
          <w:sz w:val="24"/>
          <w:szCs w:val="24"/>
          <w:lang w:val="en-GB"/>
        </w:rPr>
        <w:t>P</w:t>
      </w:r>
      <w:r w:rsidRPr="00C236AD">
        <w:rPr>
          <w:rFonts w:cs="Arial"/>
          <w:b/>
          <w:bCs/>
          <w:sz w:val="24"/>
          <w:szCs w:val="24"/>
          <w:lang w:val="en-GB"/>
        </w:rPr>
        <w:t>rofitability ratios</w:t>
      </w:r>
      <w:r w:rsidR="008B27CF" w:rsidRPr="00C236AD">
        <w:rPr>
          <w:rFonts w:cs="Arial"/>
          <w:sz w:val="24"/>
          <w:szCs w:val="24"/>
        </w:rPr>
        <w:t xml:space="preserve"> 2021</w:t>
      </w:r>
      <w:r w:rsidR="00ED72CF">
        <w:rPr>
          <w:rFonts w:cs="Arial"/>
          <w:sz w:val="24"/>
          <w:szCs w:val="24"/>
        </w:rPr>
        <w:t>-</w:t>
      </w:r>
      <w:r w:rsidR="008B27CF" w:rsidRPr="00C236AD">
        <w:rPr>
          <w:rFonts w:cs="Arial"/>
          <w:sz w:val="24"/>
          <w:szCs w:val="24"/>
        </w:rPr>
        <w:t xml:space="preserve">2025  </w:t>
      </w:r>
    </w:p>
    <w:tbl>
      <w:tblPr>
        <w:tblW w:w="8740" w:type="dxa"/>
        <w:tblCellSpacing w:w="15" w:type="dxa"/>
        <w:tblCellMar>
          <w:top w:w="15" w:type="dxa"/>
          <w:left w:w="15" w:type="dxa"/>
          <w:bottom w:w="15" w:type="dxa"/>
          <w:right w:w="15" w:type="dxa"/>
        </w:tblCellMar>
        <w:tblLook w:val="04A0" w:firstRow="1" w:lastRow="0" w:firstColumn="1" w:lastColumn="0" w:noHBand="0" w:noVBand="1"/>
      </w:tblPr>
      <w:tblGrid>
        <w:gridCol w:w="3229"/>
        <w:gridCol w:w="1100"/>
        <w:gridCol w:w="1099"/>
        <w:gridCol w:w="1099"/>
        <w:gridCol w:w="1099"/>
        <w:gridCol w:w="1114"/>
      </w:tblGrid>
      <w:tr w:rsidR="007A01C8" w:rsidRPr="00C236AD" w14:paraId="5186D3EF" w14:textId="77777777" w:rsidTr="00F00090">
        <w:trPr>
          <w:trHeight w:val="467"/>
          <w:tblHeader/>
          <w:tblCellSpacing w:w="15" w:type="dxa"/>
        </w:trPr>
        <w:tc>
          <w:tcPr>
            <w:tcW w:w="0" w:type="auto"/>
            <w:tcBorders>
              <w:top w:val="thinThickSmallGap" w:sz="24" w:space="0" w:color="auto"/>
              <w:bottom w:val="thickThinSmallGap" w:sz="24" w:space="0" w:color="auto"/>
            </w:tcBorders>
            <w:vAlign w:val="center"/>
            <w:hideMark/>
          </w:tcPr>
          <w:bookmarkEnd w:id="1"/>
          <w:p w14:paraId="23D94FF4"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Ratio</w:t>
            </w:r>
          </w:p>
        </w:tc>
        <w:tc>
          <w:tcPr>
            <w:tcW w:w="0" w:type="auto"/>
            <w:tcBorders>
              <w:top w:val="thinThickSmallGap" w:sz="24" w:space="0" w:color="auto"/>
              <w:bottom w:val="thickThinSmallGap" w:sz="24" w:space="0" w:color="auto"/>
            </w:tcBorders>
            <w:vAlign w:val="center"/>
            <w:hideMark/>
          </w:tcPr>
          <w:p w14:paraId="62DD1BD4"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2021</w:t>
            </w:r>
          </w:p>
        </w:tc>
        <w:tc>
          <w:tcPr>
            <w:tcW w:w="0" w:type="auto"/>
            <w:tcBorders>
              <w:top w:val="thinThickSmallGap" w:sz="24" w:space="0" w:color="auto"/>
              <w:bottom w:val="thickThinSmallGap" w:sz="24" w:space="0" w:color="auto"/>
            </w:tcBorders>
            <w:vAlign w:val="center"/>
            <w:hideMark/>
          </w:tcPr>
          <w:p w14:paraId="57818C33"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2022</w:t>
            </w:r>
          </w:p>
        </w:tc>
        <w:tc>
          <w:tcPr>
            <w:tcW w:w="0" w:type="auto"/>
            <w:tcBorders>
              <w:top w:val="thinThickSmallGap" w:sz="24" w:space="0" w:color="auto"/>
              <w:bottom w:val="thickThinSmallGap" w:sz="24" w:space="0" w:color="auto"/>
            </w:tcBorders>
            <w:vAlign w:val="center"/>
            <w:hideMark/>
          </w:tcPr>
          <w:p w14:paraId="1FEC67DB"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2023</w:t>
            </w:r>
          </w:p>
        </w:tc>
        <w:tc>
          <w:tcPr>
            <w:tcW w:w="0" w:type="auto"/>
            <w:tcBorders>
              <w:top w:val="thinThickSmallGap" w:sz="24" w:space="0" w:color="auto"/>
              <w:bottom w:val="thickThinSmallGap" w:sz="24" w:space="0" w:color="auto"/>
            </w:tcBorders>
            <w:vAlign w:val="center"/>
            <w:hideMark/>
          </w:tcPr>
          <w:p w14:paraId="4B59028B"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2024</w:t>
            </w:r>
          </w:p>
        </w:tc>
        <w:tc>
          <w:tcPr>
            <w:tcW w:w="0" w:type="auto"/>
            <w:tcBorders>
              <w:top w:val="thinThickSmallGap" w:sz="24" w:space="0" w:color="auto"/>
              <w:bottom w:val="thickThinSmallGap" w:sz="24" w:space="0" w:color="auto"/>
            </w:tcBorders>
            <w:vAlign w:val="center"/>
            <w:hideMark/>
          </w:tcPr>
          <w:p w14:paraId="30C35B00"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2025</w:t>
            </w:r>
          </w:p>
        </w:tc>
      </w:tr>
      <w:tr w:rsidR="007A01C8" w:rsidRPr="00C236AD" w14:paraId="38490A5E" w14:textId="77777777" w:rsidTr="00F00090">
        <w:trPr>
          <w:trHeight w:val="477"/>
          <w:tblCellSpacing w:w="15" w:type="dxa"/>
        </w:trPr>
        <w:tc>
          <w:tcPr>
            <w:tcW w:w="0" w:type="auto"/>
            <w:vAlign w:val="center"/>
            <w:hideMark/>
          </w:tcPr>
          <w:p w14:paraId="3C7D55DC"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Net Profit Margin</w:t>
            </w:r>
          </w:p>
        </w:tc>
        <w:tc>
          <w:tcPr>
            <w:tcW w:w="0" w:type="auto"/>
            <w:vAlign w:val="center"/>
            <w:hideMark/>
          </w:tcPr>
          <w:p w14:paraId="2F53B130"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7.93%</w:t>
            </w:r>
          </w:p>
        </w:tc>
        <w:tc>
          <w:tcPr>
            <w:tcW w:w="0" w:type="auto"/>
            <w:vAlign w:val="center"/>
            <w:hideMark/>
          </w:tcPr>
          <w:p w14:paraId="38C1573A"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11.35%</w:t>
            </w:r>
          </w:p>
        </w:tc>
        <w:tc>
          <w:tcPr>
            <w:tcW w:w="0" w:type="auto"/>
            <w:vAlign w:val="center"/>
            <w:hideMark/>
          </w:tcPr>
          <w:p w14:paraId="6C3C2F46"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13.00%</w:t>
            </w:r>
          </w:p>
        </w:tc>
        <w:tc>
          <w:tcPr>
            <w:tcW w:w="0" w:type="auto"/>
            <w:vAlign w:val="center"/>
            <w:hideMark/>
          </w:tcPr>
          <w:p w14:paraId="5BEE7D26"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9.46%</w:t>
            </w:r>
          </w:p>
        </w:tc>
        <w:tc>
          <w:tcPr>
            <w:tcW w:w="0" w:type="auto"/>
            <w:vAlign w:val="center"/>
            <w:hideMark/>
          </w:tcPr>
          <w:p w14:paraId="67440A39"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9.93%</w:t>
            </w:r>
          </w:p>
        </w:tc>
      </w:tr>
      <w:tr w:rsidR="007A01C8" w:rsidRPr="00C236AD" w14:paraId="27153DD7" w14:textId="77777777" w:rsidTr="00F00090">
        <w:trPr>
          <w:trHeight w:val="477"/>
          <w:tblCellSpacing w:w="15" w:type="dxa"/>
        </w:trPr>
        <w:tc>
          <w:tcPr>
            <w:tcW w:w="0" w:type="auto"/>
            <w:vAlign w:val="center"/>
            <w:hideMark/>
          </w:tcPr>
          <w:p w14:paraId="651F93EF"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Operating Profit Margin</w:t>
            </w:r>
          </w:p>
        </w:tc>
        <w:tc>
          <w:tcPr>
            <w:tcW w:w="0" w:type="auto"/>
            <w:vAlign w:val="center"/>
            <w:hideMark/>
          </w:tcPr>
          <w:p w14:paraId="077B2539"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12.63%</w:t>
            </w:r>
          </w:p>
        </w:tc>
        <w:tc>
          <w:tcPr>
            <w:tcW w:w="0" w:type="auto"/>
            <w:vAlign w:val="center"/>
            <w:hideMark/>
          </w:tcPr>
          <w:p w14:paraId="1A4FB6AE"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16.67%</w:t>
            </w:r>
          </w:p>
        </w:tc>
        <w:tc>
          <w:tcPr>
            <w:tcW w:w="0" w:type="auto"/>
            <w:vAlign w:val="center"/>
            <w:hideMark/>
          </w:tcPr>
          <w:p w14:paraId="7F1FE2CF"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16.29%</w:t>
            </w:r>
          </w:p>
        </w:tc>
        <w:tc>
          <w:tcPr>
            <w:tcW w:w="0" w:type="auto"/>
            <w:vAlign w:val="center"/>
            <w:hideMark/>
          </w:tcPr>
          <w:p w14:paraId="054D28D9"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15.01%</w:t>
            </w:r>
          </w:p>
        </w:tc>
        <w:tc>
          <w:tcPr>
            <w:tcW w:w="0" w:type="auto"/>
            <w:vAlign w:val="center"/>
            <w:hideMark/>
          </w:tcPr>
          <w:p w14:paraId="7C24B3DE"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15.82%</w:t>
            </w:r>
          </w:p>
        </w:tc>
      </w:tr>
      <w:tr w:rsidR="007A01C8" w:rsidRPr="00C236AD" w14:paraId="30E60A68" w14:textId="77777777" w:rsidTr="00F00090">
        <w:trPr>
          <w:trHeight w:val="467"/>
          <w:tblCellSpacing w:w="15" w:type="dxa"/>
        </w:trPr>
        <w:tc>
          <w:tcPr>
            <w:tcW w:w="0" w:type="auto"/>
            <w:vAlign w:val="center"/>
            <w:hideMark/>
          </w:tcPr>
          <w:p w14:paraId="74F2340C"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Gross Profit Margin</w:t>
            </w:r>
          </w:p>
        </w:tc>
        <w:tc>
          <w:tcPr>
            <w:tcW w:w="0" w:type="auto"/>
            <w:vAlign w:val="center"/>
            <w:hideMark/>
          </w:tcPr>
          <w:p w14:paraId="0AC3B37D"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20.21%</w:t>
            </w:r>
          </w:p>
        </w:tc>
        <w:tc>
          <w:tcPr>
            <w:tcW w:w="0" w:type="auto"/>
            <w:vAlign w:val="center"/>
            <w:hideMark/>
          </w:tcPr>
          <w:p w14:paraId="10C97118"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21.94%</w:t>
            </w:r>
          </w:p>
        </w:tc>
        <w:tc>
          <w:tcPr>
            <w:tcW w:w="0" w:type="auto"/>
            <w:vAlign w:val="center"/>
            <w:hideMark/>
          </w:tcPr>
          <w:p w14:paraId="1B045F6B"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21.00%</w:t>
            </w:r>
          </w:p>
        </w:tc>
        <w:tc>
          <w:tcPr>
            <w:tcW w:w="0" w:type="auto"/>
            <w:vAlign w:val="center"/>
            <w:hideMark/>
          </w:tcPr>
          <w:p w14:paraId="11CD3A1B"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19.81%</w:t>
            </w:r>
          </w:p>
        </w:tc>
        <w:tc>
          <w:tcPr>
            <w:tcW w:w="0" w:type="auto"/>
            <w:vAlign w:val="center"/>
            <w:hideMark/>
          </w:tcPr>
          <w:p w14:paraId="093AD40F"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19.94%</w:t>
            </w:r>
          </w:p>
        </w:tc>
      </w:tr>
      <w:tr w:rsidR="007A01C8" w:rsidRPr="00C236AD" w14:paraId="69B29BBE" w14:textId="77777777" w:rsidTr="00F00090">
        <w:trPr>
          <w:trHeight w:val="477"/>
          <w:tblCellSpacing w:w="15" w:type="dxa"/>
        </w:trPr>
        <w:tc>
          <w:tcPr>
            <w:tcW w:w="0" w:type="auto"/>
            <w:tcBorders>
              <w:bottom w:val="thickThinSmallGap" w:sz="24" w:space="0" w:color="auto"/>
            </w:tcBorders>
            <w:vAlign w:val="center"/>
            <w:hideMark/>
          </w:tcPr>
          <w:p w14:paraId="042A1226"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ROCE</w:t>
            </w:r>
          </w:p>
        </w:tc>
        <w:tc>
          <w:tcPr>
            <w:tcW w:w="0" w:type="auto"/>
            <w:tcBorders>
              <w:bottom w:val="thickThinSmallGap" w:sz="24" w:space="0" w:color="auto"/>
            </w:tcBorders>
            <w:vAlign w:val="center"/>
            <w:hideMark/>
          </w:tcPr>
          <w:p w14:paraId="5D06F187"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9.14%</w:t>
            </w:r>
          </w:p>
        </w:tc>
        <w:tc>
          <w:tcPr>
            <w:tcW w:w="0" w:type="auto"/>
            <w:tcBorders>
              <w:bottom w:val="thickThinSmallGap" w:sz="24" w:space="0" w:color="auto"/>
            </w:tcBorders>
            <w:vAlign w:val="center"/>
            <w:hideMark/>
          </w:tcPr>
          <w:p w14:paraId="6E6CAAF2"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19.82%</w:t>
            </w:r>
          </w:p>
        </w:tc>
        <w:tc>
          <w:tcPr>
            <w:tcW w:w="0" w:type="auto"/>
            <w:tcBorders>
              <w:bottom w:val="thickThinSmallGap" w:sz="24" w:space="0" w:color="auto"/>
            </w:tcBorders>
            <w:vAlign w:val="center"/>
            <w:hideMark/>
          </w:tcPr>
          <w:p w14:paraId="59E6FD20"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21.57%</w:t>
            </w:r>
          </w:p>
        </w:tc>
        <w:tc>
          <w:tcPr>
            <w:tcW w:w="0" w:type="auto"/>
            <w:tcBorders>
              <w:bottom w:val="thickThinSmallGap" w:sz="24" w:space="0" w:color="auto"/>
            </w:tcBorders>
            <w:vAlign w:val="center"/>
            <w:hideMark/>
          </w:tcPr>
          <w:p w14:paraId="0D898E2B"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21.49%</w:t>
            </w:r>
          </w:p>
        </w:tc>
        <w:tc>
          <w:tcPr>
            <w:tcW w:w="0" w:type="auto"/>
            <w:tcBorders>
              <w:bottom w:val="thickThinSmallGap" w:sz="24" w:space="0" w:color="auto"/>
            </w:tcBorders>
            <w:vAlign w:val="center"/>
            <w:hideMark/>
          </w:tcPr>
          <w:p w14:paraId="711FBD6B" w14:textId="77777777" w:rsidR="007A01C8" w:rsidRPr="00C236AD" w:rsidRDefault="007A01C8" w:rsidP="00C236AD">
            <w:pPr>
              <w:spacing w:after="0" w:line="360" w:lineRule="auto"/>
              <w:jc w:val="both"/>
              <w:rPr>
                <w:rFonts w:cs="Arial"/>
                <w:b/>
                <w:bCs/>
                <w:sz w:val="24"/>
                <w:szCs w:val="24"/>
                <w:lang w:val="en-GB"/>
              </w:rPr>
            </w:pPr>
            <w:r w:rsidRPr="00C236AD">
              <w:rPr>
                <w:rFonts w:cs="Arial"/>
                <w:sz w:val="24"/>
                <w:szCs w:val="24"/>
                <w:lang w:val="en-GB"/>
              </w:rPr>
              <w:t>21.63%</w:t>
            </w:r>
          </w:p>
        </w:tc>
      </w:tr>
    </w:tbl>
    <w:p w14:paraId="0E78E04B" w14:textId="063A1BCD" w:rsidR="008B27CF" w:rsidRPr="00C236AD" w:rsidRDefault="007A01C8" w:rsidP="00C236AD">
      <w:pPr>
        <w:spacing w:after="0" w:line="360" w:lineRule="auto"/>
        <w:jc w:val="both"/>
        <w:rPr>
          <w:rFonts w:cs="Arial"/>
          <w:sz w:val="24"/>
          <w:szCs w:val="24"/>
        </w:rPr>
      </w:pPr>
      <w:r w:rsidRPr="00C236AD">
        <w:rPr>
          <w:rFonts w:cs="Arial"/>
          <w:b/>
          <w:bCs/>
          <w:sz w:val="24"/>
          <w:szCs w:val="24"/>
          <w:u w:val="single"/>
          <w:lang w:val="en-GB"/>
        </w:rPr>
        <w:lastRenderedPageBreak/>
        <w:t>Source:</w:t>
      </w:r>
      <w:r w:rsidR="008B27CF" w:rsidRPr="00C236AD">
        <w:rPr>
          <w:rFonts w:cs="Arial"/>
          <w:b/>
          <w:bCs/>
          <w:sz w:val="24"/>
          <w:szCs w:val="24"/>
          <w:lang w:val="en-GB"/>
        </w:rPr>
        <w:t xml:space="preserve"> Autor</w:t>
      </w:r>
      <w:r w:rsidR="00386400" w:rsidRPr="00C236AD">
        <w:rPr>
          <w:rFonts w:cs="Arial"/>
          <w:b/>
          <w:bCs/>
          <w:sz w:val="24"/>
          <w:szCs w:val="24"/>
          <w:lang w:val="en-GB"/>
        </w:rPr>
        <w:t>’s</w:t>
      </w:r>
      <w:r w:rsidR="008B27CF" w:rsidRPr="00C236AD">
        <w:rPr>
          <w:rFonts w:cs="Arial"/>
          <w:b/>
          <w:bCs/>
          <w:sz w:val="24"/>
          <w:szCs w:val="24"/>
          <w:lang w:val="en-GB"/>
        </w:rPr>
        <w:t xml:space="preserve"> calculation</w:t>
      </w:r>
      <w:r w:rsidR="008719B4" w:rsidRPr="00C236AD">
        <w:rPr>
          <w:rFonts w:cs="Arial"/>
          <w:b/>
          <w:bCs/>
          <w:sz w:val="24"/>
          <w:szCs w:val="24"/>
          <w:lang w:val="en-GB"/>
        </w:rPr>
        <w:t>s</w:t>
      </w:r>
      <w:r w:rsidR="008B27CF" w:rsidRPr="00C236AD">
        <w:rPr>
          <w:rFonts w:cs="Arial"/>
          <w:sz w:val="24"/>
          <w:szCs w:val="24"/>
        </w:rPr>
        <w:t xml:space="preserve"> from Marriott International annual report 202</w:t>
      </w:r>
      <w:r w:rsidR="00ED72CF">
        <w:rPr>
          <w:rFonts w:cs="Arial"/>
          <w:sz w:val="24"/>
          <w:szCs w:val="24"/>
        </w:rPr>
        <w:t>-</w:t>
      </w:r>
      <w:r w:rsidR="008B27CF" w:rsidRPr="00C236AD">
        <w:rPr>
          <w:rFonts w:cs="Arial"/>
          <w:sz w:val="24"/>
          <w:szCs w:val="24"/>
        </w:rPr>
        <w:t>202</w:t>
      </w:r>
      <w:r w:rsidR="00386400" w:rsidRPr="00C236AD">
        <w:rPr>
          <w:rFonts w:cs="Arial"/>
          <w:sz w:val="24"/>
          <w:szCs w:val="24"/>
        </w:rPr>
        <w:t>6</w:t>
      </w:r>
    </w:p>
    <w:p w14:paraId="040DBB31" w14:textId="7CB8F1C3" w:rsidR="007A01C8" w:rsidRPr="00C236AD" w:rsidRDefault="00BC323F" w:rsidP="00C236AD">
      <w:pPr>
        <w:spacing w:after="0" w:line="360" w:lineRule="auto"/>
        <w:jc w:val="both"/>
        <w:rPr>
          <w:rFonts w:cs="Arial"/>
          <w:sz w:val="24"/>
          <w:szCs w:val="24"/>
        </w:rPr>
      </w:pPr>
      <w:r w:rsidRPr="00C236AD">
        <w:rPr>
          <w:rFonts w:cs="Arial"/>
          <w:sz w:val="24"/>
          <w:szCs w:val="24"/>
        </w:rPr>
        <w:t>Gross margin peaked at 21.94% in 2022</w:t>
      </w:r>
      <w:r w:rsidR="00386400" w:rsidRPr="00C236AD">
        <w:rPr>
          <w:rFonts w:cs="Arial"/>
          <w:sz w:val="24"/>
          <w:szCs w:val="24"/>
        </w:rPr>
        <w:t xml:space="preserve"> and decreased</w:t>
      </w:r>
      <w:r w:rsidRPr="00C236AD">
        <w:rPr>
          <w:rFonts w:cs="Arial"/>
          <w:sz w:val="24"/>
          <w:szCs w:val="24"/>
        </w:rPr>
        <w:t xml:space="preserve"> to 19.94% in 2025. The reason is the growing share of cost</w:t>
      </w:r>
      <w:r w:rsidR="00ED72CF">
        <w:rPr>
          <w:rFonts w:cs="Arial"/>
          <w:sz w:val="24"/>
          <w:szCs w:val="24"/>
        </w:rPr>
        <w:t>-</w:t>
      </w:r>
      <w:r w:rsidRPr="00C236AD">
        <w:rPr>
          <w:rFonts w:cs="Arial"/>
          <w:sz w:val="24"/>
          <w:szCs w:val="24"/>
        </w:rPr>
        <w:t>reimbursement revenue (Marriott International, 2023; 2026). Operating margin recovered to 15.82% in 2025 after falling to 15.01% in 2024. Net margin also fell, from 13.00% in 2023 to 9.93% in 2025, due to higher interest costs (Marriott International, 2024; 2026). ROCE is a clear strength. It passed 21% from 2023 and reached 21.63%</w:t>
      </w:r>
      <w:r w:rsidR="00386400" w:rsidRPr="00C236AD">
        <w:rPr>
          <w:rFonts w:cs="Arial"/>
          <w:sz w:val="24"/>
          <w:szCs w:val="24"/>
        </w:rPr>
        <w:t>.</w:t>
      </w:r>
      <w:r w:rsidR="00B42BA8">
        <w:rPr>
          <w:rFonts w:cs="Arial"/>
          <w:sz w:val="24"/>
          <w:szCs w:val="24"/>
        </w:rPr>
        <w:t xml:space="preserve"> </w:t>
      </w:r>
      <w:r w:rsidR="00B42BA8" w:rsidRPr="00B42BA8">
        <w:rPr>
          <w:rFonts w:cs="Arial"/>
          <w:sz w:val="24"/>
          <w:szCs w:val="24"/>
        </w:rPr>
        <w:t>ROCE is commonly used to assess how effectively a company generates operating returns from the capital employed in the business (Van Horne and Wachowicz, 2008).</w:t>
      </w:r>
    </w:p>
    <w:p w14:paraId="27BB732B" w14:textId="0AC9C27B" w:rsidR="00057D9C" w:rsidRPr="00C236AD" w:rsidRDefault="008B27CF" w:rsidP="00C236AD">
      <w:pPr>
        <w:spacing w:after="0" w:line="360" w:lineRule="auto"/>
        <w:jc w:val="both"/>
        <w:rPr>
          <w:rFonts w:cs="Arial"/>
          <w:sz w:val="24"/>
          <w:szCs w:val="24"/>
        </w:rPr>
      </w:pPr>
      <w:r w:rsidRPr="00C236AD">
        <w:rPr>
          <w:rFonts w:cs="Arial"/>
          <w:sz w:val="24"/>
          <w:szCs w:val="24"/>
        </w:rPr>
        <w:t>Figure 1: Profitability Ratios trend 2021</w:t>
      </w:r>
      <w:r w:rsidR="00ED72CF">
        <w:rPr>
          <w:rFonts w:cs="Arial"/>
          <w:sz w:val="24"/>
          <w:szCs w:val="24"/>
        </w:rPr>
        <w:t>-</w:t>
      </w:r>
      <w:r w:rsidRPr="00C236AD">
        <w:rPr>
          <w:rFonts w:cs="Arial"/>
          <w:sz w:val="24"/>
          <w:szCs w:val="24"/>
        </w:rPr>
        <w:t xml:space="preserve">2025  </w:t>
      </w:r>
    </w:p>
    <w:p w14:paraId="2C3565A4" w14:textId="5A544FD4" w:rsidR="00057D9C" w:rsidRPr="00C236AD" w:rsidRDefault="000D13C8" w:rsidP="00C236AD">
      <w:pPr>
        <w:spacing w:after="0" w:line="360" w:lineRule="auto"/>
        <w:jc w:val="both"/>
        <w:rPr>
          <w:rFonts w:cs="Arial"/>
          <w:b/>
          <w:bCs/>
          <w:sz w:val="24"/>
          <w:szCs w:val="24"/>
          <w:lang w:val="en-GB"/>
        </w:rPr>
      </w:pPr>
      <w:r w:rsidRPr="00C236AD">
        <w:rPr>
          <w:rFonts w:cs="Arial"/>
          <w:noProof/>
          <w:sz w:val="24"/>
          <w:szCs w:val="24"/>
        </w:rPr>
        <w:drawing>
          <wp:inline distT="0" distB="0" distL="0" distR="0" wp14:anchorId="1E8A21EC" wp14:editId="213580A2">
            <wp:extent cx="2628900" cy="2012950"/>
            <wp:effectExtent l="0" t="0" r="0" b="6350"/>
            <wp:docPr id="1600254595" name="Graphique 1">
              <a:extLst xmlns:a="http://schemas.openxmlformats.org/drawingml/2006/main">
                <a:ext uri="{FF2B5EF4-FFF2-40B4-BE49-F238E27FC236}">
                  <a16:creationId xmlns:a16="http://schemas.microsoft.com/office/drawing/2014/main" id="{FC297D0C-2D99-6594-29EF-F852C42371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Pr="00C236AD">
        <w:rPr>
          <w:rFonts w:cs="Arial"/>
          <w:noProof/>
          <w:sz w:val="24"/>
          <w:szCs w:val="24"/>
        </w:rPr>
        <w:drawing>
          <wp:inline distT="0" distB="0" distL="0" distR="0" wp14:anchorId="2AC02F46" wp14:editId="27DB1C79">
            <wp:extent cx="2800350" cy="2171700"/>
            <wp:effectExtent l="0" t="0" r="0" b="0"/>
            <wp:docPr id="440929387" name="Graphique 1">
              <a:extLst xmlns:a="http://schemas.openxmlformats.org/drawingml/2006/main">
                <a:ext uri="{FF2B5EF4-FFF2-40B4-BE49-F238E27FC236}">
                  <a16:creationId xmlns:a16="http://schemas.microsoft.com/office/drawing/2014/main" id="{EB6BBADF-0CDA-3656-FF93-66832DC6A8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C236AD">
        <w:rPr>
          <w:rFonts w:cs="Arial"/>
          <w:noProof/>
          <w:sz w:val="24"/>
          <w:szCs w:val="24"/>
        </w:rPr>
        <w:drawing>
          <wp:inline distT="0" distB="0" distL="0" distR="0" wp14:anchorId="6154D9CE" wp14:editId="0A5C53F5">
            <wp:extent cx="2628900" cy="2298700"/>
            <wp:effectExtent l="0" t="0" r="0" b="6350"/>
            <wp:docPr id="1829280437" name="Graphique 1">
              <a:extLst xmlns:a="http://schemas.openxmlformats.org/drawingml/2006/main">
                <a:ext uri="{FF2B5EF4-FFF2-40B4-BE49-F238E27FC236}">
                  <a16:creationId xmlns:a16="http://schemas.microsoft.com/office/drawing/2014/main" id="{1FDEF9CA-8AF2-407F-DB18-8F0A19EB59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C236AD">
        <w:rPr>
          <w:rFonts w:cs="Arial"/>
          <w:noProof/>
          <w:sz w:val="24"/>
          <w:szCs w:val="24"/>
        </w:rPr>
        <w:drawing>
          <wp:inline distT="0" distB="0" distL="0" distR="0" wp14:anchorId="6F875B71" wp14:editId="63F89AC9">
            <wp:extent cx="2717800" cy="2222500"/>
            <wp:effectExtent l="0" t="0" r="6350" b="6350"/>
            <wp:docPr id="1677687358" name="Graphique 1">
              <a:extLst xmlns:a="http://schemas.openxmlformats.org/drawingml/2006/main">
                <a:ext uri="{FF2B5EF4-FFF2-40B4-BE49-F238E27FC236}">
                  <a16:creationId xmlns:a16="http://schemas.microsoft.com/office/drawing/2014/main" id="{3FD025AD-59D5-0441-9446-3E8825CEA8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5FC3BDF" w14:textId="3F6D9E6E" w:rsidR="008B27CF" w:rsidRPr="00C236AD" w:rsidRDefault="008B27CF" w:rsidP="00C236AD">
      <w:pPr>
        <w:spacing w:after="0" w:line="360" w:lineRule="auto"/>
        <w:jc w:val="both"/>
        <w:rPr>
          <w:rFonts w:cs="Arial"/>
          <w:sz w:val="24"/>
          <w:szCs w:val="24"/>
        </w:rPr>
      </w:pPr>
      <w:r w:rsidRPr="00C236AD">
        <w:rPr>
          <w:rFonts w:cs="Arial"/>
          <w:sz w:val="24"/>
          <w:szCs w:val="24"/>
        </w:rPr>
        <w:t xml:space="preserve">Source: </w:t>
      </w:r>
      <w:r w:rsidR="00386400" w:rsidRPr="00C236AD">
        <w:rPr>
          <w:rFonts w:cs="Arial"/>
          <w:b/>
          <w:bCs/>
          <w:sz w:val="24"/>
          <w:szCs w:val="24"/>
          <w:lang w:val="en-GB"/>
        </w:rPr>
        <w:t>Autor</w:t>
      </w:r>
      <w:r w:rsidRPr="00C236AD">
        <w:rPr>
          <w:rFonts w:cs="Arial"/>
          <w:sz w:val="24"/>
          <w:szCs w:val="24"/>
        </w:rPr>
        <w:t xml:space="preserve"> from Marriott International annual report</w:t>
      </w:r>
      <w:r w:rsidR="00386400" w:rsidRPr="00C236AD">
        <w:rPr>
          <w:rFonts w:cs="Arial"/>
          <w:sz w:val="24"/>
          <w:szCs w:val="24"/>
        </w:rPr>
        <w:t>s</w:t>
      </w:r>
      <w:r w:rsidRPr="00C236AD">
        <w:rPr>
          <w:rFonts w:cs="Arial"/>
          <w:sz w:val="24"/>
          <w:szCs w:val="24"/>
        </w:rPr>
        <w:t xml:space="preserve"> (202</w:t>
      </w:r>
      <w:r w:rsidR="00386400" w:rsidRPr="00C236AD">
        <w:rPr>
          <w:rFonts w:cs="Arial"/>
          <w:sz w:val="24"/>
          <w:szCs w:val="24"/>
        </w:rPr>
        <w:t>2</w:t>
      </w:r>
      <w:r w:rsidR="00ED72CF">
        <w:rPr>
          <w:rFonts w:cs="Arial"/>
          <w:sz w:val="24"/>
          <w:szCs w:val="24"/>
        </w:rPr>
        <w:t>-</w:t>
      </w:r>
      <w:r w:rsidRPr="00C236AD">
        <w:rPr>
          <w:rFonts w:cs="Arial"/>
          <w:sz w:val="24"/>
          <w:szCs w:val="24"/>
        </w:rPr>
        <w:t>202</w:t>
      </w:r>
      <w:r w:rsidR="00386400" w:rsidRPr="00C236AD">
        <w:rPr>
          <w:rFonts w:cs="Arial"/>
          <w:sz w:val="24"/>
          <w:szCs w:val="24"/>
        </w:rPr>
        <w:t>6</w:t>
      </w:r>
      <w:r w:rsidRPr="00C236AD">
        <w:rPr>
          <w:rFonts w:cs="Arial"/>
          <w:sz w:val="24"/>
          <w:szCs w:val="24"/>
        </w:rPr>
        <w:t>)</w:t>
      </w:r>
    </w:p>
    <w:p w14:paraId="71C3494C" w14:textId="77777777" w:rsidR="008B27CF" w:rsidRPr="00C236AD" w:rsidRDefault="008B27CF" w:rsidP="00C236AD">
      <w:pPr>
        <w:spacing w:after="0" w:line="360" w:lineRule="auto"/>
        <w:jc w:val="both"/>
        <w:rPr>
          <w:rFonts w:cs="Arial"/>
          <w:b/>
          <w:bCs/>
          <w:sz w:val="24"/>
          <w:szCs w:val="24"/>
        </w:rPr>
      </w:pPr>
    </w:p>
    <w:p w14:paraId="542716A7" w14:textId="77777777" w:rsidR="002C7A45" w:rsidRPr="00C236AD" w:rsidRDefault="002C7A45" w:rsidP="00C236AD">
      <w:pPr>
        <w:spacing w:after="0" w:line="360" w:lineRule="auto"/>
        <w:jc w:val="both"/>
        <w:rPr>
          <w:rFonts w:cs="Arial"/>
          <w:sz w:val="24"/>
          <w:szCs w:val="24"/>
          <w:lang w:val="en-GB"/>
        </w:rPr>
      </w:pPr>
      <w:bookmarkStart w:id="2" w:name="_Hlk237444891"/>
      <w:r w:rsidRPr="00C236AD">
        <w:rPr>
          <w:rFonts w:cs="Arial"/>
          <w:sz w:val="24"/>
          <w:szCs w:val="24"/>
          <w:lang w:val="en-GB"/>
        </w:rPr>
        <w:t>B. Liquidity Ratios</w:t>
      </w:r>
    </w:p>
    <w:bookmarkEnd w:id="2"/>
    <w:p w14:paraId="36CCCAE4" w14:textId="27E36483" w:rsidR="008B27CF" w:rsidRPr="00C236AD" w:rsidRDefault="008B27CF" w:rsidP="00C236AD">
      <w:pPr>
        <w:spacing w:after="0" w:line="360" w:lineRule="auto"/>
        <w:jc w:val="both"/>
        <w:rPr>
          <w:rFonts w:cs="Arial"/>
          <w:b/>
          <w:bCs/>
          <w:sz w:val="24"/>
          <w:szCs w:val="24"/>
          <w:lang w:val="en-GB"/>
        </w:rPr>
      </w:pPr>
      <w:r w:rsidRPr="00C236AD">
        <w:rPr>
          <w:rFonts w:cs="Arial"/>
          <w:sz w:val="24"/>
          <w:szCs w:val="24"/>
        </w:rPr>
        <w:lastRenderedPageBreak/>
        <w:t>Liquidity ratios measure short</w:t>
      </w:r>
      <w:r w:rsidR="00ED72CF">
        <w:rPr>
          <w:rFonts w:cs="Arial"/>
          <w:sz w:val="24"/>
          <w:szCs w:val="24"/>
        </w:rPr>
        <w:t>-</w:t>
      </w:r>
      <w:r w:rsidRPr="00C236AD">
        <w:rPr>
          <w:rFonts w:cs="Arial"/>
          <w:sz w:val="24"/>
          <w:szCs w:val="24"/>
        </w:rPr>
        <w:t>term solvency. t</w:t>
      </w:r>
      <w:r w:rsidR="00BC323F" w:rsidRPr="00C236AD">
        <w:rPr>
          <w:rFonts w:cs="Arial"/>
          <w:sz w:val="24"/>
          <w:szCs w:val="24"/>
        </w:rPr>
        <w:t>hey</w:t>
      </w:r>
      <w:r w:rsidRPr="00C236AD">
        <w:rPr>
          <w:rFonts w:cs="Arial"/>
          <w:sz w:val="24"/>
          <w:szCs w:val="24"/>
        </w:rPr>
        <w:t xml:space="preserve"> are important for assessing dependence on operating cash flow and credit facilities.</w:t>
      </w:r>
      <w:r w:rsidR="00B42BA8">
        <w:rPr>
          <w:rFonts w:cs="Arial"/>
          <w:sz w:val="24"/>
          <w:szCs w:val="24"/>
        </w:rPr>
        <w:t xml:space="preserve"> </w:t>
      </w:r>
      <w:r w:rsidR="00B42BA8" w:rsidRPr="00B42BA8">
        <w:rPr>
          <w:rFonts w:cs="Arial"/>
          <w:sz w:val="24"/>
          <w:szCs w:val="24"/>
        </w:rPr>
        <w:t>Liquidity is important because a company must be able to meet its short-term obligations without creating unnecessary financial pressure (Berk and DeMarzo, 2020).</w:t>
      </w:r>
    </w:p>
    <w:p w14:paraId="2D180D93" w14:textId="4FDD601D" w:rsidR="004B1CB3" w:rsidRPr="00C236AD" w:rsidRDefault="004B1CB3" w:rsidP="00C236AD">
      <w:pPr>
        <w:spacing w:after="0" w:line="360" w:lineRule="auto"/>
        <w:jc w:val="both"/>
        <w:rPr>
          <w:rFonts w:cs="Arial"/>
          <w:b/>
          <w:bCs/>
          <w:sz w:val="24"/>
          <w:szCs w:val="24"/>
          <w:lang w:val="en-GB"/>
        </w:rPr>
      </w:pPr>
      <w:r w:rsidRPr="00C236AD">
        <w:rPr>
          <w:rFonts w:cs="Arial"/>
          <w:b/>
          <w:bCs/>
          <w:sz w:val="24"/>
          <w:szCs w:val="24"/>
          <w:lang w:val="en-GB"/>
        </w:rPr>
        <w:t>Table: Liquidity ratios</w:t>
      </w:r>
      <w:r w:rsidR="008B27CF" w:rsidRPr="00C236AD">
        <w:rPr>
          <w:rFonts w:cs="Arial"/>
          <w:sz w:val="24"/>
          <w:szCs w:val="24"/>
        </w:rPr>
        <w:t xml:space="preserve"> 2021</w:t>
      </w:r>
      <w:r w:rsidR="00ED72CF">
        <w:rPr>
          <w:rFonts w:cs="Arial"/>
          <w:sz w:val="24"/>
          <w:szCs w:val="24"/>
        </w:rPr>
        <w:t>-</w:t>
      </w:r>
      <w:r w:rsidR="008B27CF" w:rsidRPr="00C236AD">
        <w:rPr>
          <w:rFonts w:cs="Arial"/>
          <w:sz w:val="24"/>
          <w:szCs w:val="24"/>
        </w:rPr>
        <w:t xml:space="preserve">2025  </w:t>
      </w:r>
    </w:p>
    <w:tbl>
      <w:tblPr>
        <w:tblW w:w="0" w:type="auto"/>
        <w:tblLook w:val="04A0" w:firstRow="1" w:lastRow="0" w:firstColumn="1" w:lastColumn="0" w:noHBand="0" w:noVBand="1"/>
      </w:tblPr>
      <w:tblGrid>
        <w:gridCol w:w="3043"/>
        <w:gridCol w:w="1253"/>
        <w:gridCol w:w="1226"/>
        <w:gridCol w:w="1280"/>
        <w:gridCol w:w="919"/>
        <w:gridCol w:w="919"/>
      </w:tblGrid>
      <w:tr w:rsidR="004B1CB3" w:rsidRPr="00C236AD" w14:paraId="73FCBEED" w14:textId="77777777" w:rsidTr="0099583A">
        <w:tc>
          <w:tcPr>
            <w:tcW w:w="3043" w:type="dxa"/>
            <w:tcBorders>
              <w:top w:val="thinThickSmallGap" w:sz="24" w:space="0" w:color="auto"/>
              <w:bottom w:val="thickThinSmallGap" w:sz="24" w:space="0" w:color="auto"/>
            </w:tcBorders>
          </w:tcPr>
          <w:p w14:paraId="0ECD9826" w14:textId="77777777" w:rsidR="004B1CB3" w:rsidRPr="00C236AD" w:rsidRDefault="004B1CB3" w:rsidP="00C236AD">
            <w:pPr>
              <w:spacing w:after="0" w:line="360" w:lineRule="auto"/>
              <w:jc w:val="both"/>
              <w:rPr>
                <w:rFonts w:cs="Arial"/>
                <w:b/>
                <w:bCs/>
                <w:sz w:val="24"/>
                <w:szCs w:val="24"/>
              </w:rPr>
            </w:pPr>
            <w:r w:rsidRPr="00C236AD">
              <w:rPr>
                <w:rFonts w:cs="Arial"/>
                <w:b/>
                <w:bCs/>
                <w:sz w:val="24"/>
                <w:szCs w:val="24"/>
              </w:rPr>
              <w:t>Ratio</w:t>
            </w:r>
          </w:p>
        </w:tc>
        <w:tc>
          <w:tcPr>
            <w:tcW w:w="1253" w:type="dxa"/>
            <w:tcBorders>
              <w:top w:val="thinThickSmallGap" w:sz="24" w:space="0" w:color="auto"/>
              <w:bottom w:val="thickThinSmallGap" w:sz="24" w:space="0" w:color="auto"/>
            </w:tcBorders>
          </w:tcPr>
          <w:p w14:paraId="005291D2" w14:textId="77777777" w:rsidR="004B1CB3" w:rsidRPr="00C236AD" w:rsidRDefault="004B1CB3" w:rsidP="00C236AD">
            <w:pPr>
              <w:spacing w:after="0" w:line="360" w:lineRule="auto"/>
              <w:jc w:val="both"/>
              <w:rPr>
                <w:rFonts w:cs="Arial"/>
                <w:b/>
                <w:bCs/>
                <w:sz w:val="24"/>
                <w:szCs w:val="24"/>
              </w:rPr>
            </w:pPr>
            <w:r w:rsidRPr="00C236AD">
              <w:rPr>
                <w:rFonts w:cs="Arial"/>
                <w:b/>
                <w:bCs/>
                <w:sz w:val="24"/>
                <w:szCs w:val="24"/>
              </w:rPr>
              <w:t>2022</w:t>
            </w:r>
          </w:p>
        </w:tc>
        <w:tc>
          <w:tcPr>
            <w:tcW w:w="1226" w:type="dxa"/>
            <w:tcBorders>
              <w:top w:val="thinThickSmallGap" w:sz="24" w:space="0" w:color="auto"/>
              <w:bottom w:val="thickThinSmallGap" w:sz="24" w:space="0" w:color="auto"/>
            </w:tcBorders>
          </w:tcPr>
          <w:p w14:paraId="7AB0D89D" w14:textId="77777777" w:rsidR="004B1CB3" w:rsidRPr="00C236AD" w:rsidRDefault="004B1CB3" w:rsidP="00C236AD">
            <w:pPr>
              <w:spacing w:after="0" w:line="360" w:lineRule="auto"/>
              <w:jc w:val="both"/>
              <w:rPr>
                <w:rFonts w:cs="Arial"/>
                <w:b/>
                <w:bCs/>
                <w:sz w:val="24"/>
                <w:szCs w:val="24"/>
              </w:rPr>
            </w:pPr>
            <w:r w:rsidRPr="00C236AD">
              <w:rPr>
                <w:rFonts w:cs="Arial"/>
                <w:b/>
                <w:bCs/>
                <w:sz w:val="24"/>
                <w:szCs w:val="24"/>
              </w:rPr>
              <w:t>2022</w:t>
            </w:r>
          </w:p>
        </w:tc>
        <w:tc>
          <w:tcPr>
            <w:tcW w:w="1280" w:type="dxa"/>
            <w:tcBorders>
              <w:top w:val="thinThickSmallGap" w:sz="24" w:space="0" w:color="auto"/>
              <w:bottom w:val="thickThinSmallGap" w:sz="24" w:space="0" w:color="auto"/>
            </w:tcBorders>
          </w:tcPr>
          <w:p w14:paraId="6D72E922" w14:textId="77777777" w:rsidR="004B1CB3" w:rsidRPr="00C236AD" w:rsidRDefault="004B1CB3" w:rsidP="00C236AD">
            <w:pPr>
              <w:spacing w:after="0" w:line="360" w:lineRule="auto"/>
              <w:jc w:val="both"/>
              <w:rPr>
                <w:rFonts w:cs="Arial"/>
                <w:b/>
                <w:bCs/>
                <w:sz w:val="24"/>
                <w:szCs w:val="24"/>
              </w:rPr>
            </w:pPr>
            <w:r w:rsidRPr="00C236AD">
              <w:rPr>
                <w:rFonts w:cs="Arial"/>
                <w:b/>
                <w:bCs/>
                <w:sz w:val="24"/>
                <w:szCs w:val="24"/>
              </w:rPr>
              <w:t>2023</w:t>
            </w:r>
          </w:p>
        </w:tc>
        <w:tc>
          <w:tcPr>
            <w:tcW w:w="919" w:type="dxa"/>
            <w:tcBorders>
              <w:top w:val="thinThickSmallGap" w:sz="24" w:space="0" w:color="auto"/>
              <w:bottom w:val="thickThinSmallGap" w:sz="24" w:space="0" w:color="auto"/>
            </w:tcBorders>
          </w:tcPr>
          <w:p w14:paraId="6C66AD5E" w14:textId="77777777" w:rsidR="004B1CB3" w:rsidRPr="00C236AD" w:rsidRDefault="004B1CB3" w:rsidP="00C236AD">
            <w:pPr>
              <w:spacing w:after="0" w:line="360" w:lineRule="auto"/>
              <w:jc w:val="both"/>
              <w:rPr>
                <w:rFonts w:cs="Arial"/>
                <w:b/>
                <w:bCs/>
                <w:sz w:val="24"/>
                <w:szCs w:val="24"/>
              </w:rPr>
            </w:pPr>
            <w:r w:rsidRPr="00C236AD">
              <w:rPr>
                <w:rFonts w:cs="Arial"/>
                <w:b/>
                <w:bCs/>
                <w:sz w:val="24"/>
                <w:szCs w:val="24"/>
              </w:rPr>
              <w:t>2024</w:t>
            </w:r>
          </w:p>
        </w:tc>
        <w:tc>
          <w:tcPr>
            <w:tcW w:w="919" w:type="dxa"/>
            <w:tcBorders>
              <w:top w:val="thinThickSmallGap" w:sz="24" w:space="0" w:color="auto"/>
              <w:bottom w:val="thickThinSmallGap" w:sz="24" w:space="0" w:color="auto"/>
            </w:tcBorders>
          </w:tcPr>
          <w:p w14:paraId="3A15DE45" w14:textId="77777777" w:rsidR="004B1CB3" w:rsidRPr="00C236AD" w:rsidRDefault="004B1CB3" w:rsidP="00C236AD">
            <w:pPr>
              <w:spacing w:after="0" w:line="360" w:lineRule="auto"/>
              <w:jc w:val="both"/>
              <w:rPr>
                <w:rFonts w:cs="Arial"/>
                <w:b/>
                <w:bCs/>
                <w:sz w:val="24"/>
                <w:szCs w:val="24"/>
              </w:rPr>
            </w:pPr>
            <w:r w:rsidRPr="00C236AD">
              <w:rPr>
                <w:rFonts w:cs="Arial"/>
                <w:b/>
                <w:bCs/>
                <w:sz w:val="24"/>
                <w:szCs w:val="24"/>
              </w:rPr>
              <w:t>2025</w:t>
            </w:r>
          </w:p>
        </w:tc>
      </w:tr>
      <w:tr w:rsidR="004B1CB3" w:rsidRPr="00C236AD" w14:paraId="3D33C4EF" w14:textId="77777777" w:rsidTr="0099583A">
        <w:tc>
          <w:tcPr>
            <w:tcW w:w="3043" w:type="dxa"/>
            <w:tcBorders>
              <w:top w:val="thickThinSmallGap" w:sz="24" w:space="0" w:color="auto"/>
            </w:tcBorders>
          </w:tcPr>
          <w:p w14:paraId="42357D56" w14:textId="77777777" w:rsidR="004B1CB3" w:rsidRPr="00C236AD" w:rsidRDefault="004B1CB3" w:rsidP="00C236AD">
            <w:pPr>
              <w:spacing w:after="0" w:line="360" w:lineRule="auto"/>
              <w:jc w:val="both"/>
              <w:rPr>
                <w:rFonts w:cs="Arial"/>
                <w:sz w:val="24"/>
                <w:szCs w:val="24"/>
              </w:rPr>
            </w:pPr>
            <w:r w:rsidRPr="00C236AD">
              <w:rPr>
                <w:rFonts w:cs="Arial"/>
                <w:sz w:val="24"/>
                <w:szCs w:val="24"/>
              </w:rPr>
              <w:t>Current ratio</w:t>
            </w:r>
          </w:p>
        </w:tc>
        <w:tc>
          <w:tcPr>
            <w:tcW w:w="1253" w:type="dxa"/>
            <w:tcBorders>
              <w:top w:val="thickThinSmallGap" w:sz="24" w:space="0" w:color="auto"/>
            </w:tcBorders>
          </w:tcPr>
          <w:p w14:paraId="1916342C" w14:textId="77777777" w:rsidR="004B1CB3" w:rsidRPr="00C236AD" w:rsidRDefault="004B1CB3" w:rsidP="00C236AD">
            <w:pPr>
              <w:spacing w:after="0" w:line="360" w:lineRule="auto"/>
              <w:jc w:val="both"/>
              <w:rPr>
                <w:rFonts w:cs="Arial"/>
                <w:sz w:val="24"/>
                <w:szCs w:val="24"/>
              </w:rPr>
            </w:pPr>
            <w:r w:rsidRPr="00C236AD">
              <w:rPr>
                <w:rFonts w:cs="Arial"/>
                <w:sz w:val="24"/>
                <w:szCs w:val="24"/>
              </w:rPr>
              <w:t>.57</w:t>
            </w:r>
          </w:p>
        </w:tc>
        <w:tc>
          <w:tcPr>
            <w:tcW w:w="1226" w:type="dxa"/>
            <w:tcBorders>
              <w:top w:val="thickThinSmallGap" w:sz="24" w:space="0" w:color="auto"/>
            </w:tcBorders>
          </w:tcPr>
          <w:p w14:paraId="03DC2CFE" w14:textId="77777777" w:rsidR="004B1CB3" w:rsidRPr="00C236AD" w:rsidRDefault="004B1CB3" w:rsidP="00C236AD">
            <w:pPr>
              <w:spacing w:after="0" w:line="360" w:lineRule="auto"/>
              <w:jc w:val="both"/>
              <w:rPr>
                <w:rFonts w:cs="Arial"/>
                <w:sz w:val="24"/>
                <w:szCs w:val="24"/>
              </w:rPr>
            </w:pPr>
            <w:r w:rsidRPr="00C236AD">
              <w:rPr>
                <w:rFonts w:cs="Arial"/>
                <w:sz w:val="24"/>
                <w:szCs w:val="24"/>
              </w:rPr>
              <w:t>.45</w:t>
            </w:r>
          </w:p>
        </w:tc>
        <w:tc>
          <w:tcPr>
            <w:tcW w:w="1280" w:type="dxa"/>
            <w:tcBorders>
              <w:top w:val="thickThinSmallGap" w:sz="24" w:space="0" w:color="auto"/>
            </w:tcBorders>
          </w:tcPr>
          <w:p w14:paraId="30B6B7CF" w14:textId="77777777" w:rsidR="004B1CB3" w:rsidRPr="00C236AD" w:rsidRDefault="004B1CB3" w:rsidP="00C236AD">
            <w:pPr>
              <w:spacing w:after="0" w:line="360" w:lineRule="auto"/>
              <w:jc w:val="both"/>
              <w:rPr>
                <w:rFonts w:cs="Arial"/>
                <w:sz w:val="24"/>
                <w:szCs w:val="24"/>
              </w:rPr>
            </w:pPr>
            <w:r w:rsidRPr="00C236AD">
              <w:rPr>
                <w:rFonts w:cs="Arial"/>
                <w:sz w:val="24"/>
                <w:szCs w:val="24"/>
              </w:rPr>
              <w:t>.43</w:t>
            </w:r>
          </w:p>
        </w:tc>
        <w:tc>
          <w:tcPr>
            <w:tcW w:w="919" w:type="dxa"/>
            <w:tcBorders>
              <w:top w:val="thickThinSmallGap" w:sz="24" w:space="0" w:color="auto"/>
            </w:tcBorders>
          </w:tcPr>
          <w:p w14:paraId="6CB64821" w14:textId="77777777" w:rsidR="004B1CB3" w:rsidRPr="00C236AD" w:rsidRDefault="004B1CB3" w:rsidP="00C236AD">
            <w:pPr>
              <w:spacing w:after="0" w:line="360" w:lineRule="auto"/>
              <w:jc w:val="both"/>
              <w:rPr>
                <w:rFonts w:cs="Arial"/>
                <w:sz w:val="24"/>
                <w:szCs w:val="24"/>
              </w:rPr>
            </w:pPr>
            <w:r w:rsidRPr="00C236AD">
              <w:rPr>
                <w:rFonts w:cs="Arial"/>
                <w:sz w:val="24"/>
                <w:szCs w:val="24"/>
              </w:rPr>
              <w:t>.40</w:t>
            </w:r>
          </w:p>
        </w:tc>
        <w:tc>
          <w:tcPr>
            <w:tcW w:w="919" w:type="dxa"/>
            <w:tcBorders>
              <w:top w:val="thickThinSmallGap" w:sz="24" w:space="0" w:color="auto"/>
            </w:tcBorders>
          </w:tcPr>
          <w:p w14:paraId="27FA0237" w14:textId="77777777" w:rsidR="004B1CB3" w:rsidRPr="00C236AD" w:rsidRDefault="004B1CB3" w:rsidP="00C236AD">
            <w:pPr>
              <w:spacing w:after="0" w:line="360" w:lineRule="auto"/>
              <w:jc w:val="both"/>
              <w:rPr>
                <w:rFonts w:cs="Arial"/>
                <w:sz w:val="24"/>
                <w:szCs w:val="24"/>
              </w:rPr>
            </w:pPr>
            <w:r w:rsidRPr="00C236AD">
              <w:rPr>
                <w:rFonts w:cs="Arial"/>
                <w:sz w:val="24"/>
                <w:szCs w:val="24"/>
              </w:rPr>
              <w:t>.43</w:t>
            </w:r>
          </w:p>
        </w:tc>
      </w:tr>
      <w:tr w:rsidR="004B1CB3" w:rsidRPr="00C236AD" w14:paraId="796802DB" w14:textId="77777777" w:rsidTr="0099583A">
        <w:tc>
          <w:tcPr>
            <w:tcW w:w="3043" w:type="dxa"/>
          </w:tcPr>
          <w:p w14:paraId="0616CD35" w14:textId="77777777" w:rsidR="004B1CB3" w:rsidRPr="00C236AD" w:rsidRDefault="004B1CB3" w:rsidP="00C236AD">
            <w:pPr>
              <w:spacing w:after="0" w:line="360" w:lineRule="auto"/>
              <w:jc w:val="both"/>
              <w:rPr>
                <w:rFonts w:cs="Arial"/>
                <w:sz w:val="24"/>
                <w:szCs w:val="24"/>
              </w:rPr>
            </w:pPr>
            <w:r w:rsidRPr="00C236AD">
              <w:rPr>
                <w:rFonts w:cs="Arial"/>
                <w:sz w:val="24"/>
                <w:szCs w:val="24"/>
              </w:rPr>
              <w:t>Quick ratio</w:t>
            </w:r>
          </w:p>
        </w:tc>
        <w:tc>
          <w:tcPr>
            <w:tcW w:w="1253" w:type="dxa"/>
          </w:tcPr>
          <w:p w14:paraId="33CB2F90" w14:textId="77777777" w:rsidR="004B1CB3" w:rsidRPr="00C236AD" w:rsidRDefault="004B1CB3" w:rsidP="00C236AD">
            <w:pPr>
              <w:spacing w:after="0" w:line="360" w:lineRule="auto"/>
              <w:jc w:val="both"/>
              <w:rPr>
                <w:rFonts w:cs="Arial"/>
                <w:sz w:val="24"/>
                <w:szCs w:val="24"/>
              </w:rPr>
            </w:pPr>
            <w:r w:rsidRPr="00C236AD">
              <w:rPr>
                <w:rFonts w:cs="Arial"/>
                <w:sz w:val="24"/>
                <w:szCs w:val="24"/>
              </w:rPr>
              <w:t>.53</w:t>
            </w:r>
          </w:p>
        </w:tc>
        <w:tc>
          <w:tcPr>
            <w:tcW w:w="1226" w:type="dxa"/>
          </w:tcPr>
          <w:p w14:paraId="14EC81D4" w14:textId="77777777" w:rsidR="004B1CB3" w:rsidRPr="00C236AD" w:rsidRDefault="004B1CB3" w:rsidP="00C236AD">
            <w:pPr>
              <w:spacing w:after="0" w:line="360" w:lineRule="auto"/>
              <w:jc w:val="both"/>
              <w:rPr>
                <w:rFonts w:cs="Arial"/>
                <w:sz w:val="24"/>
                <w:szCs w:val="24"/>
              </w:rPr>
            </w:pPr>
            <w:r w:rsidRPr="00C236AD">
              <w:rPr>
                <w:rFonts w:cs="Arial"/>
                <w:sz w:val="24"/>
                <w:szCs w:val="24"/>
              </w:rPr>
              <w:t>.42</w:t>
            </w:r>
          </w:p>
        </w:tc>
        <w:tc>
          <w:tcPr>
            <w:tcW w:w="1280" w:type="dxa"/>
          </w:tcPr>
          <w:p w14:paraId="503D65AD" w14:textId="77777777" w:rsidR="004B1CB3" w:rsidRPr="00C236AD" w:rsidRDefault="004B1CB3" w:rsidP="00C236AD">
            <w:pPr>
              <w:spacing w:after="0" w:line="360" w:lineRule="auto"/>
              <w:jc w:val="both"/>
              <w:rPr>
                <w:rFonts w:cs="Arial"/>
                <w:sz w:val="24"/>
                <w:szCs w:val="24"/>
              </w:rPr>
            </w:pPr>
            <w:r w:rsidRPr="00C236AD">
              <w:rPr>
                <w:rFonts w:cs="Arial"/>
                <w:sz w:val="24"/>
                <w:szCs w:val="24"/>
              </w:rPr>
              <w:t>.39</w:t>
            </w:r>
          </w:p>
        </w:tc>
        <w:tc>
          <w:tcPr>
            <w:tcW w:w="919" w:type="dxa"/>
          </w:tcPr>
          <w:p w14:paraId="5E727882" w14:textId="77777777" w:rsidR="004B1CB3" w:rsidRPr="00C236AD" w:rsidRDefault="004B1CB3" w:rsidP="00C236AD">
            <w:pPr>
              <w:spacing w:after="0" w:line="360" w:lineRule="auto"/>
              <w:jc w:val="both"/>
              <w:rPr>
                <w:rFonts w:cs="Arial"/>
                <w:sz w:val="24"/>
                <w:szCs w:val="24"/>
              </w:rPr>
            </w:pPr>
            <w:r w:rsidRPr="00C236AD">
              <w:rPr>
                <w:rFonts w:cs="Arial"/>
                <w:sz w:val="24"/>
                <w:szCs w:val="24"/>
              </w:rPr>
              <w:t>.37</w:t>
            </w:r>
          </w:p>
        </w:tc>
        <w:tc>
          <w:tcPr>
            <w:tcW w:w="919" w:type="dxa"/>
          </w:tcPr>
          <w:p w14:paraId="68860B2F" w14:textId="77777777" w:rsidR="004B1CB3" w:rsidRPr="00C236AD" w:rsidRDefault="004B1CB3" w:rsidP="00C236AD">
            <w:pPr>
              <w:spacing w:after="0" w:line="360" w:lineRule="auto"/>
              <w:jc w:val="both"/>
              <w:rPr>
                <w:rFonts w:cs="Arial"/>
                <w:sz w:val="24"/>
                <w:szCs w:val="24"/>
              </w:rPr>
            </w:pPr>
            <w:r w:rsidRPr="00C236AD">
              <w:rPr>
                <w:rFonts w:cs="Arial"/>
                <w:sz w:val="24"/>
                <w:szCs w:val="24"/>
              </w:rPr>
              <w:t>.39</w:t>
            </w:r>
          </w:p>
        </w:tc>
      </w:tr>
      <w:tr w:rsidR="004B1CB3" w:rsidRPr="00C236AD" w14:paraId="31ED6E13" w14:textId="77777777" w:rsidTr="0099583A">
        <w:tc>
          <w:tcPr>
            <w:tcW w:w="3043" w:type="dxa"/>
            <w:tcBorders>
              <w:bottom w:val="thickThinSmallGap" w:sz="24" w:space="0" w:color="auto"/>
            </w:tcBorders>
          </w:tcPr>
          <w:p w14:paraId="26428445" w14:textId="77777777" w:rsidR="004B1CB3" w:rsidRPr="00C236AD" w:rsidRDefault="004B1CB3" w:rsidP="00C236AD">
            <w:pPr>
              <w:spacing w:after="0" w:line="360" w:lineRule="auto"/>
              <w:jc w:val="both"/>
              <w:rPr>
                <w:rFonts w:cs="Arial"/>
                <w:sz w:val="24"/>
                <w:szCs w:val="24"/>
              </w:rPr>
            </w:pPr>
            <w:r w:rsidRPr="00C236AD">
              <w:rPr>
                <w:rFonts w:cs="Arial"/>
                <w:sz w:val="24"/>
                <w:szCs w:val="24"/>
              </w:rPr>
              <w:t>Cash ratio</w:t>
            </w:r>
          </w:p>
        </w:tc>
        <w:tc>
          <w:tcPr>
            <w:tcW w:w="1253" w:type="dxa"/>
            <w:tcBorders>
              <w:bottom w:val="thickThinSmallGap" w:sz="24" w:space="0" w:color="auto"/>
            </w:tcBorders>
          </w:tcPr>
          <w:p w14:paraId="60D91684" w14:textId="77777777" w:rsidR="004B1CB3" w:rsidRPr="00C236AD" w:rsidRDefault="004B1CB3" w:rsidP="00C236AD">
            <w:pPr>
              <w:spacing w:after="0" w:line="360" w:lineRule="auto"/>
              <w:jc w:val="both"/>
              <w:rPr>
                <w:rFonts w:cs="Arial"/>
                <w:sz w:val="24"/>
                <w:szCs w:val="24"/>
              </w:rPr>
            </w:pPr>
            <w:r w:rsidRPr="00C236AD">
              <w:rPr>
                <w:rFonts w:cs="Arial"/>
                <w:sz w:val="24"/>
                <w:szCs w:val="24"/>
              </w:rPr>
              <w:t>.22</w:t>
            </w:r>
          </w:p>
        </w:tc>
        <w:tc>
          <w:tcPr>
            <w:tcW w:w="1226" w:type="dxa"/>
            <w:tcBorders>
              <w:bottom w:val="thickThinSmallGap" w:sz="24" w:space="0" w:color="auto"/>
            </w:tcBorders>
          </w:tcPr>
          <w:p w14:paraId="0341C2CA" w14:textId="77777777" w:rsidR="004B1CB3" w:rsidRPr="00C236AD" w:rsidRDefault="004B1CB3" w:rsidP="00C236AD">
            <w:pPr>
              <w:spacing w:after="0" w:line="360" w:lineRule="auto"/>
              <w:jc w:val="both"/>
              <w:rPr>
                <w:rFonts w:cs="Arial"/>
                <w:sz w:val="24"/>
                <w:szCs w:val="24"/>
              </w:rPr>
            </w:pPr>
            <w:r w:rsidRPr="00C236AD">
              <w:rPr>
                <w:rFonts w:cs="Arial"/>
                <w:sz w:val="24"/>
                <w:szCs w:val="24"/>
              </w:rPr>
              <w:t>.07</w:t>
            </w:r>
          </w:p>
        </w:tc>
        <w:tc>
          <w:tcPr>
            <w:tcW w:w="1280" w:type="dxa"/>
            <w:tcBorders>
              <w:bottom w:val="thickThinSmallGap" w:sz="24" w:space="0" w:color="auto"/>
            </w:tcBorders>
          </w:tcPr>
          <w:p w14:paraId="0CDA6407" w14:textId="77777777" w:rsidR="004B1CB3" w:rsidRPr="00C236AD" w:rsidRDefault="004B1CB3" w:rsidP="00C236AD">
            <w:pPr>
              <w:spacing w:after="0" w:line="360" w:lineRule="auto"/>
              <w:jc w:val="both"/>
              <w:rPr>
                <w:rFonts w:cs="Arial"/>
                <w:sz w:val="24"/>
                <w:szCs w:val="24"/>
              </w:rPr>
            </w:pPr>
            <w:r w:rsidRPr="00C236AD">
              <w:rPr>
                <w:rFonts w:cs="Arial"/>
                <w:sz w:val="24"/>
                <w:szCs w:val="24"/>
              </w:rPr>
              <w:t>.04</w:t>
            </w:r>
          </w:p>
        </w:tc>
        <w:tc>
          <w:tcPr>
            <w:tcW w:w="919" w:type="dxa"/>
            <w:tcBorders>
              <w:bottom w:val="thickThinSmallGap" w:sz="24" w:space="0" w:color="auto"/>
            </w:tcBorders>
          </w:tcPr>
          <w:p w14:paraId="313C0D34" w14:textId="77777777" w:rsidR="004B1CB3" w:rsidRPr="00C236AD" w:rsidRDefault="004B1CB3" w:rsidP="00C236AD">
            <w:pPr>
              <w:spacing w:after="0" w:line="360" w:lineRule="auto"/>
              <w:jc w:val="both"/>
              <w:rPr>
                <w:rFonts w:cs="Arial"/>
                <w:sz w:val="24"/>
                <w:szCs w:val="24"/>
              </w:rPr>
            </w:pPr>
            <w:r w:rsidRPr="00C236AD">
              <w:rPr>
                <w:rFonts w:cs="Arial"/>
                <w:sz w:val="24"/>
                <w:szCs w:val="24"/>
              </w:rPr>
              <w:t>.05</w:t>
            </w:r>
          </w:p>
        </w:tc>
        <w:tc>
          <w:tcPr>
            <w:tcW w:w="919" w:type="dxa"/>
            <w:tcBorders>
              <w:bottom w:val="thickThinSmallGap" w:sz="24" w:space="0" w:color="auto"/>
            </w:tcBorders>
          </w:tcPr>
          <w:p w14:paraId="67D35840" w14:textId="77777777" w:rsidR="004B1CB3" w:rsidRPr="00C236AD" w:rsidRDefault="004B1CB3" w:rsidP="00C236AD">
            <w:pPr>
              <w:spacing w:after="0" w:line="360" w:lineRule="auto"/>
              <w:jc w:val="both"/>
              <w:rPr>
                <w:rFonts w:cs="Arial"/>
                <w:sz w:val="24"/>
                <w:szCs w:val="24"/>
              </w:rPr>
            </w:pPr>
            <w:r w:rsidRPr="00C236AD">
              <w:rPr>
                <w:rFonts w:cs="Arial"/>
                <w:sz w:val="24"/>
                <w:szCs w:val="24"/>
              </w:rPr>
              <w:t>.04</w:t>
            </w:r>
          </w:p>
        </w:tc>
      </w:tr>
    </w:tbl>
    <w:p w14:paraId="666050EA" w14:textId="77777777" w:rsidR="008B27CF" w:rsidRPr="00C236AD" w:rsidRDefault="008B27CF" w:rsidP="00C236AD">
      <w:pPr>
        <w:spacing w:after="0" w:line="360" w:lineRule="auto"/>
        <w:jc w:val="both"/>
        <w:rPr>
          <w:rFonts w:cs="Arial"/>
          <w:sz w:val="24"/>
          <w:szCs w:val="24"/>
        </w:rPr>
      </w:pPr>
    </w:p>
    <w:p w14:paraId="7CA49063" w14:textId="44766787" w:rsidR="004B1CB3" w:rsidRPr="00C236AD" w:rsidRDefault="008B27CF" w:rsidP="00C236AD">
      <w:pPr>
        <w:spacing w:after="0" w:line="360" w:lineRule="auto"/>
        <w:jc w:val="both"/>
        <w:rPr>
          <w:rFonts w:cs="Arial"/>
          <w:sz w:val="24"/>
          <w:szCs w:val="24"/>
        </w:rPr>
      </w:pPr>
      <w:r w:rsidRPr="00C236AD">
        <w:rPr>
          <w:rFonts w:cs="Arial"/>
          <w:sz w:val="24"/>
          <w:szCs w:val="24"/>
        </w:rPr>
        <w:t xml:space="preserve">Source: </w:t>
      </w:r>
      <w:r w:rsidR="008719B4" w:rsidRPr="00C236AD">
        <w:rPr>
          <w:rFonts w:cs="Arial"/>
          <w:b/>
          <w:bCs/>
          <w:sz w:val="24"/>
          <w:szCs w:val="24"/>
          <w:lang w:val="en-GB"/>
        </w:rPr>
        <w:t>Autor’s</w:t>
      </w:r>
      <w:r w:rsidR="004B6D9E" w:rsidRPr="00C236AD">
        <w:rPr>
          <w:rFonts w:cs="Arial"/>
          <w:b/>
          <w:bCs/>
          <w:sz w:val="24"/>
          <w:szCs w:val="24"/>
          <w:lang w:val="en-GB"/>
        </w:rPr>
        <w:t xml:space="preserve"> calculation</w:t>
      </w:r>
      <w:r w:rsidR="008719B4" w:rsidRPr="00C236AD">
        <w:rPr>
          <w:rFonts w:cs="Arial"/>
          <w:b/>
          <w:bCs/>
          <w:sz w:val="24"/>
          <w:szCs w:val="24"/>
          <w:lang w:val="en-GB"/>
        </w:rPr>
        <w:t>s</w:t>
      </w:r>
      <w:r w:rsidR="004B6D9E" w:rsidRPr="00C236AD">
        <w:rPr>
          <w:rFonts w:cs="Arial"/>
          <w:sz w:val="24"/>
          <w:szCs w:val="24"/>
        </w:rPr>
        <w:t xml:space="preserve"> from Marriott International annual report</w:t>
      </w:r>
      <w:r w:rsidR="008719B4" w:rsidRPr="00C236AD">
        <w:rPr>
          <w:rFonts w:cs="Arial"/>
          <w:sz w:val="24"/>
          <w:szCs w:val="24"/>
        </w:rPr>
        <w:t xml:space="preserve"> </w:t>
      </w:r>
      <w:r w:rsidR="004B6D9E" w:rsidRPr="00C236AD">
        <w:rPr>
          <w:rFonts w:cs="Arial"/>
          <w:sz w:val="24"/>
          <w:szCs w:val="24"/>
        </w:rPr>
        <w:t>2021</w:t>
      </w:r>
      <w:r w:rsidR="00ED72CF">
        <w:rPr>
          <w:rFonts w:cs="Arial"/>
          <w:sz w:val="24"/>
          <w:szCs w:val="24"/>
        </w:rPr>
        <w:t>-</w:t>
      </w:r>
      <w:r w:rsidR="004B6D9E" w:rsidRPr="00C236AD">
        <w:rPr>
          <w:rFonts w:cs="Arial"/>
          <w:sz w:val="24"/>
          <w:szCs w:val="24"/>
        </w:rPr>
        <w:t>2025</w:t>
      </w:r>
    </w:p>
    <w:p w14:paraId="1E717D9F" w14:textId="0C3EFD3B" w:rsidR="008B27CF" w:rsidRPr="00C236AD" w:rsidRDefault="008B27CF" w:rsidP="00C236AD">
      <w:pPr>
        <w:spacing w:after="0" w:line="360" w:lineRule="auto"/>
        <w:jc w:val="both"/>
        <w:rPr>
          <w:rFonts w:cs="Arial"/>
          <w:sz w:val="24"/>
          <w:szCs w:val="24"/>
        </w:rPr>
      </w:pPr>
      <w:r w:rsidRPr="00C236AD">
        <w:rPr>
          <w:rFonts w:cs="Arial"/>
          <w:sz w:val="24"/>
          <w:szCs w:val="24"/>
        </w:rPr>
        <w:t>All liquidity ratios declined. The Current Ratio fell from 0.57 to 0.43 as liabilities grew faster than assets (Marriott International, 2026). The Quick and Cash ratios also fell, indicating limited liquid assets. This reflects tight short</w:t>
      </w:r>
      <w:r w:rsidR="00ED72CF">
        <w:rPr>
          <w:rFonts w:cs="Arial"/>
          <w:sz w:val="24"/>
          <w:szCs w:val="24"/>
        </w:rPr>
        <w:t>-</w:t>
      </w:r>
      <w:r w:rsidRPr="00C236AD">
        <w:rPr>
          <w:rFonts w:cs="Arial"/>
          <w:sz w:val="24"/>
          <w:szCs w:val="24"/>
        </w:rPr>
        <w:t>term liquidity and increased reliance on $3,212m operating cash flow and the $4.5bn Credit Facility (Marriott International, 2026). While typical for an asset</w:t>
      </w:r>
      <w:r w:rsidR="00ED72CF">
        <w:rPr>
          <w:rFonts w:cs="Arial"/>
          <w:sz w:val="24"/>
          <w:szCs w:val="24"/>
        </w:rPr>
        <w:t>-</w:t>
      </w:r>
      <w:r w:rsidRPr="00C236AD">
        <w:rPr>
          <w:rFonts w:cs="Arial"/>
          <w:sz w:val="24"/>
          <w:szCs w:val="24"/>
        </w:rPr>
        <w:t>light franchisor, it requires active monitoring.</w:t>
      </w:r>
    </w:p>
    <w:p w14:paraId="1D171F86" w14:textId="77777777" w:rsidR="008B27CF" w:rsidRPr="00C236AD" w:rsidRDefault="008B27CF" w:rsidP="00C236AD">
      <w:pPr>
        <w:spacing w:after="0" w:line="360" w:lineRule="auto"/>
        <w:jc w:val="both"/>
        <w:rPr>
          <w:rFonts w:cs="Arial"/>
          <w:sz w:val="24"/>
          <w:szCs w:val="24"/>
        </w:rPr>
      </w:pPr>
    </w:p>
    <w:p w14:paraId="7CE30A88" w14:textId="05048B99" w:rsidR="004B1CB3" w:rsidRPr="00C236AD" w:rsidRDefault="008B27CF" w:rsidP="00C236AD">
      <w:pPr>
        <w:spacing w:after="0" w:line="360" w:lineRule="auto"/>
        <w:jc w:val="both"/>
        <w:rPr>
          <w:rFonts w:cs="Arial"/>
          <w:sz w:val="24"/>
          <w:szCs w:val="24"/>
        </w:rPr>
      </w:pPr>
      <w:r w:rsidRPr="00C236AD">
        <w:rPr>
          <w:rFonts w:cs="Arial"/>
          <w:sz w:val="24"/>
          <w:szCs w:val="24"/>
        </w:rPr>
        <w:t>Figure 2: Liquidity Ratios trend 2021</w:t>
      </w:r>
      <w:r w:rsidR="00ED72CF">
        <w:rPr>
          <w:rFonts w:cs="Arial"/>
          <w:sz w:val="24"/>
          <w:szCs w:val="24"/>
        </w:rPr>
        <w:t>-</w:t>
      </w:r>
      <w:r w:rsidRPr="00C236AD">
        <w:rPr>
          <w:rFonts w:cs="Arial"/>
          <w:sz w:val="24"/>
          <w:szCs w:val="24"/>
        </w:rPr>
        <w:t xml:space="preserve">2025  </w:t>
      </w:r>
    </w:p>
    <w:p w14:paraId="18EDC89F" w14:textId="06336A87" w:rsidR="000D13C8" w:rsidRPr="00C236AD" w:rsidRDefault="000D13C8" w:rsidP="00C236AD">
      <w:pPr>
        <w:spacing w:after="0" w:line="360" w:lineRule="auto"/>
        <w:jc w:val="both"/>
        <w:rPr>
          <w:rFonts w:cs="Arial"/>
          <w:b/>
          <w:bCs/>
          <w:sz w:val="24"/>
          <w:szCs w:val="24"/>
          <w:lang w:val="en-GB"/>
        </w:rPr>
      </w:pPr>
      <w:r w:rsidRPr="00C236AD">
        <w:rPr>
          <w:rFonts w:cs="Arial"/>
          <w:noProof/>
          <w:sz w:val="24"/>
          <w:szCs w:val="24"/>
        </w:rPr>
        <w:lastRenderedPageBreak/>
        <w:drawing>
          <wp:inline distT="0" distB="0" distL="0" distR="0" wp14:anchorId="38D4929B" wp14:editId="214902E5">
            <wp:extent cx="2857500" cy="2476500"/>
            <wp:effectExtent l="0" t="0" r="0" b="0"/>
            <wp:docPr id="927612802" name="Graphique 1">
              <a:extLst xmlns:a="http://schemas.openxmlformats.org/drawingml/2006/main">
                <a:ext uri="{FF2B5EF4-FFF2-40B4-BE49-F238E27FC236}">
                  <a16:creationId xmlns:a16="http://schemas.microsoft.com/office/drawing/2014/main" id="{56FC18B4-7E29-483E-D701-11E3A2181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C236AD">
        <w:rPr>
          <w:rFonts w:cs="Arial"/>
          <w:noProof/>
          <w:sz w:val="24"/>
          <w:szCs w:val="24"/>
        </w:rPr>
        <w:drawing>
          <wp:inline distT="0" distB="0" distL="0" distR="0" wp14:anchorId="4B78C1C8" wp14:editId="5DACF6E6">
            <wp:extent cx="2628900" cy="2444750"/>
            <wp:effectExtent l="0" t="0" r="0" b="12700"/>
            <wp:docPr id="2013372560" name="Graphique 1">
              <a:extLst xmlns:a="http://schemas.openxmlformats.org/drawingml/2006/main">
                <a:ext uri="{FF2B5EF4-FFF2-40B4-BE49-F238E27FC236}">
                  <a16:creationId xmlns:a16="http://schemas.microsoft.com/office/drawing/2014/main" id="{113C51A4-F735-9EE3-93A5-181E088242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C236AD">
        <w:rPr>
          <w:rFonts w:cs="Arial"/>
          <w:noProof/>
          <w:sz w:val="24"/>
          <w:szCs w:val="24"/>
        </w:rPr>
        <w:drawing>
          <wp:inline distT="0" distB="0" distL="0" distR="0" wp14:anchorId="7D8A7815" wp14:editId="5476D582">
            <wp:extent cx="5435600" cy="2152650"/>
            <wp:effectExtent l="0" t="0" r="12700" b="0"/>
            <wp:docPr id="297664340" name="Graphique 1">
              <a:extLst xmlns:a="http://schemas.openxmlformats.org/drawingml/2006/main">
                <a:ext uri="{FF2B5EF4-FFF2-40B4-BE49-F238E27FC236}">
                  <a16:creationId xmlns:a16="http://schemas.microsoft.com/office/drawing/2014/main" id="{1931996E-A0B0-66BA-C5F8-4DA91EB530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B00F403" w14:textId="404D7A2D" w:rsidR="004B6D9E" w:rsidRPr="00C236AD" w:rsidRDefault="004B6D9E" w:rsidP="00C236AD">
      <w:pPr>
        <w:spacing w:after="0" w:line="360" w:lineRule="auto"/>
        <w:jc w:val="both"/>
        <w:rPr>
          <w:rFonts w:cs="Arial"/>
          <w:sz w:val="24"/>
          <w:szCs w:val="24"/>
        </w:rPr>
      </w:pPr>
      <w:r w:rsidRPr="00C236AD">
        <w:rPr>
          <w:rFonts w:cs="Arial"/>
          <w:sz w:val="24"/>
          <w:szCs w:val="24"/>
        </w:rPr>
        <w:t xml:space="preserve">Source: </w:t>
      </w:r>
      <w:r w:rsidR="008719B4" w:rsidRPr="00C236AD">
        <w:rPr>
          <w:rFonts w:cs="Arial"/>
          <w:b/>
          <w:bCs/>
          <w:sz w:val="24"/>
          <w:szCs w:val="24"/>
          <w:lang w:val="en-GB"/>
        </w:rPr>
        <w:t xml:space="preserve">Autor </w:t>
      </w:r>
      <w:r w:rsidRPr="00C236AD">
        <w:rPr>
          <w:rFonts w:cs="Arial"/>
          <w:sz w:val="24"/>
          <w:szCs w:val="24"/>
        </w:rPr>
        <w:t>from Marriott International annual report</w:t>
      </w:r>
      <w:r w:rsidR="008719B4" w:rsidRPr="00C236AD">
        <w:rPr>
          <w:rFonts w:cs="Arial"/>
          <w:sz w:val="24"/>
          <w:szCs w:val="24"/>
        </w:rPr>
        <w:t xml:space="preserve"> </w:t>
      </w:r>
      <w:r w:rsidRPr="00C236AD">
        <w:rPr>
          <w:rFonts w:cs="Arial"/>
          <w:sz w:val="24"/>
          <w:szCs w:val="24"/>
        </w:rPr>
        <w:t>20</w:t>
      </w:r>
      <w:r w:rsidR="008719B4" w:rsidRPr="00C236AD">
        <w:rPr>
          <w:rFonts w:cs="Arial"/>
          <w:sz w:val="24"/>
          <w:szCs w:val="24"/>
        </w:rPr>
        <w:t>21</w:t>
      </w:r>
      <w:r w:rsidR="00ED72CF">
        <w:rPr>
          <w:rFonts w:cs="Arial"/>
          <w:sz w:val="24"/>
          <w:szCs w:val="24"/>
        </w:rPr>
        <w:t>-</w:t>
      </w:r>
      <w:r w:rsidRPr="00C236AD">
        <w:rPr>
          <w:rFonts w:cs="Arial"/>
          <w:sz w:val="24"/>
          <w:szCs w:val="24"/>
        </w:rPr>
        <w:t>202</w:t>
      </w:r>
      <w:r w:rsidR="008719B4" w:rsidRPr="00C236AD">
        <w:rPr>
          <w:rFonts w:cs="Arial"/>
          <w:sz w:val="24"/>
          <w:szCs w:val="24"/>
        </w:rPr>
        <w:t>5</w:t>
      </w:r>
    </w:p>
    <w:p w14:paraId="3E85CF0C" w14:textId="5E841BD1" w:rsidR="002C7A45" w:rsidRPr="00C236AD" w:rsidRDefault="002C7A45" w:rsidP="00C236AD">
      <w:pPr>
        <w:spacing w:after="0" w:line="360" w:lineRule="auto"/>
        <w:jc w:val="both"/>
        <w:rPr>
          <w:rFonts w:cs="Arial"/>
          <w:b/>
          <w:bCs/>
          <w:sz w:val="24"/>
          <w:szCs w:val="24"/>
        </w:rPr>
      </w:pPr>
    </w:p>
    <w:p w14:paraId="2E64CA5D" w14:textId="77777777" w:rsidR="002C7A45" w:rsidRPr="00C236AD" w:rsidRDefault="002C7A45" w:rsidP="00C236AD">
      <w:pPr>
        <w:spacing w:after="0" w:line="360" w:lineRule="auto"/>
        <w:jc w:val="both"/>
        <w:rPr>
          <w:rFonts w:cs="Arial"/>
          <w:b/>
          <w:bCs/>
          <w:sz w:val="24"/>
          <w:szCs w:val="24"/>
          <w:lang w:val="en-GB"/>
        </w:rPr>
      </w:pPr>
      <w:r w:rsidRPr="00C236AD">
        <w:rPr>
          <w:rFonts w:cs="Arial"/>
          <w:sz w:val="24"/>
          <w:szCs w:val="24"/>
          <w:lang w:val="en-GB"/>
        </w:rPr>
        <w:t>C. Efficiency Ratios</w:t>
      </w:r>
    </w:p>
    <w:p w14:paraId="2D58BEF7" w14:textId="77777777" w:rsidR="004B6D9E" w:rsidRPr="00C236AD" w:rsidRDefault="004B6D9E" w:rsidP="00C236AD">
      <w:pPr>
        <w:spacing w:after="0" w:line="360" w:lineRule="auto"/>
        <w:jc w:val="both"/>
        <w:rPr>
          <w:rFonts w:cs="Arial"/>
          <w:sz w:val="24"/>
          <w:szCs w:val="24"/>
        </w:rPr>
      </w:pPr>
      <w:r w:rsidRPr="00C236AD">
        <w:rPr>
          <w:rFonts w:cs="Arial"/>
          <w:sz w:val="24"/>
          <w:szCs w:val="24"/>
        </w:rPr>
        <w:t>Efficiency ratios evaluate working capital management. For Marriott, the focus is on receivables and payables given the absence of material inventory.</w:t>
      </w:r>
    </w:p>
    <w:p w14:paraId="0AF10499" w14:textId="77777777" w:rsidR="00D862BB" w:rsidRPr="00C236AD" w:rsidRDefault="00D862BB" w:rsidP="00C236AD">
      <w:pPr>
        <w:spacing w:after="0" w:line="360" w:lineRule="auto"/>
        <w:jc w:val="both"/>
        <w:rPr>
          <w:rFonts w:cs="Arial"/>
          <w:b/>
          <w:bCs/>
          <w:sz w:val="24"/>
          <w:szCs w:val="24"/>
        </w:rPr>
      </w:pPr>
    </w:p>
    <w:p w14:paraId="05798FFA" w14:textId="0CD4A5B4" w:rsidR="00D862BB" w:rsidRPr="00C236AD" w:rsidRDefault="00D862BB" w:rsidP="00C236AD">
      <w:pPr>
        <w:spacing w:after="0" w:line="360" w:lineRule="auto"/>
        <w:jc w:val="both"/>
        <w:rPr>
          <w:rFonts w:cs="Arial"/>
          <w:b/>
          <w:bCs/>
          <w:sz w:val="24"/>
          <w:szCs w:val="24"/>
          <w:lang w:val="en-GB"/>
        </w:rPr>
      </w:pPr>
      <w:r w:rsidRPr="00C236AD">
        <w:rPr>
          <w:rFonts w:cs="Arial"/>
          <w:b/>
          <w:bCs/>
          <w:sz w:val="24"/>
          <w:szCs w:val="24"/>
          <w:u w:val="single"/>
          <w:lang w:val="en-GB"/>
        </w:rPr>
        <w:t>Table:</w:t>
      </w:r>
      <w:r w:rsidR="004B1CB3" w:rsidRPr="00C236AD">
        <w:rPr>
          <w:rFonts w:cs="Arial"/>
          <w:b/>
          <w:bCs/>
          <w:sz w:val="24"/>
          <w:szCs w:val="24"/>
          <w:lang w:val="en-GB"/>
        </w:rPr>
        <w:t xml:space="preserve"> E</w:t>
      </w:r>
      <w:r w:rsidRPr="00C236AD">
        <w:rPr>
          <w:rFonts w:cs="Arial"/>
          <w:b/>
          <w:bCs/>
          <w:sz w:val="24"/>
          <w:szCs w:val="24"/>
          <w:lang w:val="en-GB"/>
        </w:rPr>
        <w:t>fficiency ratios</w:t>
      </w:r>
      <w:r w:rsidR="004B6D9E" w:rsidRPr="00C236AD">
        <w:rPr>
          <w:rFonts w:cs="Arial"/>
          <w:b/>
          <w:bCs/>
          <w:sz w:val="24"/>
          <w:szCs w:val="24"/>
          <w:lang w:val="en-GB"/>
        </w:rPr>
        <w:t xml:space="preserve"> </w:t>
      </w:r>
      <w:r w:rsidR="004B6D9E" w:rsidRPr="00C236AD">
        <w:rPr>
          <w:rFonts w:cs="Arial"/>
          <w:sz w:val="24"/>
          <w:szCs w:val="24"/>
        </w:rPr>
        <w:t>2021</w:t>
      </w:r>
      <w:r w:rsidR="00ED72CF">
        <w:rPr>
          <w:rFonts w:cs="Arial"/>
          <w:sz w:val="24"/>
          <w:szCs w:val="24"/>
        </w:rPr>
        <w:t>-</w:t>
      </w:r>
      <w:r w:rsidR="004B6D9E" w:rsidRPr="00C236AD">
        <w:rPr>
          <w:rFonts w:cs="Arial"/>
          <w:sz w:val="24"/>
          <w:szCs w:val="24"/>
        </w:rPr>
        <w:t xml:space="preserve">2025  </w:t>
      </w:r>
    </w:p>
    <w:tbl>
      <w:tblPr>
        <w:tblW w:w="7077" w:type="dxa"/>
        <w:tblCellSpacing w:w="15" w:type="dxa"/>
        <w:tblCellMar>
          <w:top w:w="15" w:type="dxa"/>
          <w:left w:w="15" w:type="dxa"/>
          <w:bottom w:w="15" w:type="dxa"/>
          <w:right w:w="15" w:type="dxa"/>
        </w:tblCellMar>
        <w:tblLook w:val="04A0" w:firstRow="1" w:lastRow="0" w:firstColumn="1" w:lastColumn="0" w:noHBand="0" w:noVBand="1"/>
      </w:tblPr>
      <w:tblGrid>
        <w:gridCol w:w="1236"/>
        <w:gridCol w:w="1166"/>
        <w:gridCol w:w="1165"/>
        <w:gridCol w:w="1165"/>
        <w:gridCol w:w="1165"/>
        <w:gridCol w:w="1180"/>
      </w:tblGrid>
      <w:tr w:rsidR="004B1CB3" w:rsidRPr="00C236AD" w14:paraId="34428B4B" w14:textId="77777777" w:rsidTr="004B1CB3">
        <w:trPr>
          <w:trHeight w:val="565"/>
          <w:tblHeader/>
          <w:tblCellSpacing w:w="15" w:type="dxa"/>
        </w:trPr>
        <w:tc>
          <w:tcPr>
            <w:tcW w:w="0" w:type="auto"/>
            <w:tcBorders>
              <w:top w:val="thinThickSmallGap" w:sz="24" w:space="0" w:color="auto"/>
              <w:bottom w:val="thickThinSmallGap" w:sz="24" w:space="0" w:color="auto"/>
            </w:tcBorders>
            <w:vAlign w:val="center"/>
            <w:hideMark/>
          </w:tcPr>
          <w:p w14:paraId="23950D1D"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Ratio</w:t>
            </w:r>
          </w:p>
        </w:tc>
        <w:tc>
          <w:tcPr>
            <w:tcW w:w="0" w:type="auto"/>
            <w:tcBorders>
              <w:top w:val="thinThickSmallGap" w:sz="24" w:space="0" w:color="auto"/>
              <w:bottom w:val="thickThinSmallGap" w:sz="24" w:space="0" w:color="auto"/>
            </w:tcBorders>
            <w:vAlign w:val="center"/>
            <w:hideMark/>
          </w:tcPr>
          <w:p w14:paraId="2824DA38"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2021</w:t>
            </w:r>
          </w:p>
        </w:tc>
        <w:tc>
          <w:tcPr>
            <w:tcW w:w="0" w:type="auto"/>
            <w:tcBorders>
              <w:top w:val="thinThickSmallGap" w:sz="24" w:space="0" w:color="auto"/>
              <w:bottom w:val="thickThinSmallGap" w:sz="24" w:space="0" w:color="auto"/>
            </w:tcBorders>
            <w:vAlign w:val="center"/>
            <w:hideMark/>
          </w:tcPr>
          <w:p w14:paraId="28D4512A"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2022</w:t>
            </w:r>
          </w:p>
        </w:tc>
        <w:tc>
          <w:tcPr>
            <w:tcW w:w="0" w:type="auto"/>
            <w:tcBorders>
              <w:top w:val="thinThickSmallGap" w:sz="24" w:space="0" w:color="auto"/>
              <w:bottom w:val="thickThinSmallGap" w:sz="24" w:space="0" w:color="auto"/>
            </w:tcBorders>
            <w:vAlign w:val="center"/>
            <w:hideMark/>
          </w:tcPr>
          <w:p w14:paraId="743A8249"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2023</w:t>
            </w:r>
          </w:p>
        </w:tc>
        <w:tc>
          <w:tcPr>
            <w:tcW w:w="0" w:type="auto"/>
            <w:tcBorders>
              <w:top w:val="thinThickSmallGap" w:sz="24" w:space="0" w:color="auto"/>
              <w:bottom w:val="thickThinSmallGap" w:sz="24" w:space="0" w:color="auto"/>
            </w:tcBorders>
            <w:vAlign w:val="center"/>
            <w:hideMark/>
          </w:tcPr>
          <w:p w14:paraId="03A5160C"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2024</w:t>
            </w:r>
          </w:p>
        </w:tc>
        <w:tc>
          <w:tcPr>
            <w:tcW w:w="0" w:type="auto"/>
            <w:tcBorders>
              <w:top w:val="thinThickSmallGap" w:sz="24" w:space="0" w:color="auto"/>
              <w:bottom w:val="thickThinSmallGap" w:sz="24" w:space="0" w:color="auto"/>
            </w:tcBorders>
            <w:vAlign w:val="center"/>
            <w:hideMark/>
          </w:tcPr>
          <w:p w14:paraId="6F4B70A5"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2025</w:t>
            </w:r>
          </w:p>
        </w:tc>
      </w:tr>
      <w:tr w:rsidR="004B1CB3" w:rsidRPr="00C236AD" w14:paraId="61EEE708" w14:textId="77777777" w:rsidTr="004B1CB3">
        <w:trPr>
          <w:trHeight w:val="576"/>
          <w:tblCellSpacing w:w="15" w:type="dxa"/>
        </w:trPr>
        <w:tc>
          <w:tcPr>
            <w:tcW w:w="0" w:type="auto"/>
            <w:vAlign w:val="center"/>
            <w:hideMark/>
          </w:tcPr>
          <w:p w14:paraId="77E67CD5"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DSI</w:t>
            </w:r>
          </w:p>
        </w:tc>
        <w:tc>
          <w:tcPr>
            <w:tcW w:w="0" w:type="auto"/>
            <w:vAlign w:val="center"/>
            <w:hideMark/>
          </w:tcPr>
          <w:p w14:paraId="604FE73F"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N/A</w:t>
            </w:r>
          </w:p>
        </w:tc>
        <w:tc>
          <w:tcPr>
            <w:tcW w:w="0" w:type="auto"/>
            <w:vAlign w:val="center"/>
            <w:hideMark/>
          </w:tcPr>
          <w:p w14:paraId="74673D11"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N/A</w:t>
            </w:r>
          </w:p>
        </w:tc>
        <w:tc>
          <w:tcPr>
            <w:tcW w:w="0" w:type="auto"/>
            <w:vAlign w:val="center"/>
            <w:hideMark/>
          </w:tcPr>
          <w:p w14:paraId="379EA592"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N/A</w:t>
            </w:r>
          </w:p>
        </w:tc>
        <w:tc>
          <w:tcPr>
            <w:tcW w:w="0" w:type="auto"/>
            <w:vAlign w:val="center"/>
            <w:hideMark/>
          </w:tcPr>
          <w:p w14:paraId="5C429732"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N/A</w:t>
            </w:r>
          </w:p>
        </w:tc>
        <w:tc>
          <w:tcPr>
            <w:tcW w:w="0" w:type="auto"/>
            <w:vAlign w:val="center"/>
            <w:hideMark/>
          </w:tcPr>
          <w:p w14:paraId="01AF4C1C"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N/A</w:t>
            </w:r>
          </w:p>
        </w:tc>
      </w:tr>
      <w:tr w:rsidR="004B1CB3" w:rsidRPr="00C236AD" w14:paraId="1C11BBCB" w14:textId="77777777" w:rsidTr="004B1CB3">
        <w:trPr>
          <w:trHeight w:val="576"/>
          <w:tblCellSpacing w:w="15" w:type="dxa"/>
        </w:trPr>
        <w:tc>
          <w:tcPr>
            <w:tcW w:w="0" w:type="auto"/>
            <w:vAlign w:val="center"/>
            <w:hideMark/>
          </w:tcPr>
          <w:p w14:paraId="25220D8D"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DSO</w:t>
            </w:r>
          </w:p>
        </w:tc>
        <w:tc>
          <w:tcPr>
            <w:tcW w:w="0" w:type="auto"/>
            <w:vAlign w:val="center"/>
            <w:hideMark/>
          </w:tcPr>
          <w:p w14:paraId="266EA66D"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52.2</w:t>
            </w:r>
          </w:p>
        </w:tc>
        <w:tc>
          <w:tcPr>
            <w:tcW w:w="0" w:type="auto"/>
            <w:vAlign w:val="center"/>
            <w:hideMark/>
          </w:tcPr>
          <w:p w14:paraId="7DF37305"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45.2</w:t>
            </w:r>
          </w:p>
        </w:tc>
        <w:tc>
          <w:tcPr>
            <w:tcW w:w="0" w:type="auto"/>
            <w:vAlign w:val="center"/>
            <w:hideMark/>
          </w:tcPr>
          <w:p w14:paraId="7F907555"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41.7</w:t>
            </w:r>
          </w:p>
        </w:tc>
        <w:tc>
          <w:tcPr>
            <w:tcW w:w="0" w:type="auto"/>
            <w:vAlign w:val="center"/>
            <w:hideMark/>
          </w:tcPr>
          <w:p w14:paraId="63F23B15"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40.6</w:t>
            </w:r>
          </w:p>
        </w:tc>
        <w:tc>
          <w:tcPr>
            <w:tcW w:w="0" w:type="auto"/>
            <w:vAlign w:val="center"/>
            <w:hideMark/>
          </w:tcPr>
          <w:p w14:paraId="5ED1828C"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40.5</w:t>
            </w:r>
          </w:p>
        </w:tc>
      </w:tr>
      <w:tr w:rsidR="004B1CB3" w:rsidRPr="00C236AD" w14:paraId="2C135C80" w14:textId="77777777" w:rsidTr="004B1CB3">
        <w:trPr>
          <w:trHeight w:val="565"/>
          <w:tblCellSpacing w:w="15" w:type="dxa"/>
        </w:trPr>
        <w:tc>
          <w:tcPr>
            <w:tcW w:w="0" w:type="auto"/>
            <w:tcBorders>
              <w:bottom w:val="thickThinSmallGap" w:sz="24" w:space="0" w:color="auto"/>
            </w:tcBorders>
            <w:vAlign w:val="center"/>
            <w:hideMark/>
          </w:tcPr>
          <w:p w14:paraId="6F5E1A48"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lastRenderedPageBreak/>
              <w:t>DPO</w:t>
            </w:r>
          </w:p>
        </w:tc>
        <w:tc>
          <w:tcPr>
            <w:tcW w:w="0" w:type="auto"/>
            <w:tcBorders>
              <w:bottom w:val="thickThinSmallGap" w:sz="24" w:space="0" w:color="auto"/>
            </w:tcBorders>
            <w:vAlign w:val="center"/>
            <w:hideMark/>
          </w:tcPr>
          <w:p w14:paraId="08233D90"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24.0</w:t>
            </w:r>
          </w:p>
        </w:tc>
        <w:tc>
          <w:tcPr>
            <w:tcW w:w="0" w:type="auto"/>
            <w:tcBorders>
              <w:bottom w:val="thickThinSmallGap" w:sz="24" w:space="0" w:color="auto"/>
            </w:tcBorders>
            <w:vAlign w:val="center"/>
            <w:hideMark/>
          </w:tcPr>
          <w:p w14:paraId="4AFD6519"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16.8</w:t>
            </w:r>
          </w:p>
        </w:tc>
        <w:tc>
          <w:tcPr>
            <w:tcW w:w="0" w:type="auto"/>
            <w:tcBorders>
              <w:bottom w:val="thickThinSmallGap" w:sz="24" w:space="0" w:color="auto"/>
            </w:tcBorders>
            <w:vAlign w:val="center"/>
            <w:hideMark/>
          </w:tcPr>
          <w:p w14:paraId="761C5B3A"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14.4</w:t>
            </w:r>
          </w:p>
        </w:tc>
        <w:tc>
          <w:tcPr>
            <w:tcW w:w="0" w:type="auto"/>
            <w:tcBorders>
              <w:bottom w:val="thickThinSmallGap" w:sz="24" w:space="0" w:color="auto"/>
            </w:tcBorders>
            <w:vAlign w:val="center"/>
            <w:hideMark/>
          </w:tcPr>
          <w:p w14:paraId="38E4B688"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13.8</w:t>
            </w:r>
          </w:p>
        </w:tc>
        <w:tc>
          <w:tcPr>
            <w:tcW w:w="0" w:type="auto"/>
            <w:tcBorders>
              <w:bottom w:val="thickThinSmallGap" w:sz="24" w:space="0" w:color="auto"/>
            </w:tcBorders>
            <w:vAlign w:val="center"/>
            <w:hideMark/>
          </w:tcPr>
          <w:p w14:paraId="393B5FFD" w14:textId="77777777" w:rsidR="004B1CB3" w:rsidRPr="00C236AD" w:rsidRDefault="004B1CB3" w:rsidP="00C236AD">
            <w:pPr>
              <w:spacing w:after="0" w:line="360" w:lineRule="auto"/>
              <w:jc w:val="both"/>
              <w:rPr>
                <w:rFonts w:cs="Arial"/>
                <w:b/>
                <w:bCs/>
                <w:sz w:val="24"/>
                <w:szCs w:val="24"/>
                <w:lang w:val="en-GB"/>
              </w:rPr>
            </w:pPr>
            <w:r w:rsidRPr="00C236AD">
              <w:rPr>
                <w:rFonts w:cs="Arial"/>
                <w:sz w:val="24"/>
                <w:szCs w:val="24"/>
                <w:lang w:val="en-GB"/>
              </w:rPr>
              <w:t>14.2</w:t>
            </w:r>
          </w:p>
        </w:tc>
      </w:tr>
    </w:tbl>
    <w:p w14:paraId="49584ABB" w14:textId="08421B30" w:rsidR="004B6D9E" w:rsidRPr="00C236AD" w:rsidRDefault="00D862BB" w:rsidP="00C236AD">
      <w:pPr>
        <w:spacing w:after="0" w:line="360" w:lineRule="auto"/>
        <w:jc w:val="both"/>
        <w:rPr>
          <w:rFonts w:cs="Arial"/>
          <w:sz w:val="24"/>
          <w:szCs w:val="24"/>
        </w:rPr>
      </w:pPr>
      <w:r w:rsidRPr="00C236AD">
        <w:rPr>
          <w:rFonts w:cs="Arial"/>
          <w:b/>
          <w:bCs/>
          <w:sz w:val="24"/>
          <w:szCs w:val="24"/>
          <w:u w:val="single"/>
          <w:lang w:val="en-GB"/>
        </w:rPr>
        <w:t>Source:</w:t>
      </w:r>
      <w:r w:rsidRPr="00C236AD">
        <w:rPr>
          <w:rFonts w:cs="Arial"/>
          <w:sz w:val="24"/>
          <w:szCs w:val="24"/>
          <w:lang w:val="en-GB"/>
        </w:rPr>
        <w:t xml:space="preserve"> </w:t>
      </w:r>
      <w:r w:rsidR="00E241C5" w:rsidRPr="00C236AD">
        <w:rPr>
          <w:rFonts w:cs="Arial"/>
          <w:b/>
          <w:bCs/>
          <w:sz w:val="24"/>
          <w:szCs w:val="24"/>
          <w:lang w:val="en-GB"/>
        </w:rPr>
        <w:t>Autor’s</w:t>
      </w:r>
      <w:r w:rsidR="004B6D9E" w:rsidRPr="00C236AD">
        <w:rPr>
          <w:rFonts w:cs="Arial"/>
          <w:b/>
          <w:bCs/>
          <w:sz w:val="24"/>
          <w:szCs w:val="24"/>
          <w:lang w:val="en-GB"/>
        </w:rPr>
        <w:t xml:space="preserve"> calculation</w:t>
      </w:r>
      <w:r w:rsidR="00E241C5" w:rsidRPr="00C236AD">
        <w:rPr>
          <w:rFonts w:cs="Arial"/>
          <w:b/>
          <w:bCs/>
          <w:sz w:val="24"/>
          <w:szCs w:val="24"/>
          <w:lang w:val="en-GB"/>
        </w:rPr>
        <w:t>s</w:t>
      </w:r>
      <w:r w:rsidR="004B6D9E" w:rsidRPr="00C236AD">
        <w:rPr>
          <w:rFonts w:cs="Arial"/>
          <w:sz w:val="24"/>
          <w:szCs w:val="24"/>
        </w:rPr>
        <w:t xml:space="preserve"> from Marriott International annual report 2021</w:t>
      </w:r>
      <w:r w:rsidR="00ED72CF">
        <w:rPr>
          <w:rFonts w:cs="Arial"/>
          <w:sz w:val="24"/>
          <w:szCs w:val="24"/>
        </w:rPr>
        <w:t>-</w:t>
      </w:r>
      <w:r w:rsidR="004B6D9E" w:rsidRPr="00C236AD">
        <w:rPr>
          <w:rFonts w:cs="Arial"/>
          <w:sz w:val="24"/>
          <w:szCs w:val="24"/>
        </w:rPr>
        <w:t>2025</w:t>
      </w:r>
    </w:p>
    <w:p w14:paraId="240553E5" w14:textId="5182C76D" w:rsidR="00E241C5" w:rsidRPr="00C236AD" w:rsidRDefault="00E241C5" w:rsidP="00C236AD">
      <w:pPr>
        <w:spacing w:after="0" w:line="360" w:lineRule="auto"/>
        <w:jc w:val="both"/>
        <w:rPr>
          <w:rFonts w:cs="Arial"/>
          <w:sz w:val="24"/>
          <w:szCs w:val="24"/>
        </w:rPr>
      </w:pPr>
      <w:r w:rsidRPr="00C236AD">
        <w:rPr>
          <w:rFonts w:cs="Arial"/>
          <w:sz w:val="24"/>
          <w:szCs w:val="24"/>
        </w:rPr>
        <w:t>Working capital improved. DSO fell by 11.7 days to 40.5 days in 2025, which suggests faster collection from franchisees. DPO also dropped by 9.8 days to 14.2 days, a result of the cost</w:t>
      </w:r>
      <w:r w:rsidR="00ED72CF">
        <w:rPr>
          <w:rFonts w:cs="Arial"/>
          <w:sz w:val="24"/>
          <w:szCs w:val="24"/>
        </w:rPr>
        <w:t>-</w:t>
      </w:r>
      <w:r w:rsidRPr="00C236AD">
        <w:rPr>
          <w:rFonts w:cs="Arial"/>
          <w:sz w:val="24"/>
          <w:szCs w:val="24"/>
        </w:rPr>
        <w:t>reimbursement model.</w:t>
      </w:r>
    </w:p>
    <w:p w14:paraId="74D45F45" w14:textId="77777777" w:rsidR="004B6D9E" w:rsidRPr="00C236AD" w:rsidRDefault="004B6D9E" w:rsidP="00C236AD">
      <w:pPr>
        <w:spacing w:after="0" w:line="360" w:lineRule="auto"/>
        <w:jc w:val="both"/>
        <w:rPr>
          <w:rFonts w:cs="Arial"/>
          <w:sz w:val="24"/>
          <w:szCs w:val="24"/>
        </w:rPr>
      </w:pPr>
    </w:p>
    <w:p w14:paraId="6BC25610" w14:textId="4D8A8089" w:rsidR="004B6D9E" w:rsidRPr="00C236AD" w:rsidRDefault="004B6D9E" w:rsidP="00C236AD">
      <w:pPr>
        <w:spacing w:after="0" w:line="360" w:lineRule="auto"/>
        <w:jc w:val="both"/>
        <w:rPr>
          <w:rFonts w:cs="Arial"/>
          <w:sz w:val="24"/>
          <w:szCs w:val="24"/>
        </w:rPr>
      </w:pPr>
      <w:r w:rsidRPr="00C236AD">
        <w:rPr>
          <w:rFonts w:cs="Arial"/>
          <w:sz w:val="24"/>
          <w:szCs w:val="24"/>
        </w:rPr>
        <w:t>Figure 3: DSO and DPO ratios trend, 2021</w:t>
      </w:r>
      <w:r w:rsidR="00ED72CF">
        <w:rPr>
          <w:rFonts w:cs="Arial"/>
          <w:sz w:val="24"/>
          <w:szCs w:val="24"/>
        </w:rPr>
        <w:t>-</w:t>
      </w:r>
      <w:r w:rsidRPr="00C236AD">
        <w:rPr>
          <w:rFonts w:cs="Arial"/>
          <w:sz w:val="24"/>
          <w:szCs w:val="24"/>
        </w:rPr>
        <w:t xml:space="preserve">2025  </w:t>
      </w:r>
    </w:p>
    <w:p w14:paraId="48F3771E" w14:textId="3233E742" w:rsidR="0072128D" w:rsidRPr="00C236AD" w:rsidRDefault="000D13C8" w:rsidP="00C236AD">
      <w:pPr>
        <w:spacing w:after="0" w:line="360" w:lineRule="auto"/>
        <w:jc w:val="both"/>
        <w:rPr>
          <w:rFonts w:cs="Arial"/>
          <w:b/>
          <w:bCs/>
          <w:sz w:val="24"/>
          <w:szCs w:val="24"/>
          <w:lang w:val="en-GB"/>
        </w:rPr>
      </w:pPr>
      <w:r w:rsidRPr="00C236AD">
        <w:rPr>
          <w:rFonts w:cs="Arial"/>
          <w:noProof/>
          <w:sz w:val="24"/>
          <w:szCs w:val="24"/>
        </w:rPr>
        <w:drawing>
          <wp:inline distT="0" distB="0" distL="0" distR="0" wp14:anchorId="729F0127" wp14:editId="1B1FE7D9">
            <wp:extent cx="2889250" cy="2578100"/>
            <wp:effectExtent l="0" t="0" r="6350" b="12700"/>
            <wp:docPr id="464879287" name="Graphique 1">
              <a:extLst xmlns:a="http://schemas.openxmlformats.org/drawingml/2006/main">
                <a:ext uri="{FF2B5EF4-FFF2-40B4-BE49-F238E27FC236}">
                  <a16:creationId xmlns:a16="http://schemas.microsoft.com/office/drawing/2014/main" id="{5CCA573F-0678-AEF9-054A-4509882A59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Pr="00C236AD">
        <w:rPr>
          <w:rFonts w:cs="Arial"/>
          <w:noProof/>
          <w:sz w:val="24"/>
          <w:szCs w:val="24"/>
        </w:rPr>
        <w:drawing>
          <wp:inline distT="0" distB="0" distL="0" distR="0" wp14:anchorId="0C3B95F0" wp14:editId="5B2EFB83">
            <wp:extent cx="2463800" cy="2565400"/>
            <wp:effectExtent l="0" t="0" r="12700" b="6350"/>
            <wp:docPr id="448545258" name="Graphique 1">
              <a:extLst xmlns:a="http://schemas.openxmlformats.org/drawingml/2006/main">
                <a:ext uri="{FF2B5EF4-FFF2-40B4-BE49-F238E27FC236}">
                  <a16:creationId xmlns:a16="http://schemas.microsoft.com/office/drawing/2014/main" id="{D96B2D81-1920-ECD4-EDE2-834AFBAE27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58A9B7" w14:textId="0B734029" w:rsidR="004B6D9E" w:rsidRPr="00C236AD" w:rsidRDefault="004B6D9E" w:rsidP="00C236AD">
      <w:pPr>
        <w:spacing w:after="0" w:line="360" w:lineRule="auto"/>
        <w:jc w:val="both"/>
        <w:rPr>
          <w:rFonts w:cs="Arial"/>
          <w:sz w:val="24"/>
          <w:szCs w:val="24"/>
        </w:rPr>
      </w:pPr>
      <w:r w:rsidRPr="00C236AD">
        <w:rPr>
          <w:rFonts w:cs="Arial"/>
          <w:sz w:val="24"/>
          <w:szCs w:val="24"/>
        </w:rPr>
        <w:t xml:space="preserve">Source: </w:t>
      </w:r>
      <w:r w:rsidR="008719B4" w:rsidRPr="00C236AD">
        <w:rPr>
          <w:rFonts w:cs="Arial"/>
          <w:b/>
          <w:bCs/>
          <w:sz w:val="24"/>
          <w:szCs w:val="24"/>
          <w:lang w:val="en-GB"/>
        </w:rPr>
        <w:t>Autor</w:t>
      </w:r>
      <w:r w:rsidRPr="00C236AD">
        <w:rPr>
          <w:rFonts w:cs="Arial"/>
          <w:sz w:val="24"/>
          <w:szCs w:val="24"/>
        </w:rPr>
        <w:t xml:space="preserve"> from Marriott International annual report 2021</w:t>
      </w:r>
      <w:r w:rsidR="00ED72CF">
        <w:rPr>
          <w:rFonts w:cs="Arial"/>
          <w:sz w:val="24"/>
          <w:szCs w:val="24"/>
        </w:rPr>
        <w:t>-</w:t>
      </w:r>
      <w:r w:rsidRPr="00C236AD">
        <w:rPr>
          <w:rFonts w:cs="Arial"/>
          <w:sz w:val="24"/>
          <w:szCs w:val="24"/>
        </w:rPr>
        <w:t>2025</w:t>
      </w:r>
      <w:r w:rsidR="008719B4" w:rsidRPr="00C236AD">
        <w:rPr>
          <w:rFonts w:cs="Arial"/>
          <w:sz w:val="24"/>
          <w:szCs w:val="24"/>
        </w:rPr>
        <w:t>.</w:t>
      </w:r>
    </w:p>
    <w:p w14:paraId="1BD71BCB" w14:textId="678B21DA" w:rsidR="002C7A45" w:rsidRPr="00C236AD" w:rsidRDefault="002C7A45" w:rsidP="00C236AD">
      <w:pPr>
        <w:spacing w:after="0" w:line="360" w:lineRule="auto"/>
        <w:jc w:val="both"/>
        <w:rPr>
          <w:rFonts w:cs="Arial"/>
          <w:b/>
          <w:bCs/>
          <w:sz w:val="24"/>
          <w:szCs w:val="24"/>
          <w:lang w:val="en-GB"/>
        </w:rPr>
      </w:pPr>
      <w:r w:rsidRPr="00C236AD">
        <w:rPr>
          <w:rFonts w:cs="Arial"/>
          <w:sz w:val="24"/>
          <w:szCs w:val="24"/>
          <w:lang w:val="en-GB"/>
        </w:rPr>
        <w:t xml:space="preserve">D. </w:t>
      </w:r>
      <w:r w:rsidR="00CD7E93" w:rsidRPr="00C236AD">
        <w:rPr>
          <w:rFonts w:cs="Arial"/>
          <w:sz w:val="24"/>
          <w:szCs w:val="24"/>
          <w:lang w:val="en-GB"/>
        </w:rPr>
        <w:t>leverage</w:t>
      </w:r>
      <w:r w:rsidRPr="00C236AD">
        <w:rPr>
          <w:rFonts w:cs="Arial"/>
          <w:sz w:val="24"/>
          <w:szCs w:val="24"/>
          <w:lang w:val="en-GB"/>
        </w:rPr>
        <w:t xml:space="preserve"> Ratios</w:t>
      </w:r>
    </w:p>
    <w:p w14:paraId="7C27FF89" w14:textId="107BC94A" w:rsidR="0072128D" w:rsidRPr="00C236AD" w:rsidRDefault="00CD7E93" w:rsidP="00C236AD">
      <w:pPr>
        <w:spacing w:after="0" w:line="360" w:lineRule="auto"/>
        <w:jc w:val="both"/>
        <w:rPr>
          <w:rFonts w:cs="Arial"/>
          <w:sz w:val="24"/>
          <w:szCs w:val="24"/>
        </w:rPr>
      </w:pPr>
      <w:r w:rsidRPr="00C236AD">
        <w:rPr>
          <w:rFonts w:cs="Arial"/>
          <w:sz w:val="24"/>
          <w:szCs w:val="24"/>
        </w:rPr>
        <w:t>Leverage ratios assess financial risk and long</w:t>
      </w:r>
      <w:r w:rsidR="00ED72CF">
        <w:rPr>
          <w:rFonts w:cs="Arial"/>
          <w:sz w:val="24"/>
          <w:szCs w:val="24"/>
        </w:rPr>
        <w:t>-</w:t>
      </w:r>
      <w:r w:rsidRPr="00C236AD">
        <w:rPr>
          <w:rFonts w:cs="Arial"/>
          <w:sz w:val="24"/>
          <w:szCs w:val="24"/>
        </w:rPr>
        <w:t>term solvency. They are critical given Marriott’s increased borrowing to fund shareholder returns.</w:t>
      </w:r>
    </w:p>
    <w:p w14:paraId="6B3E2C43" w14:textId="0B4B6C1D" w:rsidR="00F9461B" w:rsidRPr="00C236AD" w:rsidRDefault="00F9461B" w:rsidP="00C236AD">
      <w:pPr>
        <w:spacing w:after="0" w:line="360" w:lineRule="auto"/>
        <w:jc w:val="both"/>
        <w:rPr>
          <w:rFonts w:cs="Arial"/>
          <w:b/>
          <w:bCs/>
          <w:sz w:val="24"/>
          <w:szCs w:val="24"/>
          <w:lang w:val="en-GB"/>
        </w:rPr>
      </w:pPr>
      <w:r w:rsidRPr="00C236AD">
        <w:rPr>
          <w:rFonts w:cs="Arial"/>
          <w:b/>
          <w:bCs/>
          <w:sz w:val="24"/>
          <w:szCs w:val="24"/>
          <w:u w:val="single"/>
          <w:lang w:val="en-GB"/>
        </w:rPr>
        <w:t>Table:</w:t>
      </w:r>
      <w:r w:rsidRPr="00C236AD">
        <w:rPr>
          <w:rFonts w:cs="Arial"/>
          <w:b/>
          <w:bCs/>
          <w:sz w:val="24"/>
          <w:szCs w:val="24"/>
          <w:lang w:val="en-GB"/>
        </w:rPr>
        <w:t xml:space="preserve"> </w:t>
      </w:r>
      <w:r w:rsidR="004B1CB3" w:rsidRPr="00C236AD">
        <w:rPr>
          <w:rFonts w:cs="Arial"/>
          <w:sz w:val="24"/>
          <w:szCs w:val="24"/>
          <w:lang w:val="en-GB"/>
        </w:rPr>
        <w:t>Gearing Ratios</w:t>
      </w:r>
      <w:r w:rsidRPr="00C236AD">
        <w:rPr>
          <w:rFonts w:cs="Arial"/>
          <w:b/>
          <w:bCs/>
          <w:sz w:val="24"/>
          <w:szCs w:val="24"/>
          <w:lang w:val="en-GB"/>
        </w:rPr>
        <w:t>, 2021</w:t>
      </w:r>
      <w:r w:rsidR="00ED72CF">
        <w:rPr>
          <w:rFonts w:cs="Arial"/>
          <w:b/>
          <w:bCs/>
          <w:sz w:val="24"/>
          <w:szCs w:val="24"/>
          <w:lang w:val="en-GB"/>
        </w:rPr>
        <w:t>-</w:t>
      </w:r>
      <w:r w:rsidRPr="00C236AD">
        <w:rPr>
          <w:rFonts w:cs="Arial"/>
          <w:b/>
          <w:bCs/>
          <w:sz w:val="24"/>
          <w:szCs w:val="24"/>
          <w:lang w:val="en-GB"/>
        </w:rPr>
        <w:t>2025</w:t>
      </w:r>
    </w:p>
    <w:tbl>
      <w:tblPr>
        <w:tblW w:w="5697" w:type="dxa"/>
        <w:tblCellSpacing w:w="15" w:type="dxa"/>
        <w:tblCellMar>
          <w:top w:w="15" w:type="dxa"/>
          <w:left w:w="15" w:type="dxa"/>
          <w:bottom w:w="15" w:type="dxa"/>
          <w:right w:w="15" w:type="dxa"/>
        </w:tblCellMar>
        <w:tblLook w:val="04A0" w:firstRow="1" w:lastRow="0" w:firstColumn="1" w:lastColumn="0" w:noHBand="0" w:noVBand="1"/>
      </w:tblPr>
      <w:tblGrid>
        <w:gridCol w:w="670"/>
        <w:gridCol w:w="1868"/>
        <w:gridCol w:w="1868"/>
        <w:gridCol w:w="1101"/>
        <w:gridCol w:w="95"/>
        <w:gridCol w:w="95"/>
      </w:tblGrid>
      <w:tr w:rsidR="0072128D" w:rsidRPr="00C236AD" w14:paraId="325BEF0F" w14:textId="3446227E" w:rsidTr="0072128D">
        <w:trPr>
          <w:trHeight w:val="467"/>
          <w:tblHeader/>
          <w:tblCellSpacing w:w="15" w:type="dxa"/>
        </w:trPr>
        <w:tc>
          <w:tcPr>
            <w:tcW w:w="0" w:type="auto"/>
            <w:tcBorders>
              <w:top w:val="thinThickSmallGap" w:sz="24" w:space="0" w:color="auto"/>
              <w:bottom w:val="thickThinSmallGap" w:sz="24" w:space="0" w:color="auto"/>
            </w:tcBorders>
            <w:vAlign w:val="center"/>
            <w:hideMark/>
          </w:tcPr>
          <w:p w14:paraId="4B35068B"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Year</w:t>
            </w:r>
          </w:p>
        </w:tc>
        <w:tc>
          <w:tcPr>
            <w:tcW w:w="1838" w:type="dxa"/>
            <w:tcBorders>
              <w:top w:val="thinThickSmallGap" w:sz="24" w:space="0" w:color="auto"/>
              <w:bottom w:val="thickThinSmallGap" w:sz="24" w:space="0" w:color="auto"/>
            </w:tcBorders>
            <w:vAlign w:val="center"/>
            <w:hideMark/>
          </w:tcPr>
          <w:p w14:paraId="7E6CE361" w14:textId="2CF10333"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Debt</w:t>
            </w:r>
            <w:r w:rsidR="00ED72CF">
              <w:rPr>
                <w:rFonts w:cs="Arial"/>
                <w:sz w:val="24"/>
                <w:szCs w:val="24"/>
                <w:lang w:val="en-GB"/>
              </w:rPr>
              <w:t>-</w:t>
            </w:r>
            <w:r w:rsidRPr="00C236AD">
              <w:rPr>
                <w:rFonts w:cs="Arial"/>
                <w:sz w:val="24"/>
                <w:szCs w:val="24"/>
                <w:lang w:val="en-GB"/>
              </w:rPr>
              <w:t>to</w:t>
            </w:r>
            <w:r w:rsidR="00ED72CF">
              <w:rPr>
                <w:rFonts w:cs="Arial"/>
                <w:sz w:val="24"/>
                <w:szCs w:val="24"/>
                <w:lang w:val="en-GB"/>
              </w:rPr>
              <w:t>-</w:t>
            </w:r>
            <w:r w:rsidRPr="00C236AD">
              <w:rPr>
                <w:rFonts w:cs="Arial"/>
                <w:sz w:val="24"/>
                <w:szCs w:val="24"/>
                <w:lang w:val="en-GB"/>
              </w:rPr>
              <w:t>Assets</w:t>
            </w:r>
          </w:p>
        </w:tc>
        <w:tc>
          <w:tcPr>
            <w:tcW w:w="1838" w:type="dxa"/>
            <w:tcBorders>
              <w:top w:val="thinThickSmallGap" w:sz="24" w:space="0" w:color="auto"/>
              <w:bottom w:val="thickThinSmallGap" w:sz="24" w:space="0" w:color="auto"/>
            </w:tcBorders>
            <w:vAlign w:val="center"/>
          </w:tcPr>
          <w:p w14:paraId="01CB929A" w14:textId="0C8977BB" w:rsidR="0072128D" w:rsidRPr="00C236AD" w:rsidRDefault="0072128D" w:rsidP="00C236AD">
            <w:pPr>
              <w:spacing w:after="0" w:line="360" w:lineRule="auto"/>
              <w:jc w:val="both"/>
              <w:rPr>
                <w:rFonts w:cs="Arial"/>
                <w:sz w:val="24"/>
                <w:szCs w:val="24"/>
                <w:lang w:val="en-GB"/>
              </w:rPr>
            </w:pPr>
            <w:r w:rsidRPr="00C236AD">
              <w:rPr>
                <w:rFonts w:cs="Arial"/>
                <w:sz w:val="24"/>
                <w:szCs w:val="24"/>
                <w:lang w:val="en-GB"/>
              </w:rPr>
              <w:t>Debt</w:t>
            </w:r>
            <w:r w:rsidR="00ED72CF">
              <w:rPr>
                <w:rFonts w:cs="Arial"/>
                <w:sz w:val="24"/>
                <w:szCs w:val="24"/>
                <w:lang w:val="en-GB"/>
              </w:rPr>
              <w:t>-</w:t>
            </w:r>
            <w:r w:rsidRPr="00C236AD">
              <w:rPr>
                <w:rFonts w:cs="Arial"/>
                <w:sz w:val="24"/>
                <w:szCs w:val="24"/>
                <w:lang w:val="en-GB"/>
              </w:rPr>
              <w:t>to</w:t>
            </w:r>
            <w:r w:rsidR="00ED72CF">
              <w:rPr>
                <w:rFonts w:cs="Arial"/>
                <w:sz w:val="24"/>
                <w:szCs w:val="24"/>
                <w:lang w:val="en-GB"/>
              </w:rPr>
              <w:t>-</w:t>
            </w:r>
            <w:r w:rsidRPr="00C236AD">
              <w:rPr>
                <w:rFonts w:cs="Arial"/>
                <w:sz w:val="24"/>
                <w:szCs w:val="24"/>
                <w:lang w:val="en-GB"/>
              </w:rPr>
              <w:t>Equity</w:t>
            </w:r>
          </w:p>
        </w:tc>
        <w:tc>
          <w:tcPr>
            <w:tcW w:w="1071" w:type="dxa"/>
            <w:tcBorders>
              <w:top w:val="thinThickSmallGap" w:sz="24" w:space="0" w:color="auto"/>
              <w:bottom w:val="thickThinSmallGap" w:sz="24" w:space="0" w:color="auto"/>
            </w:tcBorders>
            <w:vAlign w:val="center"/>
          </w:tcPr>
          <w:p w14:paraId="3E59C395" w14:textId="5A0BEF60" w:rsidR="0072128D" w:rsidRPr="00C236AD" w:rsidRDefault="0072128D" w:rsidP="00C236AD">
            <w:pPr>
              <w:spacing w:after="0" w:line="360" w:lineRule="auto"/>
              <w:jc w:val="both"/>
              <w:rPr>
                <w:rFonts w:cs="Arial"/>
                <w:sz w:val="24"/>
                <w:szCs w:val="24"/>
                <w:lang w:val="en-GB"/>
              </w:rPr>
            </w:pPr>
            <w:r w:rsidRPr="00C236AD">
              <w:rPr>
                <w:rFonts w:cs="Arial"/>
                <w:sz w:val="24"/>
                <w:szCs w:val="24"/>
                <w:lang w:val="en-GB"/>
              </w:rPr>
              <w:t>Interest Coverage</w:t>
            </w:r>
          </w:p>
        </w:tc>
        <w:tc>
          <w:tcPr>
            <w:tcW w:w="65" w:type="dxa"/>
            <w:tcBorders>
              <w:top w:val="thinThickSmallGap" w:sz="24" w:space="0" w:color="auto"/>
              <w:bottom w:val="thickThinSmallGap" w:sz="24" w:space="0" w:color="auto"/>
            </w:tcBorders>
          </w:tcPr>
          <w:p w14:paraId="77D87A86" w14:textId="50288A98" w:rsidR="0072128D" w:rsidRPr="00C236AD" w:rsidRDefault="0072128D" w:rsidP="00C236AD">
            <w:pPr>
              <w:spacing w:after="0" w:line="360" w:lineRule="auto"/>
              <w:jc w:val="both"/>
              <w:rPr>
                <w:rFonts w:cs="Arial"/>
                <w:sz w:val="24"/>
                <w:szCs w:val="24"/>
                <w:lang w:val="en-GB"/>
              </w:rPr>
            </w:pPr>
          </w:p>
        </w:tc>
        <w:tc>
          <w:tcPr>
            <w:tcW w:w="50" w:type="dxa"/>
            <w:tcBorders>
              <w:top w:val="thinThickSmallGap" w:sz="24" w:space="0" w:color="auto"/>
              <w:bottom w:val="thickThinSmallGap" w:sz="24" w:space="0" w:color="auto"/>
            </w:tcBorders>
          </w:tcPr>
          <w:p w14:paraId="01A61158" w14:textId="39406E69" w:rsidR="0072128D" w:rsidRPr="00C236AD" w:rsidRDefault="0072128D" w:rsidP="00C236AD">
            <w:pPr>
              <w:spacing w:after="0" w:line="360" w:lineRule="auto"/>
              <w:jc w:val="both"/>
              <w:rPr>
                <w:rFonts w:cs="Arial"/>
                <w:sz w:val="24"/>
                <w:szCs w:val="24"/>
                <w:lang w:val="en-GB"/>
              </w:rPr>
            </w:pPr>
          </w:p>
        </w:tc>
      </w:tr>
      <w:tr w:rsidR="0072128D" w:rsidRPr="00C236AD" w14:paraId="5B78025A" w14:textId="5AF42114" w:rsidTr="0072128D">
        <w:trPr>
          <w:trHeight w:val="477"/>
          <w:tblCellSpacing w:w="15" w:type="dxa"/>
        </w:trPr>
        <w:tc>
          <w:tcPr>
            <w:tcW w:w="0" w:type="auto"/>
            <w:vAlign w:val="center"/>
            <w:hideMark/>
          </w:tcPr>
          <w:p w14:paraId="0BEEDECE"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2021</w:t>
            </w:r>
          </w:p>
        </w:tc>
        <w:tc>
          <w:tcPr>
            <w:tcW w:w="1838" w:type="dxa"/>
            <w:vAlign w:val="center"/>
            <w:hideMark/>
          </w:tcPr>
          <w:p w14:paraId="749D8EB1"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39.7%</w:t>
            </w:r>
          </w:p>
        </w:tc>
        <w:tc>
          <w:tcPr>
            <w:tcW w:w="1838" w:type="dxa"/>
            <w:vAlign w:val="center"/>
          </w:tcPr>
          <w:p w14:paraId="66298638" w14:textId="66950596" w:rsidR="0072128D" w:rsidRPr="00C236AD" w:rsidRDefault="0072128D" w:rsidP="00C236AD">
            <w:pPr>
              <w:spacing w:after="0" w:line="360" w:lineRule="auto"/>
              <w:jc w:val="both"/>
              <w:rPr>
                <w:rFonts w:cs="Arial"/>
                <w:sz w:val="24"/>
                <w:szCs w:val="24"/>
                <w:lang w:val="en-GB"/>
              </w:rPr>
            </w:pPr>
            <w:r w:rsidRPr="00C236AD">
              <w:rPr>
                <w:rFonts w:cs="Arial"/>
                <w:sz w:val="24"/>
                <w:szCs w:val="24"/>
                <w:lang w:val="en-GB"/>
              </w:rPr>
              <w:t>716.7%</w:t>
            </w:r>
          </w:p>
        </w:tc>
        <w:tc>
          <w:tcPr>
            <w:tcW w:w="1071" w:type="dxa"/>
            <w:vAlign w:val="center"/>
          </w:tcPr>
          <w:p w14:paraId="666EABE2" w14:textId="16EB0C6C" w:rsidR="0072128D" w:rsidRPr="00C236AD" w:rsidRDefault="0072128D" w:rsidP="00C236AD">
            <w:pPr>
              <w:spacing w:after="0" w:line="360" w:lineRule="auto"/>
              <w:jc w:val="both"/>
              <w:rPr>
                <w:rFonts w:cs="Arial"/>
                <w:sz w:val="24"/>
                <w:szCs w:val="24"/>
                <w:highlight w:val="yellow"/>
                <w:lang w:val="en-GB"/>
              </w:rPr>
            </w:pPr>
            <w:r w:rsidRPr="00C236AD">
              <w:rPr>
                <w:rFonts w:cs="Arial"/>
                <w:sz w:val="24"/>
                <w:szCs w:val="24"/>
                <w:highlight w:val="yellow"/>
                <w:lang w:val="en-GB"/>
              </w:rPr>
              <w:t>4.17x</w:t>
            </w:r>
          </w:p>
        </w:tc>
        <w:tc>
          <w:tcPr>
            <w:tcW w:w="65" w:type="dxa"/>
          </w:tcPr>
          <w:p w14:paraId="4D212148" w14:textId="14B10738" w:rsidR="0072128D" w:rsidRPr="00C236AD" w:rsidRDefault="0072128D" w:rsidP="00C236AD">
            <w:pPr>
              <w:spacing w:after="0" w:line="360" w:lineRule="auto"/>
              <w:jc w:val="both"/>
              <w:rPr>
                <w:rFonts w:cs="Arial"/>
                <w:sz w:val="24"/>
                <w:szCs w:val="24"/>
                <w:lang w:val="en-GB"/>
              </w:rPr>
            </w:pPr>
          </w:p>
        </w:tc>
        <w:tc>
          <w:tcPr>
            <w:tcW w:w="50" w:type="dxa"/>
          </w:tcPr>
          <w:p w14:paraId="62A5DA60" w14:textId="46E1525A" w:rsidR="0072128D" w:rsidRPr="00C236AD" w:rsidRDefault="0072128D" w:rsidP="00C236AD">
            <w:pPr>
              <w:spacing w:after="0" w:line="360" w:lineRule="auto"/>
              <w:jc w:val="both"/>
              <w:rPr>
                <w:rFonts w:cs="Arial"/>
                <w:sz w:val="24"/>
                <w:szCs w:val="24"/>
                <w:lang w:val="en-GB"/>
              </w:rPr>
            </w:pPr>
          </w:p>
        </w:tc>
      </w:tr>
      <w:tr w:rsidR="0072128D" w:rsidRPr="00C236AD" w14:paraId="123E30C1" w14:textId="0FB77F93" w:rsidTr="0072128D">
        <w:trPr>
          <w:trHeight w:val="477"/>
          <w:tblCellSpacing w:w="15" w:type="dxa"/>
        </w:trPr>
        <w:tc>
          <w:tcPr>
            <w:tcW w:w="0" w:type="auto"/>
            <w:vAlign w:val="center"/>
            <w:hideMark/>
          </w:tcPr>
          <w:p w14:paraId="25FF1FD2"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2022</w:t>
            </w:r>
          </w:p>
        </w:tc>
        <w:tc>
          <w:tcPr>
            <w:tcW w:w="1838" w:type="dxa"/>
            <w:vAlign w:val="center"/>
            <w:hideMark/>
          </w:tcPr>
          <w:p w14:paraId="3B038CD2"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40.6%</w:t>
            </w:r>
          </w:p>
        </w:tc>
        <w:tc>
          <w:tcPr>
            <w:tcW w:w="1838" w:type="dxa"/>
            <w:vAlign w:val="center"/>
          </w:tcPr>
          <w:p w14:paraId="760B24C1" w14:textId="7E04446C" w:rsidR="0072128D" w:rsidRPr="00C236AD" w:rsidRDefault="0072128D" w:rsidP="00C236AD">
            <w:pPr>
              <w:spacing w:after="0" w:line="360" w:lineRule="auto"/>
              <w:jc w:val="both"/>
              <w:rPr>
                <w:rFonts w:cs="Arial"/>
                <w:sz w:val="24"/>
                <w:szCs w:val="24"/>
                <w:lang w:val="en-GB"/>
              </w:rPr>
            </w:pPr>
            <w:r w:rsidRPr="00C236AD">
              <w:rPr>
                <w:rFonts w:cs="Arial"/>
                <w:sz w:val="24"/>
                <w:szCs w:val="24"/>
                <w:lang w:val="en-GB"/>
              </w:rPr>
              <w:t>1,768.3%</w:t>
            </w:r>
          </w:p>
        </w:tc>
        <w:tc>
          <w:tcPr>
            <w:tcW w:w="1071" w:type="dxa"/>
            <w:vAlign w:val="center"/>
          </w:tcPr>
          <w:p w14:paraId="24DD7A87" w14:textId="524836D8" w:rsidR="0072128D" w:rsidRPr="00C236AD" w:rsidRDefault="0072128D" w:rsidP="00C236AD">
            <w:pPr>
              <w:spacing w:after="0" w:line="360" w:lineRule="auto"/>
              <w:jc w:val="both"/>
              <w:rPr>
                <w:rFonts w:cs="Arial"/>
                <w:sz w:val="24"/>
                <w:szCs w:val="24"/>
                <w:highlight w:val="yellow"/>
                <w:lang w:val="en-GB"/>
              </w:rPr>
            </w:pPr>
            <w:r w:rsidRPr="00C236AD">
              <w:rPr>
                <w:rFonts w:cs="Arial"/>
                <w:sz w:val="24"/>
                <w:szCs w:val="24"/>
                <w:highlight w:val="yellow"/>
                <w:lang w:val="en-GB"/>
              </w:rPr>
              <w:t>8.59x</w:t>
            </w:r>
          </w:p>
        </w:tc>
        <w:tc>
          <w:tcPr>
            <w:tcW w:w="65" w:type="dxa"/>
          </w:tcPr>
          <w:p w14:paraId="1BD36059" w14:textId="3EC4F450" w:rsidR="0072128D" w:rsidRPr="00C236AD" w:rsidRDefault="0072128D" w:rsidP="00C236AD">
            <w:pPr>
              <w:spacing w:after="0" w:line="360" w:lineRule="auto"/>
              <w:jc w:val="both"/>
              <w:rPr>
                <w:rFonts w:cs="Arial"/>
                <w:sz w:val="24"/>
                <w:szCs w:val="24"/>
                <w:lang w:val="en-GB"/>
              </w:rPr>
            </w:pPr>
          </w:p>
        </w:tc>
        <w:tc>
          <w:tcPr>
            <w:tcW w:w="50" w:type="dxa"/>
          </w:tcPr>
          <w:p w14:paraId="0DA5F70F" w14:textId="0B06B827" w:rsidR="0072128D" w:rsidRPr="00C236AD" w:rsidRDefault="0072128D" w:rsidP="00C236AD">
            <w:pPr>
              <w:spacing w:after="0" w:line="360" w:lineRule="auto"/>
              <w:jc w:val="both"/>
              <w:rPr>
                <w:rFonts w:cs="Arial"/>
                <w:sz w:val="24"/>
                <w:szCs w:val="24"/>
                <w:lang w:val="en-GB"/>
              </w:rPr>
            </w:pPr>
          </w:p>
        </w:tc>
      </w:tr>
      <w:tr w:rsidR="0072128D" w:rsidRPr="00C236AD" w14:paraId="105B9EE1" w14:textId="3303A6F5" w:rsidTr="0072128D">
        <w:trPr>
          <w:trHeight w:val="467"/>
          <w:tblCellSpacing w:w="15" w:type="dxa"/>
        </w:trPr>
        <w:tc>
          <w:tcPr>
            <w:tcW w:w="0" w:type="auto"/>
            <w:vAlign w:val="center"/>
            <w:hideMark/>
          </w:tcPr>
          <w:p w14:paraId="76E11521"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lastRenderedPageBreak/>
              <w:t>2023</w:t>
            </w:r>
          </w:p>
        </w:tc>
        <w:tc>
          <w:tcPr>
            <w:tcW w:w="1838" w:type="dxa"/>
            <w:vAlign w:val="center"/>
            <w:hideMark/>
          </w:tcPr>
          <w:p w14:paraId="0C360B49"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46.2%</w:t>
            </w:r>
          </w:p>
        </w:tc>
        <w:tc>
          <w:tcPr>
            <w:tcW w:w="1838" w:type="dxa"/>
            <w:vAlign w:val="center"/>
          </w:tcPr>
          <w:p w14:paraId="758F821A" w14:textId="15D90478" w:rsidR="0072128D" w:rsidRPr="00C236AD" w:rsidRDefault="0072128D" w:rsidP="00C236AD">
            <w:pPr>
              <w:spacing w:after="0" w:line="360" w:lineRule="auto"/>
              <w:jc w:val="both"/>
              <w:rPr>
                <w:rFonts w:cs="Arial"/>
                <w:sz w:val="24"/>
                <w:szCs w:val="24"/>
                <w:lang w:val="en-GB"/>
              </w:rPr>
            </w:pPr>
            <w:r w:rsidRPr="00C236AD">
              <w:rPr>
                <w:rFonts w:cs="Arial"/>
                <w:sz w:val="24"/>
                <w:szCs w:val="24"/>
                <w:lang w:val="en-GB"/>
              </w:rPr>
              <w:t>N/</w:t>
            </w:r>
            <w:r w:rsidR="00CD7E93" w:rsidRPr="00C236AD">
              <w:rPr>
                <w:rFonts w:cs="Arial"/>
                <w:sz w:val="24"/>
                <w:szCs w:val="24"/>
                <w:lang w:val="en-GB"/>
              </w:rPr>
              <w:t>A</w:t>
            </w:r>
          </w:p>
        </w:tc>
        <w:tc>
          <w:tcPr>
            <w:tcW w:w="1071" w:type="dxa"/>
            <w:vAlign w:val="center"/>
          </w:tcPr>
          <w:p w14:paraId="596F85CA" w14:textId="376CCB5E" w:rsidR="0072128D" w:rsidRPr="00C236AD" w:rsidRDefault="0072128D" w:rsidP="00C236AD">
            <w:pPr>
              <w:spacing w:after="0" w:line="360" w:lineRule="auto"/>
              <w:jc w:val="both"/>
              <w:rPr>
                <w:rFonts w:cs="Arial"/>
                <w:sz w:val="24"/>
                <w:szCs w:val="24"/>
                <w:highlight w:val="yellow"/>
                <w:lang w:val="en-GB"/>
              </w:rPr>
            </w:pPr>
            <w:r w:rsidRPr="00C236AD">
              <w:rPr>
                <w:rFonts w:cs="Arial"/>
                <w:sz w:val="24"/>
                <w:szCs w:val="24"/>
                <w:highlight w:val="yellow"/>
                <w:lang w:val="en-GB"/>
              </w:rPr>
              <w:t>6.84x</w:t>
            </w:r>
          </w:p>
        </w:tc>
        <w:tc>
          <w:tcPr>
            <w:tcW w:w="65" w:type="dxa"/>
          </w:tcPr>
          <w:p w14:paraId="5C5F673C" w14:textId="5FB2623C" w:rsidR="0072128D" w:rsidRPr="00C236AD" w:rsidRDefault="0072128D" w:rsidP="00C236AD">
            <w:pPr>
              <w:spacing w:after="0" w:line="360" w:lineRule="auto"/>
              <w:jc w:val="both"/>
              <w:rPr>
                <w:rFonts w:cs="Arial"/>
                <w:sz w:val="24"/>
                <w:szCs w:val="24"/>
                <w:lang w:val="en-GB"/>
              </w:rPr>
            </w:pPr>
          </w:p>
        </w:tc>
        <w:tc>
          <w:tcPr>
            <w:tcW w:w="50" w:type="dxa"/>
          </w:tcPr>
          <w:p w14:paraId="2E28DACC" w14:textId="1724084E" w:rsidR="0072128D" w:rsidRPr="00C236AD" w:rsidRDefault="0072128D" w:rsidP="00C236AD">
            <w:pPr>
              <w:spacing w:after="0" w:line="360" w:lineRule="auto"/>
              <w:jc w:val="both"/>
              <w:rPr>
                <w:rFonts w:cs="Arial"/>
                <w:sz w:val="24"/>
                <w:szCs w:val="24"/>
                <w:lang w:val="en-GB"/>
              </w:rPr>
            </w:pPr>
          </w:p>
        </w:tc>
      </w:tr>
      <w:tr w:rsidR="0072128D" w:rsidRPr="00C236AD" w14:paraId="2A3ADAA8" w14:textId="705E9D1F" w:rsidTr="0072128D">
        <w:trPr>
          <w:trHeight w:val="477"/>
          <w:tblCellSpacing w:w="15" w:type="dxa"/>
        </w:trPr>
        <w:tc>
          <w:tcPr>
            <w:tcW w:w="0" w:type="auto"/>
            <w:vAlign w:val="center"/>
            <w:hideMark/>
          </w:tcPr>
          <w:p w14:paraId="25EAC96C"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2024</w:t>
            </w:r>
          </w:p>
        </w:tc>
        <w:tc>
          <w:tcPr>
            <w:tcW w:w="1838" w:type="dxa"/>
            <w:vAlign w:val="center"/>
            <w:hideMark/>
          </w:tcPr>
          <w:p w14:paraId="483EBF39"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55.2%</w:t>
            </w:r>
          </w:p>
        </w:tc>
        <w:tc>
          <w:tcPr>
            <w:tcW w:w="1838" w:type="dxa"/>
            <w:vAlign w:val="center"/>
          </w:tcPr>
          <w:p w14:paraId="306C9AF3" w14:textId="603F076C" w:rsidR="0072128D" w:rsidRPr="00C236AD" w:rsidRDefault="0072128D" w:rsidP="00C236AD">
            <w:pPr>
              <w:spacing w:after="0" w:line="360" w:lineRule="auto"/>
              <w:jc w:val="both"/>
              <w:rPr>
                <w:rFonts w:cs="Arial"/>
                <w:sz w:val="24"/>
                <w:szCs w:val="24"/>
                <w:lang w:val="en-GB"/>
              </w:rPr>
            </w:pPr>
            <w:r w:rsidRPr="00C236AD">
              <w:rPr>
                <w:rFonts w:cs="Arial"/>
                <w:sz w:val="24"/>
                <w:szCs w:val="24"/>
                <w:lang w:val="en-GB"/>
              </w:rPr>
              <w:t>N/</w:t>
            </w:r>
            <w:r w:rsidR="00CD7E93" w:rsidRPr="00C236AD">
              <w:rPr>
                <w:rFonts w:cs="Arial"/>
                <w:sz w:val="24"/>
                <w:szCs w:val="24"/>
                <w:lang w:val="en-GB"/>
              </w:rPr>
              <w:t>A</w:t>
            </w:r>
          </w:p>
        </w:tc>
        <w:tc>
          <w:tcPr>
            <w:tcW w:w="1071" w:type="dxa"/>
            <w:vAlign w:val="center"/>
          </w:tcPr>
          <w:p w14:paraId="2CD46172" w14:textId="63C2B940" w:rsidR="0072128D" w:rsidRPr="00C236AD" w:rsidRDefault="0072128D" w:rsidP="00C236AD">
            <w:pPr>
              <w:spacing w:after="0" w:line="360" w:lineRule="auto"/>
              <w:jc w:val="both"/>
              <w:rPr>
                <w:rFonts w:cs="Arial"/>
                <w:sz w:val="24"/>
                <w:szCs w:val="24"/>
                <w:highlight w:val="yellow"/>
                <w:lang w:val="en-GB"/>
              </w:rPr>
            </w:pPr>
            <w:r w:rsidRPr="00C236AD">
              <w:rPr>
                <w:rFonts w:cs="Arial"/>
                <w:sz w:val="24"/>
                <w:szCs w:val="24"/>
                <w:highlight w:val="yellow"/>
                <w:lang w:val="en-GB"/>
              </w:rPr>
              <w:t>5.42x</w:t>
            </w:r>
          </w:p>
        </w:tc>
        <w:tc>
          <w:tcPr>
            <w:tcW w:w="65" w:type="dxa"/>
          </w:tcPr>
          <w:p w14:paraId="007B072C" w14:textId="266C891A" w:rsidR="0072128D" w:rsidRPr="00C236AD" w:rsidRDefault="0072128D" w:rsidP="00C236AD">
            <w:pPr>
              <w:spacing w:after="0" w:line="360" w:lineRule="auto"/>
              <w:jc w:val="both"/>
              <w:rPr>
                <w:rFonts w:cs="Arial"/>
                <w:sz w:val="24"/>
                <w:szCs w:val="24"/>
                <w:lang w:val="en-GB"/>
              </w:rPr>
            </w:pPr>
          </w:p>
        </w:tc>
        <w:tc>
          <w:tcPr>
            <w:tcW w:w="50" w:type="dxa"/>
          </w:tcPr>
          <w:p w14:paraId="78BEA65E" w14:textId="53084CE6" w:rsidR="0072128D" w:rsidRPr="00C236AD" w:rsidRDefault="0072128D" w:rsidP="00C236AD">
            <w:pPr>
              <w:spacing w:after="0" w:line="360" w:lineRule="auto"/>
              <w:jc w:val="both"/>
              <w:rPr>
                <w:rFonts w:cs="Arial"/>
                <w:sz w:val="24"/>
                <w:szCs w:val="24"/>
                <w:lang w:val="en-GB"/>
              </w:rPr>
            </w:pPr>
          </w:p>
        </w:tc>
      </w:tr>
      <w:tr w:rsidR="0072128D" w:rsidRPr="00C236AD" w14:paraId="6319AC4D" w14:textId="45016AF2" w:rsidTr="0072128D">
        <w:trPr>
          <w:trHeight w:val="467"/>
          <w:tblCellSpacing w:w="15" w:type="dxa"/>
        </w:trPr>
        <w:tc>
          <w:tcPr>
            <w:tcW w:w="0" w:type="auto"/>
            <w:tcBorders>
              <w:bottom w:val="thickThinSmallGap" w:sz="24" w:space="0" w:color="auto"/>
            </w:tcBorders>
            <w:vAlign w:val="center"/>
            <w:hideMark/>
          </w:tcPr>
          <w:p w14:paraId="2EE3168E"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2025</w:t>
            </w:r>
          </w:p>
        </w:tc>
        <w:tc>
          <w:tcPr>
            <w:tcW w:w="1838" w:type="dxa"/>
            <w:tcBorders>
              <w:bottom w:val="thickThinSmallGap" w:sz="24" w:space="0" w:color="auto"/>
            </w:tcBorders>
            <w:vAlign w:val="center"/>
            <w:hideMark/>
          </w:tcPr>
          <w:p w14:paraId="6B5626C1" w14:textId="77777777" w:rsidR="0072128D" w:rsidRPr="00C236AD" w:rsidRDefault="0072128D" w:rsidP="00C236AD">
            <w:pPr>
              <w:spacing w:after="0" w:line="360" w:lineRule="auto"/>
              <w:jc w:val="both"/>
              <w:rPr>
                <w:rFonts w:cs="Arial"/>
                <w:b/>
                <w:bCs/>
                <w:sz w:val="24"/>
                <w:szCs w:val="24"/>
                <w:lang w:val="en-GB"/>
              </w:rPr>
            </w:pPr>
            <w:r w:rsidRPr="00C236AD">
              <w:rPr>
                <w:rFonts w:cs="Arial"/>
                <w:sz w:val="24"/>
                <w:szCs w:val="24"/>
                <w:lang w:val="en-GB"/>
              </w:rPr>
              <w:t>58.8%</w:t>
            </w:r>
          </w:p>
        </w:tc>
        <w:tc>
          <w:tcPr>
            <w:tcW w:w="1838" w:type="dxa"/>
            <w:tcBorders>
              <w:bottom w:val="thickThinSmallGap" w:sz="24" w:space="0" w:color="auto"/>
            </w:tcBorders>
            <w:vAlign w:val="center"/>
          </w:tcPr>
          <w:p w14:paraId="6057447F" w14:textId="19C6E9FA" w:rsidR="0072128D" w:rsidRPr="00C236AD" w:rsidRDefault="0072128D" w:rsidP="00C236AD">
            <w:pPr>
              <w:spacing w:after="0" w:line="360" w:lineRule="auto"/>
              <w:jc w:val="both"/>
              <w:rPr>
                <w:rFonts w:cs="Arial"/>
                <w:sz w:val="24"/>
                <w:szCs w:val="24"/>
                <w:lang w:val="en-GB"/>
              </w:rPr>
            </w:pPr>
            <w:r w:rsidRPr="00C236AD">
              <w:rPr>
                <w:rFonts w:cs="Arial"/>
                <w:sz w:val="24"/>
                <w:szCs w:val="24"/>
                <w:lang w:val="en-GB"/>
              </w:rPr>
              <w:t>N/</w:t>
            </w:r>
            <w:r w:rsidR="00CD7E93" w:rsidRPr="00C236AD">
              <w:rPr>
                <w:rFonts w:cs="Arial"/>
                <w:sz w:val="24"/>
                <w:szCs w:val="24"/>
                <w:lang w:val="en-GB"/>
              </w:rPr>
              <w:t>A</w:t>
            </w:r>
          </w:p>
        </w:tc>
        <w:tc>
          <w:tcPr>
            <w:tcW w:w="1071" w:type="dxa"/>
            <w:tcBorders>
              <w:bottom w:val="thickThinSmallGap" w:sz="24" w:space="0" w:color="auto"/>
            </w:tcBorders>
            <w:vAlign w:val="center"/>
          </w:tcPr>
          <w:p w14:paraId="3FEAF808" w14:textId="4049BFDD" w:rsidR="0072128D" w:rsidRPr="00C236AD" w:rsidRDefault="0072128D" w:rsidP="00C236AD">
            <w:pPr>
              <w:spacing w:after="0" w:line="360" w:lineRule="auto"/>
              <w:jc w:val="both"/>
              <w:rPr>
                <w:rFonts w:cs="Arial"/>
                <w:sz w:val="24"/>
                <w:szCs w:val="24"/>
                <w:highlight w:val="yellow"/>
                <w:lang w:val="en-GB"/>
              </w:rPr>
            </w:pPr>
            <w:r w:rsidRPr="00C236AD">
              <w:rPr>
                <w:rFonts w:cs="Arial"/>
                <w:sz w:val="24"/>
                <w:szCs w:val="24"/>
                <w:highlight w:val="yellow"/>
                <w:lang w:val="en-GB"/>
              </w:rPr>
              <w:t>5.12x</w:t>
            </w:r>
          </w:p>
        </w:tc>
        <w:tc>
          <w:tcPr>
            <w:tcW w:w="65" w:type="dxa"/>
            <w:tcBorders>
              <w:bottom w:val="thickThinSmallGap" w:sz="24" w:space="0" w:color="auto"/>
            </w:tcBorders>
          </w:tcPr>
          <w:p w14:paraId="3D95CC90" w14:textId="6AAB1253" w:rsidR="0072128D" w:rsidRPr="00C236AD" w:rsidRDefault="0072128D" w:rsidP="00C236AD">
            <w:pPr>
              <w:spacing w:after="0" w:line="360" w:lineRule="auto"/>
              <w:jc w:val="both"/>
              <w:rPr>
                <w:rFonts w:cs="Arial"/>
                <w:sz w:val="24"/>
                <w:szCs w:val="24"/>
                <w:lang w:val="en-GB"/>
              </w:rPr>
            </w:pPr>
          </w:p>
        </w:tc>
        <w:tc>
          <w:tcPr>
            <w:tcW w:w="50" w:type="dxa"/>
            <w:tcBorders>
              <w:bottom w:val="thickThinSmallGap" w:sz="24" w:space="0" w:color="auto"/>
            </w:tcBorders>
          </w:tcPr>
          <w:p w14:paraId="6270970F" w14:textId="0ACEE0E1" w:rsidR="0072128D" w:rsidRPr="00C236AD" w:rsidRDefault="0072128D" w:rsidP="00C236AD">
            <w:pPr>
              <w:spacing w:after="0" w:line="360" w:lineRule="auto"/>
              <w:jc w:val="both"/>
              <w:rPr>
                <w:rFonts w:cs="Arial"/>
                <w:sz w:val="24"/>
                <w:szCs w:val="24"/>
                <w:lang w:val="en-GB"/>
              </w:rPr>
            </w:pPr>
          </w:p>
        </w:tc>
      </w:tr>
    </w:tbl>
    <w:p w14:paraId="554E197B" w14:textId="23AB405C" w:rsidR="00CD7E93" w:rsidRPr="00C236AD" w:rsidRDefault="00F9461B" w:rsidP="00C236AD">
      <w:pPr>
        <w:spacing w:after="0" w:line="360" w:lineRule="auto"/>
        <w:jc w:val="both"/>
        <w:rPr>
          <w:rFonts w:cs="Arial"/>
          <w:sz w:val="24"/>
          <w:szCs w:val="24"/>
        </w:rPr>
      </w:pPr>
      <w:r w:rsidRPr="00C236AD">
        <w:rPr>
          <w:rFonts w:cs="Arial"/>
          <w:b/>
          <w:bCs/>
          <w:sz w:val="24"/>
          <w:szCs w:val="24"/>
          <w:u w:val="single"/>
          <w:lang w:val="en-GB"/>
        </w:rPr>
        <w:t>Source:</w:t>
      </w:r>
      <w:r w:rsidRPr="00C236AD">
        <w:rPr>
          <w:rFonts w:cs="Arial"/>
          <w:sz w:val="24"/>
          <w:szCs w:val="24"/>
          <w:lang w:val="en-GB"/>
        </w:rPr>
        <w:t xml:space="preserve"> </w:t>
      </w:r>
      <w:r w:rsidR="008719B4" w:rsidRPr="00C236AD">
        <w:rPr>
          <w:rFonts w:cs="Arial"/>
          <w:b/>
          <w:bCs/>
          <w:sz w:val="24"/>
          <w:szCs w:val="24"/>
          <w:lang w:val="en-GB"/>
        </w:rPr>
        <w:t>Autor’s</w:t>
      </w:r>
      <w:r w:rsidR="00CD7E93" w:rsidRPr="00C236AD">
        <w:rPr>
          <w:rFonts w:cs="Arial"/>
          <w:b/>
          <w:bCs/>
          <w:sz w:val="24"/>
          <w:szCs w:val="24"/>
          <w:lang w:val="en-GB"/>
        </w:rPr>
        <w:t xml:space="preserve"> calculation</w:t>
      </w:r>
      <w:r w:rsidR="008719B4" w:rsidRPr="00C236AD">
        <w:rPr>
          <w:rFonts w:cs="Arial"/>
          <w:b/>
          <w:bCs/>
          <w:sz w:val="24"/>
          <w:szCs w:val="24"/>
          <w:lang w:val="en-GB"/>
        </w:rPr>
        <w:t>s</w:t>
      </w:r>
      <w:r w:rsidR="00CD7E93" w:rsidRPr="00C236AD">
        <w:rPr>
          <w:rFonts w:cs="Arial"/>
          <w:sz w:val="24"/>
          <w:szCs w:val="24"/>
        </w:rPr>
        <w:t xml:space="preserve"> from Marriott International annual report 2021</w:t>
      </w:r>
      <w:r w:rsidR="00ED72CF">
        <w:rPr>
          <w:rFonts w:cs="Arial"/>
          <w:sz w:val="24"/>
          <w:szCs w:val="24"/>
        </w:rPr>
        <w:t>-</w:t>
      </w:r>
      <w:r w:rsidR="00CD7E93" w:rsidRPr="00C236AD">
        <w:rPr>
          <w:rFonts w:cs="Arial"/>
          <w:sz w:val="24"/>
          <w:szCs w:val="24"/>
        </w:rPr>
        <w:t>2025</w:t>
      </w:r>
    </w:p>
    <w:p w14:paraId="0F5A1EEA" w14:textId="00001B0A" w:rsidR="00CD7E93" w:rsidRPr="00C236AD" w:rsidRDefault="00CD7E93" w:rsidP="00C236AD">
      <w:pPr>
        <w:spacing w:after="0" w:line="360" w:lineRule="auto"/>
        <w:jc w:val="both"/>
        <w:rPr>
          <w:rFonts w:cs="Arial"/>
          <w:sz w:val="24"/>
          <w:szCs w:val="24"/>
        </w:rPr>
      </w:pPr>
      <w:r w:rsidRPr="00C236AD">
        <w:rPr>
          <w:rFonts w:cs="Arial"/>
          <w:sz w:val="24"/>
          <w:szCs w:val="24"/>
        </w:rPr>
        <w:t>Debt</w:t>
      </w:r>
      <w:r w:rsidR="00ED72CF">
        <w:rPr>
          <w:rFonts w:cs="Arial"/>
          <w:sz w:val="24"/>
          <w:szCs w:val="24"/>
        </w:rPr>
        <w:t>-</w:t>
      </w:r>
      <w:r w:rsidRPr="00C236AD">
        <w:rPr>
          <w:rFonts w:cs="Arial"/>
          <w:sz w:val="24"/>
          <w:szCs w:val="24"/>
        </w:rPr>
        <w:t>to</w:t>
      </w:r>
      <w:r w:rsidR="00ED72CF">
        <w:rPr>
          <w:rFonts w:cs="Arial"/>
          <w:sz w:val="24"/>
          <w:szCs w:val="24"/>
        </w:rPr>
        <w:t>-</w:t>
      </w:r>
      <w:r w:rsidRPr="00C236AD">
        <w:rPr>
          <w:rFonts w:cs="Arial"/>
          <w:sz w:val="24"/>
          <w:szCs w:val="24"/>
        </w:rPr>
        <w:t>Assets increased 19.1 points to 58.8% due to senior note issuance (Marriott International, 2026). Debt</w:t>
      </w:r>
      <w:r w:rsidR="00ED72CF">
        <w:rPr>
          <w:rFonts w:cs="Arial"/>
          <w:sz w:val="24"/>
          <w:szCs w:val="24"/>
        </w:rPr>
        <w:t>-</w:t>
      </w:r>
      <w:r w:rsidRPr="00C236AD">
        <w:rPr>
          <w:rFonts w:cs="Arial"/>
          <w:sz w:val="24"/>
          <w:szCs w:val="24"/>
        </w:rPr>
        <w:t>to</w:t>
      </w:r>
      <w:r w:rsidR="00ED72CF">
        <w:rPr>
          <w:rFonts w:cs="Arial"/>
          <w:sz w:val="24"/>
          <w:szCs w:val="24"/>
        </w:rPr>
        <w:t>-</w:t>
      </w:r>
      <w:r w:rsidRPr="00C236AD">
        <w:rPr>
          <w:rFonts w:cs="Arial"/>
          <w:sz w:val="24"/>
          <w:szCs w:val="24"/>
        </w:rPr>
        <w:t>Equity is not meaningful from 2023 due to negative equity of $(</w:t>
      </w:r>
      <w:proofErr w:type="gramStart"/>
      <w:r w:rsidRPr="00C236AD">
        <w:rPr>
          <w:rFonts w:cs="Arial"/>
          <w:sz w:val="24"/>
          <w:szCs w:val="24"/>
        </w:rPr>
        <w:t>3,771)m</w:t>
      </w:r>
      <w:proofErr w:type="gramEnd"/>
      <w:r w:rsidRPr="00C236AD">
        <w:rPr>
          <w:rFonts w:cs="Arial"/>
          <w:sz w:val="24"/>
          <w:szCs w:val="24"/>
        </w:rPr>
        <w:t xml:space="preserve"> caused by buybacks. Interest Coverage declined from 8.59x to 5.12x as interest expense rose to $809m (Marriott International, 2026). Coverage remains adequate but the declining trend reduces financial flexibility</w:t>
      </w:r>
      <w:r w:rsidR="00E241C5" w:rsidRPr="00C236AD">
        <w:rPr>
          <w:rFonts w:cs="Arial"/>
          <w:sz w:val="24"/>
          <w:szCs w:val="24"/>
        </w:rPr>
        <w:t>.</w:t>
      </w:r>
    </w:p>
    <w:p w14:paraId="6D384ED2" w14:textId="4127BE70" w:rsidR="00CD7E93" w:rsidRPr="00C236AD" w:rsidRDefault="00CD7E93" w:rsidP="00C236AD">
      <w:pPr>
        <w:spacing w:after="0" w:line="360" w:lineRule="auto"/>
        <w:jc w:val="both"/>
        <w:rPr>
          <w:rFonts w:cs="Arial"/>
          <w:sz w:val="24"/>
          <w:szCs w:val="24"/>
        </w:rPr>
      </w:pPr>
      <w:r w:rsidRPr="00C236AD">
        <w:rPr>
          <w:rFonts w:cs="Arial"/>
          <w:sz w:val="24"/>
          <w:szCs w:val="24"/>
        </w:rPr>
        <w:t>Figure 4: Leverage Ratios trend, 2021</w:t>
      </w:r>
      <w:r w:rsidR="00ED72CF">
        <w:rPr>
          <w:rFonts w:cs="Arial"/>
          <w:sz w:val="24"/>
          <w:szCs w:val="24"/>
        </w:rPr>
        <w:t>-</w:t>
      </w:r>
      <w:r w:rsidRPr="00C236AD">
        <w:rPr>
          <w:rFonts w:cs="Arial"/>
          <w:sz w:val="24"/>
          <w:szCs w:val="24"/>
        </w:rPr>
        <w:t xml:space="preserve">2025  </w:t>
      </w:r>
    </w:p>
    <w:p w14:paraId="2730EB5A" w14:textId="1C8C1F60" w:rsidR="002C7A45" w:rsidRPr="00C236AD" w:rsidRDefault="000D13C8" w:rsidP="00C236AD">
      <w:pPr>
        <w:spacing w:after="0" w:line="360" w:lineRule="auto"/>
        <w:jc w:val="both"/>
        <w:rPr>
          <w:rFonts w:cs="Arial"/>
          <w:b/>
          <w:bCs/>
          <w:sz w:val="24"/>
          <w:szCs w:val="24"/>
          <w:lang w:val="en-GB"/>
        </w:rPr>
      </w:pPr>
      <w:r w:rsidRPr="00C236AD">
        <w:rPr>
          <w:rFonts w:cs="Arial"/>
          <w:noProof/>
          <w:sz w:val="24"/>
          <w:szCs w:val="24"/>
        </w:rPr>
        <w:lastRenderedPageBreak/>
        <w:drawing>
          <wp:inline distT="0" distB="0" distL="0" distR="0" wp14:anchorId="12AEA054" wp14:editId="3CC0F993">
            <wp:extent cx="2698750" cy="2451100"/>
            <wp:effectExtent l="0" t="0" r="6350" b="6350"/>
            <wp:docPr id="620825079" name="Graphique 1">
              <a:extLst xmlns:a="http://schemas.openxmlformats.org/drawingml/2006/main">
                <a:ext uri="{FF2B5EF4-FFF2-40B4-BE49-F238E27FC236}">
                  <a16:creationId xmlns:a16="http://schemas.microsoft.com/office/drawing/2014/main" id="{167A1F58-77DF-3D51-058C-DF30E2DC7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C236AD">
        <w:rPr>
          <w:rFonts w:cs="Arial"/>
          <w:noProof/>
          <w:sz w:val="24"/>
          <w:szCs w:val="24"/>
        </w:rPr>
        <w:drawing>
          <wp:inline distT="0" distB="0" distL="0" distR="0" wp14:anchorId="02D2EB60" wp14:editId="683349DB">
            <wp:extent cx="2743200" cy="2451100"/>
            <wp:effectExtent l="0" t="0" r="0" b="6350"/>
            <wp:docPr id="1450094445" name="Graphique 1">
              <a:extLst xmlns:a="http://schemas.openxmlformats.org/drawingml/2006/main">
                <a:ext uri="{FF2B5EF4-FFF2-40B4-BE49-F238E27FC236}">
                  <a16:creationId xmlns:a16="http://schemas.microsoft.com/office/drawing/2014/main" id="{140E567D-27B7-6C5E-9149-D255986BC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C236AD">
        <w:rPr>
          <w:rFonts w:cs="Arial"/>
          <w:noProof/>
          <w:sz w:val="24"/>
          <w:szCs w:val="24"/>
        </w:rPr>
        <w:drawing>
          <wp:inline distT="0" distB="0" distL="0" distR="0" wp14:anchorId="469C6B1C" wp14:editId="6626FA0C">
            <wp:extent cx="5416550" cy="2641600"/>
            <wp:effectExtent l="0" t="0" r="12700" b="6350"/>
            <wp:docPr id="732891000" name="Graphique 1">
              <a:extLst xmlns:a="http://schemas.openxmlformats.org/drawingml/2006/main">
                <a:ext uri="{FF2B5EF4-FFF2-40B4-BE49-F238E27FC236}">
                  <a16:creationId xmlns:a16="http://schemas.microsoft.com/office/drawing/2014/main" id="{F690AC2E-4407-0CB7-16C9-17A6CDD07F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71F19C3" w14:textId="1E455F61" w:rsidR="00CD7E93" w:rsidRPr="00C236AD" w:rsidRDefault="00CD7E93" w:rsidP="00C236AD">
      <w:pPr>
        <w:spacing w:after="0" w:line="360" w:lineRule="auto"/>
        <w:jc w:val="both"/>
        <w:rPr>
          <w:rFonts w:cs="Arial"/>
          <w:sz w:val="24"/>
          <w:szCs w:val="24"/>
        </w:rPr>
      </w:pPr>
      <w:r w:rsidRPr="00C236AD">
        <w:rPr>
          <w:rFonts w:cs="Arial"/>
          <w:sz w:val="24"/>
          <w:szCs w:val="24"/>
        </w:rPr>
        <w:t xml:space="preserve">Source: </w:t>
      </w:r>
      <w:r w:rsidR="008719B4" w:rsidRPr="00C236AD">
        <w:rPr>
          <w:rFonts w:cs="Arial"/>
          <w:b/>
          <w:bCs/>
          <w:sz w:val="24"/>
          <w:szCs w:val="24"/>
          <w:lang w:val="en-GB"/>
        </w:rPr>
        <w:t xml:space="preserve">Autor </w:t>
      </w:r>
      <w:r w:rsidRPr="00C236AD">
        <w:rPr>
          <w:rFonts w:cs="Arial"/>
          <w:sz w:val="24"/>
          <w:szCs w:val="24"/>
        </w:rPr>
        <w:t>from Marriott International annual report 2021</w:t>
      </w:r>
      <w:r w:rsidR="00ED72CF">
        <w:rPr>
          <w:rFonts w:cs="Arial"/>
          <w:sz w:val="24"/>
          <w:szCs w:val="24"/>
        </w:rPr>
        <w:t>-</w:t>
      </w:r>
      <w:r w:rsidRPr="00C236AD">
        <w:rPr>
          <w:rFonts w:cs="Arial"/>
          <w:sz w:val="24"/>
          <w:szCs w:val="24"/>
        </w:rPr>
        <w:t>2025</w:t>
      </w:r>
    </w:p>
    <w:p w14:paraId="1AC19E16" w14:textId="77777777" w:rsidR="002C7A45" w:rsidRPr="00C236AD" w:rsidRDefault="002C7A45" w:rsidP="00C236AD">
      <w:pPr>
        <w:spacing w:after="0" w:line="360" w:lineRule="auto"/>
        <w:jc w:val="both"/>
        <w:rPr>
          <w:rFonts w:cs="Arial"/>
          <w:sz w:val="24"/>
          <w:szCs w:val="24"/>
          <w:lang w:val="en-GB"/>
        </w:rPr>
      </w:pPr>
      <w:r w:rsidRPr="00C236AD">
        <w:rPr>
          <w:rFonts w:cs="Arial"/>
          <w:sz w:val="24"/>
          <w:szCs w:val="24"/>
          <w:lang w:val="en-GB"/>
        </w:rPr>
        <w:t>E. Investment Ratios</w:t>
      </w:r>
    </w:p>
    <w:p w14:paraId="60238139" w14:textId="46E3F9EA" w:rsidR="00CD7E93" w:rsidRPr="00C236AD" w:rsidRDefault="00CD7E93" w:rsidP="00C236AD">
      <w:pPr>
        <w:spacing w:after="0" w:line="360" w:lineRule="auto"/>
        <w:jc w:val="both"/>
        <w:rPr>
          <w:rFonts w:cs="Arial"/>
          <w:sz w:val="24"/>
          <w:szCs w:val="24"/>
        </w:rPr>
      </w:pPr>
      <w:r w:rsidRPr="00C236AD">
        <w:rPr>
          <w:rFonts w:cs="Arial"/>
          <w:sz w:val="24"/>
          <w:szCs w:val="24"/>
        </w:rPr>
        <w:t>Investment ratios connect financial performance to market valuation and shareholder returns, indicating investor confidence.</w:t>
      </w:r>
    </w:p>
    <w:p w14:paraId="0C350673" w14:textId="5D13AFB1" w:rsidR="00F9461B"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Table: Investment Ratios, 2021</w:t>
      </w:r>
      <w:r w:rsidR="00ED72CF">
        <w:rPr>
          <w:rFonts w:cs="Arial"/>
          <w:sz w:val="24"/>
          <w:szCs w:val="24"/>
          <w:lang w:val="en-GB"/>
        </w:rPr>
        <w:t>-</w:t>
      </w:r>
      <w:r w:rsidRPr="00C236AD">
        <w:rPr>
          <w:rFonts w:cs="Arial"/>
          <w:sz w:val="24"/>
          <w:szCs w:val="24"/>
          <w:lang w:val="en-GB"/>
        </w:rPr>
        <w:t>2025</w:t>
      </w:r>
    </w:p>
    <w:tbl>
      <w:tblPr>
        <w:tblW w:w="7174" w:type="dxa"/>
        <w:tblCellSpacing w:w="15" w:type="dxa"/>
        <w:tblCellMar>
          <w:top w:w="15" w:type="dxa"/>
          <w:left w:w="15" w:type="dxa"/>
          <w:bottom w:w="15" w:type="dxa"/>
          <w:right w:w="15" w:type="dxa"/>
        </w:tblCellMar>
        <w:tblLook w:val="04A0" w:firstRow="1" w:lastRow="0" w:firstColumn="1" w:lastColumn="0" w:noHBand="0" w:noVBand="1"/>
      </w:tblPr>
      <w:tblGrid>
        <w:gridCol w:w="951"/>
        <w:gridCol w:w="2159"/>
        <w:gridCol w:w="88"/>
        <w:gridCol w:w="1238"/>
        <w:gridCol w:w="88"/>
        <w:gridCol w:w="2547"/>
        <w:gridCol w:w="103"/>
      </w:tblGrid>
      <w:tr w:rsidR="004F2951" w:rsidRPr="00C236AD" w14:paraId="0CBB2730" w14:textId="6036747D" w:rsidTr="004F2951">
        <w:trPr>
          <w:trHeight w:val="341"/>
          <w:tblHeader/>
          <w:tblCellSpacing w:w="15" w:type="dxa"/>
        </w:trPr>
        <w:tc>
          <w:tcPr>
            <w:tcW w:w="0" w:type="auto"/>
            <w:tcBorders>
              <w:top w:val="thinThickSmallGap" w:sz="24" w:space="0" w:color="auto"/>
              <w:bottom w:val="thickThinSmallGap" w:sz="24" w:space="0" w:color="auto"/>
            </w:tcBorders>
            <w:vAlign w:val="center"/>
            <w:hideMark/>
          </w:tcPr>
          <w:p w14:paraId="6945116A"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19B9ECB9"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Diluted EPS</w:t>
            </w:r>
          </w:p>
        </w:tc>
        <w:tc>
          <w:tcPr>
            <w:tcW w:w="0" w:type="auto"/>
            <w:tcBorders>
              <w:top w:val="thinThickSmallGap" w:sz="24" w:space="0" w:color="auto"/>
              <w:bottom w:val="thickThinSmallGap" w:sz="24" w:space="0" w:color="auto"/>
            </w:tcBorders>
          </w:tcPr>
          <w:p w14:paraId="72DAC84C" w14:textId="77777777" w:rsidR="004F2951" w:rsidRPr="00C236AD" w:rsidRDefault="004F2951" w:rsidP="00C236AD">
            <w:pPr>
              <w:spacing w:after="0" w:line="360" w:lineRule="auto"/>
              <w:jc w:val="both"/>
              <w:rPr>
                <w:rFonts w:cs="Arial"/>
                <w:sz w:val="24"/>
                <w:szCs w:val="24"/>
                <w:lang w:val="en-GB"/>
              </w:rPr>
            </w:pPr>
          </w:p>
        </w:tc>
        <w:tc>
          <w:tcPr>
            <w:tcW w:w="0" w:type="auto"/>
            <w:tcBorders>
              <w:top w:val="thinThickSmallGap" w:sz="24" w:space="0" w:color="auto"/>
              <w:bottom w:val="thickThinSmallGap" w:sz="24" w:space="0" w:color="auto"/>
            </w:tcBorders>
            <w:vAlign w:val="center"/>
          </w:tcPr>
          <w:p w14:paraId="409E0367" w14:textId="3CC8FD27" w:rsidR="004F2951" w:rsidRPr="00C236AD" w:rsidRDefault="004F2951" w:rsidP="00C236AD">
            <w:pPr>
              <w:spacing w:after="0" w:line="360" w:lineRule="auto"/>
              <w:jc w:val="both"/>
              <w:rPr>
                <w:rFonts w:cs="Arial"/>
                <w:sz w:val="24"/>
                <w:szCs w:val="24"/>
                <w:highlight w:val="yellow"/>
                <w:lang w:val="en-GB"/>
              </w:rPr>
            </w:pPr>
            <w:r w:rsidRPr="00C236AD">
              <w:rPr>
                <w:rFonts w:cs="Arial"/>
                <w:sz w:val="24"/>
                <w:szCs w:val="24"/>
                <w:highlight w:val="yellow"/>
                <w:lang w:val="en-GB"/>
              </w:rPr>
              <w:t>P/E</w:t>
            </w:r>
          </w:p>
        </w:tc>
        <w:tc>
          <w:tcPr>
            <w:tcW w:w="0" w:type="auto"/>
            <w:tcBorders>
              <w:top w:val="thinThickSmallGap" w:sz="24" w:space="0" w:color="auto"/>
              <w:bottom w:val="thickThinSmallGap" w:sz="24" w:space="0" w:color="auto"/>
            </w:tcBorders>
          </w:tcPr>
          <w:p w14:paraId="790A2DD2" w14:textId="77777777" w:rsidR="004F2951" w:rsidRPr="00C236AD" w:rsidRDefault="004F2951" w:rsidP="00C236AD">
            <w:pPr>
              <w:spacing w:after="0" w:line="360" w:lineRule="auto"/>
              <w:jc w:val="both"/>
              <w:rPr>
                <w:rFonts w:cs="Arial"/>
                <w:sz w:val="24"/>
                <w:szCs w:val="24"/>
                <w:lang w:val="en-GB"/>
              </w:rPr>
            </w:pPr>
          </w:p>
        </w:tc>
        <w:tc>
          <w:tcPr>
            <w:tcW w:w="0" w:type="auto"/>
            <w:tcBorders>
              <w:top w:val="thinThickSmallGap" w:sz="24" w:space="0" w:color="auto"/>
              <w:bottom w:val="thickThinSmallGap" w:sz="24" w:space="0" w:color="auto"/>
            </w:tcBorders>
            <w:vAlign w:val="center"/>
          </w:tcPr>
          <w:p w14:paraId="63C8021C" w14:textId="6F246C56" w:rsidR="004F2951" w:rsidRPr="00C236AD" w:rsidRDefault="004F2951" w:rsidP="00C236AD">
            <w:pPr>
              <w:spacing w:after="0" w:line="360" w:lineRule="auto"/>
              <w:jc w:val="both"/>
              <w:rPr>
                <w:rFonts w:cs="Arial"/>
                <w:sz w:val="24"/>
                <w:szCs w:val="24"/>
                <w:lang w:val="en-GB"/>
              </w:rPr>
            </w:pPr>
            <w:r w:rsidRPr="00C236AD">
              <w:rPr>
                <w:rFonts w:cs="Arial"/>
                <w:sz w:val="24"/>
                <w:szCs w:val="24"/>
                <w:lang w:val="en-GB"/>
              </w:rPr>
              <w:t>Dividend Yield</w:t>
            </w:r>
          </w:p>
        </w:tc>
        <w:tc>
          <w:tcPr>
            <w:tcW w:w="0" w:type="auto"/>
            <w:tcBorders>
              <w:top w:val="thinThickSmallGap" w:sz="24" w:space="0" w:color="auto"/>
              <w:bottom w:val="thickThinSmallGap" w:sz="24" w:space="0" w:color="auto"/>
            </w:tcBorders>
          </w:tcPr>
          <w:p w14:paraId="241FD486" w14:textId="0978364E" w:rsidR="004F2951" w:rsidRPr="00C236AD" w:rsidRDefault="004F2951" w:rsidP="00C236AD">
            <w:pPr>
              <w:spacing w:after="0" w:line="360" w:lineRule="auto"/>
              <w:jc w:val="both"/>
              <w:rPr>
                <w:rFonts w:cs="Arial"/>
                <w:sz w:val="24"/>
                <w:szCs w:val="24"/>
                <w:lang w:val="en-GB"/>
              </w:rPr>
            </w:pPr>
          </w:p>
        </w:tc>
      </w:tr>
      <w:tr w:rsidR="004F2951" w:rsidRPr="00C236AD" w14:paraId="47E47AF7" w14:textId="7428EED8" w:rsidTr="004F2951">
        <w:trPr>
          <w:trHeight w:val="349"/>
          <w:tblCellSpacing w:w="15" w:type="dxa"/>
        </w:trPr>
        <w:tc>
          <w:tcPr>
            <w:tcW w:w="0" w:type="auto"/>
            <w:vAlign w:val="center"/>
            <w:hideMark/>
          </w:tcPr>
          <w:p w14:paraId="02DB15D6"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2021</w:t>
            </w:r>
          </w:p>
        </w:tc>
        <w:tc>
          <w:tcPr>
            <w:tcW w:w="0" w:type="auto"/>
            <w:vAlign w:val="center"/>
            <w:hideMark/>
          </w:tcPr>
          <w:p w14:paraId="29E16B77"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$3.34</w:t>
            </w:r>
          </w:p>
        </w:tc>
        <w:tc>
          <w:tcPr>
            <w:tcW w:w="0" w:type="auto"/>
          </w:tcPr>
          <w:p w14:paraId="78FE8C36"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4AA83C8F" w14:textId="05A49F0F" w:rsidR="004F2951" w:rsidRPr="00C236AD" w:rsidRDefault="004F2951" w:rsidP="00C236AD">
            <w:pPr>
              <w:spacing w:after="0" w:line="360" w:lineRule="auto"/>
              <w:jc w:val="both"/>
              <w:rPr>
                <w:rFonts w:cs="Arial"/>
                <w:sz w:val="24"/>
                <w:szCs w:val="24"/>
                <w:highlight w:val="yellow"/>
                <w:lang w:val="en-GB"/>
              </w:rPr>
            </w:pPr>
            <w:r w:rsidRPr="00C236AD">
              <w:rPr>
                <w:rFonts w:cs="Arial"/>
                <w:sz w:val="24"/>
                <w:szCs w:val="24"/>
                <w:highlight w:val="yellow"/>
                <w:lang w:val="en-GB"/>
              </w:rPr>
              <w:t>49.47x</w:t>
            </w:r>
          </w:p>
        </w:tc>
        <w:tc>
          <w:tcPr>
            <w:tcW w:w="0" w:type="auto"/>
          </w:tcPr>
          <w:p w14:paraId="3433962D"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7A7E30BF" w14:textId="635D194C" w:rsidR="004F2951" w:rsidRPr="00C236AD" w:rsidRDefault="004F2951" w:rsidP="00C236AD">
            <w:pPr>
              <w:spacing w:after="0" w:line="360" w:lineRule="auto"/>
              <w:jc w:val="both"/>
              <w:rPr>
                <w:rFonts w:cs="Arial"/>
                <w:sz w:val="24"/>
                <w:szCs w:val="24"/>
                <w:lang w:val="en-GB"/>
              </w:rPr>
            </w:pPr>
            <w:r w:rsidRPr="00C236AD">
              <w:rPr>
                <w:rFonts w:cs="Arial"/>
                <w:sz w:val="24"/>
                <w:szCs w:val="24"/>
                <w:lang w:val="en-GB"/>
              </w:rPr>
              <w:t>0.00%</w:t>
            </w:r>
          </w:p>
        </w:tc>
        <w:tc>
          <w:tcPr>
            <w:tcW w:w="0" w:type="auto"/>
          </w:tcPr>
          <w:p w14:paraId="615FD053" w14:textId="0B05D9B8" w:rsidR="004F2951" w:rsidRPr="00C236AD" w:rsidRDefault="004F2951" w:rsidP="00C236AD">
            <w:pPr>
              <w:spacing w:after="0" w:line="360" w:lineRule="auto"/>
              <w:jc w:val="both"/>
              <w:rPr>
                <w:rFonts w:cs="Arial"/>
                <w:sz w:val="24"/>
                <w:szCs w:val="24"/>
                <w:lang w:val="en-GB"/>
              </w:rPr>
            </w:pPr>
          </w:p>
        </w:tc>
      </w:tr>
      <w:tr w:rsidR="004F2951" w:rsidRPr="00C236AD" w14:paraId="32E52AAE" w14:textId="33C7E3BC" w:rsidTr="004F2951">
        <w:trPr>
          <w:trHeight w:val="349"/>
          <w:tblCellSpacing w:w="15" w:type="dxa"/>
        </w:trPr>
        <w:tc>
          <w:tcPr>
            <w:tcW w:w="0" w:type="auto"/>
            <w:vAlign w:val="center"/>
            <w:hideMark/>
          </w:tcPr>
          <w:p w14:paraId="234E3232"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2022</w:t>
            </w:r>
          </w:p>
        </w:tc>
        <w:tc>
          <w:tcPr>
            <w:tcW w:w="0" w:type="auto"/>
            <w:vAlign w:val="center"/>
            <w:hideMark/>
          </w:tcPr>
          <w:p w14:paraId="09E86130"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$7.24</w:t>
            </w:r>
          </w:p>
        </w:tc>
        <w:tc>
          <w:tcPr>
            <w:tcW w:w="0" w:type="auto"/>
          </w:tcPr>
          <w:p w14:paraId="738EBB95"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2466743A" w14:textId="1776A66B" w:rsidR="004F2951" w:rsidRPr="00C236AD" w:rsidRDefault="004F2951" w:rsidP="00C236AD">
            <w:pPr>
              <w:spacing w:after="0" w:line="360" w:lineRule="auto"/>
              <w:jc w:val="both"/>
              <w:rPr>
                <w:rFonts w:cs="Arial"/>
                <w:sz w:val="24"/>
                <w:szCs w:val="24"/>
                <w:highlight w:val="yellow"/>
                <w:lang w:val="en-GB"/>
              </w:rPr>
            </w:pPr>
            <w:r w:rsidRPr="00C236AD">
              <w:rPr>
                <w:rFonts w:cs="Arial"/>
                <w:sz w:val="24"/>
                <w:szCs w:val="24"/>
                <w:highlight w:val="yellow"/>
                <w:lang w:val="en-GB"/>
              </w:rPr>
              <w:t>20.56x</w:t>
            </w:r>
          </w:p>
        </w:tc>
        <w:tc>
          <w:tcPr>
            <w:tcW w:w="0" w:type="auto"/>
          </w:tcPr>
          <w:p w14:paraId="53913D2C"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4BDBD6FC" w14:textId="05A074C5" w:rsidR="004F2951" w:rsidRPr="00C236AD" w:rsidRDefault="004F2951" w:rsidP="00C236AD">
            <w:pPr>
              <w:spacing w:after="0" w:line="360" w:lineRule="auto"/>
              <w:jc w:val="both"/>
              <w:rPr>
                <w:rFonts w:cs="Arial"/>
                <w:sz w:val="24"/>
                <w:szCs w:val="24"/>
                <w:lang w:val="en-GB"/>
              </w:rPr>
            </w:pPr>
            <w:r w:rsidRPr="00C236AD">
              <w:rPr>
                <w:rFonts w:cs="Arial"/>
                <w:sz w:val="24"/>
                <w:szCs w:val="24"/>
                <w:lang w:val="en-GB"/>
              </w:rPr>
              <w:t>0.67%</w:t>
            </w:r>
          </w:p>
        </w:tc>
        <w:tc>
          <w:tcPr>
            <w:tcW w:w="0" w:type="auto"/>
          </w:tcPr>
          <w:p w14:paraId="16786623" w14:textId="56210579" w:rsidR="004F2951" w:rsidRPr="00C236AD" w:rsidRDefault="004F2951" w:rsidP="00C236AD">
            <w:pPr>
              <w:spacing w:after="0" w:line="360" w:lineRule="auto"/>
              <w:jc w:val="both"/>
              <w:rPr>
                <w:rFonts w:cs="Arial"/>
                <w:sz w:val="24"/>
                <w:szCs w:val="24"/>
                <w:lang w:val="en-GB"/>
              </w:rPr>
            </w:pPr>
          </w:p>
        </w:tc>
      </w:tr>
      <w:tr w:rsidR="004F2951" w:rsidRPr="00C236AD" w14:paraId="44E45CE5" w14:textId="23F30117" w:rsidTr="004F2951">
        <w:trPr>
          <w:trHeight w:val="341"/>
          <w:tblCellSpacing w:w="15" w:type="dxa"/>
        </w:trPr>
        <w:tc>
          <w:tcPr>
            <w:tcW w:w="0" w:type="auto"/>
            <w:vAlign w:val="center"/>
            <w:hideMark/>
          </w:tcPr>
          <w:p w14:paraId="1CA3308D"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2023</w:t>
            </w:r>
          </w:p>
        </w:tc>
        <w:tc>
          <w:tcPr>
            <w:tcW w:w="0" w:type="auto"/>
            <w:vAlign w:val="center"/>
            <w:hideMark/>
          </w:tcPr>
          <w:p w14:paraId="3B8A54CF"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$10.18</w:t>
            </w:r>
          </w:p>
        </w:tc>
        <w:tc>
          <w:tcPr>
            <w:tcW w:w="0" w:type="auto"/>
          </w:tcPr>
          <w:p w14:paraId="55D48235"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67913DF4" w14:textId="3DDB118A" w:rsidR="004F2951" w:rsidRPr="00C236AD" w:rsidRDefault="004F2951" w:rsidP="00C236AD">
            <w:pPr>
              <w:spacing w:after="0" w:line="360" w:lineRule="auto"/>
              <w:jc w:val="both"/>
              <w:rPr>
                <w:rFonts w:cs="Arial"/>
                <w:sz w:val="24"/>
                <w:szCs w:val="24"/>
                <w:highlight w:val="yellow"/>
                <w:lang w:val="en-GB"/>
              </w:rPr>
            </w:pPr>
            <w:r w:rsidRPr="00C236AD">
              <w:rPr>
                <w:rFonts w:cs="Arial"/>
                <w:sz w:val="24"/>
                <w:szCs w:val="24"/>
                <w:highlight w:val="yellow"/>
                <w:lang w:val="en-GB"/>
              </w:rPr>
              <w:t>22.15x</w:t>
            </w:r>
          </w:p>
        </w:tc>
        <w:tc>
          <w:tcPr>
            <w:tcW w:w="0" w:type="auto"/>
          </w:tcPr>
          <w:p w14:paraId="2FCC2E8A"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0937362E" w14:textId="77AC5C37" w:rsidR="004F2951" w:rsidRPr="00C236AD" w:rsidRDefault="004F2951" w:rsidP="00C236AD">
            <w:pPr>
              <w:spacing w:after="0" w:line="360" w:lineRule="auto"/>
              <w:jc w:val="both"/>
              <w:rPr>
                <w:rFonts w:cs="Arial"/>
                <w:sz w:val="24"/>
                <w:szCs w:val="24"/>
                <w:lang w:val="en-GB"/>
              </w:rPr>
            </w:pPr>
            <w:r w:rsidRPr="00C236AD">
              <w:rPr>
                <w:rFonts w:cs="Arial"/>
                <w:sz w:val="24"/>
                <w:szCs w:val="24"/>
                <w:lang w:val="en-GB"/>
              </w:rPr>
              <w:t>0.87%</w:t>
            </w:r>
          </w:p>
        </w:tc>
        <w:tc>
          <w:tcPr>
            <w:tcW w:w="0" w:type="auto"/>
          </w:tcPr>
          <w:p w14:paraId="3C7DA7EC" w14:textId="4BD36E31" w:rsidR="004F2951" w:rsidRPr="00C236AD" w:rsidRDefault="004F2951" w:rsidP="00C236AD">
            <w:pPr>
              <w:spacing w:after="0" w:line="360" w:lineRule="auto"/>
              <w:jc w:val="both"/>
              <w:rPr>
                <w:rFonts w:cs="Arial"/>
                <w:sz w:val="24"/>
                <w:szCs w:val="24"/>
                <w:lang w:val="en-GB"/>
              </w:rPr>
            </w:pPr>
          </w:p>
        </w:tc>
      </w:tr>
      <w:tr w:rsidR="004F2951" w:rsidRPr="00C236AD" w14:paraId="26CF4A2C" w14:textId="3B9FD709" w:rsidTr="004F2951">
        <w:trPr>
          <w:trHeight w:val="349"/>
          <w:tblCellSpacing w:w="15" w:type="dxa"/>
        </w:trPr>
        <w:tc>
          <w:tcPr>
            <w:tcW w:w="0" w:type="auto"/>
            <w:vAlign w:val="center"/>
            <w:hideMark/>
          </w:tcPr>
          <w:p w14:paraId="07CC92EA"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2024</w:t>
            </w:r>
          </w:p>
        </w:tc>
        <w:tc>
          <w:tcPr>
            <w:tcW w:w="0" w:type="auto"/>
            <w:vAlign w:val="center"/>
            <w:hideMark/>
          </w:tcPr>
          <w:p w14:paraId="4E2CC6B1"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$8.33</w:t>
            </w:r>
          </w:p>
        </w:tc>
        <w:tc>
          <w:tcPr>
            <w:tcW w:w="0" w:type="auto"/>
          </w:tcPr>
          <w:p w14:paraId="502C3D84"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63A67BE6" w14:textId="183CBD97" w:rsidR="004F2951" w:rsidRPr="00C236AD" w:rsidRDefault="004F2951" w:rsidP="00C236AD">
            <w:pPr>
              <w:spacing w:after="0" w:line="360" w:lineRule="auto"/>
              <w:jc w:val="both"/>
              <w:rPr>
                <w:rFonts w:cs="Arial"/>
                <w:sz w:val="24"/>
                <w:szCs w:val="24"/>
                <w:highlight w:val="yellow"/>
                <w:lang w:val="en-GB"/>
              </w:rPr>
            </w:pPr>
            <w:r w:rsidRPr="00C236AD">
              <w:rPr>
                <w:rFonts w:cs="Arial"/>
                <w:sz w:val="24"/>
                <w:szCs w:val="24"/>
                <w:highlight w:val="yellow"/>
                <w:lang w:val="en-GB"/>
              </w:rPr>
              <w:t>33.49x</w:t>
            </w:r>
          </w:p>
        </w:tc>
        <w:tc>
          <w:tcPr>
            <w:tcW w:w="0" w:type="auto"/>
          </w:tcPr>
          <w:p w14:paraId="051E08C0" w14:textId="77777777" w:rsidR="004F2951" w:rsidRPr="00C236AD" w:rsidRDefault="004F2951" w:rsidP="00C236AD">
            <w:pPr>
              <w:spacing w:after="0" w:line="360" w:lineRule="auto"/>
              <w:jc w:val="both"/>
              <w:rPr>
                <w:rFonts w:cs="Arial"/>
                <w:sz w:val="24"/>
                <w:szCs w:val="24"/>
                <w:lang w:val="en-GB"/>
              </w:rPr>
            </w:pPr>
          </w:p>
        </w:tc>
        <w:tc>
          <w:tcPr>
            <w:tcW w:w="0" w:type="auto"/>
            <w:vAlign w:val="center"/>
          </w:tcPr>
          <w:p w14:paraId="231EFF6E" w14:textId="2A5AA218" w:rsidR="004F2951" w:rsidRPr="00C236AD" w:rsidRDefault="004F2951" w:rsidP="00C236AD">
            <w:pPr>
              <w:spacing w:after="0" w:line="360" w:lineRule="auto"/>
              <w:jc w:val="both"/>
              <w:rPr>
                <w:rFonts w:cs="Arial"/>
                <w:sz w:val="24"/>
                <w:szCs w:val="24"/>
                <w:lang w:val="en-GB"/>
              </w:rPr>
            </w:pPr>
            <w:r w:rsidRPr="00C236AD">
              <w:rPr>
                <w:rFonts w:cs="Arial"/>
                <w:sz w:val="24"/>
                <w:szCs w:val="24"/>
                <w:lang w:val="en-GB"/>
              </w:rPr>
              <w:t>0.86%</w:t>
            </w:r>
          </w:p>
        </w:tc>
        <w:tc>
          <w:tcPr>
            <w:tcW w:w="0" w:type="auto"/>
          </w:tcPr>
          <w:p w14:paraId="7E0946FD" w14:textId="2626372A" w:rsidR="004F2951" w:rsidRPr="00C236AD" w:rsidRDefault="004F2951" w:rsidP="00C236AD">
            <w:pPr>
              <w:spacing w:after="0" w:line="360" w:lineRule="auto"/>
              <w:jc w:val="both"/>
              <w:rPr>
                <w:rFonts w:cs="Arial"/>
                <w:sz w:val="24"/>
                <w:szCs w:val="24"/>
                <w:lang w:val="en-GB"/>
              </w:rPr>
            </w:pPr>
          </w:p>
        </w:tc>
      </w:tr>
      <w:tr w:rsidR="004F2951" w:rsidRPr="00C236AD" w14:paraId="7625478E" w14:textId="44F54621" w:rsidTr="004F2951">
        <w:trPr>
          <w:trHeight w:val="341"/>
          <w:tblCellSpacing w:w="15" w:type="dxa"/>
        </w:trPr>
        <w:tc>
          <w:tcPr>
            <w:tcW w:w="0" w:type="auto"/>
            <w:tcBorders>
              <w:bottom w:val="thickThinSmallGap" w:sz="24" w:space="0" w:color="auto"/>
            </w:tcBorders>
            <w:vAlign w:val="center"/>
            <w:hideMark/>
          </w:tcPr>
          <w:p w14:paraId="795D339A"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lastRenderedPageBreak/>
              <w:t>2025</w:t>
            </w:r>
          </w:p>
        </w:tc>
        <w:tc>
          <w:tcPr>
            <w:tcW w:w="0" w:type="auto"/>
            <w:tcBorders>
              <w:bottom w:val="thickThinSmallGap" w:sz="24" w:space="0" w:color="auto"/>
            </w:tcBorders>
            <w:vAlign w:val="center"/>
            <w:hideMark/>
          </w:tcPr>
          <w:p w14:paraId="07918EF0" w14:textId="77777777" w:rsidR="004F2951" w:rsidRPr="00C236AD" w:rsidRDefault="004F2951" w:rsidP="00C236AD">
            <w:pPr>
              <w:spacing w:after="0" w:line="360" w:lineRule="auto"/>
              <w:jc w:val="both"/>
              <w:rPr>
                <w:rFonts w:cs="Arial"/>
                <w:b/>
                <w:bCs/>
                <w:sz w:val="24"/>
                <w:szCs w:val="24"/>
                <w:lang w:val="en-GB"/>
              </w:rPr>
            </w:pPr>
            <w:r w:rsidRPr="00C236AD">
              <w:rPr>
                <w:rFonts w:cs="Arial"/>
                <w:sz w:val="24"/>
                <w:szCs w:val="24"/>
                <w:lang w:val="en-GB"/>
              </w:rPr>
              <w:t>$9.51</w:t>
            </w:r>
          </w:p>
        </w:tc>
        <w:tc>
          <w:tcPr>
            <w:tcW w:w="0" w:type="auto"/>
            <w:tcBorders>
              <w:bottom w:val="thickThinSmallGap" w:sz="24" w:space="0" w:color="auto"/>
            </w:tcBorders>
          </w:tcPr>
          <w:p w14:paraId="6DB073E8" w14:textId="77777777" w:rsidR="004F2951" w:rsidRPr="00C236AD" w:rsidRDefault="004F2951" w:rsidP="00C236AD">
            <w:pPr>
              <w:spacing w:after="0" w:line="360" w:lineRule="auto"/>
              <w:jc w:val="both"/>
              <w:rPr>
                <w:rFonts w:cs="Arial"/>
                <w:sz w:val="24"/>
                <w:szCs w:val="24"/>
                <w:lang w:val="en-GB"/>
              </w:rPr>
            </w:pPr>
          </w:p>
        </w:tc>
        <w:tc>
          <w:tcPr>
            <w:tcW w:w="0" w:type="auto"/>
            <w:tcBorders>
              <w:bottom w:val="thickThinSmallGap" w:sz="24" w:space="0" w:color="auto"/>
            </w:tcBorders>
            <w:vAlign w:val="center"/>
          </w:tcPr>
          <w:p w14:paraId="71FC7921" w14:textId="6D421741" w:rsidR="004F2951" w:rsidRPr="00C236AD" w:rsidRDefault="004F2951" w:rsidP="00C236AD">
            <w:pPr>
              <w:spacing w:after="0" w:line="360" w:lineRule="auto"/>
              <w:jc w:val="both"/>
              <w:rPr>
                <w:rFonts w:cs="Arial"/>
                <w:sz w:val="24"/>
                <w:szCs w:val="24"/>
                <w:highlight w:val="yellow"/>
                <w:lang w:val="en-GB"/>
              </w:rPr>
            </w:pPr>
            <w:r w:rsidRPr="00C236AD">
              <w:rPr>
                <w:rFonts w:cs="Arial"/>
                <w:sz w:val="24"/>
                <w:szCs w:val="24"/>
                <w:highlight w:val="yellow"/>
                <w:lang w:val="en-GB"/>
              </w:rPr>
              <w:t>32.62x</w:t>
            </w:r>
          </w:p>
        </w:tc>
        <w:tc>
          <w:tcPr>
            <w:tcW w:w="0" w:type="auto"/>
            <w:tcBorders>
              <w:bottom w:val="thickThinSmallGap" w:sz="24" w:space="0" w:color="auto"/>
            </w:tcBorders>
          </w:tcPr>
          <w:p w14:paraId="473A3B08" w14:textId="77777777" w:rsidR="004F2951" w:rsidRPr="00C236AD" w:rsidRDefault="004F2951" w:rsidP="00C236AD">
            <w:pPr>
              <w:spacing w:after="0" w:line="360" w:lineRule="auto"/>
              <w:jc w:val="both"/>
              <w:rPr>
                <w:rFonts w:cs="Arial"/>
                <w:sz w:val="24"/>
                <w:szCs w:val="24"/>
                <w:lang w:val="en-GB"/>
              </w:rPr>
            </w:pPr>
          </w:p>
        </w:tc>
        <w:tc>
          <w:tcPr>
            <w:tcW w:w="0" w:type="auto"/>
            <w:tcBorders>
              <w:bottom w:val="thickThinSmallGap" w:sz="24" w:space="0" w:color="auto"/>
            </w:tcBorders>
            <w:vAlign w:val="center"/>
          </w:tcPr>
          <w:p w14:paraId="03B1DD2D" w14:textId="72092CC9" w:rsidR="004F2951" w:rsidRPr="00C236AD" w:rsidRDefault="004F2951" w:rsidP="00C236AD">
            <w:pPr>
              <w:spacing w:after="0" w:line="360" w:lineRule="auto"/>
              <w:jc w:val="both"/>
              <w:rPr>
                <w:rFonts w:cs="Arial"/>
                <w:sz w:val="24"/>
                <w:szCs w:val="24"/>
                <w:lang w:val="en-GB"/>
              </w:rPr>
            </w:pPr>
            <w:r w:rsidRPr="00C236AD">
              <w:rPr>
                <w:rFonts w:cs="Arial"/>
                <w:sz w:val="24"/>
                <w:szCs w:val="24"/>
                <w:lang w:val="en-GB"/>
              </w:rPr>
              <w:t>0.85%</w:t>
            </w:r>
          </w:p>
        </w:tc>
        <w:tc>
          <w:tcPr>
            <w:tcW w:w="0" w:type="auto"/>
            <w:tcBorders>
              <w:bottom w:val="thickThinSmallGap" w:sz="24" w:space="0" w:color="auto"/>
            </w:tcBorders>
          </w:tcPr>
          <w:p w14:paraId="10904153" w14:textId="7739E923" w:rsidR="004F2951" w:rsidRPr="00C236AD" w:rsidRDefault="004F2951" w:rsidP="00C236AD">
            <w:pPr>
              <w:spacing w:after="0" w:line="360" w:lineRule="auto"/>
              <w:jc w:val="both"/>
              <w:rPr>
                <w:rFonts w:cs="Arial"/>
                <w:sz w:val="24"/>
                <w:szCs w:val="24"/>
                <w:lang w:val="en-GB"/>
              </w:rPr>
            </w:pPr>
          </w:p>
        </w:tc>
      </w:tr>
    </w:tbl>
    <w:p w14:paraId="656F3420" w14:textId="01133D8D" w:rsidR="00CD7E93" w:rsidRPr="00C236AD" w:rsidRDefault="008719B4" w:rsidP="00C236AD">
      <w:pPr>
        <w:spacing w:after="0" w:line="360" w:lineRule="auto"/>
        <w:jc w:val="both"/>
        <w:rPr>
          <w:rFonts w:cs="Arial"/>
          <w:sz w:val="24"/>
          <w:szCs w:val="24"/>
        </w:rPr>
      </w:pPr>
      <w:r w:rsidRPr="00C236AD">
        <w:rPr>
          <w:rFonts w:cs="Arial"/>
          <w:b/>
          <w:bCs/>
          <w:sz w:val="24"/>
          <w:szCs w:val="24"/>
          <w:lang w:val="en-GB"/>
        </w:rPr>
        <w:t>Source: Autor’s</w:t>
      </w:r>
      <w:r w:rsidR="00CD7E93" w:rsidRPr="00C236AD">
        <w:rPr>
          <w:rFonts w:cs="Arial"/>
          <w:b/>
          <w:bCs/>
          <w:sz w:val="24"/>
          <w:szCs w:val="24"/>
          <w:lang w:val="en-GB"/>
        </w:rPr>
        <w:t xml:space="preserve"> calculation</w:t>
      </w:r>
      <w:r w:rsidRPr="00C236AD">
        <w:rPr>
          <w:rFonts w:cs="Arial"/>
          <w:b/>
          <w:bCs/>
          <w:sz w:val="24"/>
          <w:szCs w:val="24"/>
          <w:lang w:val="en-GB"/>
        </w:rPr>
        <w:t>s</w:t>
      </w:r>
      <w:r w:rsidR="00CD7E93" w:rsidRPr="00C236AD">
        <w:rPr>
          <w:rFonts w:cs="Arial"/>
          <w:sz w:val="24"/>
          <w:szCs w:val="24"/>
        </w:rPr>
        <w:t xml:space="preserve"> from Marriott International annual report 2021</w:t>
      </w:r>
      <w:r w:rsidR="00ED72CF">
        <w:rPr>
          <w:rFonts w:cs="Arial"/>
          <w:sz w:val="24"/>
          <w:szCs w:val="24"/>
        </w:rPr>
        <w:t>-</w:t>
      </w:r>
      <w:r w:rsidR="00CD7E93" w:rsidRPr="00C236AD">
        <w:rPr>
          <w:rFonts w:cs="Arial"/>
          <w:sz w:val="24"/>
          <w:szCs w:val="24"/>
        </w:rPr>
        <w:t>2025</w:t>
      </w:r>
    </w:p>
    <w:p w14:paraId="29C8F5F0" w14:textId="0C6F1DCC" w:rsidR="004F2951" w:rsidRPr="00C236AD" w:rsidRDefault="00CD7E93" w:rsidP="00C236AD">
      <w:pPr>
        <w:spacing w:after="0" w:line="360" w:lineRule="auto"/>
        <w:jc w:val="both"/>
        <w:rPr>
          <w:rFonts w:cs="Arial"/>
          <w:sz w:val="24"/>
          <w:szCs w:val="24"/>
        </w:rPr>
      </w:pPr>
      <w:r w:rsidRPr="00C236AD">
        <w:rPr>
          <w:rFonts w:cs="Arial"/>
          <w:sz w:val="24"/>
          <w:szCs w:val="24"/>
        </w:rPr>
        <w:t xml:space="preserve">EPS recovered to $10.18 in 2023 and was $9.51 in 2025, supported by earnings and buybacks (Marriott International, 2026). P/E </w:t>
      </w:r>
      <w:proofErr w:type="spellStart"/>
      <w:r w:rsidRPr="00C236AD">
        <w:rPr>
          <w:rFonts w:cs="Arial"/>
          <w:sz w:val="24"/>
          <w:szCs w:val="24"/>
        </w:rPr>
        <w:t>stabilised</w:t>
      </w:r>
      <w:proofErr w:type="spellEnd"/>
      <w:r w:rsidRPr="00C236AD">
        <w:rPr>
          <w:rFonts w:cs="Arial"/>
          <w:sz w:val="24"/>
          <w:szCs w:val="24"/>
        </w:rPr>
        <w:t xml:space="preserve"> around 32</w:t>
      </w:r>
      <w:r w:rsidR="00ED72CF">
        <w:rPr>
          <w:rFonts w:cs="Arial"/>
          <w:sz w:val="24"/>
          <w:szCs w:val="24"/>
        </w:rPr>
        <w:t>-</w:t>
      </w:r>
      <w:r w:rsidRPr="00C236AD">
        <w:rPr>
          <w:rFonts w:cs="Arial"/>
          <w:sz w:val="24"/>
          <w:szCs w:val="24"/>
        </w:rPr>
        <w:t>33x, indicating sustained market confidence. Dividend Yield remained below 1% as buybacks remained the primary return mechanism.</w:t>
      </w:r>
    </w:p>
    <w:p w14:paraId="284FE75B" w14:textId="552D5D40" w:rsidR="00CD7E93" w:rsidRPr="00C236AD" w:rsidRDefault="00CD7E93" w:rsidP="00C236AD">
      <w:pPr>
        <w:spacing w:after="0" w:line="360" w:lineRule="auto"/>
        <w:jc w:val="both"/>
        <w:rPr>
          <w:rFonts w:cs="Arial"/>
          <w:sz w:val="24"/>
          <w:szCs w:val="24"/>
        </w:rPr>
      </w:pPr>
      <w:r w:rsidRPr="00C236AD">
        <w:rPr>
          <w:rFonts w:cs="Arial"/>
          <w:sz w:val="24"/>
          <w:szCs w:val="24"/>
        </w:rPr>
        <w:t>Figure 5: Investment Ratios trend, 2021</w:t>
      </w:r>
      <w:r w:rsidR="00ED72CF">
        <w:rPr>
          <w:rFonts w:cs="Arial"/>
          <w:sz w:val="24"/>
          <w:szCs w:val="24"/>
        </w:rPr>
        <w:t>-</w:t>
      </w:r>
      <w:r w:rsidRPr="00C236AD">
        <w:rPr>
          <w:rFonts w:cs="Arial"/>
          <w:sz w:val="24"/>
          <w:szCs w:val="24"/>
        </w:rPr>
        <w:t xml:space="preserve">2025  </w:t>
      </w:r>
    </w:p>
    <w:p w14:paraId="3F767574" w14:textId="0B750E31" w:rsidR="00F9461B" w:rsidRPr="00C236AD" w:rsidRDefault="00636E9B" w:rsidP="00C236AD">
      <w:pPr>
        <w:spacing w:after="0" w:line="360" w:lineRule="auto"/>
        <w:jc w:val="both"/>
        <w:rPr>
          <w:rFonts w:cs="Arial"/>
          <w:b/>
          <w:bCs/>
          <w:sz w:val="24"/>
          <w:szCs w:val="24"/>
          <w:lang w:val="en-GB"/>
        </w:rPr>
      </w:pPr>
      <w:r w:rsidRPr="00C236AD">
        <w:rPr>
          <w:rFonts w:cs="Arial"/>
          <w:noProof/>
          <w:sz w:val="24"/>
          <w:szCs w:val="24"/>
        </w:rPr>
        <w:drawing>
          <wp:inline distT="0" distB="0" distL="0" distR="0" wp14:anchorId="639CE52F" wp14:editId="6AE115F4">
            <wp:extent cx="2755900" cy="2647950"/>
            <wp:effectExtent l="0" t="0" r="6350" b="0"/>
            <wp:docPr id="801635237" name="Graphique 1">
              <a:extLst xmlns:a="http://schemas.openxmlformats.org/drawingml/2006/main">
                <a:ext uri="{FF2B5EF4-FFF2-40B4-BE49-F238E27FC236}">
                  <a16:creationId xmlns:a16="http://schemas.microsoft.com/office/drawing/2014/main" id="{D423092D-0962-81A3-08D8-5D96E8AF22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4F2951" w:rsidRPr="00C236AD">
        <w:rPr>
          <w:rFonts w:cs="Arial"/>
          <w:noProof/>
          <w:sz w:val="24"/>
          <w:szCs w:val="24"/>
        </w:rPr>
        <w:drawing>
          <wp:inline distT="0" distB="0" distL="0" distR="0" wp14:anchorId="24AE1644" wp14:editId="672A05D4">
            <wp:extent cx="2686050" cy="2616200"/>
            <wp:effectExtent l="0" t="0" r="0" b="12700"/>
            <wp:docPr id="451407185" name="Graphique 1">
              <a:extLst xmlns:a="http://schemas.openxmlformats.org/drawingml/2006/main">
                <a:ext uri="{FF2B5EF4-FFF2-40B4-BE49-F238E27FC236}">
                  <a16:creationId xmlns:a16="http://schemas.microsoft.com/office/drawing/2014/main" id="{7233FB35-CEF2-1AA4-F9EE-5F1040A29D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AFC0AFE" w14:textId="3BE057C8" w:rsidR="00F9461B" w:rsidRPr="00C236AD" w:rsidRDefault="00636E9B" w:rsidP="00C236AD">
      <w:pPr>
        <w:spacing w:after="0" w:line="360" w:lineRule="auto"/>
        <w:jc w:val="both"/>
        <w:rPr>
          <w:rFonts w:cs="Arial"/>
          <w:sz w:val="24"/>
          <w:szCs w:val="24"/>
        </w:rPr>
      </w:pPr>
      <w:r w:rsidRPr="00C236AD">
        <w:rPr>
          <w:rFonts w:cs="Arial"/>
          <w:noProof/>
          <w:sz w:val="24"/>
          <w:szCs w:val="24"/>
        </w:rPr>
        <w:drawing>
          <wp:inline distT="0" distB="0" distL="0" distR="0" wp14:anchorId="289478BC" wp14:editId="238CF6AA">
            <wp:extent cx="5403850" cy="2698750"/>
            <wp:effectExtent l="0" t="0" r="6350" b="6350"/>
            <wp:docPr id="2100656798" name="Graphique 1">
              <a:extLst xmlns:a="http://schemas.openxmlformats.org/drawingml/2006/main">
                <a:ext uri="{FF2B5EF4-FFF2-40B4-BE49-F238E27FC236}">
                  <a16:creationId xmlns:a16="http://schemas.microsoft.com/office/drawing/2014/main" id="{E59654AB-77B2-98CB-1FD0-446950F0EF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C78BF70" w14:textId="07BA5C3D" w:rsidR="00CD7E93" w:rsidRPr="00C236AD" w:rsidRDefault="00CD7E93" w:rsidP="00C236AD">
      <w:pPr>
        <w:spacing w:after="0" w:line="360" w:lineRule="auto"/>
        <w:jc w:val="both"/>
        <w:rPr>
          <w:rFonts w:cs="Arial"/>
          <w:sz w:val="24"/>
          <w:szCs w:val="24"/>
        </w:rPr>
      </w:pPr>
      <w:r w:rsidRPr="00C236AD">
        <w:rPr>
          <w:rFonts w:cs="Arial"/>
          <w:sz w:val="24"/>
          <w:szCs w:val="24"/>
        </w:rPr>
        <w:t>Source: Autor from Marriott International annual report 2021</w:t>
      </w:r>
      <w:r w:rsidR="00ED72CF">
        <w:rPr>
          <w:rFonts w:cs="Arial"/>
          <w:sz w:val="24"/>
          <w:szCs w:val="24"/>
        </w:rPr>
        <w:t>-</w:t>
      </w:r>
      <w:r w:rsidRPr="00C236AD">
        <w:rPr>
          <w:rFonts w:cs="Arial"/>
          <w:sz w:val="24"/>
          <w:szCs w:val="24"/>
        </w:rPr>
        <w:t>202</w:t>
      </w:r>
      <w:r w:rsidR="00E241C5" w:rsidRPr="00C236AD">
        <w:rPr>
          <w:rFonts w:cs="Arial"/>
          <w:sz w:val="24"/>
          <w:szCs w:val="24"/>
        </w:rPr>
        <w:t>5</w:t>
      </w:r>
    </w:p>
    <w:p w14:paraId="2CCCD658" w14:textId="03AD11C9" w:rsidR="004F2951" w:rsidRPr="00C236AD" w:rsidRDefault="00E67A6B" w:rsidP="00C236AD">
      <w:pPr>
        <w:spacing w:after="0" w:line="360" w:lineRule="auto"/>
        <w:jc w:val="both"/>
        <w:rPr>
          <w:rFonts w:cs="Arial"/>
          <w:iCs/>
          <w:sz w:val="24"/>
          <w:szCs w:val="24"/>
        </w:rPr>
      </w:pPr>
      <w:r w:rsidRPr="00C236AD">
        <w:rPr>
          <w:rFonts w:cs="Arial"/>
          <w:sz w:val="24"/>
          <w:szCs w:val="24"/>
        </w:rPr>
        <w:lastRenderedPageBreak/>
        <w:t xml:space="preserve">1.c Identification of Trends, Strengths, and Potential Threats  </w:t>
      </w:r>
    </w:p>
    <w:p w14:paraId="2E9602C9" w14:textId="7C114C50" w:rsidR="00386588" w:rsidRPr="00C236AD" w:rsidRDefault="00386588" w:rsidP="00C236AD">
      <w:pPr>
        <w:spacing w:after="0" w:line="360" w:lineRule="auto"/>
        <w:jc w:val="both"/>
        <w:rPr>
          <w:rFonts w:cs="Arial"/>
          <w:sz w:val="24"/>
          <w:szCs w:val="24"/>
        </w:rPr>
      </w:pPr>
      <w:r w:rsidRPr="00C236AD">
        <w:rPr>
          <w:rFonts w:cs="Arial"/>
          <w:sz w:val="24"/>
          <w:szCs w:val="24"/>
        </w:rPr>
        <w:t>Ratio analysis provides a consistent picture of Marriott’s financial position over the five</w:t>
      </w:r>
      <w:r w:rsidR="00ED72CF">
        <w:rPr>
          <w:rFonts w:cs="Arial"/>
          <w:sz w:val="24"/>
          <w:szCs w:val="24"/>
        </w:rPr>
        <w:t>-</w:t>
      </w:r>
      <w:r w:rsidRPr="00C236AD">
        <w:rPr>
          <w:rFonts w:cs="Arial"/>
          <w:sz w:val="24"/>
          <w:szCs w:val="24"/>
        </w:rPr>
        <w:t>year period.</w:t>
      </w:r>
    </w:p>
    <w:p w14:paraId="4BF5ACA4" w14:textId="0BA314DE" w:rsidR="00386588" w:rsidRPr="00C236AD" w:rsidRDefault="00386588" w:rsidP="00C236AD">
      <w:pPr>
        <w:spacing w:after="0" w:line="360" w:lineRule="auto"/>
        <w:jc w:val="both"/>
        <w:rPr>
          <w:rFonts w:cs="Arial"/>
          <w:sz w:val="24"/>
          <w:szCs w:val="24"/>
        </w:rPr>
      </w:pPr>
      <w:r w:rsidRPr="00C236AD">
        <w:rPr>
          <w:rFonts w:cs="Arial"/>
          <w:sz w:val="24"/>
          <w:szCs w:val="24"/>
        </w:rPr>
        <w:t>Key Trends: Strong revenue and profit recovery 2021</w:t>
      </w:r>
      <w:r w:rsidR="00ED72CF">
        <w:rPr>
          <w:rFonts w:cs="Arial"/>
          <w:sz w:val="24"/>
          <w:szCs w:val="24"/>
        </w:rPr>
        <w:t>-</w:t>
      </w:r>
      <w:r w:rsidRPr="00C236AD">
        <w:rPr>
          <w:rFonts w:cs="Arial"/>
          <w:sz w:val="24"/>
          <w:szCs w:val="24"/>
        </w:rPr>
        <w:t xml:space="preserve">2023, followed by stable growth to 2025. Rising debt and leverage from 2023. Persistently low liquidity. Improved receivables collection.  </w:t>
      </w:r>
    </w:p>
    <w:p w14:paraId="2AECDE54" w14:textId="0BC2DA76" w:rsidR="00386588" w:rsidRPr="00C236AD" w:rsidRDefault="00386588" w:rsidP="00C236AD">
      <w:pPr>
        <w:spacing w:after="0" w:line="360" w:lineRule="auto"/>
        <w:jc w:val="both"/>
        <w:rPr>
          <w:rFonts w:cs="Arial"/>
          <w:sz w:val="24"/>
          <w:szCs w:val="24"/>
        </w:rPr>
      </w:pPr>
      <w:r w:rsidRPr="00C236AD">
        <w:rPr>
          <w:rFonts w:cs="Arial"/>
          <w:sz w:val="24"/>
          <w:szCs w:val="24"/>
        </w:rPr>
        <w:t>Main Strengths: ROCE above 21% since 2023. Operating cash flow of $3,212m in 2025 (Marriott International, 2026, p. 42). Asset</w:t>
      </w:r>
      <w:r w:rsidR="00ED72CF">
        <w:rPr>
          <w:rFonts w:cs="Arial"/>
          <w:sz w:val="24"/>
          <w:szCs w:val="24"/>
        </w:rPr>
        <w:t>-</w:t>
      </w:r>
      <w:r w:rsidRPr="00C236AD">
        <w:rPr>
          <w:rFonts w:cs="Arial"/>
          <w:sz w:val="24"/>
          <w:szCs w:val="24"/>
        </w:rPr>
        <w:t>light model with a 610,000</w:t>
      </w:r>
      <w:r w:rsidR="00ED72CF">
        <w:rPr>
          <w:rFonts w:cs="Arial"/>
          <w:sz w:val="24"/>
          <w:szCs w:val="24"/>
        </w:rPr>
        <w:t>-</w:t>
      </w:r>
      <w:r w:rsidRPr="00C236AD">
        <w:rPr>
          <w:rFonts w:cs="Arial"/>
          <w:sz w:val="24"/>
          <w:szCs w:val="24"/>
        </w:rPr>
        <w:t xml:space="preserve">room pipeline in 2025 (Marriott International, 2026, p. 5). Improved DSO.  </w:t>
      </w:r>
    </w:p>
    <w:p w14:paraId="5C1A12AF" w14:textId="77777777" w:rsidR="00386588" w:rsidRPr="00C236AD" w:rsidRDefault="00386588" w:rsidP="00C236AD">
      <w:pPr>
        <w:spacing w:after="0" w:line="360" w:lineRule="auto"/>
        <w:jc w:val="both"/>
        <w:rPr>
          <w:rFonts w:cs="Arial"/>
          <w:sz w:val="24"/>
          <w:szCs w:val="24"/>
        </w:rPr>
      </w:pPr>
      <w:r w:rsidRPr="00C236AD">
        <w:rPr>
          <w:rFonts w:cs="Arial"/>
          <w:sz w:val="24"/>
          <w:szCs w:val="24"/>
        </w:rPr>
        <w:t xml:space="preserve">Potential Threats: Debt of $16,204m and negative equity in 2025 (Marriott International, 2026, p. 65; p. 38). Current ratio of 0.43 in 2025. Interest coverage down to 5.12x in 2025. Exposure to global travel demand (Marriott International, 2026, p. 11).  </w:t>
      </w:r>
    </w:p>
    <w:p w14:paraId="6F4B9911" w14:textId="77777777" w:rsidR="00386588" w:rsidRPr="00C236AD" w:rsidRDefault="00386588" w:rsidP="00C236AD">
      <w:pPr>
        <w:spacing w:after="0" w:line="360" w:lineRule="auto"/>
        <w:jc w:val="both"/>
        <w:rPr>
          <w:rFonts w:cs="Arial"/>
          <w:sz w:val="24"/>
          <w:szCs w:val="24"/>
        </w:rPr>
      </w:pPr>
    </w:p>
    <w:p w14:paraId="423C04AE" w14:textId="77777777" w:rsidR="00386588" w:rsidRPr="00C236AD" w:rsidRDefault="00386588" w:rsidP="00C236AD">
      <w:pPr>
        <w:spacing w:after="0" w:line="360" w:lineRule="auto"/>
        <w:jc w:val="both"/>
        <w:rPr>
          <w:rFonts w:cs="Arial"/>
          <w:sz w:val="24"/>
          <w:szCs w:val="24"/>
        </w:rPr>
      </w:pPr>
      <w:r w:rsidRPr="00C236AD">
        <w:rPr>
          <w:rFonts w:cs="Arial"/>
          <w:sz w:val="24"/>
          <w:szCs w:val="24"/>
        </w:rPr>
        <w:t>Overall, ratios indicate that Marriott’s operating and profitability position is strong, while liquidity and leverage are tighter. The most positive trends are strong ROCE, recovery in operating profitability, and improved receivables efficiency. Areas requiring monitoring include the increasing debt burden, low liquidity ratios, negative shareholders’ equity, and the decline in interest coverage since 2022.</w:t>
      </w:r>
    </w:p>
    <w:p w14:paraId="645856AA" w14:textId="77777777" w:rsidR="002C7A45" w:rsidRPr="00C236AD" w:rsidRDefault="002C7A45" w:rsidP="00C236AD">
      <w:pPr>
        <w:spacing w:after="0" w:line="360" w:lineRule="auto"/>
        <w:jc w:val="both"/>
        <w:rPr>
          <w:rFonts w:cs="Arial"/>
          <w:sz w:val="24"/>
          <w:szCs w:val="24"/>
          <w:lang w:val="en-GB"/>
        </w:rPr>
      </w:pPr>
      <w:r w:rsidRPr="00C236AD">
        <w:rPr>
          <w:rFonts w:cs="Arial"/>
          <w:sz w:val="24"/>
          <w:szCs w:val="24"/>
          <w:lang w:val="en-GB"/>
        </w:rPr>
        <w:t>1.d. Comparison of Liquidity Ratios with Industry Benchmarks</w:t>
      </w:r>
    </w:p>
    <w:p w14:paraId="6806339F" w14:textId="3273FE9A" w:rsidR="00386588" w:rsidRPr="00C236AD" w:rsidRDefault="00386588" w:rsidP="00C236AD">
      <w:pPr>
        <w:spacing w:after="0" w:line="360" w:lineRule="auto"/>
        <w:jc w:val="both"/>
        <w:rPr>
          <w:rFonts w:cs="Arial"/>
          <w:sz w:val="24"/>
          <w:szCs w:val="24"/>
        </w:rPr>
      </w:pPr>
      <w:r w:rsidRPr="00C236AD">
        <w:rPr>
          <w:rFonts w:cs="Arial"/>
          <w:sz w:val="24"/>
          <w:szCs w:val="24"/>
        </w:rPr>
        <w:t>To check if Marriott’s low liquidity is normal, it was compared with Hilton. Both use asset</w:t>
      </w:r>
      <w:r w:rsidR="00ED72CF">
        <w:rPr>
          <w:rFonts w:cs="Arial"/>
          <w:sz w:val="24"/>
          <w:szCs w:val="24"/>
        </w:rPr>
        <w:t>-</w:t>
      </w:r>
      <w:r w:rsidRPr="00C236AD">
        <w:rPr>
          <w:rFonts w:cs="Arial"/>
          <w:sz w:val="24"/>
          <w:szCs w:val="24"/>
        </w:rPr>
        <w:t>light models.</w:t>
      </w:r>
    </w:p>
    <w:p w14:paraId="49AE5DCD" w14:textId="0C636A30" w:rsidR="005C72E4" w:rsidRPr="00C236AD" w:rsidRDefault="005C72E4" w:rsidP="00C236AD">
      <w:pPr>
        <w:spacing w:after="0" w:line="360" w:lineRule="auto"/>
        <w:jc w:val="both"/>
        <w:rPr>
          <w:rFonts w:cs="Arial"/>
          <w:sz w:val="24"/>
          <w:szCs w:val="24"/>
        </w:rPr>
      </w:pPr>
      <w:r w:rsidRPr="00C236AD">
        <w:rPr>
          <w:rFonts w:cs="Arial"/>
          <w:sz w:val="24"/>
          <w:szCs w:val="24"/>
        </w:rPr>
        <w:t xml:space="preserve">In 2025 Marriott reported $3.584bn in current assets and $8.398bn in current liabilities (Marriott International, 2025). Hilton reported $2.996bn in current assets and $4.508bn in current liabilities (Hilton Worldwide Holdings, </w:t>
      </w:r>
      <w:proofErr w:type="gramStart"/>
      <w:r w:rsidRPr="00C236AD">
        <w:rPr>
          <w:rFonts w:cs="Arial"/>
          <w:sz w:val="24"/>
          <w:szCs w:val="24"/>
        </w:rPr>
        <w:t>2025)</w:t>
      </w:r>
      <w:r w:rsidR="00EE06A0">
        <w:rPr>
          <w:rFonts w:cs="Arial"/>
          <w:sz w:val="24"/>
          <w:szCs w:val="24"/>
        </w:rPr>
        <w:t>(</w:t>
      </w:r>
      <w:proofErr w:type="gramEnd"/>
      <w:r w:rsidR="00EE06A0">
        <w:rPr>
          <w:rFonts w:cs="Arial"/>
          <w:sz w:val="24"/>
          <w:szCs w:val="24"/>
        </w:rPr>
        <w:t xml:space="preserve"> See Appendix 8)</w:t>
      </w:r>
      <w:r w:rsidRPr="00C236AD">
        <w:rPr>
          <w:rFonts w:cs="Arial"/>
          <w:sz w:val="24"/>
          <w:szCs w:val="24"/>
        </w:rPr>
        <w:t xml:space="preserve">. </w:t>
      </w:r>
      <w:proofErr w:type="gramStart"/>
      <w:r w:rsidRPr="00C236AD">
        <w:rPr>
          <w:rFonts w:cs="Arial"/>
          <w:sz w:val="24"/>
          <w:szCs w:val="24"/>
        </w:rPr>
        <w:t>So</w:t>
      </w:r>
      <w:proofErr w:type="gramEnd"/>
      <w:r w:rsidRPr="00C236AD">
        <w:rPr>
          <w:rFonts w:cs="Arial"/>
          <w:sz w:val="24"/>
          <w:szCs w:val="24"/>
        </w:rPr>
        <w:t xml:space="preserve"> Marriott is larger in absolute terms, but also carries more short</w:t>
      </w:r>
      <w:r w:rsidR="00ED72CF">
        <w:rPr>
          <w:rFonts w:cs="Arial"/>
          <w:sz w:val="24"/>
          <w:szCs w:val="24"/>
        </w:rPr>
        <w:t>-</w:t>
      </w:r>
      <w:r w:rsidRPr="00C236AD">
        <w:rPr>
          <w:rFonts w:cs="Arial"/>
          <w:sz w:val="24"/>
          <w:szCs w:val="24"/>
        </w:rPr>
        <w:t>term obligations.</w:t>
      </w:r>
    </w:p>
    <w:p w14:paraId="1219CFF0" w14:textId="76F3B634" w:rsidR="000410EA" w:rsidRPr="00C236AD" w:rsidRDefault="000410EA" w:rsidP="00C236AD">
      <w:pPr>
        <w:spacing w:after="0" w:line="360" w:lineRule="auto"/>
        <w:jc w:val="both"/>
        <w:rPr>
          <w:rFonts w:cs="Arial"/>
          <w:b/>
          <w:bCs/>
          <w:sz w:val="24"/>
          <w:szCs w:val="24"/>
          <w:lang w:val="en-GB"/>
        </w:rPr>
      </w:pPr>
      <w:r w:rsidRPr="00C236AD">
        <w:rPr>
          <w:rFonts w:cs="Arial"/>
          <w:b/>
          <w:bCs/>
          <w:sz w:val="24"/>
          <w:szCs w:val="24"/>
        </w:rPr>
        <w:t>Table: Marriott vs Hilton liquidity indicators, 2025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0"/>
        <w:gridCol w:w="1540"/>
        <w:gridCol w:w="1336"/>
        <w:gridCol w:w="3414"/>
      </w:tblGrid>
      <w:tr w:rsidR="00247F27" w:rsidRPr="00C236AD" w14:paraId="6584AEC0" w14:textId="77777777" w:rsidTr="00F00090">
        <w:trPr>
          <w:tblHeader/>
          <w:tblCellSpacing w:w="15" w:type="dxa"/>
        </w:trPr>
        <w:tc>
          <w:tcPr>
            <w:tcW w:w="0" w:type="auto"/>
            <w:tcBorders>
              <w:top w:val="thinThickSmallGap" w:sz="24" w:space="0" w:color="auto"/>
              <w:bottom w:val="thickThinSmallGap" w:sz="24" w:space="0" w:color="auto"/>
            </w:tcBorders>
            <w:vAlign w:val="center"/>
            <w:hideMark/>
          </w:tcPr>
          <w:p w14:paraId="6DE4A705" w14:textId="77777777" w:rsidR="00247F27" w:rsidRPr="00C236AD" w:rsidRDefault="00247F27" w:rsidP="00C236AD">
            <w:pPr>
              <w:spacing w:after="0" w:line="360" w:lineRule="auto"/>
              <w:jc w:val="both"/>
              <w:rPr>
                <w:rFonts w:cs="Arial"/>
                <w:b/>
                <w:bCs/>
                <w:sz w:val="24"/>
                <w:szCs w:val="24"/>
                <w:lang w:val="en-GB"/>
              </w:rPr>
            </w:pPr>
            <w:r w:rsidRPr="00C236AD">
              <w:rPr>
                <w:rFonts w:cs="Arial"/>
                <w:b/>
                <w:bCs/>
                <w:sz w:val="24"/>
                <w:szCs w:val="24"/>
                <w:lang w:val="en-GB"/>
              </w:rPr>
              <w:lastRenderedPageBreak/>
              <w:t>Liquidity indicator</w:t>
            </w:r>
          </w:p>
        </w:tc>
        <w:tc>
          <w:tcPr>
            <w:tcW w:w="0" w:type="auto"/>
            <w:tcBorders>
              <w:top w:val="thinThickSmallGap" w:sz="24" w:space="0" w:color="auto"/>
              <w:bottom w:val="thickThinSmallGap" w:sz="24" w:space="0" w:color="auto"/>
            </w:tcBorders>
            <w:vAlign w:val="center"/>
            <w:hideMark/>
          </w:tcPr>
          <w:p w14:paraId="77E854E9" w14:textId="77777777" w:rsidR="00247F27" w:rsidRPr="00C236AD" w:rsidRDefault="00247F27" w:rsidP="00C236AD">
            <w:pPr>
              <w:spacing w:after="0" w:line="360" w:lineRule="auto"/>
              <w:jc w:val="both"/>
              <w:rPr>
                <w:rFonts w:cs="Arial"/>
                <w:b/>
                <w:bCs/>
                <w:sz w:val="24"/>
                <w:szCs w:val="24"/>
                <w:lang w:val="en-GB"/>
              </w:rPr>
            </w:pPr>
            <w:r w:rsidRPr="00C236AD">
              <w:rPr>
                <w:rFonts w:cs="Arial"/>
                <w:b/>
                <w:bCs/>
                <w:sz w:val="24"/>
                <w:szCs w:val="24"/>
                <w:lang w:val="en-GB"/>
              </w:rPr>
              <w:t>Marriott 2025</w:t>
            </w:r>
          </w:p>
        </w:tc>
        <w:tc>
          <w:tcPr>
            <w:tcW w:w="0" w:type="auto"/>
            <w:tcBorders>
              <w:top w:val="thinThickSmallGap" w:sz="24" w:space="0" w:color="auto"/>
              <w:bottom w:val="thickThinSmallGap" w:sz="24" w:space="0" w:color="auto"/>
            </w:tcBorders>
            <w:vAlign w:val="center"/>
            <w:hideMark/>
          </w:tcPr>
          <w:p w14:paraId="270E76A4" w14:textId="77777777" w:rsidR="00247F27" w:rsidRPr="00C236AD" w:rsidRDefault="00247F27" w:rsidP="00C236AD">
            <w:pPr>
              <w:spacing w:after="0" w:line="360" w:lineRule="auto"/>
              <w:jc w:val="both"/>
              <w:rPr>
                <w:rFonts w:cs="Arial"/>
                <w:b/>
                <w:bCs/>
                <w:sz w:val="24"/>
                <w:szCs w:val="24"/>
                <w:lang w:val="en-GB"/>
              </w:rPr>
            </w:pPr>
            <w:r w:rsidRPr="00C236AD">
              <w:rPr>
                <w:rFonts w:cs="Arial"/>
                <w:b/>
                <w:bCs/>
                <w:sz w:val="24"/>
                <w:szCs w:val="24"/>
                <w:lang w:val="en-GB"/>
              </w:rPr>
              <w:t>Hilton 2025</w:t>
            </w:r>
          </w:p>
        </w:tc>
        <w:tc>
          <w:tcPr>
            <w:tcW w:w="0" w:type="auto"/>
            <w:tcBorders>
              <w:top w:val="thinThickSmallGap" w:sz="24" w:space="0" w:color="auto"/>
              <w:bottom w:val="thickThinSmallGap" w:sz="24" w:space="0" w:color="auto"/>
            </w:tcBorders>
            <w:vAlign w:val="center"/>
            <w:hideMark/>
          </w:tcPr>
          <w:p w14:paraId="70EA3F20" w14:textId="77777777" w:rsidR="00247F27" w:rsidRPr="00C236AD" w:rsidRDefault="00247F27" w:rsidP="00C236AD">
            <w:pPr>
              <w:spacing w:after="0" w:line="360" w:lineRule="auto"/>
              <w:jc w:val="both"/>
              <w:rPr>
                <w:rFonts w:cs="Arial"/>
                <w:b/>
                <w:bCs/>
                <w:sz w:val="24"/>
                <w:szCs w:val="24"/>
                <w:lang w:val="en-GB"/>
              </w:rPr>
            </w:pPr>
            <w:r w:rsidRPr="00C236AD">
              <w:rPr>
                <w:rFonts w:cs="Arial"/>
                <w:b/>
                <w:bCs/>
                <w:sz w:val="24"/>
                <w:szCs w:val="24"/>
                <w:lang w:val="en-GB"/>
              </w:rPr>
              <w:t>Relative position</w:t>
            </w:r>
          </w:p>
        </w:tc>
      </w:tr>
      <w:tr w:rsidR="00247F27" w:rsidRPr="00C236AD" w14:paraId="3688EB1A" w14:textId="77777777" w:rsidTr="00F00090">
        <w:trPr>
          <w:tblCellSpacing w:w="15" w:type="dxa"/>
        </w:trPr>
        <w:tc>
          <w:tcPr>
            <w:tcW w:w="0" w:type="auto"/>
            <w:vAlign w:val="center"/>
            <w:hideMark/>
          </w:tcPr>
          <w:p w14:paraId="2E30ECF8"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Current Assets</w:t>
            </w:r>
          </w:p>
        </w:tc>
        <w:tc>
          <w:tcPr>
            <w:tcW w:w="0" w:type="auto"/>
            <w:vAlign w:val="center"/>
            <w:hideMark/>
          </w:tcPr>
          <w:p w14:paraId="25FFAB2E"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$3.584bn</w:t>
            </w:r>
          </w:p>
        </w:tc>
        <w:tc>
          <w:tcPr>
            <w:tcW w:w="0" w:type="auto"/>
            <w:vAlign w:val="center"/>
            <w:hideMark/>
          </w:tcPr>
          <w:p w14:paraId="5C56C951"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$2.996bn</w:t>
            </w:r>
          </w:p>
        </w:tc>
        <w:tc>
          <w:tcPr>
            <w:tcW w:w="0" w:type="auto"/>
            <w:vAlign w:val="center"/>
            <w:hideMark/>
          </w:tcPr>
          <w:p w14:paraId="08761ED1"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Marriott higher in absolute terms</w:t>
            </w:r>
          </w:p>
        </w:tc>
      </w:tr>
      <w:tr w:rsidR="00247F27" w:rsidRPr="00C236AD" w14:paraId="6C667BBB" w14:textId="77777777" w:rsidTr="00F00090">
        <w:trPr>
          <w:tblCellSpacing w:w="15" w:type="dxa"/>
        </w:trPr>
        <w:tc>
          <w:tcPr>
            <w:tcW w:w="0" w:type="auto"/>
            <w:vAlign w:val="center"/>
            <w:hideMark/>
          </w:tcPr>
          <w:p w14:paraId="3DB0209C"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Current Liabilities</w:t>
            </w:r>
          </w:p>
        </w:tc>
        <w:tc>
          <w:tcPr>
            <w:tcW w:w="0" w:type="auto"/>
            <w:vAlign w:val="center"/>
            <w:hideMark/>
          </w:tcPr>
          <w:p w14:paraId="28DFC42F"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$8.398bn</w:t>
            </w:r>
          </w:p>
        </w:tc>
        <w:tc>
          <w:tcPr>
            <w:tcW w:w="0" w:type="auto"/>
            <w:vAlign w:val="center"/>
            <w:hideMark/>
          </w:tcPr>
          <w:p w14:paraId="2B760BCD"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$4.508bn</w:t>
            </w:r>
          </w:p>
        </w:tc>
        <w:tc>
          <w:tcPr>
            <w:tcW w:w="0" w:type="auto"/>
            <w:vAlign w:val="center"/>
            <w:hideMark/>
          </w:tcPr>
          <w:p w14:paraId="6AAF914F"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Marriott higher</w:t>
            </w:r>
          </w:p>
        </w:tc>
      </w:tr>
      <w:tr w:rsidR="00247F27" w:rsidRPr="00C236AD" w14:paraId="7EE58942" w14:textId="77777777" w:rsidTr="00F00090">
        <w:trPr>
          <w:tblCellSpacing w:w="15" w:type="dxa"/>
        </w:trPr>
        <w:tc>
          <w:tcPr>
            <w:tcW w:w="0" w:type="auto"/>
            <w:vAlign w:val="center"/>
            <w:hideMark/>
          </w:tcPr>
          <w:p w14:paraId="32A5B4B0"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Current Ratio</w:t>
            </w:r>
          </w:p>
        </w:tc>
        <w:tc>
          <w:tcPr>
            <w:tcW w:w="0" w:type="auto"/>
            <w:vAlign w:val="center"/>
            <w:hideMark/>
          </w:tcPr>
          <w:p w14:paraId="1A11923D"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0.43</w:t>
            </w:r>
          </w:p>
        </w:tc>
        <w:tc>
          <w:tcPr>
            <w:tcW w:w="0" w:type="auto"/>
            <w:vAlign w:val="center"/>
            <w:hideMark/>
          </w:tcPr>
          <w:p w14:paraId="2F2400E2"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0.66</w:t>
            </w:r>
          </w:p>
        </w:tc>
        <w:tc>
          <w:tcPr>
            <w:tcW w:w="0" w:type="auto"/>
            <w:vAlign w:val="center"/>
            <w:hideMark/>
          </w:tcPr>
          <w:p w14:paraId="1342A5F6"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Marriott weaker</w:t>
            </w:r>
          </w:p>
        </w:tc>
      </w:tr>
      <w:tr w:rsidR="00247F27" w:rsidRPr="00C236AD" w14:paraId="7ED7F9E9" w14:textId="77777777" w:rsidTr="00F00090">
        <w:trPr>
          <w:tblCellSpacing w:w="15" w:type="dxa"/>
        </w:trPr>
        <w:tc>
          <w:tcPr>
            <w:tcW w:w="0" w:type="auto"/>
            <w:vAlign w:val="center"/>
            <w:hideMark/>
          </w:tcPr>
          <w:p w14:paraId="46CFA056"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Cash and equivalents</w:t>
            </w:r>
          </w:p>
        </w:tc>
        <w:tc>
          <w:tcPr>
            <w:tcW w:w="0" w:type="auto"/>
            <w:vAlign w:val="center"/>
            <w:hideMark/>
          </w:tcPr>
          <w:p w14:paraId="2646EAB8"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$0.358bn</w:t>
            </w:r>
          </w:p>
        </w:tc>
        <w:tc>
          <w:tcPr>
            <w:tcW w:w="0" w:type="auto"/>
            <w:vAlign w:val="center"/>
            <w:hideMark/>
          </w:tcPr>
          <w:p w14:paraId="09A768C4" w14:textId="1EA15C03" w:rsidR="00247F27" w:rsidRPr="00C236AD" w:rsidRDefault="00B42BA8" w:rsidP="00C236AD">
            <w:pPr>
              <w:spacing w:after="0" w:line="360" w:lineRule="auto"/>
              <w:jc w:val="both"/>
              <w:rPr>
                <w:rFonts w:cs="Arial"/>
                <w:sz w:val="24"/>
                <w:szCs w:val="24"/>
                <w:lang w:val="en-GB"/>
              </w:rPr>
            </w:pPr>
            <w:r>
              <w:rPr>
                <w:rFonts w:cs="Arial"/>
                <w:sz w:val="24"/>
                <w:szCs w:val="24"/>
                <w:lang w:val="en-GB"/>
              </w:rPr>
              <w:t>---</w:t>
            </w:r>
          </w:p>
        </w:tc>
        <w:tc>
          <w:tcPr>
            <w:tcW w:w="0" w:type="auto"/>
            <w:vAlign w:val="center"/>
            <w:hideMark/>
          </w:tcPr>
          <w:p w14:paraId="766AEB76" w14:textId="10673DAC" w:rsidR="00247F27" w:rsidRPr="00C236AD" w:rsidRDefault="00B42BA8" w:rsidP="00C236AD">
            <w:pPr>
              <w:spacing w:after="0" w:line="360" w:lineRule="auto"/>
              <w:jc w:val="both"/>
              <w:rPr>
                <w:rFonts w:cs="Arial"/>
                <w:sz w:val="24"/>
                <w:szCs w:val="24"/>
                <w:lang w:val="en-GB"/>
              </w:rPr>
            </w:pPr>
            <w:r>
              <w:rPr>
                <w:rFonts w:cs="Arial"/>
                <w:sz w:val="24"/>
                <w:szCs w:val="24"/>
                <w:lang w:val="en-GB"/>
              </w:rPr>
              <w:t>---</w:t>
            </w:r>
          </w:p>
        </w:tc>
      </w:tr>
      <w:tr w:rsidR="00247F27" w:rsidRPr="00C236AD" w14:paraId="150BE4DB" w14:textId="77777777" w:rsidTr="00F00090">
        <w:trPr>
          <w:tblCellSpacing w:w="15" w:type="dxa"/>
        </w:trPr>
        <w:tc>
          <w:tcPr>
            <w:tcW w:w="0" w:type="auto"/>
            <w:tcBorders>
              <w:bottom w:val="thickThinSmallGap" w:sz="24" w:space="0" w:color="auto"/>
            </w:tcBorders>
            <w:vAlign w:val="center"/>
            <w:hideMark/>
          </w:tcPr>
          <w:p w14:paraId="3E9B5D26"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Shareholders' equity</w:t>
            </w:r>
          </w:p>
        </w:tc>
        <w:tc>
          <w:tcPr>
            <w:tcW w:w="0" w:type="auto"/>
            <w:tcBorders>
              <w:bottom w:val="thickThinSmallGap" w:sz="24" w:space="0" w:color="auto"/>
            </w:tcBorders>
            <w:vAlign w:val="center"/>
            <w:hideMark/>
          </w:tcPr>
          <w:p w14:paraId="69515E3B"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w:t>
            </w:r>
            <w:proofErr w:type="gramStart"/>
            <w:r w:rsidRPr="00C236AD">
              <w:rPr>
                <w:rFonts w:cs="Arial"/>
                <w:sz w:val="24"/>
                <w:szCs w:val="24"/>
                <w:lang w:val="en-GB"/>
              </w:rPr>
              <w:t>3.771)bn</w:t>
            </w:r>
            <w:proofErr w:type="gramEnd"/>
          </w:p>
        </w:tc>
        <w:tc>
          <w:tcPr>
            <w:tcW w:w="0" w:type="auto"/>
            <w:tcBorders>
              <w:bottom w:val="thickThinSmallGap" w:sz="24" w:space="0" w:color="auto"/>
            </w:tcBorders>
            <w:vAlign w:val="center"/>
            <w:hideMark/>
          </w:tcPr>
          <w:p w14:paraId="7198FF0F"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w:t>
            </w:r>
            <w:proofErr w:type="gramStart"/>
            <w:r w:rsidRPr="00C236AD">
              <w:rPr>
                <w:rFonts w:cs="Arial"/>
                <w:sz w:val="24"/>
                <w:szCs w:val="24"/>
                <w:lang w:val="en-GB"/>
              </w:rPr>
              <w:t>5.359)bn</w:t>
            </w:r>
            <w:proofErr w:type="gramEnd"/>
          </w:p>
        </w:tc>
        <w:tc>
          <w:tcPr>
            <w:tcW w:w="0" w:type="auto"/>
            <w:tcBorders>
              <w:bottom w:val="thickThinSmallGap" w:sz="24" w:space="0" w:color="auto"/>
            </w:tcBorders>
            <w:vAlign w:val="center"/>
            <w:hideMark/>
          </w:tcPr>
          <w:p w14:paraId="157DC56F" w14:textId="77777777" w:rsidR="00247F27" w:rsidRPr="00C236AD" w:rsidRDefault="00247F27" w:rsidP="00C236AD">
            <w:pPr>
              <w:spacing w:after="0" w:line="360" w:lineRule="auto"/>
              <w:jc w:val="both"/>
              <w:rPr>
                <w:rFonts w:cs="Arial"/>
                <w:sz w:val="24"/>
                <w:szCs w:val="24"/>
                <w:lang w:val="en-GB"/>
              </w:rPr>
            </w:pPr>
            <w:r w:rsidRPr="00C236AD">
              <w:rPr>
                <w:rFonts w:cs="Arial"/>
                <w:sz w:val="24"/>
                <w:szCs w:val="24"/>
                <w:lang w:val="en-GB"/>
              </w:rPr>
              <w:t>Negative for both</w:t>
            </w:r>
          </w:p>
        </w:tc>
      </w:tr>
    </w:tbl>
    <w:p w14:paraId="0FB2D5B5" w14:textId="550B904E" w:rsidR="000410EA" w:rsidRPr="00C236AD" w:rsidRDefault="000410EA" w:rsidP="00C236AD">
      <w:pPr>
        <w:spacing w:after="0" w:line="360" w:lineRule="auto"/>
        <w:jc w:val="both"/>
        <w:rPr>
          <w:rFonts w:cs="Arial"/>
          <w:sz w:val="24"/>
          <w:szCs w:val="24"/>
          <w:lang w:val="en-GB"/>
        </w:rPr>
      </w:pPr>
      <w:r w:rsidRPr="00C236AD">
        <w:rPr>
          <w:rFonts w:cs="Arial"/>
          <w:i/>
          <w:iCs/>
          <w:sz w:val="24"/>
          <w:szCs w:val="24"/>
          <w:lang w:val="en-GB"/>
        </w:rPr>
        <w:t>Source:</w:t>
      </w:r>
      <w:r w:rsidRPr="00C236AD">
        <w:rPr>
          <w:rFonts w:cs="Arial"/>
          <w:i/>
          <w:iCs/>
          <w:sz w:val="24"/>
          <w:szCs w:val="24"/>
        </w:rPr>
        <w:t xml:space="preserve"> Author’s compilation based on Marriott International (2025) and Hilton Worldwide Holdings (2025).</w:t>
      </w:r>
    </w:p>
    <w:p w14:paraId="2207A082" w14:textId="38712277" w:rsidR="005C72E4" w:rsidRPr="00C236AD" w:rsidRDefault="005C72E4" w:rsidP="00C236AD">
      <w:pPr>
        <w:spacing w:after="0" w:line="360" w:lineRule="auto"/>
        <w:jc w:val="both"/>
        <w:rPr>
          <w:rFonts w:cs="Arial"/>
          <w:sz w:val="24"/>
          <w:szCs w:val="24"/>
        </w:rPr>
      </w:pPr>
      <w:r w:rsidRPr="00C236AD">
        <w:rPr>
          <w:rFonts w:cs="Arial"/>
          <w:sz w:val="24"/>
          <w:szCs w:val="24"/>
        </w:rPr>
        <w:t>The key difference is the Current Ratio. Marriott’s 0.43 is below Hilton’s 0.66 (Marriott International, 2025; Hilton Worldwide Holdings, 2025). From my reading, this means Marriott has weaker coverage of short</w:t>
      </w:r>
      <w:r w:rsidR="00ED72CF">
        <w:rPr>
          <w:rFonts w:cs="Arial"/>
          <w:sz w:val="24"/>
          <w:szCs w:val="24"/>
        </w:rPr>
        <w:t>-</w:t>
      </w:r>
      <w:r w:rsidRPr="00C236AD">
        <w:rPr>
          <w:rFonts w:cs="Arial"/>
          <w:sz w:val="24"/>
          <w:szCs w:val="24"/>
        </w:rPr>
        <w:t>term debts with current assets. However, both are under 1.0. That suggests low current ratios are not unusual for large, asset</w:t>
      </w:r>
      <w:r w:rsidR="00ED72CF">
        <w:rPr>
          <w:rFonts w:cs="Arial"/>
          <w:sz w:val="24"/>
          <w:szCs w:val="24"/>
        </w:rPr>
        <w:t>-</w:t>
      </w:r>
      <w:r w:rsidRPr="00C236AD">
        <w:rPr>
          <w:rFonts w:cs="Arial"/>
          <w:sz w:val="24"/>
          <w:szCs w:val="24"/>
        </w:rPr>
        <w:t>light hospitality companies.</w:t>
      </w:r>
    </w:p>
    <w:p w14:paraId="6A5D92DC" w14:textId="77777777" w:rsidR="0013798C" w:rsidRPr="00C236AD" w:rsidRDefault="00000000" w:rsidP="00C236AD">
      <w:pPr>
        <w:spacing w:after="0" w:line="360" w:lineRule="auto"/>
        <w:jc w:val="both"/>
        <w:rPr>
          <w:rFonts w:cs="Arial"/>
          <w:b/>
          <w:bCs/>
          <w:sz w:val="24"/>
          <w:szCs w:val="24"/>
          <w:lang w:val="en-GB"/>
        </w:rPr>
      </w:pPr>
      <w:r w:rsidRPr="00C236AD">
        <w:rPr>
          <w:rFonts w:cs="Arial"/>
          <w:sz w:val="24"/>
          <w:szCs w:val="24"/>
          <w:lang w:val="en-GB"/>
        </w:rPr>
        <w:t>2. WORKING CAPITAL MANAGEMENT ANALYSIS</w:t>
      </w:r>
    </w:p>
    <w:p w14:paraId="185F7FC0" w14:textId="2721BDD7" w:rsidR="00E22B2C" w:rsidRPr="00C236AD" w:rsidRDefault="00E22B2C" w:rsidP="00C236AD">
      <w:pPr>
        <w:spacing w:after="0" w:line="360" w:lineRule="auto"/>
        <w:jc w:val="both"/>
        <w:rPr>
          <w:rFonts w:cs="Arial"/>
          <w:sz w:val="24"/>
          <w:szCs w:val="24"/>
        </w:rPr>
      </w:pPr>
      <w:r w:rsidRPr="00C236AD">
        <w:rPr>
          <w:rFonts w:cs="Arial"/>
          <w:sz w:val="24"/>
          <w:szCs w:val="24"/>
        </w:rPr>
        <w:t>This section looks at three things. First, how Marriott’s cash cycle actually works. Second, what Marriott can do to make working capital more efficient without damaging relations with hotel owners. Third, how short</w:t>
      </w:r>
      <w:r w:rsidR="00ED72CF">
        <w:rPr>
          <w:rFonts w:cs="Arial"/>
          <w:sz w:val="24"/>
          <w:szCs w:val="24"/>
        </w:rPr>
        <w:t>-</w:t>
      </w:r>
      <w:r w:rsidRPr="00C236AD">
        <w:rPr>
          <w:rFonts w:cs="Arial"/>
          <w:sz w:val="24"/>
          <w:szCs w:val="24"/>
        </w:rPr>
        <w:t>term and long</w:t>
      </w:r>
      <w:r w:rsidR="00ED72CF">
        <w:rPr>
          <w:rFonts w:cs="Arial"/>
          <w:sz w:val="24"/>
          <w:szCs w:val="24"/>
        </w:rPr>
        <w:t>-</w:t>
      </w:r>
      <w:r w:rsidRPr="00C236AD">
        <w:rPr>
          <w:rFonts w:cs="Arial"/>
          <w:sz w:val="24"/>
          <w:szCs w:val="24"/>
        </w:rPr>
        <w:t xml:space="preserve">term borrowing fit together when debt is already $16.204bn and the current ratio is just 0.43 (Marriott International, 2026). </w:t>
      </w:r>
    </w:p>
    <w:p w14:paraId="433D51EE" w14:textId="1B5B4B2B"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2.a. Assessment of the Cash Operating Cycle</w:t>
      </w:r>
    </w:p>
    <w:p w14:paraId="6C47AFE5" w14:textId="4B627E08" w:rsidR="002B09F5" w:rsidRPr="00C236AD" w:rsidRDefault="002B09F5" w:rsidP="00C236AD">
      <w:pPr>
        <w:spacing w:after="0" w:line="360" w:lineRule="auto"/>
        <w:jc w:val="both"/>
        <w:rPr>
          <w:rFonts w:cs="Arial"/>
          <w:sz w:val="24"/>
          <w:szCs w:val="24"/>
        </w:rPr>
      </w:pPr>
      <w:r w:rsidRPr="00C236AD">
        <w:rPr>
          <w:rFonts w:cs="Arial"/>
          <w:sz w:val="24"/>
          <w:szCs w:val="24"/>
        </w:rPr>
        <w:t>Marriott’s working capital structure is atypical because the company operates an asset</w:t>
      </w:r>
      <w:r w:rsidR="00ED72CF">
        <w:rPr>
          <w:rFonts w:cs="Arial"/>
          <w:sz w:val="24"/>
          <w:szCs w:val="24"/>
        </w:rPr>
        <w:t>-</w:t>
      </w:r>
      <w:r w:rsidRPr="00C236AD">
        <w:rPr>
          <w:rFonts w:cs="Arial"/>
          <w:sz w:val="24"/>
          <w:szCs w:val="24"/>
        </w:rPr>
        <w:t xml:space="preserve">light model with less than 1% of properties owned (Marriott International, 2026). As a result, it carries almost no inventory and relies on receivables, payables, accrued liabilities, and the Marriott Bonvoy loyalty </w:t>
      </w:r>
      <w:proofErr w:type="spellStart"/>
      <w:r w:rsidRPr="00C236AD">
        <w:rPr>
          <w:rFonts w:cs="Arial"/>
          <w:sz w:val="24"/>
          <w:szCs w:val="24"/>
        </w:rPr>
        <w:t>programme</w:t>
      </w:r>
      <w:proofErr w:type="spellEnd"/>
      <w:r w:rsidRPr="00C236AD">
        <w:rPr>
          <w:rFonts w:cs="Arial"/>
          <w:sz w:val="24"/>
          <w:szCs w:val="24"/>
        </w:rPr>
        <w:t xml:space="preserve"> liability as the main working capital items (Marriott International, 2026). </w:t>
      </w:r>
    </w:p>
    <w:p w14:paraId="00BFC009" w14:textId="6FA00CF6" w:rsidR="002B09F5" w:rsidRPr="00C236AD" w:rsidRDefault="002B09F5" w:rsidP="00C236AD">
      <w:pPr>
        <w:spacing w:after="0" w:line="360" w:lineRule="auto"/>
        <w:jc w:val="both"/>
        <w:rPr>
          <w:rFonts w:cs="Arial"/>
          <w:sz w:val="24"/>
          <w:szCs w:val="24"/>
        </w:rPr>
      </w:pPr>
      <w:r w:rsidRPr="00C236AD">
        <w:rPr>
          <w:rFonts w:cs="Arial"/>
          <w:sz w:val="24"/>
          <w:szCs w:val="24"/>
        </w:rPr>
        <w:t>Over 2021</w:t>
      </w:r>
      <w:r w:rsidR="00ED72CF">
        <w:rPr>
          <w:rFonts w:cs="Arial"/>
          <w:sz w:val="24"/>
          <w:szCs w:val="24"/>
        </w:rPr>
        <w:t>-</w:t>
      </w:r>
      <w:r w:rsidRPr="00C236AD">
        <w:rPr>
          <w:rFonts w:cs="Arial"/>
          <w:sz w:val="24"/>
          <w:szCs w:val="24"/>
        </w:rPr>
        <w:t>2025 Marriott consistently operated with negative net working capital. The deficit widened from $2,781m to $5,164m before improving slightly to $4,814m in 2025.</w:t>
      </w:r>
    </w:p>
    <w:p w14:paraId="78674AFD" w14:textId="206EB796" w:rsidR="00247F27" w:rsidRPr="00C236AD" w:rsidRDefault="00247F27" w:rsidP="00C236AD">
      <w:pPr>
        <w:spacing w:after="0" w:line="360" w:lineRule="auto"/>
        <w:jc w:val="both"/>
        <w:rPr>
          <w:rFonts w:cs="Arial"/>
          <w:b/>
          <w:bCs/>
          <w:sz w:val="24"/>
          <w:szCs w:val="24"/>
          <w:lang w:val="en-GB"/>
        </w:rPr>
      </w:pPr>
      <w:r w:rsidRPr="00C236AD">
        <w:rPr>
          <w:rFonts w:cs="Arial"/>
          <w:b/>
          <w:bCs/>
          <w:sz w:val="24"/>
          <w:szCs w:val="24"/>
          <w:u w:val="single"/>
          <w:lang w:val="en-GB"/>
        </w:rPr>
        <w:t>Table:</w:t>
      </w:r>
      <w:r w:rsidRPr="00C236AD">
        <w:rPr>
          <w:rFonts w:cs="Arial"/>
          <w:b/>
          <w:bCs/>
          <w:sz w:val="24"/>
          <w:szCs w:val="24"/>
          <w:lang w:val="en-GB"/>
        </w:rPr>
        <w:t xml:space="preserve"> Marriott's Net Working Capital, 2021</w:t>
      </w:r>
      <w:r w:rsidR="00ED72CF">
        <w:rPr>
          <w:rFonts w:cs="Arial"/>
          <w:b/>
          <w:bCs/>
          <w:sz w:val="24"/>
          <w:szCs w:val="24"/>
          <w:lang w:val="en-GB"/>
        </w:rPr>
        <w:t>-</w:t>
      </w:r>
      <w:r w:rsidRPr="00C236AD">
        <w:rPr>
          <w:rFonts w:cs="Arial"/>
          <w:b/>
          <w:bCs/>
          <w:sz w:val="24"/>
          <w:szCs w:val="24"/>
          <w:lang w:val="en-GB"/>
        </w:rPr>
        <w:t>2025</w:t>
      </w:r>
    </w:p>
    <w:tbl>
      <w:tblPr>
        <w:tblW w:w="6315" w:type="dxa"/>
        <w:tblCellSpacing w:w="15" w:type="dxa"/>
        <w:tblCellMar>
          <w:top w:w="15" w:type="dxa"/>
          <w:left w:w="15" w:type="dxa"/>
          <w:bottom w:w="15" w:type="dxa"/>
          <w:right w:w="15" w:type="dxa"/>
        </w:tblCellMar>
        <w:tblLook w:val="04A0" w:firstRow="1" w:lastRow="0" w:firstColumn="1" w:lastColumn="0" w:noHBand="0" w:noVBand="1"/>
      </w:tblPr>
      <w:tblGrid>
        <w:gridCol w:w="1112"/>
        <w:gridCol w:w="5203"/>
      </w:tblGrid>
      <w:tr w:rsidR="00247F27" w:rsidRPr="00C236AD" w14:paraId="614F605E" w14:textId="77777777" w:rsidTr="00247F27">
        <w:trPr>
          <w:trHeight w:val="516"/>
          <w:tblHeader/>
          <w:tblCellSpacing w:w="15" w:type="dxa"/>
        </w:trPr>
        <w:tc>
          <w:tcPr>
            <w:tcW w:w="0" w:type="auto"/>
            <w:tcBorders>
              <w:top w:val="thinThickSmallGap" w:sz="24" w:space="0" w:color="auto"/>
              <w:bottom w:val="thickThinSmallGap" w:sz="24" w:space="0" w:color="auto"/>
            </w:tcBorders>
            <w:vAlign w:val="center"/>
            <w:hideMark/>
          </w:tcPr>
          <w:p w14:paraId="2DB4D4CE"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lastRenderedPageBreak/>
              <w:t>Year</w:t>
            </w:r>
          </w:p>
        </w:tc>
        <w:tc>
          <w:tcPr>
            <w:tcW w:w="0" w:type="auto"/>
            <w:tcBorders>
              <w:top w:val="thinThickSmallGap" w:sz="24" w:space="0" w:color="auto"/>
              <w:bottom w:val="thickThinSmallGap" w:sz="24" w:space="0" w:color="auto"/>
            </w:tcBorders>
            <w:vAlign w:val="center"/>
            <w:hideMark/>
          </w:tcPr>
          <w:p w14:paraId="7D5C8460"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Net Working Capital ($m)</w:t>
            </w:r>
          </w:p>
        </w:tc>
      </w:tr>
      <w:tr w:rsidR="00247F27" w:rsidRPr="00C236AD" w14:paraId="372A1F42" w14:textId="77777777" w:rsidTr="00247F27">
        <w:trPr>
          <w:trHeight w:val="526"/>
          <w:tblCellSpacing w:w="15" w:type="dxa"/>
        </w:trPr>
        <w:tc>
          <w:tcPr>
            <w:tcW w:w="0" w:type="auto"/>
            <w:vAlign w:val="center"/>
            <w:hideMark/>
          </w:tcPr>
          <w:p w14:paraId="3D30DBFA"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2021</w:t>
            </w:r>
          </w:p>
        </w:tc>
        <w:tc>
          <w:tcPr>
            <w:tcW w:w="0" w:type="auto"/>
            <w:vAlign w:val="center"/>
            <w:hideMark/>
          </w:tcPr>
          <w:p w14:paraId="1383824A"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(2,781)</w:t>
            </w:r>
          </w:p>
        </w:tc>
      </w:tr>
      <w:tr w:rsidR="00247F27" w:rsidRPr="00C236AD" w14:paraId="605DACAE" w14:textId="77777777" w:rsidTr="00247F27">
        <w:trPr>
          <w:trHeight w:val="526"/>
          <w:tblCellSpacing w:w="15" w:type="dxa"/>
        </w:trPr>
        <w:tc>
          <w:tcPr>
            <w:tcW w:w="0" w:type="auto"/>
            <w:vAlign w:val="center"/>
            <w:hideMark/>
          </w:tcPr>
          <w:p w14:paraId="65FE00AA"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2022</w:t>
            </w:r>
          </w:p>
        </w:tc>
        <w:tc>
          <w:tcPr>
            <w:tcW w:w="0" w:type="auto"/>
            <w:vAlign w:val="center"/>
            <w:hideMark/>
          </w:tcPr>
          <w:p w14:paraId="24656197"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(4,026)</w:t>
            </w:r>
          </w:p>
        </w:tc>
      </w:tr>
      <w:tr w:rsidR="00247F27" w:rsidRPr="00C236AD" w14:paraId="54CA41EC" w14:textId="77777777" w:rsidTr="00247F27">
        <w:trPr>
          <w:trHeight w:val="516"/>
          <w:tblCellSpacing w:w="15" w:type="dxa"/>
        </w:trPr>
        <w:tc>
          <w:tcPr>
            <w:tcW w:w="0" w:type="auto"/>
            <w:vAlign w:val="center"/>
            <w:hideMark/>
          </w:tcPr>
          <w:p w14:paraId="04B66C5A"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2023</w:t>
            </w:r>
          </w:p>
        </w:tc>
        <w:tc>
          <w:tcPr>
            <w:tcW w:w="0" w:type="auto"/>
            <w:vAlign w:val="center"/>
            <w:hideMark/>
          </w:tcPr>
          <w:p w14:paraId="6149518C"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(4,451)</w:t>
            </w:r>
          </w:p>
        </w:tc>
      </w:tr>
      <w:tr w:rsidR="00247F27" w:rsidRPr="00C236AD" w14:paraId="00322332" w14:textId="77777777" w:rsidTr="00247F27">
        <w:trPr>
          <w:trHeight w:val="526"/>
          <w:tblCellSpacing w:w="15" w:type="dxa"/>
        </w:trPr>
        <w:tc>
          <w:tcPr>
            <w:tcW w:w="0" w:type="auto"/>
            <w:vAlign w:val="center"/>
            <w:hideMark/>
          </w:tcPr>
          <w:p w14:paraId="6E4FE14F"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2024</w:t>
            </w:r>
          </w:p>
        </w:tc>
        <w:tc>
          <w:tcPr>
            <w:tcW w:w="0" w:type="auto"/>
            <w:vAlign w:val="center"/>
            <w:hideMark/>
          </w:tcPr>
          <w:p w14:paraId="58B70470"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(5,164)</w:t>
            </w:r>
          </w:p>
        </w:tc>
      </w:tr>
      <w:tr w:rsidR="00247F27" w:rsidRPr="00C236AD" w14:paraId="6516EC76" w14:textId="77777777" w:rsidTr="00247F27">
        <w:trPr>
          <w:trHeight w:val="516"/>
          <w:tblCellSpacing w:w="15" w:type="dxa"/>
        </w:trPr>
        <w:tc>
          <w:tcPr>
            <w:tcW w:w="0" w:type="auto"/>
            <w:tcBorders>
              <w:bottom w:val="thickThinSmallGap" w:sz="24" w:space="0" w:color="auto"/>
            </w:tcBorders>
            <w:vAlign w:val="center"/>
            <w:hideMark/>
          </w:tcPr>
          <w:p w14:paraId="1E7CD4DC"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2025</w:t>
            </w:r>
          </w:p>
        </w:tc>
        <w:tc>
          <w:tcPr>
            <w:tcW w:w="0" w:type="auto"/>
            <w:tcBorders>
              <w:bottom w:val="thickThinSmallGap" w:sz="24" w:space="0" w:color="auto"/>
            </w:tcBorders>
            <w:vAlign w:val="center"/>
            <w:hideMark/>
          </w:tcPr>
          <w:p w14:paraId="6B598A2E" w14:textId="77777777" w:rsidR="00247F27" w:rsidRPr="00C236AD" w:rsidRDefault="00247F27" w:rsidP="00C236AD">
            <w:pPr>
              <w:spacing w:after="0" w:line="360" w:lineRule="auto"/>
              <w:jc w:val="both"/>
              <w:rPr>
                <w:rFonts w:cs="Arial"/>
                <w:b/>
                <w:bCs/>
                <w:sz w:val="24"/>
                <w:szCs w:val="24"/>
                <w:lang w:val="en-GB"/>
              </w:rPr>
            </w:pPr>
            <w:r w:rsidRPr="00C236AD">
              <w:rPr>
                <w:rFonts w:cs="Arial"/>
                <w:sz w:val="24"/>
                <w:szCs w:val="24"/>
                <w:lang w:val="en-GB"/>
              </w:rPr>
              <w:t>(4,814)</w:t>
            </w:r>
          </w:p>
        </w:tc>
      </w:tr>
    </w:tbl>
    <w:p w14:paraId="7FDBC683" w14:textId="6937452A" w:rsidR="002B09F5" w:rsidRPr="00C236AD" w:rsidRDefault="00247F27" w:rsidP="00C236AD">
      <w:pPr>
        <w:spacing w:after="0" w:line="360" w:lineRule="auto"/>
        <w:jc w:val="both"/>
        <w:rPr>
          <w:rFonts w:cs="Arial"/>
          <w:sz w:val="24"/>
          <w:szCs w:val="24"/>
        </w:rPr>
      </w:pPr>
      <w:r w:rsidRPr="00C236AD">
        <w:rPr>
          <w:rFonts w:cs="Arial"/>
          <w:b/>
          <w:bCs/>
          <w:sz w:val="24"/>
          <w:szCs w:val="24"/>
          <w:u w:val="single"/>
          <w:lang w:val="en-GB"/>
        </w:rPr>
        <w:t>Source:</w:t>
      </w:r>
      <w:r w:rsidRPr="00C236AD">
        <w:rPr>
          <w:rFonts w:cs="Arial"/>
          <w:sz w:val="24"/>
          <w:szCs w:val="24"/>
          <w:lang w:val="en-GB"/>
        </w:rPr>
        <w:t xml:space="preserve"> </w:t>
      </w:r>
      <w:r w:rsidR="00E22B2C" w:rsidRPr="00C236AD">
        <w:rPr>
          <w:rFonts w:cs="Arial"/>
          <w:sz w:val="24"/>
          <w:szCs w:val="24"/>
          <w:lang w:val="en-GB"/>
        </w:rPr>
        <w:t xml:space="preserve">Autor’s </w:t>
      </w:r>
      <w:r w:rsidR="002B09F5" w:rsidRPr="00C236AD">
        <w:rPr>
          <w:rFonts w:cs="Arial"/>
          <w:b/>
          <w:bCs/>
          <w:sz w:val="24"/>
          <w:szCs w:val="24"/>
          <w:lang w:val="en-GB"/>
        </w:rPr>
        <w:t>calculation</w:t>
      </w:r>
      <w:r w:rsidR="00E22B2C" w:rsidRPr="00C236AD">
        <w:rPr>
          <w:rFonts w:cs="Arial"/>
          <w:b/>
          <w:bCs/>
          <w:sz w:val="24"/>
          <w:szCs w:val="24"/>
          <w:lang w:val="en-GB"/>
        </w:rPr>
        <w:t>s</w:t>
      </w:r>
      <w:r w:rsidR="002B09F5" w:rsidRPr="00C236AD">
        <w:rPr>
          <w:rFonts w:cs="Arial"/>
          <w:sz w:val="24"/>
          <w:szCs w:val="24"/>
        </w:rPr>
        <w:t xml:space="preserve"> from Marriott International annual report 2021</w:t>
      </w:r>
      <w:r w:rsidR="00ED72CF">
        <w:rPr>
          <w:rFonts w:cs="Arial"/>
          <w:sz w:val="24"/>
          <w:szCs w:val="24"/>
        </w:rPr>
        <w:t>-</w:t>
      </w:r>
      <w:r w:rsidR="002B09F5" w:rsidRPr="00C236AD">
        <w:rPr>
          <w:rFonts w:cs="Arial"/>
          <w:sz w:val="24"/>
          <w:szCs w:val="24"/>
        </w:rPr>
        <w:t>2025</w:t>
      </w:r>
    </w:p>
    <w:p w14:paraId="2B2FA15C" w14:textId="5E3CA429" w:rsidR="002B09F5" w:rsidRPr="00C236AD" w:rsidRDefault="002B09F5" w:rsidP="00C236AD">
      <w:pPr>
        <w:spacing w:after="0" w:line="360" w:lineRule="auto"/>
        <w:jc w:val="both"/>
        <w:rPr>
          <w:rFonts w:cs="Arial"/>
          <w:sz w:val="24"/>
          <w:szCs w:val="24"/>
        </w:rPr>
      </w:pPr>
      <w:r w:rsidRPr="00C236AD">
        <w:rPr>
          <w:rFonts w:cs="Arial"/>
          <w:sz w:val="24"/>
          <w:szCs w:val="24"/>
        </w:rPr>
        <w:t>While this appears risky, it is structural for a franchisor that collects fees before paying many operating costs (Marriott International, 2026). The key operational indicators are Days Sales Outstanding and Days Payable Outstanding, since Days Inventory Outstanding is not applicable.</w:t>
      </w:r>
      <w:r w:rsidR="000A1193">
        <w:rPr>
          <w:rFonts w:cs="Arial"/>
          <w:sz w:val="24"/>
          <w:szCs w:val="24"/>
        </w:rPr>
        <w:t xml:space="preserve"> </w:t>
      </w:r>
      <w:r w:rsidR="000A1193" w:rsidRPr="000A1193">
        <w:rPr>
          <w:rFonts w:cs="Arial"/>
          <w:sz w:val="24"/>
          <w:szCs w:val="24"/>
        </w:rPr>
        <w:t xml:space="preserve">Working capital management focuses on maintaining an appropriate balance between liquidity and profitability through the management of receivables, payables and cash flows (Singh, Kumar and </w:t>
      </w:r>
      <w:proofErr w:type="spellStart"/>
      <w:r w:rsidR="000A1193" w:rsidRPr="000A1193">
        <w:rPr>
          <w:rFonts w:cs="Arial"/>
          <w:sz w:val="24"/>
          <w:szCs w:val="24"/>
        </w:rPr>
        <w:t>Colombage</w:t>
      </w:r>
      <w:proofErr w:type="spellEnd"/>
      <w:r w:rsidR="000A1193" w:rsidRPr="000A1193">
        <w:rPr>
          <w:rFonts w:cs="Arial"/>
          <w:sz w:val="24"/>
          <w:szCs w:val="24"/>
        </w:rPr>
        <w:t>, 2017).</w:t>
      </w:r>
    </w:p>
    <w:p w14:paraId="19919801" w14:textId="3343072D" w:rsidR="002B09F5" w:rsidRPr="00C236AD" w:rsidRDefault="002B09F5" w:rsidP="00C236AD">
      <w:pPr>
        <w:spacing w:after="0" w:line="360" w:lineRule="auto"/>
        <w:jc w:val="both"/>
        <w:rPr>
          <w:rFonts w:cs="Arial"/>
          <w:sz w:val="24"/>
          <w:szCs w:val="24"/>
        </w:rPr>
      </w:pPr>
      <w:r w:rsidRPr="00C236AD">
        <w:rPr>
          <w:rFonts w:cs="Arial"/>
          <w:sz w:val="24"/>
          <w:szCs w:val="24"/>
        </w:rPr>
        <w:t>Figure: Net working capital trend, 2021</w:t>
      </w:r>
      <w:r w:rsidR="00ED72CF">
        <w:rPr>
          <w:rFonts w:cs="Arial"/>
          <w:sz w:val="24"/>
          <w:szCs w:val="24"/>
        </w:rPr>
        <w:t>-</w:t>
      </w:r>
      <w:r w:rsidRPr="00C236AD">
        <w:rPr>
          <w:rFonts w:cs="Arial"/>
          <w:sz w:val="24"/>
          <w:szCs w:val="24"/>
        </w:rPr>
        <w:t>2025</w:t>
      </w:r>
    </w:p>
    <w:p w14:paraId="608778F0" w14:textId="2D5B85FA" w:rsidR="00247F27" w:rsidRPr="00C236AD" w:rsidRDefault="00D5132E" w:rsidP="00C236AD">
      <w:pPr>
        <w:spacing w:after="0" w:line="360" w:lineRule="auto"/>
        <w:jc w:val="both"/>
        <w:rPr>
          <w:rFonts w:cs="Arial"/>
          <w:b/>
          <w:bCs/>
          <w:sz w:val="24"/>
          <w:szCs w:val="24"/>
          <w:lang w:val="en-GB"/>
        </w:rPr>
      </w:pPr>
      <w:r w:rsidRPr="00C236AD">
        <w:rPr>
          <w:rFonts w:cs="Arial"/>
          <w:noProof/>
          <w:sz w:val="24"/>
          <w:szCs w:val="24"/>
        </w:rPr>
        <w:drawing>
          <wp:inline distT="0" distB="0" distL="0" distR="0" wp14:anchorId="3D522A1B" wp14:editId="1426167E">
            <wp:extent cx="4572000" cy="2743200"/>
            <wp:effectExtent l="0" t="0" r="0" b="0"/>
            <wp:docPr id="1519675776" name="Graphique 1">
              <a:extLst xmlns:a="http://schemas.openxmlformats.org/drawingml/2006/main">
                <a:ext uri="{FF2B5EF4-FFF2-40B4-BE49-F238E27FC236}">
                  <a16:creationId xmlns:a16="http://schemas.microsoft.com/office/drawing/2014/main" id="{0F3E2736-3C9F-9C2D-3AB8-AF03E03D39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102D0AA" w14:textId="06C84BB7" w:rsidR="00B87EFB" w:rsidRPr="00C236AD" w:rsidRDefault="002B09F5" w:rsidP="00C236AD">
      <w:pPr>
        <w:spacing w:after="0" w:line="360" w:lineRule="auto"/>
        <w:jc w:val="both"/>
        <w:rPr>
          <w:rFonts w:cs="Arial"/>
          <w:sz w:val="24"/>
          <w:szCs w:val="24"/>
        </w:rPr>
      </w:pPr>
      <w:r w:rsidRPr="00C236AD">
        <w:rPr>
          <w:rFonts w:cs="Arial"/>
          <w:sz w:val="24"/>
          <w:szCs w:val="24"/>
        </w:rPr>
        <w:t>Source: Autor from Marriott International annual report (2021</w:t>
      </w:r>
      <w:r w:rsidR="00ED72CF">
        <w:rPr>
          <w:rFonts w:cs="Arial"/>
          <w:sz w:val="24"/>
          <w:szCs w:val="24"/>
        </w:rPr>
        <w:t>-</w:t>
      </w:r>
      <w:r w:rsidRPr="00C236AD">
        <w:rPr>
          <w:rFonts w:cs="Arial"/>
          <w:sz w:val="24"/>
          <w:szCs w:val="24"/>
        </w:rPr>
        <w:t>2025)</w:t>
      </w:r>
    </w:p>
    <w:p w14:paraId="18566554" w14:textId="05B41746" w:rsidR="00DC16E4" w:rsidRDefault="00DC16E4" w:rsidP="00C236AD">
      <w:pPr>
        <w:spacing w:after="0" w:line="360" w:lineRule="auto"/>
        <w:jc w:val="both"/>
        <w:rPr>
          <w:rFonts w:cs="Arial"/>
          <w:sz w:val="24"/>
          <w:szCs w:val="24"/>
        </w:rPr>
      </w:pPr>
      <w:r w:rsidRPr="00C236AD">
        <w:rPr>
          <w:rFonts w:cs="Arial"/>
          <w:sz w:val="24"/>
          <w:szCs w:val="24"/>
        </w:rPr>
        <w:lastRenderedPageBreak/>
        <w:t>On collections, things improved. DSO dropped from 52.2 days in 2021 to 40.5 days in 2025. That shows Marriott got faster at billing franchisees once travel recovered (Marriott International, 2026). On payments, the opposite happened. DPO fell from 24.0 days to 14.2 days. This is mostly due to the cost</w:t>
      </w:r>
      <w:r w:rsidR="00ED72CF">
        <w:rPr>
          <w:rFonts w:cs="Arial"/>
          <w:sz w:val="24"/>
          <w:szCs w:val="24"/>
        </w:rPr>
        <w:t>-</w:t>
      </w:r>
      <w:r w:rsidRPr="00C236AD">
        <w:rPr>
          <w:rFonts w:cs="Arial"/>
          <w:sz w:val="24"/>
          <w:szCs w:val="24"/>
        </w:rPr>
        <w:t>reimbursement structure where Marriott pays suppliers quickly and then bills owners (Marriott International, 2026).</w:t>
      </w:r>
      <w:r w:rsidR="000A1193">
        <w:rPr>
          <w:rFonts w:cs="Arial"/>
          <w:sz w:val="24"/>
          <w:szCs w:val="24"/>
        </w:rPr>
        <w:t xml:space="preserve"> </w:t>
      </w:r>
      <w:r w:rsidR="000A1193" w:rsidRPr="000A1193">
        <w:rPr>
          <w:rFonts w:cs="Arial"/>
          <w:sz w:val="24"/>
          <w:szCs w:val="24"/>
        </w:rPr>
        <w:t>This improvement is consistent with the wider evidence that effective working capital management can contribute to improved firm profitability and financial performance (Gonçalves, Gaio and Robles, 2018).</w:t>
      </w:r>
    </w:p>
    <w:p w14:paraId="4826ADEC" w14:textId="77777777" w:rsidR="000A1193" w:rsidRPr="00C236AD" w:rsidRDefault="000A1193" w:rsidP="00C236AD">
      <w:pPr>
        <w:spacing w:after="0" w:line="360" w:lineRule="auto"/>
        <w:jc w:val="both"/>
        <w:rPr>
          <w:rFonts w:cs="Arial"/>
          <w:sz w:val="24"/>
          <w:szCs w:val="24"/>
        </w:rPr>
      </w:pPr>
    </w:p>
    <w:p w14:paraId="13219171" w14:textId="77777777"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2.b. Strategies to Improve Liquidity Through Working Capital Reforms</w:t>
      </w:r>
    </w:p>
    <w:p w14:paraId="6DB90B6A" w14:textId="6C7FE477" w:rsidR="000A5C29" w:rsidRPr="00C236AD" w:rsidRDefault="000A5C29" w:rsidP="00C236AD">
      <w:pPr>
        <w:spacing w:after="0" w:line="360" w:lineRule="auto"/>
        <w:jc w:val="both"/>
        <w:rPr>
          <w:rFonts w:cs="Arial"/>
          <w:sz w:val="24"/>
          <w:szCs w:val="24"/>
        </w:rPr>
      </w:pPr>
      <w:r w:rsidRPr="00C236AD">
        <w:rPr>
          <w:rFonts w:cs="Arial"/>
          <w:sz w:val="24"/>
          <w:szCs w:val="24"/>
        </w:rPr>
        <w:t>Given the asset</w:t>
      </w:r>
      <w:r w:rsidR="00ED72CF">
        <w:rPr>
          <w:rFonts w:cs="Arial"/>
          <w:sz w:val="24"/>
          <w:szCs w:val="24"/>
        </w:rPr>
        <w:t>-</w:t>
      </w:r>
      <w:r w:rsidRPr="00C236AD">
        <w:rPr>
          <w:rFonts w:cs="Arial"/>
          <w:sz w:val="24"/>
          <w:szCs w:val="24"/>
        </w:rPr>
        <w:t xml:space="preserve">light nature of Marriott, liquidity cannot be improved by accumulating inventory. Reforms must focus on making the existing working capital structure more efficient. </w:t>
      </w:r>
    </w:p>
    <w:p w14:paraId="33DD746C" w14:textId="61ECA55C" w:rsidR="000A5C29" w:rsidRDefault="000A5C29" w:rsidP="00C236AD">
      <w:pPr>
        <w:spacing w:after="0" w:line="360" w:lineRule="auto"/>
        <w:jc w:val="both"/>
        <w:rPr>
          <w:rFonts w:cs="Arial"/>
          <w:sz w:val="24"/>
          <w:szCs w:val="24"/>
        </w:rPr>
      </w:pPr>
      <w:r w:rsidRPr="00C236AD">
        <w:rPr>
          <w:rFonts w:cs="Arial"/>
          <w:sz w:val="24"/>
          <w:szCs w:val="24"/>
        </w:rPr>
        <w:t xml:space="preserve">First, Marriott should continue to accelerate receivables collection. Although DSO has already fallen, receivables still grew to $2.909bn in 2025 from $2.795bn in 2024 (Marriott International, 2026). Electronic invoicing, automatic payment systems, tighter credit monitoring of hotel owners, and clearer contractual deadlines could reduce DSO further without damaging franchisee relationships. </w:t>
      </w:r>
      <w:r w:rsidR="00710F26" w:rsidRPr="00710F26">
        <w:rPr>
          <w:rFonts w:cs="Arial"/>
          <w:sz w:val="24"/>
          <w:szCs w:val="24"/>
        </w:rPr>
        <w:t xml:space="preserve">Improving receivables collection can reduce the amount of cash tied up in working capital and strengthen short-term liquidity (Singh, Kumar and </w:t>
      </w:r>
      <w:proofErr w:type="spellStart"/>
      <w:r w:rsidR="00710F26" w:rsidRPr="00710F26">
        <w:rPr>
          <w:rFonts w:cs="Arial"/>
          <w:sz w:val="24"/>
          <w:szCs w:val="24"/>
        </w:rPr>
        <w:t>Colombage</w:t>
      </w:r>
      <w:proofErr w:type="spellEnd"/>
      <w:r w:rsidR="00710F26" w:rsidRPr="00710F26">
        <w:rPr>
          <w:rFonts w:cs="Arial"/>
          <w:sz w:val="24"/>
          <w:szCs w:val="24"/>
        </w:rPr>
        <w:t>, 2017).</w:t>
      </w:r>
    </w:p>
    <w:p w14:paraId="247EB217" w14:textId="77777777" w:rsidR="00710F26" w:rsidRPr="00C236AD" w:rsidRDefault="00710F26" w:rsidP="00C236AD">
      <w:pPr>
        <w:spacing w:after="0" w:line="360" w:lineRule="auto"/>
        <w:jc w:val="both"/>
        <w:rPr>
          <w:rFonts w:cs="Arial"/>
          <w:sz w:val="24"/>
          <w:szCs w:val="24"/>
        </w:rPr>
      </w:pPr>
    </w:p>
    <w:p w14:paraId="03E9AC72" w14:textId="483E3339" w:rsidR="000A5C29" w:rsidRPr="00C236AD" w:rsidRDefault="000A5C29" w:rsidP="00C236AD">
      <w:pPr>
        <w:spacing w:after="0" w:line="360" w:lineRule="auto"/>
        <w:jc w:val="both"/>
        <w:rPr>
          <w:rFonts w:cs="Arial"/>
          <w:sz w:val="24"/>
          <w:szCs w:val="24"/>
        </w:rPr>
      </w:pPr>
      <w:r w:rsidRPr="00C236AD">
        <w:rPr>
          <w:rFonts w:cs="Arial"/>
          <w:sz w:val="24"/>
          <w:szCs w:val="24"/>
        </w:rPr>
        <w:t xml:space="preserve">Second, the company could better align payment timing with cash inflows. Accounts payable increased from $763m in 2024 to $814m in 2025 but DPO remains low at 14.2 days (Marriott International, 2026). Negotiating moderately longer terms with selected suppliers would retain cash longer, provided this does not result in lost discounts or weaker supplier relations. </w:t>
      </w:r>
    </w:p>
    <w:p w14:paraId="36894258" w14:textId="77777777" w:rsidR="000A5C29" w:rsidRPr="00C236AD" w:rsidRDefault="000A5C29" w:rsidP="00C236AD">
      <w:pPr>
        <w:spacing w:after="0" w:line="360" w:lineRule="auto"/>
        <w:jc w:val="both"/>
        <w:rPr>
          <w:rFonts w:cs="Arial"/>
          <w:sz w:val="24"/>
          <w:szCs w:val="24"/>
        </w:rPr>
      </w:pPr>
      <w:r w:rsidRPr="00C236AD">
        <w:rPr>
          <w:rFonts w:cs="Arial"/>
          <w:sz w:val="24"/>
          <w:szCs w:val="24"/>
        </w:rPr>
        <w:t xml:space="preserve">Third, protecting operating cash generation must remain the top priority. With only $358m cash on hand, the $3.212bn operating cash flow in 2025, up from $2.749bn in 2024, is the main source of liquidity for debt service and other commitments (Marriott International, 2026). </w:t>
      </w:r>
    </w:p>
    <w:p w14:paraId="4AC2F4E6" w14:textId="77777777" w:rsidR="000A5C29" w:rsidRPr="00C236AD" w:rsidRDefault="000A5C29" w:rsidP="00C236AD">
      <w:pPr>
        <w:spacing w:after="0" w:line="360" w:lineRule="auto"/>
        <w:jc w:val="both"/>
        <w:rPr>
          <w:rFonts w:cs="Arial"/>
          <w:sz w:val="24"/>
          <w:szCs w:val="24"/>
        </w:rPr>
      </w:pPr>
    </w:p>
    <w:p w14:paraId="2C770D29" w14:textId="1A30411A" w:rsidR="000A5C29" w:rsidRPr="00C236AD" w:rsidRDefault="000A5C29" w:rsidP="00C236AD">
      <w:pPr>
        <w:spacing w:after="0" w:line="360" w:lineRule="auto"/>
        <w:jc w:val="both"/>
        <w:rPr>
          <w:rFonts w:cs="Arial"/>
          <w:sz w:val="24"/>
          <w:szCs w:val="24"/>
        </w:rPr>
      </w:pPr>
      <w:r w:rsidRPr="00C236AD">
        <w:rPr>
          <w:rFonts w:cs="Arial"/>
          <w:sz w:val="24"/>
          <w:szCs w:val="24"/>
        </w:rPr>
        <w:lastRenderedPageBreak/>
        <w:t xml:space="preserve">Fourth, Marriott should maintain disciplined cash allocation. The $3.3bn spent on share repurchases in 2025 was substantial (Marriott International, 2026). If operating conditions weaken, temporarily </w:t>
      </w:r>
      <w:proofErr w:type="spellStart"/>
      <w:r w:rsidRPr="00C236AD">
        <w:rPr>
          <w:rFonts w:cs="Arial"/>
          <w:sz w:val="24"/>
          <w:szCs w:val="24"/>
        </w:rPr>
        <w:t>prioritising</w:t>
      </w:r>
      <w:proofErr w:type="spellEnd"/>
      <w:r w:rsidRPr="00C236AD">
        <w:rPr>
          <w:rFonts w:cs="Arial"/>
          <w:sz w:val="24"/>
          <w:szCs w:val="24"/>
        </w:rPr>
        <w:t xml:space="preserve"> debt reduction over discretionary buybacks would preserve financial flexibility. </w:t>
      </w:r>
    </w:p>
    <w:p w14:paraId="42B6FEA8" w14:textId="3FFAA117" w:rsidR="00AE27C2" w:rsidRPr="0056482C" w:rsidRDefault="000A5C29" w:rsidP="00AE27C2">
      <w:pPr>
        <w:spacing w:after="0" w:line="360" w:lineRule="auto"/>
        <w:rPr>
          <w:rFonts w:cs="Arial"/>
          <w:b/>
          <w:bCs/>
          <w:sz w:val="24"/>
          <w:szCs w:val="24"/>
          <w:lang w:val="en-GB"/>
        </w:rPr>
      </w:pPr>
      <w:r w:rsidRPr="00C236AD">
        <w:rPr>
          <w:rFonts w:cs="Arial"/>
          <w:sz w:val="24"/>
          <w:szCs w:val="24"/>
        </w:rPr>
        <w:t>Finally, maintaining access to committed liquidity is essential. The $4.5bn revolving Credit Facility expiring December 14, 2027 provides a critical buffer given the low current ratio of 0.43 (Marriott International, 2026).</w:t>
      </w:r>
      <w:r w:rsidR="00DC16E4" w:rsidRPr="00C236AD">
        <w:rPr>
          <w:rFonts w:cs="Arial"/>
          <w:sz w:val="24"/>
          <w:szCs w:val="24"/>
        </w:rPr>
        <w:t xml:space="preserve"> </w:t>
      </w:r>
      <w:r w:rsidR="00AE27C2" w:rsidRPr="00AE27C2">
        <w:rPr>
          <w:rFonts w:cs="Arial"/>
          <w:sz w:val="24"/>
          <w:szCs w:val="24"/>
        </w:rPr>
        <w:t xml:space="preserve">See </w:t>
      </w:r>
      <w:r w:rsidR="00AE27C2" w:rsidRPr="00AE27C2">
        <w:rPr>
          <w:rFonts w:cs="Arial"/>
          <w:b/>
          <w:bCs/>
          <w:sz w:val="24"/>
          <w:szCs w:val="24"/>
        </w:rPr>
        <w:t>Appendix 9</w:t>
      </w:r>
      <w:r w:rsidR="00AE27C2">
        <w:rPr>
          <w:rFonts w:cs="Arial"/>
          <w:b/>
          <w:bCs/>
          <w:sz w:val="24"/>
          <w:szCs w:val="24"/>
          <w:lang w:val="en-GB"/>
        </w:rPr>
        <w:t xml:space="preserve"> for r</w:t>
      </w:r>
      <w:r w:rsidR="00AE27C2" w:rsidRPr="00AE27C2">
        <w:rPr>
          <w:rFonts w:cs="Arial"/>
          <w:b/>
          <w:bCs/>
          <w:sz w:val="24"/>
          <w:szCs w:val="24"/>
          <w:lang w:val="en-GB"/>
        </w:rPr>
        <w:t>ec</w:t>
      </w:r>
      <w:r w:rsidR="00AE27C2" w:rsidRPr="0056482C">
        <w:rPr>
          <w:rFonts w:cs="Arial"/>
          <w:b/>
          <w:bCs/>
          <w:sz w:val="24"/>
          <w:szCs w:val="24"/>
          <w:lang w:val="en-GB"/>
        </w:rPr>
        <w:t>ommended working</w:t>
      </w:r>
      <w:r w:rsidR="00ED72CF">
        <w:rPr>
          <w:rFonts w:cs="Arial"/>
          <w:b/>
          <w:bCs/>
          <w:sz w:val="24"/>
          <w:szCs w:val="24"/>
          <w:lang w:val="en-GB"/>
        </w:rPr>
        <w:t>-</w:t>
      </w:r>
      <w:r w:rsidR="00AE27C2" w:rsidRPr="0056482C">
        <w:rPr>
          <w:rFonts w:cs="Arial"/>
          <w:b/>
          <w:bCs/>
          <w:sz w:val="24"/>
          <w:szCs w:val="24"/>
          <w:lang w:val="en-GB"/>
        </w:rPr>
        <w:t>capital priorities</w:t>
      </w:r>
    </w:p>
    <w:p w14:paraId="491C4720" w14:textId="77777777" w:rsidR="00AE27C2" w:rsidRDefault="00AE27C2" w:rsidP="00C236AD">
      <w:pPr>
        <w:spacing w:after="0" w:line="360" w:lineRule="auto"/>
        <w:jc w:val="both"/>
        <w:rPr>
          <w:rFonts w:cs="Arial"/>
          <w:b/>
          <w:bCs/>
          <w:sz w:val="24"/>
          <w:szCs w:val="24"/>
          <w:lang w:val="en-GB"/>
        </w:rPr>
      </w:pPr>
    </w:p>
    <w:p w14:paraId="26DEB492" w14:textId="39C64135"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2.c. Short</w:t>
      </w:r>
      <w:r w:rsidR="00ED72CF">
        <w:rPr>
          <w:rFonts w:cs="Arial"/>
          <w:sz w:val="24"/>
          <w:szCs w:val="24"/>
          <w:lang w:val="en-GB"/>
        </w:rPr>
        <w:t>-</w:t>
      </w:r>
      <w:r w:rsidRPr="00C236AD">
        <w:rPr>
          <w:rFonts w:cs="Arial"/>
          <w:sz w:val="24"/>
          <w:szCs w:val="24"/>
          <w:lang w:val="en-GB"/>
        </w:rPr>
        <w:t>Term versus Long</w:t>
      </w:r>
      <w:r w:rsidR="00ED72CF">
        <w:rPr>
          <w:rFonts w:cs="Arial"/>
          <w:sz w:val="24"/>
          <w:szCs w:val="24"/>
          <w:lang w:val="en-GB"/>
        </w:rPr>
        <w:t>-</w:t>
      </w:r>
      <w:r w:rsidRPr="00C236AD">
        <w:rPr>
          <w:rFonts w:cs="Arial"/>
          <w:sz w:val="24"/>
          <w:szCs w:val="24"/>
          <w:lang w:val="en-GB"/>
        </w:rPr>
        <w:t>Term Financing Options</w:t>
      </w:r>
    </w:p>
    <w:p w14:paraId="3648F168" w14:textId="10F40DA8" w:rsidR="009B1055" w:rsidRPr="00C236AD" w:rsidRDefault="009B1055" w:rsidP="00C236AD">
      <w:pPr>
        <w:spacing w:after="0" w:line="360" w:lineRule="auto"/>
        <w:jc w:val="both"/>
        <w:rPr>
          <w:rFonts w:cs="Arial"/>
          <w:sz w:val="24"/>
          <w:szCs w:val="24"/>
        </w:rPr>
      </w:pPr>
      <w:r w:rsidRPr="00C236AD">
        <w:rPr>
          <w:rFonts w:cs="Arial"/>
          <w:sz w:val="24"/>
          <w:szCs w:val="24"/>
        </w:rPr>
        <w:t xml:space="preserve">Marriott has to manage two things at once: not much cash on the balance sheet, and a lot of debt at $16.204bn (Marriott International, 2026). </w:t>
      </w:r>
      <w:proofErr w:type="gramStart"/>
      <w:r w:rsidRPr="00C236AD">
        <w:rPr>
          <w:rFonts w:cs="Arial"/>
          <w:sz w:val="24"/>
          <w:szCs w:val="24"/>
        </w:rPr>
        <w:t>So</w:t>
      </w:r>
      <w:proofErr w:type="gramEnd"/>
      <w:r w:rsidRPr="00C236AD">
        <w:rPr>
          <w:rFonts w:cs="Arial"/>
          <w:sz w:val="24"/>
          <w:szCs w:val="24"/>
        </w:rPr>
        <w:t xml:space="preserve"> it uses two types of borrowing.</w:t>
      </w:r>
    </w:p>
    <w:p w14:paraId="2761E22C" w14:textId="6F542FD4" w:rsidR="009B1055" w:rsidRPr="00C236AD" w:rsidRDefault="009B1055" w:rsidP="00C236AD">
      <w:pPr>
        <w:spacing w:after="0" w:line="360" w:lineRule="auto"/>
        <w:jc w:val="both"/>
        <w:rPr>
          <w:rFonts w:cs="Arial"/>
          <w:sz w:val="24"/>
          <w:szCs w:val="24"/>
        </w:rPr>
      </w:pPr>
      <w:r w:rsidRPr="00C236AD">
        <w:rPr>
          <w:rFonts w:cs="Arial"/>
          <w:sz w:val="24"/>
          <w:szCs w:val="24"/>
        </w:rPr>
        <w:t>Short</w:t>
      </w:r>
      <w:r w:rsidR="00ED72CF">
        <w:rPr>
          <w:rFonts w:cs="Arial"/>
          <w:sz w:val="24"/>
          <w:szCs w:val="24"/>
        </w:rPr>
        <w:t>-</w:t>
      </w:r>
      <w:r w:rsidRPr="00C236AD">
        <w:rPr>
          <w:rFonts w:cs="Arial"/>
          <w:sz w:val="24"/>
          <w:szCs w:val="24"/>
        </w:rPr>
        <w:t>term financing means commercial paper and the $4.5bn revolving credit facility. These are quick to access and usually cheap. Commercial paper lasts less than 45 days. The problem is that it must be renewed often, and costs go up if interest rates rise. This makes it good for temporary needs, like covering a timing gap in cash, but not for long</w:t>
      </w:r>
      <w:r w:rsidR="00ED72CF">
        <w:rPr>
          <w:rFonts w:cs="Arial"/>
          <w:sz w:val="24"/>
          <w:szCs w:val="24"/>
        </w:rPr>
        <w:t>-</w:t>
      </w:r>
      <w:r w:rsidRPr="00C236AD">
        <w:rPr>
          <w:rFonts w:cs="Arial"/>
          <w:sz w:val="24"/>
          <w:szCs w:val="24"/>
        </w:rPr>
        <w:t>term funding.</w:t>
      </w:r>
    </w:p>
    <w:p w14:paraId="712E7F15" w14:textId="77777777" w:rsidR="009B1055" w:rsidRPr="00C236AD" w:rsidRDefault="009B1055" w:rsidP="00C236AD">
      <w:pPr>
        <w:spacing w:after="0" w:line="360" w:lineRule="auto"/>
        <w:jc w:val="both"/>
        <w:rPr>
          <w:rFonts w:cs="Arial"/>
          <w:sz w:val="24"/>
          <w:szCs w:val="24"/>
        </w:rPr>
      </w:pPr>
    </w:p>
    <w:p w14:paraId="1FCE4550" w14:textId="3C691BDF" w:rsidR="009B1055" w:rsidRPr="00C236AD" w:rsidRDefault="009B1055" w:rsidP="00C236AD">
      <w:pPr>
        <w:spacing w:after="0" w:line="360" w:lineRule="auto"/>
        <w:jc w:val="both"/>
        <w:rPr>
          <w:rFonts w:cs="Arial"/>
          <w:sz w:val="24"/>
          <w:szCs w:val="24"/>
        </w:rPr>
      </w:pPr>
      <w:r w:rsidRPr="00C236AD">
        <w:rPr>
          <w:rFonts w:cs="Arial"/>
          <w:sz w:val="24"/>
          <w:szCs w:val="24"/>
        </w:rPr>
        <w:t>Long</w:t>
      </w:r>
      <w:r w:rsidR="00ED72CF">
        <w:rPr>
          <w:rFonts w:cs="Arial"/>
          <w:sz w:val="24"/>
          <w:szCs w:val="24"/>
        </w:rPr>
        <w:t>-</w:t>
      </w:r>
      <w:r w:rsidRPr="00C236AD">
        <w:rPr>
          <w:rFonts w:cs="Arial"/>
          <w:sz w:val="24"/>
          <w:szCs w:val="24"/>
        </w:rPr>
        <w:t>term financing is mainly Senior Notes. At the end of 2025 Marriott owed $1,209m in 2026, $2,581m in 2027, and $8,160m after that. The average maturity was 5.4 years and the average rate was about 4.5% (Marriott International, 2026). The benefit is stability. Payments are spread out. The downside is the interest cost, which reached $809m in 2025 (Marriott International, 2026).</w:t>
      </w:r>
    </w:p>
    <w:p w14:paraId="4745CB21" w14:textId="77777777" w:rsidR="009B1055" w:rsidRPr="00C236AD" w:rsidRDefault="009B1055" w:rsidP="00C236AD">
      <w:pPr>
        <w:spacing w:after="0" w:line="360" w:lineRule="auto"/>
        <w:jc w:val="both"/>
        <w:rPr>
          <w:rFonts w:cs="Arial"/>
          <w:sz w:val="24"/>
          <w:szCs w:val="24"/>
        </w:rPr>
      </w:pPr>
    </w:p>
    <w:p w14:paraId="5B8E8C40" w14:textId="600F2D64" w:rsidR="009B1055" w:rsidRPr="00C236AD" w:rsidRDefault="009B1055" w:rsidP="00C236AD">
      <w:pPr>
        <w:spacing w:after="0" w:line="360" w:lineRule="auto"/>
        <w:jc w:val="both"/>
        <w:rPr>
          <w:rFonts w:cs="Arial"/>
          <w:sz w:val="24"/>
          <w:szCs w:val="24"/>
        </w:rPr>
      </w:pPr>
      <w:r w:rsidRPr="00C236AD">
        <w:rPr>
          <w:rFonts w:cs="Arial"/>
          <w:sz w:val="24"/>
          <w:szCs w:val="24"/>
        </w:rPr>
        <w:t>From a practical view, Marriott should use short</w:t>
      </w:r>
      <w:r w:rsidR="00ED72CF">
        <w:rPr>
          <w:rFonts w:cs="Arial"/>
          <w:sz w:val="24"/>
          <w:szCs w:val="24"/>
        </w:rPr>
        <w:t>-</w:t>
      </w:r>
      <w:r w:rsidRPr="00C236AD">
        <w:rPr>
          <w:rFonts w:cs="Arial"/>
          <w:sz w:val="24"/>
          <w:szCs w:val="24"/>
        </w:rPr>
        <w:t>term borrowing only as a buffer. Long</w:t>
      </w:r>
      <w:r w:rsidR="00ED72CF">
        <w:rPr>
          <w:rFonts w:cs="Arial"/>
          <w:sz w:val="24"/>
          <w:szCs w:val="24"/>
        </w:rPr>
        <w:t>-</w:t>
      </w:r>
      <w:r w:rsidRPr="00C236AD">
        <w:rPr>
          <w:rFonts w:cs="Arial"/>
          <w:sz w:val="24"/>
          <w:szCs w:val="24"/>
        </w:rPr>
        <w:t>term debt should fund the core business. It would be risky to use short</w:t>
      </w:r>
      <w:r w:rsidR="00ED72CF">
        <w:rPr>
          <w:rFonts w:cs="Arial"/>
          <w:sz w:val="24"/>
          <w:szCs w:val="24"/>
        </w:rPr>
        <w:t>-</w:t>
      </w:r>
      <w:r w:rsidRPr="00C236AD">
        <w:rPr>
          <w:rFonts w:cs="Arial"/>
          <w:sz w:val="24"/>
          <w:szCs w:val="24"/>
        </w:rPr>
        <w:t>term loans for permanent needs, or to borrow more long</w:t>
      </w:r>
      <w:r w:rsidR="00ED72CF">
        <w:rPr>
          <w:rFonts w:cs="Arial"/>
          <w:sz w:val="24"/>
          <w:szCs w:val="24"/>
        </w:rPr>
        <w:t>-</w:t>
      </w:r>
      <w:r w:rsidRPr="00C236AD">
        <w:rPr>
          <w:rFonts w:cs="Arial"/>
          <w:sz w:val="24"/>
          <w:szCs w:val="24"/>
        </w:rPr>
        <w:t>term just to pay shareholders. With strong operating cash flow of $3.212bn in 2025, and careful use of the credit line, Marriott can maintain liquidity even with a low current ratio (Marriott International, 2026).</w:t>
      </w:r>
    </w:p>
    <w:p w14:paraId="06A7563C" w14:textId="77777777" w:rsidR="009B1055" w:rsidRPr="00C236AD" w:rsidRDefault="009B1055" w:rsidP="00C236AD">
      <w:pPr>
        <w:spacing w:after="0" w:line="360" w:lineRule="auto"/>
        <w:jc w:val="both"/>
        <w:rPr>
          <w:rFonts w:cs="Arial"/>
          <w:sz w:val="24"/>
          <w:szCs w:val="24"/>
        </w:rPr>
      </w:pPr>
      <w:r w:rsidRPr="00C236AD">
        <w:rPr>
          <w:rFonts w:cs="Arial"/>
          <w:sz w:val="24"/>
          <w:szCs w:val="24"/>
        </w:rPr>
        <w:lastRenderedPageBreak/>
        <w:t>In the end, Marriott’s liquidity looks tight in the accounts but works in practice because of cash flow. Keep DSO low, manage payables smartly, protect operating cash, and use the revolver as backup. Do that, and the company can run safely even with a low current ratio and high debt</w:t>
      </w:r>
    </w:p>
    <w:p w14:paraId="67D806B7" w14:textId="77777777"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3. Strategic Financial Restructuring Plan</w:t>
      </w:r>
    </w:p>
    <w:p w14:paraId="65868A0C" w14:textId="62D8D7CF"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Marriott's financial position suggests that the company does not require a radical restructuring. Its operating performance remains strong</w:t>
      </w:r>
      <w:r w:rsidR="00E051F9" w:rsidRPr="00C236AD">
        <w:rPr>
          <w:rFonts w:cs="Arial"/>
          <w:sz w:val="24"/>
          <w:szCs w:val="24"/>
          <w:lang w:val="en-GB"/>
        </w:rPr>
        <w:t>. However,</w:t>
      </w:r>
      <w:r w:rsidRPr="00C236AD">
        <w:rPr>
          <w:rFonts w:cs="Arial"/>
          <w:sz w:val="24"/>
          <w:szCs w:val="24"/>
          <w:lang w:val="en-GB"/>
        </w:rPr>
        <w:t xml:space="preserve"> the five</w:t>
      </w:r>
      <w:r w:rsidR="00ED72CF">
        <w:rPr>
          <w:rFonts w:cs="Arial"/>
          <w:sz w:val="24"/>
          <w:szCs w:val="24"/>
          <w:lang w:val="en-GB"/>
        </w:rPr>
        <w:t>-</w:t>
      </w:r>
      <w:r w:rsidRPr="00C236AD">
        <w:rPr>
          <w:rFonts w:cs="Arial"/>
          <w:sz w:val="24"/>
          <w:szCs w:val="24"/>
          <w:lang w:val="en-GB"/>
        </w:rPr>
        <w:t xml:space="preserve">year analysis shows increasing leverage, negative shareholders' equity and relatively tight liquidity. The most appropriate strategy </w:t>
      </w:r>
      <w:r w:rsidR="00E051F9" w:rsidRPr="00C236AD">
        <w:rPr>
          <w:rFonts w:cs="Arial"/>
          <w:sz w:val="24"/>
          <w:szCs w:val="24"/>
          <w:lang w:val="en-GB"/>
        </w:rPr>
        <w:t>could be</w:t>
      </w:r>
      <w:r w:rsidRPr="00C236AD">
        <w:rPr>
          <w:rFonts w:cs="Arial"/>
          <w:sz w:val="24"/>
          <w:szCs w:val="24"/>
          <w:lang w:val="en-GB"/>
        </w:rPr>
        <w:t xml:space="preserve"> a selective financial restructuring focused on debt management, capital allocation and maintaining the asset</w:t>
      </w:r>
      <w:r w:rsidR="00ED72CF">
        <w:rPr>
          <w:rFonts w:cs="Arial"/>
          <w:sz w:val="24"/>
          <w:szCs w:val="24"/>
          <w:lang w:val="en-GB"/>
        </w:rPr>
        <w:t>-</w:t>
      </w:r>
      <w:r w:rsidRPr="00C236AD">
        <w:rPr>
          <w:rFonts w:cs="Arial"/>
          <w:sz w:val="24"/>
          <w:szCs w:val="24"/>
          <w:lang w:val="en-GB"/>
        </w:rPr>
        <w:t>light business model.</w:t>
      </w:r>
    </w:p>
    <w:p w14:paraId="1F1A5A3E" w14:textId="77777777"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3.a. Recommended Financial Restructuring Options</w:t>
      </w:r>
    </w:p>
    <w:p w14:paraId="107D0823" w14:textId="27ADDAB8" w:rsidR="0011236F" w:rsidRPr="00C236AD" w:rsidRDefault="0011236F" w:rsidP="00C236AD">
      <w:pPr>
        <w:spacing w:after="0" w:line="360" w:lineRule="auto"/>
        <w:jc w:val="both"/>
        <w:rPr>
          <w:rFonts w:cs="Arial"/>
          <w:sz w:val="24"/>
          <w:szCs w:val="24"/>
        </w:rPr>
      </w:pPr>
      <w:r w:rsidRPr="00C236AD">
        <w:rPr>
          <w:rFonts w:cs="Arial"/>
          <w:sz w:val="24"/>
          <w:szCs w:val="24"/>
        </w:rPr>
        <w:t xml:space="preserve">Four actions are proposed: </w:t>
      </w:r>
    </w:p>
    <w:p w14:paraId="15A16C42" w14:textId="6CC2D16D" w:rsidR="0011236F" w:rsidRPr="00C236AD" w:rsidRDefault="0011236F" w:rsidP="00C236AD">
      <w:pPr>
        <w:spacing w:after="0" w:line="360" w:lineRule="auto"/>
        <w:jc w:val="both"/>
        <w:rPr>
          <w:rFonts w:cs="Arial"/>
          <w:b/>
          <w:bCs/>
          <w:sz w:val="24"/>
          <w:szCs w:val="24"/>
        </w:rPr>
      </w:pPr>
      <w:r w:rsidRPr="00C236AD">
        <w:rPr>
          <w:rFonts w:cs="Arial"/>
          <w:b/>
          <w:bCs/>
          <w:sz w:val="24"/>
          <w:szCs w:val="24"/>
        </w:rPr>
        <w:t xml:space="preserve">Moderate share repurchases and </w:t>
      </w:r>
      <w:proofErr w:type="spellStart"/>
      <w:r w:rsidRPr="00C236AD">
        <w:rPr>
          <w:rFonts w:cs="Arial"/>
          <w:b/>
          <w:bCs/>
          <w:sz w:val="24"/>
          <w:szCs w:val="24"/>
        </w:rPr>
        <w:t>prioritise</w:t>
      </w:r>
      <w:proofErr w:type="spellEnd"/>
      <w:r w:rsidRPr="00C236AD">
        <w:rPr>
          <w:rFonts w:cs="Arial"/>
          <w:b/>
          <w:bCs/>
          <w:sz w:val="24"/>
          <w:szCs w:val="24"/>
        </w:rPr>
        <w:t xml:space="preserve"> debt reduction  </w:t>
      </w:r>
    </w:p>
    <w:p w14:paraId="3CEEF584" w14:textId="00C438B7"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The first recommendation is to temporarily moderate share repurchases</w:t>
      </w:r>
      <w:r w:rsidR="0011236F" w:rsidRPr="00C236AD">
        <w:rPr>
          <w:rFonts w:cs="Arial"/>
          <w:sz w:val="24"/>
          <w:szCs w:val="24"/>
          <w:lang w:val="en-GB"/>
        </w:rPr>
        <w:t xml:space="preserve">. Then, </w:t>
      </w:r>
      <w:r w:rsidRPr="00C236AD">
        <w:rPr>
          <w:rFonts w:cs="Arial"/>
          <w:sz w:val="24"/>
          <w:szCs w:val="24"/>
          <w:lang w:val="en-GB"/>
        </w:rPr>
        <w:t>redirect a greater proportion of free cash flow towards debt reduction when leverage or market conditions become less favourable.</w:t>
      </w:r>
    </w:p>
    <w:p w14:paraId="364D9E99" w14:textId="2A31BD77"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Marriott repurchased approximately 12.1 million shares for $3.3 billion in 2025, while total debt increased to $16.2 billion</w:t>
      </w:r>
      <w:r w:rsidR="0011236F" w:rsidRPr="00C236AD">
        <w:rPr>
          <w:rFonts w:cs="Arial"/>
          <w:sz w:val="24"/>
          <w:szCs w:val="24"/>
          <w:lang w:val="en-GB"/>
        </w:rPr>
        <w:t xml:space="preserve"> </w:t>
      </w:r>
      <w:r w:rsidR="0011236F" w:rsidRPr="00C236AD">
        <w:rPr>
          <w:rFonts w:cs="Arial"/>
          <w:sz w:val="24"/>
          <w:szCs w:val="24"/>
        </w:rPr>
        <w:t>(Marriott International, 2026)</w:t>
      </w:r>
    </w:p>
    <w:p w14:paraId="01ECC090" w14:textId="1C9676E0" w:rsidR="0011236F" w:rsidRPr="00AE27C2" w:rsidRDefault="00B87EFB" w:rsidP="00C236AD">
      <w:pPr>
        <w:spacing w:after="0" w:line="360" w:lineRule="auto"/>
        <w:jc w:val="both"/>
        <w:rPr>
          <w:rFonts w:cs="Arial"/>
          <w:sz w:val="24"/>
          <w:szCs w:val="24"/>
        </w:rPr>
      </w:pPr>
      <w:r w:rsidRPr="00C236AD">
        <w:rPr>
          <w:rFonts w:cs="Arial"/>
          <w:sz w:val="24"/>
          <w:szCs w:val="24"/>
          <w:lang w:val="en-GB"/>
        </w:rPr>
        <w:t xml:space="preserve">This does not mean eliminating share repurchases. Buybacks remain an important mechanism for returning capital to shareholders. However, </w:t>
      </w:r>
      <w:proofErr w:type="gramStart"/>
      <w:r w:rsidR="0011236F" w:rsidRPr="00C236AD">
        <w:rPr>
          <w:rFonts w:cs="Arial"/>
          <w:sz w:val="24"/>
          <w:szCs w:val="24"/>
        </w:rPr>
        <w:t>In</w:t>
      </w:r>
      <w:proofErr w:type="gramEnd"/>
      <w:r w:rsidR="0011236F" w:rsidRPr="00C236AD">
        <w:rPr>
          <w:rFonts w:cs="Arial"/>
          <w:sz w:val="24"/>
          <w:szCs w:val="24"/>
        </w:rPr>
        <w:t xml:space="preserve"> periods of high leverage, more cash should go to debt service. Priority should be: operations, debt, investment, dividends, then buybacks</w:t>
      </w:r>
      <w:r w:rsidR="00AE27C2">
        <w:rPr>
          <w:rFonts w:cs="Arial"/>
          <w:sz w:val="24"/>
          <w:szCs w:val="24"/>
        </w:rPr>
        <w:t xml:space="preserve"> (see appendix 10 </w:t>
      </w:r>
      <w:r w:rsidR="00AE27C2" w:rsidRPr="00AE27C2">
        <w:rPr>
          <w:rFonts w:cs="Arial"/>
          <w:sz w:val="24"/>
          <w:szCs w:val="24"/>
        </w:rPr>
        <w:t xml:space="preserve">for </w:t>
      </w:r>
      <w:r w:rsidR="00AE27C2" w:rsidRPr="00AE27C2">
        <w:rPr>
          <w:rFonts w:cs="Arial"/>
          <w:sz w:val="24"/>
          <w:szCs w:val="24"/>
          <w:lang w:val="en-GB"/>
        </w:rPr>
        <w:t>r</w:t>
      </w:r>
      <w:r w:rsidR="00AE27C2" w:rsidRPr="00AE27C2">
        <w:rPr>
          <w:rFonts w:cs="Arial"/>
          <w:sz w:val="24"/>
          <w:szCs w:val="24"/>
          <w:lang w:val="en-GB"/>
        </w:rPr>
        <w:t>ecommended capital allocation priority</w:t>
      </w:r>
      <w:r w:rsidR="00AE27C2" w:rsidRPr="00AE27C2">
        <w:rPr>
          <w:rFonts w:cs="Arial"/>
          <w:sz w:val="24"/>
          <w:szCs w:val="24"/>
          <w:lang w:val="en-GB"/>
        </w:rPr>
        <w:t>)</w:t>
      </w:r>
      <w:r w:rsidR="00710F26">
        <w:rPr>
          <w:rFonts w:cs="Arial"/>
          <w:sz w:val="24"/>
          <w:szCs w:val="24"/>
          <w:lang w:val="en-GB"/>
        </w:rPr>
        <w:t xml:space="preserve">. </w:t>
      </w:r>
      <w:r w:rsidR="00710F26" w:rsidRPr="00710F26">
        <w:rPr>
          <w:rFonts w:cs="Arial"/>
          <w:sz w:val="24"/>
          <w:szCs w:val="24"/>
        </w:rPr>
        <w:t>Capital structure decisions involve balancing the benefits of financial leverage against the additional financial risk created by higher levels of debt (Berk and DeMarzo, 2020).</w:t>
      </w:r>
    </w:p>
    <w:p w14:paraId="5F3DE728" w14:textId="646CD7FA" w:rsidR="00B87EFB" w:rsidRPr="00C236AD" w:rsidRDefault="00B87EFB" w:rsidP="00C236AD">
      <w:pPr>
        <w:spacing w:after="0" w:line="360" w:lineRule="auto"/>
        <w:jc w:val="both"/>
        <w:rPr>
          <w:rFonts w:cs="Arial"/>
          <w:b/>
          <w:bCs/>
          <w:sz w:val="24"/>
          <w:szCs w:val="24"/>
          <w:lang w:val="en-GB"/>
        </w:rPr>
      </w:pPr>
      <w:r w:rsidRPr="00C236AD">
        <w:rPr>
          <w:rFonts w:cs="Arial"/>
          <w:b/>
          <w:bCs/>
          <w:sz w:val="24"/>
          <w:szCs w:val="24"/>
          <w:lang w:val="en-GB"/>
        </w:rPr>
        <w:t>Refinance and extend debt maturities</w:t>
      </w:r>
    </w:p>
    <w:p w14:paraId="64D9D67A" w14:textId="77777777"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Marriott should also continue to refinance upcoming maturities in advance, rather than allowing large amounts of debt to become payable within a short period.</w:t>
      </w:r>
    </w:p>
    <w:p w14:paraId="1405E435" w14:textId="5B27C148"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At year</w:t>
      </w:r>
      <w:r w:rsidR="00ED72CF">
        <w:rPr>
          <w:rFonts w:cs="Arial"/>
          <w:sz w:val="24"/>
          <w:szCs w:val="24"/>
          <w:lang w:val="en-GB"/>
        </w:rPr>
        <w:t>-</w:t>
      </w:r>
      <w:r w:rsidRPr="00C236AD">
        <w:rPr>
          <w:rFonts w:cs="Arial"/>
          <w:sz w:val="24"/>
          <w:szCs w:val="24"/>
          <w:lang w:val="en-GB"/>
        </w:rPr>
        <w:t>end 2025, Marriott's scheduled debt principal payments</w:t>
      </w:r>
      <w:r w:rsidR="00F62996" w:rsidRPr="00C236AD">
        <w:rPr>
          <w:rFonts w:cs="Arial"/>
          <w:sz w:val="24"/>
          <w:szCs w:val="24"/>
          <w:lang w:val="en-GB"/>
        </w:rPr>
        <w:t>. This</w:t>
      </w:r>
      <w:r w:rsidRPr="00C236AD">
        <w:rPr>
          <w:rFonts w:cs="Arial"/>
          <w:sz w:val="24"/>
          <w:szCs w:val="24"/>
          <w:lang w:val="en-GB"/>
        </w:rPr>
        <w:t xml:space="preserve"> included approximately $1.2 billion in 2026 and $2.6 billion in 2027</w:t>
      </w:r>
      <w:r w:rsidR="00F62996" w:rsidRPr="00C236AD">
        <w:rPr>
          <w:rFonts w:cs="Arial"/>
          <w:sz w:val="24"/>
          <w:szCs w:val="24"/>
          <w:lang w:val="en-GB"/>
        </w:rPr>
        <w:t>. However,</w:t>
      </w:r>
      <w:r w:rsidRPr="00C236AD">
        <w:rPr>
          <w:rFonts w:cs="Arial"/>
          <w:sz w:val="24"/>
          <w:szCs w:val="24"/>
          <w:lang w:val="en-GB"/>
        </w:rPr>
        <w:t xml:space="preserve"> approximately </w:t>
      </w:r>
      <w:r w:rsidRPr="00C236AD">
        <w:rPr>
          <w:rFonts w:cs="Arial"/>
          <w:sz w:val="24"/>
          <w:szCs w:val="24"/>
          <w:lang w:val="en-GB"/>
        </w:rPr>
        <w:lastRenderedPageBreak/>
        <w:t>$8.2 billion was due thereafter</w:t>
      </w:r>
      <w:r w:rsidR="00F62996" w:rsidRPr="00C236AD">
        <w:rPr>
          <w:rFonts w:cs="Arial"/>
          <w:sz w:val="24"/>
          <w:szCs w:val="24"/>
          <w:lang w:val="en-GB"/>
        </w:rPr>
        <w:t xml:space="preserve"> </w:t>
      </w:r>
      <w:r w:rsidR="00F62996" w:rsidRPr="00C236AD">
        <w:rPr>
          <w:rFonts w:cs="Arial"/>
          <w:sz w:val="24"/>
          <w:szCs w:val="24"/>
        </w:rPr>
        <w:t>(Marriott International, 2026)</w:t>
      </w:r>
      <w:r w:rsidRPr="00C236AD">
        <w:rPr>
          <w:rFonts w:cs="Arial"/>
          <w:sz w:val="24"/>
          <w:szCs w:val="24"/>
          <w:lang w:val="en-GB"/>
        </w:rPr>
        <w:t>.</w:t>
      </w:r>
      <w:r w:rsidR="00F62996" w:rsidRPr="00C236AD">
        <w:rPr>
          <w:rFonts w:cs="Arial"/>
          <w:sz w:val="24"/>
          <w:szCs w:val="24"/>
          <w:lang w:val="en-GB"/>
        </w:rPr>
        <w:t xml:space="preserve"> </w:t>
      </w:r>
      <w:r w:rsidR="00710F26" w:rsidRPr="00710F26">
        <w:rPr>
          <w:rFonts w:cs="Arial"/>
          <w:sz w:val="24"/>
          <w:szCs w:val="24"/>
        </w:rPr>
        <w:t xml:space="preserve">Managing debt maturity is important because excessive reliance on short-term refinancing can increase refinancing and liquidity risk (Ross, </w:t>
      </w:r>
      <w:proofErr w:type="spellStart"/>
      <w:r w:rsidR="00710F26" w:rsidRPr="00710F26">
        <w:rPr>
          <w:rFonts w:cs="Arial"/>
          <w:sz w:val="24"/>
          <w:szCs w:val="24"/>
        </w:rPr>
        <w:t>Westerfield</w:t>
      </w:r>
      <w:proofErr w:type="spellEnd"/>
      <w:r w:rsidR="00710F26" w:rsidRPr="00710F26">
        <w:rPr>
          <w:rFonts w:cs="Arial"/>
          <w:sz w:val="24"/>
          <w:szCs w:val="24"/>
        </w:rPr>
        <w:t xml:space="preserve"> and Jordan, 2022).</w:t>
      </w:r>
    </w:p>
    <w:p w14:paraId="0C0DA614" w14:textId="696562C4" w:rsidR="00B87EFB" w:rsidRPr="00C236AD" w:rsidRDefault="00B87EFB" w:rsidP="00C236AD">
      <w:pPr>
        <w:spacing w:after="0" w:line="360" w:lineRule="auto"/>
        <w:jc w:val="both"/>
        <w:rPr>
          <w:rFonts w:cs="Arial"/>
          <w:b/>
          <w:bCs/>
          <w:sz w:val="24"/>
          <w:szCs w:val="24"/>
          <w:lang w:val="en-GB"/>
        </w:rPr>
      </w:pPr>
      <w:r w:rsidRPr="00C236AD">
        <w:rPr>
          <w:rFonts w:cs="Arial"/>
          <w:b/>
          <w:bCs/>
          <w:sz w:val="24"/>
          <w:szCs w:val="24"/>
          <w:lang w:val="en-GB"/>
        </w:rPr>
        <w:t>Avoid a major equity injection under normal conditions</w:t>
      </w:r>
    </w:p>
    <w:p w14:paraId="28C4E83D" w14:textId="2A93C9C9"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An equity injection is theoretically possible</w:t>
      </w:r>
      <w:r w:rsidR="00F62996" w:rsidRPr="00C236AD">
        <w:rPr>
          <w:rFonts w:cs="Arial"/>
          <w:sz w:val="24"/>
          <w:szCs w:val="24"/>
          <w:lang w:val="en-GB"/>
        </w:rPr>
        <w:t>. Therefore,</w:t>
      </w:r>
      <w:r w:rsidRPr="00C236AD">
        <w:rPr>
          <w:rFonts w:cs="Arial"/>
          <w:sz w:val="24"/>
          <w:szCs w:val="24"/>
          <w:lang w:val="en-GB"/>
        </w:rPr>
        <w:t xml:space="preserve"> it is not the preferred option</w:t>
      </w:r>
      <w:r w:rsidR="00F62996" w:rsidRPr="00C236AD">
        <w:rPr>
          <w:rFonts w:cs="Arial"/>
          <w:sz w:val="24"/>
          <w:szCs w:val="24"/>
          <w:lang w:val="en-GB"/>
        </w:rPr>
        <w:t>. In fact,</w:t>
      </w:r>
      <w:r w:rsidRPr="00C236AD">
        <w:rPr>
          <w:rFonts w:cs="Arial"/>
          <w:sz w:val="24"/>
          <w:szCs w:val="24"/>
          <w:lang w:val="en-GB"/>
        </w:rPr>
        <w:t xml:space="preserve"> Marriott generated $3.2 billion of operating cash flow in 2025 and remains strongly profitable. A new equity issue would also dilute existing shareholders.</w:t>
      </w:r>
      <w:r w:rsidR="00F62996" w:rsidRPr="00C236AD">
        <w:rPr>
          <w:rFonts w:cs="Arial"/>
          <w:b/>
          <w:bCs/>
          <w:sz w:val="24"/>
          <w:szCs w:val="24"/>
          <w:lang w:val="en-GB"/>
        </w:rPr>
        <w:t xml:space="preserve"> I</w:t>
      </w:r>
      <w:r w:rsidR="00F62996" w:rsidRPr="00C236AD">
        <w:rPr>
          <w:rFonts w:cs="Arial"/>
          <w:sz w:val="24"/>
          <w:szCs w:val="24"/>
          <w:lang w:val="en-GB"/>
        </w:rPr>
        <w:t xml:space="preserve">n </w:t>
      </w:r>
      <w:r w:rsidRPr="00C236AD">
        <w:rPr>
          <w:rFonts w:cs="Arial"/>
          <w:sz w:val="24"/>
          <w:szCs w:val="24"/>
          <w:lang w:val="en-GB"/>
        </w:rPr>
        <w:t>2025, Marriott reported shareholders deficit of approximately $3.8 billion, partly reflecting the effect of accumulated share repurchases and treasury stock</w:t>
      </w:r>
      <w:r w:rsidR="00F62996" w:rsidRPr="00C236AD">
        <w:rPr>
          <w:rFonts w:cs="Arial"/>
          <w:sz w:val="24"/>
          <w:szCs w:val="24"/>
          <w:lang w:val="en-GB"/>
        </w:rPr>
        <w:t xml:space="preserve"> </w:t>
      </w:r>
      <w:r w:rsidR="00F62996" w:rsidRPr="00C236AD">
        <w:rPr>
          <w:rFonts w:cs="Arial"/>
          <w:sz w:val="24"/>
          <w:szCs w:val="24"/>
        </w:rPr>
        <w:t>(Marriott International, 2026)</w:t>
      </w:r>
      <w:r w:rsidR="00F62996" w:rsidRPr="00C236AD">
        <w:rPr>
          <w:rFonts w:cs="Arial"/>
          <w:sz w:val="24"/>
          <w:szCs w:val="24"/>
          <w:lang w:val="en-GB"/>
        </w:rPr>
        <w:t>.</w:t>
      </w:r>
    </w:p>
    <w:p w14:paraId="2F52BA2B" w14:textId="0259198F" w:rsidR="00B87EFB" w:rsidRPr="00C236AD" w:rsidRDefault="00B87EFB" w:rsidP="00C236AD">
      <w:pPr>
        <w:spacing w:after="0" w:line="360" w:lineRule="auto"/>
        <w:jc w:val="both"/>
        <w:rPr>
          <w:rFonts w:cs="Arial"/>
          <w:b/>
          <w:bCs/>
          <w:sz w:val="24"/>
          <w:szCs w:val="24"/>
          <w:lang w:val="en-GB"/>
        </w:rPr>
      </w:pPr>
      <w:r w:rsidRPr="00C236AD">
        <w:rPr>
          <w:rFonts w:cs="Arial"/>
          <w:b/>
          <w:bCs/>
          <w:sz w:val="24"/>
          <w:szCs w:val="24"/>
          <w:lang w:val="en-GB"/>
        </w:rPr>
        <w:t>Maintain the asset</w:t>
      </w:r>
      <w:r w:rsidR="00ED72CF">
        <w:rPr>
          <w:rFonts w:cs="Arial"/>
          <w:b/>
          <w:bCs/>
          <w:sz w:val="24"/>
          <w:szCs w:val="24"/>
          <w:lang w:val="en-GB"/>
        </w:rPr>
        <w:t>-</w:t>
      </w:r>
      <w:r w:rsidRPr="00C236AD">
        <w:rPr>
          <w:rFonts w:cs="Arial"/>
          <w:b/>
          <w:bCs/>
          <w:sz w:val="24"/>
          <w:szCs w:val="24"/>
          <w:lang w:val="en-GB"/>
        </w:rPr>
        <w:t>light model rather than pursuing major divestitures</w:t>
      </w:r>
    </w:p>
    <w:p w14:paraId="13BCD020" w14:textId="313BDD62"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A large</w:t>
      </w:r>
      <w:r w:rsidR="00ED72CF">
        <w:rPr>
          <w:rFonts w:cs="Arial"/>
          <w:sz w:val="24"/>
          <w:szCs w:val="24"/>
          <w:lang w:val="en-GB"/>
        </w:rPr>
        <w:t>-</w:t>
      </w:r>
      <w:r w:rsidRPr="00C236AD">
        <w:rPr>
          <w:rFonts w:cs="Arial"/>
          <w:sz w:val="24"/>
          <w:szCs w:val="24"/>
          <w:lang w:val="en-GB"/>
        </w:rPr>
        <w:t>scale divestiture programme is also unnecessary. Marriott already owns or leases less than 1% of the properties in its system. Its asset</w:t>
      </w:r>
      <w:r w:rsidR="00ED72CF">
        <w:rPr>
          <w:rFonts w:cs="Arial"/>
          <w:sz w:val="24"/>
          <w:szCs w:val="24"/>
          <w:lang w:val="en-GB"/>
        </w:rPr>
        <w:t>-</w:t>
      </w:r>
      <w:r w:rsidRPr="00C236AD">
        <w:rPr>
          <w:rFonts w:cs="Arial"/>
          <w:sz w:val="24"/>
          <w:szCs w:val="24"/>
          <w:lang w:val="en-GB"/>
        </w:rPr>
        <w:t>light model reduces capital requirements and supports high returns on capital. At year</w:t>
      </w:r>
      <w:r w:rsidR="00ED72CF">
        <w:rPr>
          <w:rFonts w:cs="Arial"/>
          <w:sz w:val="24"/>
          <w:szCs w:val="24"/>
          <w:lang w:val="en-GB"/>
        </w:rPr>
        <w:t>-</w:t>
      </w:r>
      <w:r w:rsidRPr="00C236AD">
        <w:rPr>
          <w:rFonts w:cs="Arial"/>
          <w:sz w:val="24"/>
          <w:szCs w:val="24"/>
          <w:lang w:val="en-GB"/>
        </w:rPr>
        <w:t>end 2025, the system contained approximately 9,805 properties and 1.78 million rooms across 145 countries and territories, with approximately 610,000 rooms in the development pipeline</w:t>
      </w:r>
      <w:r w:rsidR="00951357" w:rsidRPr="00C236AD">
        <w:rPr>
          <w:rFonts w:cs="Arial"/>
          <w:sz w:val="24"/>
          <w:szCs w:val="24"/>
          <w:lang w:val="en-GB"/>
        </w:rPr>
        <w:t xml:space="preserve"> </w:t>
      </w:r>
      <w:r w:rsidR="00951357" w:rsidRPr="00C236AD">
        <w:rPr>
          <w:rFonts w:cs="Arial"/>
          <w:sz w:val="24"/>
          <w:szCs w:val="24"/>
        </w:rPr>
        <w:t>(Marriott International, 2026)</w:t>
      </w:r>
      <w:r w:rsidR="00951357" w:rsidRPr="00C236AD">
        <w:rPr>
          <w:rFonts w:cs="Arial"/>
          <w:sz w:val="24"/>
          <w:szCs w:val="24"/>
          <w:lang w:val="en-GB"/>
        </w:rPr>
        <w:t xml:space="preserve">. </w:t>
      </w:r>
    </w:p>
    <w:p w14:paraId="20B2EBFD" w14:textId="45FD3D7A"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Selective disposal of non</w:t>
      </w:r>
      <w:r w:rsidR="00ED72CF">
        <w:rPr>
          <w:rFonts w:cs="Arial"/>
          <w:sz w:val="24"/>
          <w:szCs w:val="24"/>
          <w:lang w:val="en-GB"/>
        </w:rPr>
        <w:t>-</w:t>
      </w:r>
      <w:r w:rsidRPr="00C236AD">
        <w:rPr>
          <w:rFonts w:cs="Arial"/>
          <w:sz w:val="24"/>
          <w:szCs w:val="24"/>
          <w:lang w:val="en-GB"/>
        </w:rPr>
        <w:t>core assets could still be considered where assets do not support Marriott's strategic positioning, but this should be a secondary measure.</w:t>
      </w:r>
    </w:p>
    <w:p w14:paraId="0B13FAD1" w14:textId="77777777" w:rsidR="00B87EFB" w:rsidRPr="00C236AD" w:rsidRDefault="00B87EFB" w:rsidP="00C236AD">
      <w:pPr>
        <w:spacing w:after="0" w:line="360" w:lineRule="auto"/>
        <w:jc w:val="both"/>
        <w:rPr>
          <w:rFonts w:cs="Arial"/>
          <w:b/>
          <w:bCs/>
          <w:sz w:val="24"/>
          <w:szCs w:val="24"/>
          <w:lang w:val="en-GB"/>
        </w:rPr>
      </w:pPr>
      <w:r w:rsidRPr="00C236AD">
        <w:rPr>
          <w:rFonts w:cs="Arial"/>
          <w:sz w:val="24"/>
          <w:szCs w:val="24"/>
          <w:lang w:val="en-GB"/>
        </w:rPr>
        <w:t>3.b. Impact on Shareholder Value, Debt Structure and Operational Flexibility</w:t>
      </w:r>
    </w:p>
    <w:p w14:paraId="5419EC13" w14:textId="7ECB3267" w:rsidR="00951357" w:rsidRPr="00C236AD" w:rsidRDefault="00951357" w:rsidP="00C236AD">
      <w:pPr>
        <w:spacing w:after="0" w:line="360" w:lineRule="auto"/>
        <w:jc w:val="both"/>
        <w:rPr>
          <w:rFonts w:cs="Arial"/>
          <w:sz w:val="24"/>
          <w:szCs w:val="24"/>
        </w:rPr>
      </w:pPr>
      <w:r w:rsidRPr="00C236AD">
        <w:rPr>
          <w:rFonts w:cs="Arial"/>
          <w:sz w:val="24"/>
          <w:szCs w:val="24"/>
        </w:rPr>
        <w:t>Shareholder value: Moderating buybacks may slow short</w:t>
      </w:r>
      <w:r w:rsidR="00ED72CF">
        <w:rPr>
          <w:rFonts w:cs="Arial"/>
          <w:sz w:val="24"/>
          <w:szCs w:val="24"/>
        </w:rPr>
        <w:t>-</w:t>
      </w:r>
      <w:r w:rsidRPr="00C236AD">
        <w:rPr>
          <w:rFonts w:cs="Arial"/>
          <w:sz w:val="24"/>
          <w:szCs w:val="24"/>
        </w:rPr>
        <w:t xml:space="preserve">term EPS growth, but lower leverage will make returns more stable. EPS was $9.51 in 2025 (Marriott International, 2026).  </w:t>
      </w:r>
    </w:p>
    <w:p w14:paraId="018277E3" w14:textId="77777777" w:rsidR="00951357" w:rsidRPr="00C236AD" w:rsidRDefault="00951357" w:rsidP="00C236AD">
      <w:pPr>
        <w:spacing w:after="0" w:line="360" w:lineRule="auto"/>
        <w:jc w:val="both"/>
        <w:rPr>
          <w:rFonts w:cs="Arial"/>
          <w:sz w:val="24"/>
          <w:szCs w:val="24"/>
        </w:rPr>
      </w:pPr>
      <w:r w:rsidRPr="00C236AD">
        <w:rPr>
          <w:rFonts w:cs="Arial"/>
          <w:sz w:val="24"/>
          <w:szCs w:val="24"/>
        </w:rPr>
        <w:t xml:space="preserve">Debt structure: The goal is not zero debt, but to prevent leverage rising faster than cash flow. Debt/Assets reached 58.8% in 2025 (Marriott International, 2026).  </w:t>
      </w:r>
    </w:p>
    <w:p w14:paraId="053DF0EC" w14:textId="77777777" w:rsidR="00951357" w:rsidRPr="00C236AD" w:rsidRDefault="00951357" w:rsidP="00C236AD">
      <w:pPr>
        <w:spacing w:after="0" w:line="360" w:lineRule="auto"/>
        <w:jc w:val="both"/>
        <w:rPr>
          <w:rFonts w:cs="Arial"/>
          <w:sz w:val="24"/>
          <w:szCs w:val="24"/>
        </w:rPr>
      </w:pPr>
      <w:r w:rsidRPr="00C236AD">
        <w:rPr>
          <w:rFonts w:cs="Arial"/>
          <w:sz w:val="24"/>
          <w:szCs w:val="24"/>
        </w:rPr>
        <w:t>Operational flexibility: A stronger balance sheet and the $4.5bn revolver will support investment and downturn response (Marriott International, 2026).</w:t>
      </w:r>
    </w:p>
    <w:p w14:paraId="55FF09EB" w14:textId="77777777"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3.c. International and Ethical Considerations</w:t>
      </w:r>
    </w:p>
    <w:p w14:paraId="342C4F65" w14:textId="77777777" w:rsidR="00C236AD" w:rsidRPr="00C236AD" w:rsidRDefault="00C236AD" w:rsidP="00C236AD">
      <w:pPr>
        <w:spacing w:after="0" w:line="360" w:lineRule="auto"/>
        <w:jc w:val="both"/>
        <w:rPr>
          <w:rFonts w:cs="Arial"/>
          <w:sz w:val="24"/>
          <w:szCs w:val="24"/>
          <w:lang w:val="en-GB"/>
        </w:rPr>
      </w:pPr>
    </w:p>
    <w:p w14:paraId="22EE930F" w14:textId="77777777"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 xml:space="preserve">Taxation  </w:t>
      </w:r>
    </w:p>
    <w:p w14:paraId="358C7739" w14:textId="0C13DE56"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lastRenderedPageBreak/>
        <w:t>Marriott operates in 145 countries, so any restructuring must consider different corporate tax rules, withholding taxes and international regulations. Debt allocation, intercompany transactions and transfer</w:t>
      </w:r>
      <w:r w:rsidR="00ED72CF">
        <w:rPr>
          <w:rFonts w:cs="Arial"/>
          <w:sz w:val="24"/>
          <w:szCs w:val="24"/>
          <w:lang w:val="en-GB"/>
        </w:rPr>
        <w:t>-</w:t>
      </w:r>
      <w:r w:rsidRPr="00C236AD">
        <w:rPr>
          <w:rFonts w:cs="Arial"/>
          <w:sz w:val="24"/>
          <w:szCs w:val="24"/>
          <w:lang w:val="en-GB"/>
        </w:rPr>
        <w:t>pricing should follow economic substance and local law. The company should aim for tax efficiency without aggressive avoidance, because reputational and regulatory risks can outweigh the financial gains.</w:t>
      </w:r>
    </w:p>
    <w:p w14:paraId="68C69833" w14:textId="77777777" w:rsidR="00C236AD" w:rsidRPr="00C236AD" w:rsidRDefault="00C236AD" w:rsidP="00C236AD">
      <w:pPr>
        <w:spacing w:after="0" w:line="360" w:lineRule="auto"/>
        <w:jc w:val="both"/>
        <w:rPr>
          <w:rFonts w:cs="Arial"/>
          <w:sz w:val="24"/>
          <w:szCs w:val="24"/>
          <w:lang w:val="en-GB"/>
        </w:rPr>
      </w:pPr>
    </w:p>
    <w:p w14:paraId="25C9DC35" w14:textId="77777777"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 xml:space="preserve">Currency risk  </w:t>
      </w:r>
    </w:p>
    <w:p w14:paraId="4C11A483" w14:textId="7B95C846"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International operations expose Marriott to FX volatility. In 2025, foreign</w:t>
      </w:r>
      <w:r w:rsidR="00ED72CF">
        <w:rPr>
          <w:rFonts w:cs="Arial"/>
          <w:sz w:val="24"/>
          <w:szCs w:val="24"/>
          <w:lang w:val="en-GB"/>
        </w:rPr>
        <w:t>-</w:t>
      </w:r>
      <w:r w:rsidRPr="00C236AD">
        <w:rPr>
          <w:rFonts w:cs="Arial"/>
          <w:sz w:val="24"/>
          <w:szCs w:val="24"/>
          <w:lang w:val="en-GB"/>
        </w:rPr>
        <w:t>currency translation adjustments added +$442m to other comprehensive income, compared to $(</w:t>
      </w:r>
      <w:proofErr w:type="gramStart"/>
      <w:r w:rsidRPr="00C236AD">
        <w:rPr>
          <w:rFonts w:cs="Arial"/>
          <w:sz w:val="24"/>
          <w:szCs w:val="24"/>
          <w:lang w:val="en-GB"/>
        </w:rPr>
        <w:t>437)m</w:t>
      </w:r>
      <w:proofErr w:type="gramEnd"/>
      <w:r w:rsidRPr="00C236AD">
        <w:rPr>
          <w:rFonts w:cs="Arial"/>
          <w:sz w:val="24"/>
          <w:szCs w:val="24"/>
          <w:lang w:val="en-GB"/>
        </w:rPr>
        <w:t xml:space="preserve"> in 2024 (Marriott International, 2026). This shows that exchange</w:t>
      </w:r>
      <w:r w:rsidR="00ED72CF">
        <w:rPr>
          <w:rFonts w:cs="Arial"/>
          <w:sz w:val="24"/>
          <w:szCs w:val="24"/>
          <w:lang w:val="en-GB"/>
        </w:rPr>
        <w:t>-</w:t>
      </w:r>
      <w:r w:rsidRPr="00C236AD">
        <w:rPr>
          <w:rFonts w:cs="Arial"/>
          <w:sz w:val="24"/>
          <w:szCs w:val="24"/>
          <w:lang w:val="en-GB"/>
        </w:rPr>
        <w:t>rate movements can affect reported results even when operations are stable. Marriott should continue using hedging instruments and, where possible, match the currency of debt with the currency of cash flows. This would reduce the impact on debt servicing and earnings.</w:t>
      </w:r>
      <w:r w:rsidR="00710F26">
        <w:rPr>
          <w:rFonts w:cs="Arial"/>
          <w:sz w:val="24"/>
          <w:szCs w:val="24"/>
          <w:lang w:val="en-GB"/>
        </w:rPr>
        <w:t xml:space="preserve"> </w:t>
      </w:r>
      <w:r w:rsidR="00710F26" w:rsidRPr="00710F26">
        <w:rPr>
          <w:rFonts w:cs="Arial"/>
          <w:sz w:val="24"/>
          <w:szCs w:val="24"/>
        </w:rPr>
        <w:t>foreign</w:t>
      </w:r>
      <w:r w:rsidR="00710F26" w:rsidRPr="00710F26">
        <w:rPr>
          <w:rFonts w:cs="Arial"/>
          <w:sz w:val="24"/>
          <w:szCs w:val="24"/>
        </w:rPr>
        <w:t xml:space="preserve"> exchange movements can affect both reported financial performance and the cost of servicing foreign-currency liabilities, making appropriate risk management important for internationally operating companies (Brealey, Myers and Allen, 2020).</w:t>
      </w:r>
    </w:p>
    <w:p w14:paraId="5BE10576" w14:textId="77777777" w:rsidR="00C236AD" w:rsidRPr="00C236AD" w:rsidRDefault="00C236AD" w:rsidP="00C236AD">
      <w:pPr>
        <w:spacing w:after="0" w:line="360" w:lineRule="auto"/>
        <w:jc w:val="both"/>
        <w:rPr>
          <w:rFonts w:cs="Arial"/>
          <w:sz w:val="24"/>
          <w:szCs w:val="24"/>
          <w:lang w:val="en-GB"/>
        </w:rPr>
      </w:pPr>
    </w:p>
    <w:p w14:paraId="629B71D5" w14:textId="77777777"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 xml:space="preserve">Inflation and interest rates  </w:t>
      </w:r>
    </w:p>
    <w:p w14:paraId="006ADCC9" w14:textId="3263A407"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Inflation increases costs for labour, energy, food and maintenance across managed and franchised hotels. It also raises refinancing costs. The restructuring plan should therefore maintain financial flexibility. The asset</w:t>
      </w:r>
      <w:r w:rsidR="00ED72CF">
        <w:rPr>
          <w:rFonts w:cs="Arial"/>
          <w:sz w:val="24"/>
          <w:szCs w:val="24"/>
          <w:lang w:val="en-GB"/>
        </w:rPr>
        <w:t>-</w:t>
      </w:r>
      <w:r w:rsidRPr="00C236AD">
        <w:rPr>
          <w:rFonts w:cs="Arial"/>
          <w:sz w:val="24"/>
          <w:szCs w:val="24"/>
          <w:lang w:val="en-GB"/>
        </w:rPr>
        <w:t>light model helps because property</w:t>
      </w:r>
      <w:r w:rsidR="00ED72CF">
        <w:rPr>
          <w:rFonts w:cs="Arial"/>
          <w:sz w:val="24"/>
          <w:szCs w:val="24"/>
          <w:lang w:val="en-GB"/>
        </w:rPr>
        <w:t>-</w:t>
      </w:r>
      <w:r w:rsidRPr="00C236AD">
        <w:rPr>
          <w:rFonts w:cs="Arial"/>
          <w:sz w:val="24"/>
          <w:szCs w:val="24"/>
          <w:lang w:val="en-GB"/>
        </w:rPr>
        <w:t>level costs are mainly borne by owners. However, financial pressure on franchisees can still affect Marriott indirectly through slower development and weaker brand performance.</w:t>
      </w:r>
    </w:p>
    <w:p w14:paraId="1EA4CDC8" w14:textId="77777777" w:rsidR="00C236AD" w:rsidRPr="00C236AD" w:rsidRDefault="00C236AD" w:rsidP="00C236AD">
      <w:pPr>
        <w:spacing w:after="0" w:line="360" w:lineRule="auto"/>
        <w:jc w:val="both"/>
        <w:rPr>
          <w:rFonts w:cs="Arial"/>
          <w:sz w:val="24"/>
          <w:szCs w:val="24"/>
          <w:lang w:val="en-GB"/>
        </w:rPr>
      </w:pPr>
    </w:p>
    <w:p w14:paraId="3377456E" w14:textId="77777777"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 xml:space="preserve">CSR and ESG considerations  </w:t>
      </w:r>
    </w:p>
    <w:p w14:paraId="3D6E5198" w14:textId="42171DA9"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 xml:space="preserve">Restructuring should support ESG goals rather than treat them separately. Through Serve 360, Marriott targets emissions, water, waste and renewable energy. In 2024, 3.4% of electricity came from renewables (Marriott, 2024). </w:t>
      </w:r>
      <w:r w:rsidRPr="00C236AD">
        <w:rPr>
          <w:rFonts w:cs="Arial"/>
          <w:sz w:val="24"/>
          <w:szCs w:val="24"/>
          <w:lang w:val="en-GB"/>
        </w:rPr>
        <w:lastRenderedPageBreak/>
        <w:t>Investments should prioritise energy efficiency to cut costs and improve resilience. Ethically, Marriott should avoid improving ratios by cutting employee costs, delaying supplier payments, or underinvesting in safety. The plan must protect employees, franchisees, suppliers and communities while also supporting shareholder value.</w:t>
      </w:r>
    </w:p>
    <w:p w14:paraId="4C3D0AE0" w14:textId="77777777" w:rsidR="00C236AD" w:rsidRPr="00C236AD" w:rsidRDefault="00C236AD" w:rsidP="00C236AD">
      <w:pPr>
        <w:spacing w:after="0" w:line="360" w:lineRule="auto"/>
        <w:jc w:val="both"/>
        <w:rPr>
          <w:rFonts w:cs="Arial"/>
          <w:sz w:val="24"/>
          <w:szCs w:val="24"/>
          <w:lang w:val="en-GB"/>
        </w:rPr>
      </w:pPr>
      <w:r w:rsidRPr="00C236AD">
        <w:rPr>
          <w:rFonts w:cs="Arial"/>
          <w:sz w:val="24"/>
          <w:szCs w:val="24"/>
          <w:lang w:val="en-GB"/>
        </w:rPr>
        <w:t xml:space="preserve">Overall recommendation  </w:t>
      </w:r>
    </w:p>
    <w:p w14:paraId="395F16E9" w14:textId="7C25CD10" w:rsidR="00C236AD" w:rsidRDefault="00C236AD" w:rsidP="00C236AD">
      <w:pPr>
        <w:spacing w:after="0" w:line="360" w:lineRule="auto"/>
        <w:jc w:val="both"/>
        <w:rPr>
          <w:rFonts w:cs="Arial"/>
          <w:sz w:val="24"/>
          <w:szCs w:val="24"/>
          <w:lang w:val="en-GB"/>
        </w:rPr>
      </w:pPr>
      <w:r w:rsidRPr="00C236AD">
        <w:rPr>
          <w:rFonts w:cs="Arial"/>
          <w:sz w:val="24"/>
          <w:szCs w:val="24"/>
          <w:lang w:val="en-GB"/>
        </w:rPr>
        <w:t>A moderate, disciplined approach is preferred. Marriott should keep the asset</w:t>
      </w:r>
      <w:r w:rsidR="00ED72CF">
        <w:rPr>
          <w:rFonts w:cs="Arial"/>
          <w:sz w:val="24"/>
          <w:szCs w:val="24"/>
          <w:lang w:val="en-GB"/>
        </w:rPr>
        <w:t>-</w:t>
      </w:r>
      <w:r w:rsidRPr="00C236AD">
        <w:rPr>
          <w:rFonts w:cs="Arial"/>
          <w:sz w:val="24"/>
          <w:szCs w:val="24"/>
          <w:lang w:val="en-GB"/>
        </w:rPr>
        <w:t>light model, refinance debt early, moderate buybacks when leverage is high, and maintain credit facilities. Tax compliance, FX management, inflation protection and ESG should be integrated into the restructuring.</w:t>
      </w:r>
    </w:p>
    <w:p w14:paraId="498EBF52" w14:textId="77777777" w:rsidR="00C236AD" w:rsidRPr="00C236AD" w:rsidRDefault="00C236AD" w:rsidP="00C236AD">
      <w:pPr>
        <w:spacing w:after="0" w:line="360" w:lineRule="auto"/>
        <w:jc w:val="both"/>
        <w:rPr>
          <w:rFonts w:cs="Arial"/>
          <w:sz w:val="24"/>
          <w:szCs w:val="24"/>
          <w:lang w:val="en-GB"/>
        </w:rPr>
      </w:pPr>
    </w:p>
    <w:p w14:paraId="1F42E3D8" w14:textId="0BD9B0C4" w:rsidR="0013798C" w:rsidRPr="00C236AD" w:rsidRDefault="00000000" w:rsidP="00C236AD">
      <w:pPr>
        <w:spacing w:after="0" w:line="360" w:lineRule="auto"/>
        <w:jc w:val="both"/>
        <w:rPr>
          <w:rFonts w:cs="Arial"/>
          <w:sz w:val="24"/>
          <w:szCs w:val="24"/>
        </w:rPr>
      </w:pPr>
      <w:r w:rsidRPr="00C236AD">
        <w:rPr>
          <w:rFonts w:cs="Arial"/>
          <w:sz w:val="24"/>
          <w:szCs w:val="24"/>
        </w:rPr>
        <w:t>4. INVESTMENT APPRAISAL AND CAPITAL BUDGETING</w:t>
      </w:r>
    </w:p>
    <w:p w14:paraId="192146D9" w14:textId="77777777" w:rsidR="004A4D3E" w:rsidRPr="00C236AD" w:rsidRDefault="004A4D3E" w:rsidP="00C236AD">
      <w:pPr>
        <w:spacing w:after="0" w:line="360" w:lineRule="auto"/>
        <w:jc w:val="both"/>
        <w:rPr>
          <w:rFonts w:cs="Arial"/>
          <w:b/>
          <w:bCs/>
          <w:sz w:val="24"/>
          <w:szCs w:val="24"/>
          <w:lang w:val="en-GB"/>
        </w:rPr>
      </w:pPr>
      <w:r w:rsidRPr="00C236AD">
        <w:rPr>
          <w:rFonts w:cs="Arial"/>
          <w:sz w:val="24"/>
          <w:szCs w:val="24"/>
          <w:lang w:val="en-GB"/>
        </w:rPr>
        <w:t xml:space="preserve">Investment appraisal is particularly relevant for Marriott because the company has strong operating cash generation but also significant financial commitments. At the end of 2025, Marriott generated $3.212 billion of operating cash flow, while total debt stood at approximately $16.2 billion and cash and equivalents were only approximately $0.4 billion. The company therefore has the capacity to invest, but investment decisions should remain selective and generate sufficient returns to justify the use of capital. </w:t>
      </w:r>
    </w:p>
    <w:p w14:paraId="2CA7A410" w14:textId="77777777" w:rsidR="004A4D3E" w:rsidRPr="00C236AD" w:rsidRDefault="004A4D3E" w:rsidP="00C236AD">
      <w:pPr>
        <w:spacing w:after="0" w:line="360" w:lineRule="auto"/>
        <w:jc w:val="both"/>
        <w:rPr>
          <w:rFonts w:cs="Arial"/>
          <w:b/>
          <w:bCs/>
          <w:sz w:val="24"/>
          <w:szCs w:val="24"/>
          <w:lang w:val="en-GB"/>
        </w:rPr>
      </w:pPr>
      <w:r w:rsidRPr="00C236AD">
        <w:rPr>
          <w:rFonts w:cs="Arial"/>
          <w:sz w:val="24"/>
          <w:szCs w:val="24"/>
          <w:lang w:val="en-GB"/>
        </w:rPr>
        <w:t>Three alternative investment projects are considered. Each requires an initial investment of £50 million and generates cash inflows over five years. The appraisal uses the Payback Period (PBP), Accounting Rate of Return (ARR), Net Present Value (NPV), Profitability Index (PI), and Internal Rate of Return (IRR).</w:t>
      </w:r>
    </w:p>
    <w:p w14:paraId="364DBA40" w14:textId="0CD93953" w:rsidR="004A4D3E" w:rsidRPr="00C236AD" w:rsidRDefault="004A4D3E" w:rsidP="00C236AD">
      <w:pPr>
        <w:spacing w:after="0" w:line="360" w:lineRule="auto"/>
        <w:jc w:val="both"/>
        <w:rPr>
          <w:rFonts w:cs="Arial"/>
          <w:b/>
          <w:bCs/>
          <w:sz w:val="24"/>
          <w:szCs w:val="24"/>
          <w:lang w:val="en-GB"/>
        </w:rPr>
      </w:pPr>
      <w:r w:rsidRPr="00C236AD">
        <w:rPr>
          <w:rFonts w:cs="Arial"/>
          <w:sz w:val="24"/>
          <w:szCs w:val="24"/>
          <w:lang w:val="en-GB"/>
        </w:rPr>
        <w:t>The required discount rate is 8%, and straight</w:t>
      </w:r>
      <w:r w:rsidR="00ED72CF">
        <w:rPr>
          <w:rFonts w:cs="Arial"/>
          <w:sz w:val="24"/>
          <w:szCs w:val="24"/>
          <w:lang w:val="en-GB"/>
        </w:rPr>
        <w:t>-</w:t>
      </w:r>
      <w:r w:rsidRPr="00C236AD">
        <w:rPr>
          <w:rFonts w:cs="Arial"/>
          <w:sz w:val="24"/>
          <w:szCs w:val="24"/>
          <w:lang w:val="en-GB"/>
        </w:rPr>
        <w:t>line depreciation to zero is assumed.</w:t>
      </w:r>
    </w:p>
    <w:p w14:paraId="467888B4" w14:textId="77777777" w:rsidR="004A4D3E" w:rsidRPr="00C236AD" w:rsidRDefault="004A4D3E" w:rsidP="00C236AD">
      <w:pPr>
        <w:spacing w:after="0" w:line="360" w:lineRule="auto"/>
        <w:jc w:val="both"/>
        <w:rPr>
          <w:rFonts w:cs="Arial"/>
          <w:b/>
          <w:bCs/>
          <w:sz w:val="24"/>
          <w:szCs w:val="24"/>
          <w:lang w:val="en-GB"/>
        </w:rPr>
      </w:pPr>
    </w:p>
    <w:p w14:paraId="642B8E7D" w14:textId="77777777" w:rsidR="0013798C" w:rsidRPr="00C236AD" w:rsidRDefault="00000000" w:rsidP="00C236AD">
      <w:pPr>
        <w:spacing w:after="0" w:line="360" w:lineRule="auto"/>
        <w:jc w:val="both"/>
        <w:rPr>
          <w:rFonts w:cs="Arial"/>
          <w:b/>
          <w:bCs/>
          <w:sz w:val="24"/>
          <w:szCs w:val="24"/>
        </w:rPr>
      </w:pPr>
      <w:r w:rsidRPr="00C236AD">
        <w:rPr>
          <w:rFonts w:cs="Arial"/>
          <w:sz w:val="24"/>
          <w:szCs w:val="24"/>
        </w:rPr>
        <w:t>4.a Project information</w:t>
      </w:r>
    </w:p>
    <w:p w14:paraId="6BE35CDB" w14:textId="2D742F22" w:rsidR="00511F12" w:rsidRPr="00C236AD" w:rsidRDefault="00511F12" w:rsidP="00C236AD">
      <w:pPr>
        <w:spacing w:after="0" w:line="360" w:lineRule="auto"/>
        <w:jc w:val="both"/>
        <w:rPr>
          <w:rFonts w:cs="Arial"/>
          <w:sz w:val="24"/>
          <w:szCs w:val="24"/>
        </w:rPr>
      </w:pPr>
      <w:r w:rsidRPr="00C236AD">
        <w:rPr>
          <w:rFonts w:cs="Arial"/>
          <w:sz w:val="24"/>
          <w:szCs w:val="24"/>
        </w:rPr>
        <w:t>All projects require an initial investment of £50m and have a five</w:t>
      </w:r>
      <w:r w:rsidR="00ED72CF">
        <w:rPr>
          <w:rFonts w:cs="Arial"/>
          <w:sz w:val="24"/>
          <w:szCs w:val="24"/>
        </w:rPr>
        <w:t>-</w:t>
      </w:r>
      <w:r w:rsidRPr="00C236AD">
        <w:rPr>
          <w:rFonts w:cs="Arial"/>
          <w:sz w:val="24"/>
          <w:szCs w:val="24"/>
        </w:rPr>
        <w:t>year life.</w:t>
      </w:r>
    </w:p>
    <w:tbl>
      <w:tblPr>
        <w:tblW w:w="0" w:type="auto"/>
        <w:tblLook w:val="04A0" w:firstRow="1" w:lastRow="0" w:firstColumn="1" w:lastColumn="0" w:noHBand="0" w:noVBand="1"/>
      </w:tblPr>
      <w:tblGrid>
        <w:gridCol w:w="1440"/>
        <w:gridCol w:w="1440"/>
        <w:gridCol w:w="1440"/>
        <w:gridCol w:w="1440"/>
        <w:gridCol w:w="1440"/>
        <w:gridCol w:w="1440"/>
      </w:tblGrid>
      <w:tr w:rsidR="00511F12" w:rsidRPr="00C236AD" w14:paraId="4E6E9FEB" w14:textId="77777777" w:rsidTr="00F00090">
        <w:tc>
          <w:tcPr>
            <w:tcW w:w="1440" w:type="dxa"/>
            <w:tcBorders>
              <w:top w:val="thinThickSmallGap" w:sz="24" w:space="0" w:color="auto"/>
              <w:bottom w:val="thickThinSmallGap" w:sz="24" w:space="0" w:color="auto"/>
            </w:tcBorders>
          </w:tcPr>
          <w:p w14:paraId="0C6E1B86" w14:textId="77777777" w:rsidR="00511F12" w:rsidRPr="00C236AD" w:rsidRDefault="00511F12" w:rsidP="00C236AD">
            <w:pPr>
              <w:spacing w:after="0" w:line="360" w:lineRule="auto"/>
              <w:jc w:val="both"/>
              <w:rPr>
                <w:rFonts w:cs="Arial"/>
                <w:sz w:val="24"/>
                <w:szCs w:val="24"/>
              </w:rPr>
            </w:pPr>
            <w:r w:rsidRPr="00C236AD">
              <w:rPr>
                <w:rFonts w:cs="Arial"/>
                <w:sz w:val="24"/>
                <w:szCs w:val="24"/>
              </w:rPr>
              <w:t xml:space="preserve">Project (£m) </w:t>
            </w:r>
          </w:p>
        </w:tc>
        <w:tc>
          <w:tcPr>
            <w:tcW w:w="1440" w:type="dxa"/>
            <w:tcBorders>
              <w:top w:val="thinThickSmallGap" w:sz="24" w:space="0" w:color="auto"/>
              <w:bottom w:val="thickThinSmallGap" w:sz="24" w:space="0" w:color="auto"/>
            </w:tcBorders>
          </w:tcPr>
          <w:p w14:paraId="77228EC3" w14:textId="77777777" w:rsidR="00511F12" w:rsidRPr="00C236AD" w:rsidRDefault="00511F12" w:rsidP="00C236AD">
            <w:pPr>
              <w:spacing w:after="0" w:line="360" w:lineRule="auto"/>
              <w:jc w:val="both"/>
              <w:rPr>
                <w:rFonts w:cs="Arial"/>
                <w:sz w:val="24"/>
                <w:szCs w:val="24"/>
              </w:rPr>
            </w:pPr>
            <w:r w:rsidRPr="00C236AD">
              <w:rPr>
                <w:rFonts w:cs="Arial"/>
                <w:sz w:val="24"/>
                <w:szCs w:val="24"/>
              </w:rPr>
              <w:t>Year 1</w:t>
            </w:r>
          </w:p>
        </w:tc>
        <w:tc>
          <w:tcPr>
            <w:tcW w:w="1440" w:type="dxa"/>
            <w:tcBorders>
              <w:top w:val="thinThickSmallGap" w:sz="24" w:space="0" w:color="auto"/>
              <w:bottom w:val="thickThinSmallGap" w:sz="24" w:space="0" w:color="auto"/>
            </w:tcBorders>
          </w:tcPr>
          <w:p w14:paraId="03CBB9B1" w14:textId="77777777" w:rsidR="00511F12" w:rsidRPr="00C236AD" w:rsidRDefault="00511F12" w:rsidP="00C236AD">
            <w:pPr>
              <w:spacing w:after="0" w:line="360" w:lineRule="auto"/>
              <w:jc w:val="both"/>
              <w:rPr>
                <w:rFonts w:cs="Arial"/>
                <w:sz w:val="24"/>
                <w:szCs w:val="24"/>
              </w:rPr>
            </w:pPr>
            <w:r w:rsidRPr="00C236AD">
              <w:rPr>
                <w:rFonts w:cs="Arial"/>
                <w:sz w:val="24"/>
                <w:szCs w:val="24"/>
              </w:rPr>
              <w:t>Year 2</w:t>
            </w:r>
          </w:p>
        </w:tc>
        <w:tc>
          <w:tcPr>
            <w:tcW w:w="1440" w:type="dxa"/>
            <w:tcBorders>
              <w:top w:val="thinThickSmallGap" w:sz="24" w:space="0" w:color="auto"/>
              <w:bottom w:val="thickThinSmallGap" w:sz="24" w:space="0" w:color="auto"/>
            </w:tcBorders>
          </w:tcPr>
          <w:p w14:paraId="399F6FAD" w14:textId="77777777" w:rsidR="00511F12" w:rsidRPr="00C236AD" w:rsidRDefault="00511F12" w:rsidP="00C236AD">
            <w:pPr>
              <w:spacing w:after="0" w:line="360" w:lineRule="auto"/>
              <w:jc w:val="both"/>
              <w:rPr>
                <w:rFonts w:cs="Arial"/>
                <w:sz w:val="24"/>
                <w:szCs w:val="24"/>
              </w:rPr>
            </w:pPr>
            <w:r w:rsidRPr="00C236AD">
              <w:rPr>
                <w:rFonts w:cs="Arial"/>
                <w:sz w:val="24"/>
                <w:szCs w:val="24"/>
              </w:rPr>
              <w:t>Year 3</w:t>
            </w:r>
          </w:p>
        </w:tc>
        <w:tc>
          <w:tcPr>
            <w:tcW w:w="1440" w:type="dxa"/>
            <w:tcBorders>
              <w:top w:val="thinThickSmallGap" w:sz="24" w:space="0" w:color="auto"/>
              <w:bottom w:val="thickThinSmallGap" w:sz="24" w:space="0" w:color="auto"/>
            </w:tcBorders>
          </w:tcPr>
          <w:p w14:paraId="348C186A" w14:textId="77777777" w:rsidR="00511F12" w:rsidRPr="00C236AD" w:rsidRDefault="00511F12" w:rsidP="00C236AD">
            <w:pPr>
              <w:spacing w:after="0" w:line="360" w:lineRule="auto"/>
              <w:jc w:val="both"/>
              <w:rPr>
                <w:rFonts w:cs="Arial"/>
                <w:sz w:val="24"/>
                <w:szCs w:val="24"/>
              </w:rPr>
            </w:pPr>
            <w:r w:rsidRPr="00C236AD">
              <w:rPr>
                <w:rFonts w:cs="Arial"/>
                <w:sz w:val="24"/>
                <w:szCs w:val="24"/>
              </w:rPr>
              <w:t>Year   4</w:t>
            </w:r>
          </w:p>
        </w:tc>
        <w:tc>
          <w:tcPr>
            <w:tcW w:w="1440" w:type="dxa"/>
            <w:tcBorders>
              <w:top w:val="thinThickSmallGap" w:sz="24" w:space="0" w:color="auto"/>
              <w:bottom w:val="thickThinSmallGap" w:sz="24" w:space="0" w:color="auto"/>
            </w:tcBorders>
          </w:tcPr>
          <w:p w14:paraId="7D9168CE" w14:textId="77777777" w:rsidR="00511F12" w:rsidRPr="00C236AD" w:rsidRDefault="00511F12" w:rsidP="00C236AD">
            <w:pPr>
              <w:spacing w:after="0" w:line="360" w:lineRule="auto"/>
              <w:jc w:val="both"/>
              <w:rPr>
                <w:rFonts w:cs="Arial"/>
                <w:sz w:val="24"/>
                <w:szCs w:val="24"/>
              </w:rPr>
            </w:pPr>
            <w:r w:rsidRPr="00C236AD">
              <w:rPr>
                <w:rFonts w:cs="Arial"/>
                <w:sz w:val="24"/>
                <w:szCs w:val="24"/>
              </w:rPr>
              <w:t>Year 5</w:t>
            </w:r>
          </w:p>
        </w:tc>
      </w:tr>
      <w:tr w:rsidR="00511F12" w:rsidRPr="00C236AD" w14:paraId="712FC80A" w14:textId="77777777" w:rsidTr="00F00090">
        <w:tc>
          <w:tcPr>
            <w:tcW w:w="1440" w:type="dxa"/>
            <w:tcBorders>
              <w:top w:val="thickThinSmallGap" w:sz="24" w:space="0" w:color="auto"/>
            </w:tcBorders>
          </w:tcPr>
          <w:p w14:paraId="04F9E898" w14:textId="77777777" w:rsidR="00511F12" w:rsidRPr="00C236AD" w:rsidRDefault="00511F12" w:rsidP="00C236AD">
            <w:pPr>
              <w:spacing w:after="0" w:line="360" w:lineRule="auto"/>
              <w:jc w:val="both"/>
              <w:rPr>
                <w:rFonts w:cs="Arial"/>
                <w:sz w:val="24"/>
                <w:szCs w:val="24"/>
              </w:rPr>
            </w:pPr>
            <w:r w:rsidRPr="00C236AD">
              <w:rPr>
                <w:rFonts w:cs="Arial"/>
                <w:sz w:val="24"/>
                <w:szCs w:val="24"/>
              </w:rPr>
              <w:t>Project A</w:t>
            </w:r>
          </w:p>
        </w:tc>
        <w:tc>
          <w:tcPr>
            <w:tcW w:w="1440" w:type="dxa"/>
            <w:tcBorders>
              <w:top w:val="thickThinSmallGap" w:sz="24" w:space="0" w:color="auto"/>
            </w:tcBorders>
          </w:tcPr>
          <w:p w14:paraId="025CCA1E" w14:textId="77777777" w:rsidR="00511F12" w:rsidRPr="00C236AD" w:rsidRDefault="00511F12" w:rsidP="00C236AD">
            <w:pPr>
              <w:spacing w:after="0" w:line="360" w:lineRule="auto"/>
              <w:jc w:val="both"/>
              <w:rPr>
                <w:rFonts w:cs="Arial"/>
                <w:sz w:val="24"/>
                <w:szCs w:val="24"/>
              </w:rPr>
            </w:pPr>
            <w:r w:rsidRPr="00C236AD">
              <w:rPr>
                <w:rFonts w:cs="Arial"/>
                <w:sz w:val="24"/>
                <w:szCs w:val="24"/>
              </w:rPr>
              <w:t>10</w:t>
            </w:r>
          </w:p>
        </w:tc>
        <w:tc>
          <w:tcPr>
            <w:tcW w:w="1440" w:type="dxa"/>
            <w:tcBorders>
              <w:top w:val="thickThinSmallGap" w:sz="24" w:space="0" w:color="auto"/>
            </w:tcBorders>
          </w:tcPr>
          <w:p w14:paraId="3CC28B88" w14:textId="77777777" w:rsidR="00511F12" w:rsidRPr="00C236AD" w:rsidRDefault="00511F12" w:rsidP="00C236AD">
            <w:pPr>
              <w:spacing w:after="0" w:line="360" w:lineRule="auto"/>
              <w:jc w:val="both"/>
              <w:rPr>
                <w:rFonts w:cs="Arial"/>
                <w:sz w:val="24"/>
                <w:szCs w:val="24"/>
              </w:rPr>
            </w:pPr>
            <w:r w:rsidRPr="00C236AD">
              <w:rPr>
                <w:rFonts w:cs="Arial"/>
                <w:sz w:val="24"/>
                <w:szCs w:val="24"/>
              </w:rPr>
              <w:t>12</w:t>
            </w:r>
          </w:p>
        </w:tc>
        <w:tc>
          <w:tcPr>
            <w:tcW w:w="1440" w:type="dxa"/>
            <w:tcBorders>
              <w:top w:val="thickThinSmallGap" w:sz="24" w:space="0" w:color="auto"/>
            </w:tcBorders>
          </w:tcPr>
          <w:p w14:paraId="0E6FC7D0" w14:textId="77777777" w:rsidR="00511F12" w:rsidRPr="00C236AD" w:rsidRDefault="00511F12" w:rsidP="00C236AD">
            <w:pPr>
              <w:spacing w:after="0" w:line="360" w:lineRule="auto"/>
              <w:jc w:val="both"/>
              <w:rPr>
                <w:rFonts w:cs="Arial"/>
                <w:sz w:val="24"/>
                <w:szCs w:val="24"/>
              </w:rPr>
            </w:pPr>
            <w:r w:rsidRPr="00C236AD">
              <w:rPr>
                <w:rFonts w:cs="Arial"/>
                <w:sz w:val="24"/>
                <w:szCs w:val="24"/>
              </w:rPr>
              <w:t>14</w:t>
            </w:r>
          </w:p>
        </w:tc>
        <w:tc>
          <w:tcPr>
            <w:tcW w:w="1440" w:type="dxa"/>
            <w:tcBorders>
              <w:top w:val="thickThinSmallGap" w:sz="24" w:space="0" w:color="auto"/>
            </w:tcBorders>
          </w:tcPr>
          <w:p w14:paraId="71513427" w14:textId="77777777" w:rsidR="00511F12" w:rsidRPr="00C236AD" w:rsidRDefault="00511F12" w:rsidP="00C236AD">
            <w:pPr>
              <w:spacing w:after="0" w:line="360" w:lineRule="auto"/>
              <w:jc w:val="both"/>
              <w:rPr>
                <w:rFonts w:cs="Arial"/>
                <w:sz w:val="24"/>
                <w:szCs w:val="24"/>
              </w:rPr>
            </w:pPr>
            <w:r w:rsidRPr="00C236AD">
              <w:rPr>
                <w:rFonts w:cs="Arial"/>
                <w:sz w:val="24"/>
                <w:szCs w:val="24"/>
              </w:rPr>
              <w:t>10</w:t>
            </w:r>
          </w:p>
        </w:tc>
        <w:tc>
          <w:tcPr>
            <w:tcW w:w="1440" w:type="dxa"/>
            <w:tcBorders>
              <w:top w:val="thickThinSmallGap" w:sz="24" w:space="0" w:color="auto"/>
            </w:tcBorders>
          </w:tcPr>
          <w:p w14:paraId="534AA1D8" w14:textId="77777777" w:rsidR="00511F12" w:rsidRPr="00C236AD" w:rsidRDefault="00511F12" w:rsidP="00C236AD">
            <w:pPr>
              <w:spacing w:after="0" w:line="360" w:lineRule="auto"/>
              <w:jc w:val="both"/>
              <w:rPr>
                <w:rFonts w:cs="Arial"/>
                <w:sz w:val="24"/>
                <w:szCs w:val="24"/>
              </w:rPr>
            </w:pPr>
            <w:r w:rsidRPr="00C236AD">
              <w:rPr>
                <w:rFonts w:cs="Arial"/>
                <w:sz w:val="24"/>
                <w:szCs w:val="24"/>
              </w:rPr>
              <w:t>8</w:t>
            </w:r>
          </w:p>
        </w:tc>
      </w:tr>
      <w:tr w:rsidR="00511F12" w:rsidRPr="00C236AD" w14:paraId="7E3AACCE" w14:textId="77777777" w:rsidTr="00F00090">
        <w:tc>
          <w:tcPr>
            <w:tcW w:w="1440" w:type="dxa"/>
          </w:tcPr>
          <w:p w14:paraId="511A090A" w14:textId="77777777" w:rsidR="00511F12" w:rsidRPr="00C236AD" w:rsidRDefault="00511F12" w:rsidP="00C236AD">
            <w:pPr>
              <w:spacing w:after="0" w:line="360" w:lineRule="auto"/>
              <w:jc w:val="both"/>
              <w:rPr>
                <w:rFonts w:cs="Arial"/>
                <w:sz w:val="24"/>
                <w:szCs w:val="24"/>
              </w:rPr>
            </w:pPr>
            <w:r w:rsidRPr="00C236AD">
              <w:rPr>
                <w:rFonts w:cs="Arial"/>
                <w:sz w:val="24"/>
                <w:szCs w:val="24"/>
              </w:rPr>
              <w:lastRenderedPageBreak/>
              <w:t>Project B</w:t>
            </w:r>
          </w:p>
        </w:tc>
        <w:tc>
          <w:tcPr>
            <w:tcW w:w="1440" w:type="dxa"/>
          </w:tcPr>
          <w:p w14:paraId="6ED9A390" w14:textId="77777777" w:rsidR="00511F12" w:rsidRPr="00C236AD" w:rsidRDefault="00511F12" w:rsidP="00C236AD">
            <w:pPr>
              <w:spacing w:after="0" w:line="360" w:lineRule="auto"/>
              <w:jc w:val="both"/>
              <w:rPr>
                <w:rFonts w:cs="Arial"/>
                <w:sz w:val="24"/>
                <w:szCs w:val="24"/>
              </w:rPr>
            </w:pPr>
            <w:r w:rsidRPr="00C236AD">
              <w:rPr>
                <w:rFonts w:cs="Arial"/>
                <w:sz w:val="24"/>
                <w:szCs w:val="24"/>
              </w:rPr>
              <w:t>11</w:t>
            </w:r>
          </w:p>
        </w:tc>
        <w:tc>
          <w:tcPr>
            <w:tcW w:w="1440" w:type="dxa"/>
          </w:tcPr>
          <w:p w14:paraId="2E64D0D6" w14:textId="77777777" w:rsidR="00511F12" w:rsidRPr="00C236AD" w:rsidRDefault="00511F12" w:rsidP="00C236AD">
            <w:pPr>
              <w:spacing w:after="0" w:line="360" w:lineRule="auto"/>
              <w:jc w:val="both"/>
              <w:rPr>
                <w:rFonts w:cs="Arial"/>
                <w:sz w:val="24"/>
                <w:szCs w:val="24"/>
              </w:rPr>
            </w:pPr>
            <w:r w:rsidRPr="00C236AD">
              <w:rPr>
                <w:rFonts w:cs="Arial"/>
                <w:sz w:val="24"/>
                <w:szCs w:val="24"/>
              </w:rPr>
              <w:t>11</w:t>
            </w:r>
          </w:p>
        </w:tc>
        <w:tc>
          <w:tcPr>
            <w:tcW w:w="1440" w:type="dxa"/>
          </w:tcPr>
          <w:p w14:paraId="6CAC6F97" w14:textId="77777777" w:rsidR="00511F12" w:rsidRPr="00C236AD" w:rsidRDefault="00511F12" w:rsidP="00C236AD">
            <w:pPr>
              <w:spacing w:after="0" w:line="360" w:lineRule="auto"/>
              <w:jc w:val="both"/>
              <w:rPr>
                <w:rFonts w:cs="Arial"/>
                <w:sz w:val="24"/>
                <w:szCs w:val="24"/>
              </w:rPr>
            </w:pPr>
            <w:r w:rsidRPr="00C236AD">
              <w:rPr>
                <w:rFonts w:cs="Arial"/>
                <w:sz w:val="24"/>
                <w:szCs w:val="24"/>
              </w:rPr>
              <w:t>11</w:t>
            </w:r>
          </w:p>
        </w:tc>
        <w:tc>
          <w:tcPr>
            <w:tcW w:w="1440" w:type="dxa"/>
          </w:tcPr>
          <w:p w14:paraId="2E41E97F" w14:textId="77777777" w:rsidR="00511F12" w:rsidRPr="00C236AD" w:rsidRDefault="00511F12" w:rsidP="00C236AD">
            <w:pPr>
              <w:spacing w:after="0" w:line="360" w:lineRule="auto"/>
              <w:jc w:val="both"/>
              <w:rPr>
                <w:rFonts w:cs="Arial"/>
                <w:sz w:val="24"/>
                <w:szCs w:val="24"/>
              </w:rPr>
            </w:pPr>
            <w:r w:rsidRPr="00C236AD">
              <w:rPr>
                <w:rFonts w:cs="Arial"/>
                <w:sz w:val="24"/>
                <w:szCs w:val="24"/>
              </w:rPr>
              <w:t>11</w:t>
            </w:r>
          </w:p>
        </w:tc>
        <w:tc>
          <w:tcPr>
            <w:tcW w:w="1440" w:type="dxa"/>
          </w:tcPr>
          <w:p w14:paraId="31A76782" w14:textId="77777777" w:rsidR="00511F12" w:rsidRPr="00C236AD" w:rsidRDefault="00511F12" w:rsidP="00C236AD">
            <w:pPr>
              <w:spacing w:after="0" w:line="360" w:lineRule="auto"/>
              <w:jc w:val="both"/>
              <w:rPr>
                <w:rFonts w:cs="Arial"/>
                <w:sz w:val="24"/>
                <w:szCs w:val="24"/>
              </w:rPr>
            </w:pPr>
            <w:r w:rsidRPr="00C236AD">
              <w:rPr>
                <w:rFonts w:cs="Arial"/>
                <w:sz w:val="24"/>
                <w:szCs w:val="24"/>
              </w:rPr>
              <w:t>11</w:t>
            </w:r>
          </w:p>
        </w:tc>
      </w:tr>
      <w:tr w:rsidR="00511F12" w:rsidRPr="00C236AD" w14:paraId="7377415B" w14:textId="77777777" w:rsidTr="00F00090">
        <w:tc>
          <w:tcPr>
            <w:tcW w:w="1440" w:type="dxa"/>
            <w:tcBorders>
              <w:bottom w:val="thickThinSmallGap" w:sz="24" w:space="0" w:color="auto"/>
            </w:tcBorders>
          </w:tcPr>
          <w:p w14:paraId="2C045F16" w14:textId="77777777" w:rsidR="00511F12" w:rsidRPr="00C236AD" w:rsidRDefault="00511F12" w:rsidP="00C236AD">
            <w:pPr>
              <w:spacing w:after="0" w:line="360" w:lineRule="auto"/>
              <w:jc w:val="both"/>
              <w:rPr>
                <w:rFonts w:cs="Arial"/>
                <w:sz w:val="24"/>
                <w:szCs w:val="24"/>
              </w:rPr>
            </w:pPr>
            <w:r w:rsidRPr="00C236AD">
              <w:rPr>
                <w:rFonts w:cs="Arial"/>
                <w:sz w:val="24"/>
                <w:szCs w:val="24"/>
              </w:rPr>
              <w:t>Project C</w:t>
            </w:r>
          </w:p>
        </w:tc>
        <w:tc>
          <w:tcPr>
            <w:tcW w:w="1440" w:type="dxa"/>
            <w:tcBorders>
              <w:bottom w:val="thickThinSmallGap" w:sz="24" w:space="0" w:color="auto"/>
            </w:tcBorders>
          </w:tcPr>
          <w:p w14:paraId="3EC09965" w14:textId="77777777" w:rsidR="00511F12" w:rsidRPr="00C236AD" w:rsidRDefault="00511F12" w:rsidP="00C236AD">
            <w:pPr>
              <w:spacing w:after="0" w:line="360" w:lineRule="auto"/>
              <w:jc w:val="both"/>
              <w:rPr>
                <w:rFonts w:cs="Arial"/>
                <w:sz w:val="24"/>
                <w:szCs w:val="24"/>
              </w:rPr>
            </w:pPr>
            <w:r w:rsidRPr="00C236AD">
              <w:rPr>
                <w:rFonts w:cs="Arial"/>
                <w:sz w:val="24"/>
                <w:szCs w:val="24"/>
              </w:rPr>
              <w:t>5</w:t>
            </w:r>
          </w:p>
        </w:tc>
        <w:tc>
          <w:tcPr>
            <w:tcW w:w="1440" w:type="dxa"/>
            <w:tcBorders>
              <w:bottom w:val="thickThinSmallGap" w:sz="24" w:space="0" w:color="auto"/>
            </w:tcBorders>
          </w:tcPr>
          <w:p w14:paraId="7DC99FB0" w14:textId="77777777" w:rsidR="00511F12" w:rsidRPr="00C236AD" w:rsidRDefault="00511F12" w:rsidP="00C236AD">
            <w:pPr>
              <w:spacing w:after="0" w:line="360" w:lineRule="auto"/>
              <w:jc w:val="both"/>
              <w:rPr>
                <w:rFonts w:cs="Arial"/>
                <w:sz w:val="24"/>
                <w:szCs w:val="24"/>
              </w:rPr>
            </w:pPr>
            <w:r w:rsidRPr="00C236AD">
              <w:rPr>
                <w:rFonts w:cs="Arial"/>
                <w:sz w:val="24"/>
                <w:szCs w:val="24"/>
              </w:rPr>
              <w:t>10</w:t>
            </w:r>
          </w:p>
        </w:tc>
        <w:tc>
          <w:tcPr>
            <w:tcW w:w="1440" w:type="dxa"/>
            <w:tcBorders>
              <w:bottom w:val="thickThinSmallGap" w:sz="24" w:space="0" w:color="auto"/>
            </w:tcBorders>
          </w:tcPr>
          <w:p w14:paraId="3B0027A3" w14:textId="77777777" w:rsidR="00511F12" w:rsidRPr="00C236AD" w:rsidRDefault="00511F12" w:rsidP="00C236AD">
            <w:pPr>
              <w:spacing w:after="0" w:line="360" w:lineRule="auto"/>
              <w:jc w:val="both"/>
              <w:rPr>
                <w:rFonts w:cs="Arial"/>
                <w:sz w:val="24"/>
                <w:szCs w:val="24"/>
              </w:rPr>
            </w:pPr>
            <w:r w:rsidRPr="00C236AD">
              <w:rPr>
                <w:rFonts w:cs="Arial"/>
                <w:sz w:val="24"/>
                <w:szCs w:val="24"/>
              </w:rPr>
              <w:t>20</w:t>
            </w:r>
          </w:p>
        </w:tc>
        <w:tc>
          <w:tcPr>
            <w:tcW w:w="1440" w:type="dxa"/>
            <w:tcBorders>
              <w:bottom w:val="thickThinSmallGap" w:sz="24" w:space="0" w:color="auto"/>
            </w:tcBorders>
          </w:tcPr>
          <w:p w14:paraId="0FFD6612" w14:textId="77777777" w:rsidR="00511F12" w:rsidRPr="00C236AD" w:rsidRDefault="00511F12" w:rsidP="00C236AD">
            <w:pPr>
              <w:spacing w:after="0" w:line="360" w:lineRule="auto"/>
              <w:jc w:val="both"/>
              <w:rPr>
                <w:rFonts w:cs="Arial"/>
                <w:sz w:val="24"/>
                <w:szCs w:val="24"/>
              </w:rPr>
            </w:pPr>
            <w:r w:rsidRPr="00C236AD">
              <w:rPr>
                <w:rFonts w:cs="Arial"/>
                <w:sz w:val="24"/>
                <w:szCs w:val="24"/>
              </w:rPr>
              <w:t>25</w:t>
            </w:r>
          </w:p>
        </w:tc>
        <w:tc>
          <w:tcPr>
            <w:tcW w:w="1440" w:type="dxa"/>
            <w:tcBorders>
              <w:bottom w:val="thickThinSmallGap" w:sz="24" w:space="0" w:color="auto"/>
            </w:tcBorders>
          </w:tcPr>
          <w:p w14:paraId="07416974" w14:textId="77777777" w:rsidR="00511F12" w:rsidRPr="00C236AD" w:rsidRDefault="00511F12" w:rsidP="00C236AD">
            <w:pPr>
              <w:spacing w:after="0" w:line="360" w:lineRule="auto"/>
              <w:jc w:val="both"/>
              <w:rPr>
                <w:rFonts w:cs="Arial"/>
                <w:sz w:val="24"/>
                <w:szCs w:val="24"/>
              </w:rPr>
            </w:pPr>
            <w:r w:rsidRPr="00C236AD">
              <w:rPr>
                <w:rFonts w:cs="Arial"/>
                <w:sz w:val="24"/>
                <w:szCs w:val="24"/>
              </w:rPr>
              <w:t>5</w:t>
            </w:r>
          </w:p>
        </w:tc>
      </w:tr>
    </w:tbl>
    <w:p w14:paraId="2AF810C2" w14:textId="6D1E86CA" w:rsidR="0013798C" w:rsidRPr="00C236AD" w:rsidRDefault="00000000" w:rsidP="00C236AD">
      <w:pPr>
        <w:spacing w:after="0" w:line="360" w:lineRule="auto"/>
        <w:jc w:val="both"/>
        <w:rPr>
          <w:rFonts w:cs="Arial"/>
          <w:sz w:val="24"/>
          <w:szCs w:val="24"/>
        </w:rPr>
      </w:pPr>
      <w:r w:rsidRPr="00C236AD">
        <w:rPr>
          <w:rFonts w:cs="Arial"/>
          <w:sz w:val="24"/>
          <w:szCs w:val="24"/>
        </w:rPr>
        <w:t>Discount rate = 8%</w:t>
      </w:r>
    </w:p>
    <w:p w14:paraId="09A79BCD" w14:textId="21E005C5" w:rsidR="0013798C" w:rsidRPr="00C236AD" w:rsidRDefault="00000000" w:rsidP="00C236AD">
      <w:pPr>
        <w:spacing w:after="0" w:line="360" w:lineRule="auto"/>
        <w:jc w:val="both"/>
        <w:rPr>
          <w:rFonts w:cs="Arial"/>
          <w:sz w:val="24"/>
          <w:szCs w:val="24"/>
        </w:rPr>
      </w:pPr>
      <w:r w:rsidRPr="00C236AD">
        <w:rPr>
          <w:rFonts w:cs="Arial"/>
          <w:sz w:val="24"/>
          <w:szCs w:val="24"/>
        </w:rPr>
        <w:t>Initial investment = £50m</w:t>
      </w:r>
    </w:p>
    <w:p w14:paraId="7E10B939" w14:textId="1FC7B920" w:rsidR="0013798C" w:rsidRPr="00C236AD" w:rsidRDefault="00000000" w:rsidP="00C236AD">
      <w:pPr>
        <w:spacing w:after="0" w:line="360" w:lineRule="auto"/>
        <w:jc w:val="both"/>
        <w:rPr>
          <w:rFonts w:cs="Arial"/>
          <w:sz w:val="24"/>
          <w:szCs w:val="24"/>
        </w:rPr>
      </w:pPr>
      <w:r w:rsidRPr="00C236AD">
        <w:rPr>
          <w:rFonts w:cs="Arial"/>
          <w:sz w:val="24"/>
          <w:szCs w:val="24"/>
        </w:rPr>
        <w:t>Straight</w:t>
      </w:r>
      <w:r w:rsidR="00ED72CF">
        <w:rPr>
          <w:rFonts w:cs="Arial"/>
          <w:sz w:val="24"/>
          <w:szCs w:val="24"/>
        </w:rPr>
        <w:t>-</w:t>
      </w:r>
      <w:r w:rsidRPr="00C236AD">
        <w:rPr>
          <w:rFonts w:cs="Arial"/>
          <w:sz w:val="24"/>
          <w:szCs w:val="24"/>
        </w:rPr>
        <w:t>line depreciation:</w:t>
      </w:r>
    </w:p>
    <w:p w14:paraId="7CF63941" w14:textId="1EA1E537" w:rsidR="0013798C" w:rsidRPr="00C236AD" w:rsidRDefault="00000000" w:rsidP="00C236AD">
      <w:pPr>
        <w:spacing w:after="0" w:line="360" w:lineRule="auto"/>
        <w:jc w:val="both"/>
        <w:rPr>
          <w:rFonts w:cs="Arial"/>
          <w:sz w:val="24"/>
          <w:szCs w:val="24"/>
        </w:rPr>
      </w:pPr>
      <w:r w:rsidRPr="00C236AD">
        <w:rPr>
          <w:rFonts w:cs="Arial"/>
          <w:sz w:val="24"/>
          <w:szCs w:val="24"/>
        </w:rPr>
        <w:t>£50m ÷ 5 years = £10m per year</w:t>
      </w:r>
    </w:p>
    <w:p w14:paraId="0CFF658F" w14:textId="67391195" w:rsidR="0013798C" w:rsidRPr="00C236AD" w:rsidRDefault="00000000" w:rsidP="00C236AD">
      <w:pPr>
        <w:spacing w:after="0" w:line="360" w:lineRule="auto"/>
        <w:jc w:val="both"/>
        <w:rPr>
          <w:rFonts w:cs="Arial"/>
          <w:sz w:val="24"/>
          <w:szCs w:val="24"/>
        </w:rPr>
      </w:pPr>
      <w:r w:rsidRPr="00C236AD">
        <w:rPr>
          <w:rFonts w:cs="Arial"/>
          <w:sz w:val="24"/>
          <w:szCs w:val="24"/>
        </w:rPr>
        <w:t xml:space="preserve">4.b </w:t>
      </w:r>
      <w:bookmarkStart w:id="3" w:name="_Hlk237447570"/>
      <w:r w:rsidR="0003016E">
        <w:rPr>
          <w:rFonts w:cs="Arial"/>
          <w:sz w:val="24"/>
          <w:szCs w:val="24"/>
        </w:rPr>
        <w:t xml:space="preserve">Calculation of </w:t>
      </w:r>
      <w:r w:rsidR="0003016E" w:rsidRPr="0003016E">
        <w:rPr>
          <w:rFonts w:cs="Arial"/>
          <w:b/>
          <w:bCs/>
          <w:sz w:val="24"/>
          <w:szCs w:val="24"/>
        </w:rPr>
        <w:t xml:space="preserve">PBP, ARR, NPV, PI, </w:t>
      </w:r>
      <w:r w:rsidR="0003016E" w:rsidRPr="0003016E">
        <w:rPr>
          <w:rFonts w:cs="Arial"/>
          <w:sz w:val="24"/>
          <w:szCs w:val="24"/>
        </w:rPr>
        <w:t xml:space="preserve">and </w:t>
      </w:r>
      <w:r w:rsidR="0003016E" w:rsidRPr="0003016E">
        <w:rPr>
          <w:rFonts w:cs="Arial"/>
          <w:b/>
          <w:bCs/>
          <w:sz w:val="24"/>
          <w:szCs w:val="24"/>
        </w:rPr>
        <w:t>IRR</w:t>
      </w:r>
      <w:r w:rsidR="0003016E" w:rsidRPr="0003016E">
        <w:rPr>
          <w:rFonts w:cs="Arial"/>
          <w:sz w:val="24"/>
          <w:szCs w:val="24"/>
        </w:rPr>
        <w:t>.</w:t>
      </w:r>
      <w:bookmarkEnd w:id="3"/>
    </w:p>
    <w:p w14:paraId="5418F92B" w14:textId="1243FCF2" w:rsidR="00FD5F42" w:rsidRDefault="004A4D3E" w:rsidP="00FD5F42">
      <w:pPr>
        <w:spacing w:after="0" w:line="360" w:lineRule="auto"/>
        <w:jc w:val="both"/>
        <w:rPr>
          <w:rFonts w:cs="Arial"/>
          <w:sz w:val="24"/>
          <w:szCs w:val="24"/>
          <w:lang w:val="en-GB"/>
        </w:rPr>
      </w:pPr>
      <w:r w:rsidRPr="00C236AD">
        <w:rPr>
          <w:rFonts w:cs="Arial"/>
          <w:sz w:val="24"/>
          <w:szCs w:val="24"/>
          <w:lang w:val="en-GB"/>
        </w:rPr>
        <w:t>The Payback Period measures how long it takes for the initial investment to be recovered from the project's cash inflows.</w:t>
      </w:r>
      <w:r w:rsidR="00FD5F42">
        <w:rPr>
          <w:rFonts w:cs="Arial"/>
          <w:sz w:val="24"/>
          <w:szCs w:val="24"/>
          <w:lang w:val="en-GB"/>
        </w:rPr>
        <w:t xml:space="preserve"> </w:t>
      </w:r>
      <w:r w:rsidR="00FD5F42" w:rsidRPr="00FD5F42">
        <w:rPr>
          <w:rFonts w:cs="Arial"/>
          <w:sz w:val="24"/>
          <w:szCs w:val="24"/>
        </w:rPr>
        <w:t>Although the payback method is simple and useful for assessing liquidity and capital recovery, it does not fully consider the time value of money (Brealey, Myers and Allen, 2020).</w:t>
      </w:r>
    </w:p>
    <w:p w14:paraId="3A9ACA49" w14:textId="7BC7FE67" w:rsidR="00533B71" w:rsidRDefault="00FD5F42" w:rsidP="00FD5F42">
      <w:pPr>
        <w:spacing w:after="0" w:line="360" w:lineRule="auto"/>
        <w:jc w:val="both"/>
        <w:rPr>
          <w:rFonts w:cs="Arial"/>
          <w:sz w:val="24"/>
          <w:szCs w:val="24"/>
          <w:lang w:val="en-GB"/>
        </w:rPr>
      </w:pPr>
      <w:r>
        <w:rPr>
          <w:rFonts w:cs="Arial"/>
          <w:sz w:val="24"/>
          <w:szCs w:val="24"/>
          <w:lang w:val="en-GB"/>
        </w:rPr>
        <w:t>The</w:t>
      </w:r>
      <w:r w:rsidR="00533B71" w:rsidRPr="00C236AD">
        <w:rPr>
          <w:rFonts w:cs="Arial"/>
          <w:sz w:val="24"/>
          <w:szCs w:val="24"/>
          <w:lang w:val="en-GB"/>
        </w:rPr>
        <w:t xml:space="preserve"> ARR measures the average annual accounting profit generated by the investment relative to the average investment.</w:t>
      </w:r>
      <w:r>
        <w:rPr>
          <w:rFonts w:cs="Arial"/>
          <w:sz w:val="24"/>
          <w:szCs w:val="24"/>
          <w:lang w:val="en-GB"/>
        </w:rPr>
        <w:t xml:space="preserve"> </w:t>
      </w:r>
      <w:r w:rsidRPr="00FD5F42">
        <w:rPr>
          <w:rFonts w:cs="Arial"/>
          <w:sz w:val="24"/>
          <w:szCs w:val="24"/>
        </w:rPr>
        <w:t>ARR is based on accounting profit rather than cash flow and should therefore be considered alongside investment appraisal methods based on discounted cash flows (Berk and DeMarzo, 2020).</w:t>
      </w:r>
    </w:p>
    <w:p w14:paraId="4E7D7516" w14:textId="60192D18" w:rsidR="00533B71" w:rsidRDefault="00533B71" w:rsidP="00533B71">
      <w:pPr>
        <w:spacing w:after="0" w:line="360" w:lineRule="auto"/>
        <w:jc w:val="both"/>
        <w:rPr>
          <w:rFonts w:cs="Arial"/>
          <w:sz w:val="24"/>
          <w:szCs w:val="24"/>
          <w:lang w:val="en-GB"/>
        </w:rPr>
      </w:pPr>
      <w:r w:rsidRPr="00C236AD">
        <w:rPr>
          <w:rFonts w:cs="Arial"/>
          <w:sz w:val="24"/>
          <w:szCs w:val="24"/>
          <w:lang w:val="en-GB"/>
        </w:rPr>
        <w:t>NPV considers the time value of money and compares the present value of future cash inflows with the initial investment.</w:t>
      </w:r>
      <w:r w:rsidR="00FD5F42">
        <w:rPr>
          <w:rFonts w:cs="Arial"/>
          <w:sz w:val="24"/>
          <w:szCs w:val="24"/>
          <w:lang w:val="en-GB"/>
        </w:rPr>
        <w:t xml:space="preserve"> </w:t>
      </w:r>
      <w:r w:rsidR="00FD5F42" w:rsidRPr="00FD5F42">
        <w:rPr>
          <w:rFonts w:cs="Arial"/>
          <w:sz w:val="24"/>
          <w:szCs w:val="24"/>
        </w:rPr>
        <w:t>NPV is generally regarded as one of the strongest investment appraisal methods because it measures the expected contribution of an investment to shareholder value (Brealey, Myers and Allen, 2020).</w:t>
      </w:r>
    </w:p>
    <w:p w14:paraId="50036359" w14:textId="2D074033" w:rsidR="00533B71" w:rsidRDefault="00533B71" w:rsidP="00533B71">
      <w:pPr>
        <w:spacing w:after="0" w:line="360" w:lineRule="auto"/>
        <w:jc w:val="both"/>
        <w:rPr>
          <w:rFonts w:cs="Arial"/>
          <w:sz w:val="24"/>
          <w:szCs w:val="24"/>
          <w:lang w:val="en-GB"/>
        </w:rPr>
      </w:pPr>
      <w:r w:rsidRPr="00C236AD">
        <w:rPr>
          <w:rFonts w:cs="Arial"/>
          <w:sz w:val="24"/>
          <w:szCs w:val="24"/>
          <w:lang w:val="en-GB"/>
        </w:rPr>
        <w:t>The Profitability Index measures the present value generated for each £1 invested</w:t>
      </w:r>
    </w:p>
    <w:p w14:paraId="2D15F3C9" w14:textId="156722D9" w:rsidR="00533B71" w:rsidRPr="00C236AD" w:rsidRDefault="00533B71" w:rsidP="00533B71">
      <w:pPr>
        <w:spacing w:after="0" w:line="360" w:lineRule="auto"/>
        <w:jc w:val="both"/>
        <w:rPr>
          <w:rFonts w:cs="Arial"/>
          <w:b/>
          <w:bCs/>
          <w:sz w:val="24"/>
          <w:szCs w:val="24"/>
          <w:lang w:val="en-GB"/>
        </w:rPr>
      </w:pPr>
      <w:r w:rsidRPr="00C236AD">
        <w:rPr>
          <w:rFonts w:cs="Arial"/>
          <w:sz w:val="24"/>
          <w:szCs w:val="24"/>
          <w:lang w:val="en-GB"/>
        </w:rPr>
        <w:t>The IRR is the discount rate at which NPV equals zero.</w:t>
      </w:r>
      <w:r w:rsidR="00FD5F42">
        <w:rPr>
          <w:rFonts w:cs="Arial"/>
          <w:sz w:val="24"/>
          <w:szCs w:val="24"/>
          <w:lang w:val="en-GB"/>
        </w:rPr>
        <w:t xml:space="preserve"> </w:t>
      </w:r>
      <w:r w:rsidR="00FD5F42" w:rsidRPr="00FD5F42">
        <w:rPr>
          <w:rFonts w:cs="Arial"/>
          <w:sz w:val="24"/>
          <w:szCs w:val="24"/>
          <w:lang w:val="en-GB"/>
        </w:rPr>
        <w:t>An investment is normally considered financially attractive when its IRR exceeds the required rate of return, provided that the underlying cash-flow assumptions are reliable (Ross, Westerfield and Jordan, 2022).</w:t>
      </w:r>
    </w:p>
    <w:p w14:paraId="1D43D635" w14:textId="77777777" w:rsidR="00533B71" w:rsidRPr="00C236AD" w:rsidRDefault="00533B71" w:rsidP="00533B71">
      <w:pPr>
        <w:spacing w:after="0" w:line="360" w:lineRule="auto"/>
        <w:jc w:val="both"/>
        <w:rPr>
          <w:rFonts w:cs="Arial"/>
          <w:b/>
          <w:bCs/>
          <w:sz w:val="24"/>
          <w:szCs w:val="24"/>
          <w:lang w:val="en-GB"/>
        </w:rPr>
      </w:pPr>
    </w:p>
    <w:p w14:paraId="47A485B9" w14:textId="77777777" w:rsidR="00967C62" w:rsidRDefault="00967C62" w:rsidP="00C236AD">
      <w:pPr>
        <w:spacing w:after="0" w:line="360" w:lineRule="auto"/>
        <w:jc w:val="both"/>
        <w:rPr>
          <w:rFonts w:cs="Arial"/>
          <w:sz w:val="24"/>
          <w:szCs w:val="24"/>
          <w:lang w:val="en-GB"/>
        </w:rPr>
      </w:pPr>
    </w:p>
    <w:p w14:paraId="711AE519" w14:textId="77777777" w:rsidR="00967C62" w:rsidRDefault="00967C62" w:rsidP="00C236AD">
      <w:pPr>
        <w:spacing w:after="0" w:line="360" w:lineRule="auto"/>
        <w:jc w:val="both"/>
        <w:rPr>
          <w:rFonts w:cs="Arial"/>
          <w:sz w:val="24"/>
          <w:szCs w:val="24"/>
          <w:lang w:val="en-GB"/>
        </w:rPr>
      </w:pPr>
    </w:p>
    <w:p w14:paraId="45823220" w14:textId="76DCE2AC" w:rsidR="0003016E" w:rsidRPr="00A25752" w:rsidRDefault="00967C62" w:rsidP="00C236AD">
      <w:pPr>
        <w:spacing w:after="0" w:line="360" w:lineRule="auto"/>
        <w:jc w:val="both"/>
        <w:rPr>
          <w:rFonts w:cs="Arial"/>
          <w:sz w:val="24"/>
          <w:szCs w:val="24"/>
        </w:rPr>
      </w:pPr>
      <w:r>
        <w:rPr>
          <w:rFonts w:cs="Arial"/>
          <w:sz w:val="24"/>
          <w:szCs w:val="24"/>
          <w:lang w:val="en-GB"/>
        </w:rPr>
        <w:t xml:space="preserve">Table: </w:t>
      </w:r>
      <w:r w:rsidR="00A25752">
        <w:rPr>
          <w:rFonts w:cs="Arial"/>
          <w:sz w:val="24"/>
          <w:szCs w:val="24"/>
          <w:lang w:val="en-GB"/>
        </w:rPr>
        <w:t xml:space="preserve">summary of </w:t>
      </w:r>
      <w:r w:rsidR="00A25752" w:rsidRPr="0003016E">
        <w:rPr>
          <w:rFonts w:cs="Arial"/>
          <w:b/>
          <w:bCs/>
          <w:sz w:val="24"/>
          <w:szCs w:val="24"/>
        </w:rPr>
        <w:t xml:space="preserve">PBP, ARR, NPV, PI, </w:t>
      </w:r>
      <w:r w:rsidR="00A25752" w:rsidRPr="0003016E">
        <w:rPr>
          <w:rFonts w:cs="Arial"/>
          <w:sz w:val="24"/>
          <w:szCs w:val="24"/>
        </w:rPr>
        <w:t xml:space="preserve">and </w:t>
      </w:r>
      <w:r w:rsidR="00A25752" w:rsidRPr="0003016E">
        <w:rPr>
          <w:rFonts w:cs="Arial"/>
          <w:b/>
          <w:bCs/>
          <w:sz w:val="24"/>
          <w:szCs w:val="24"/>
        </w:rPr>
        <w:t>IRR</w:t>
      </w:r>
      <w:r w:rsidR="00A25752" w:rsidRPr="0003016E">
        <w:rPr>
          <w:rFonts w:cs="Arial"/>
          <w:sz w:val="24"/>
          <w:szCs w:val="24"/>
        </w:rPr>
        <w:t>.</w:t>
      </w:r>
    </w:p>
    <w:tbl>
      <w:tblPr>
        <w:tblW w:w="0" w:type="auto"/>
        <w:tblLook w:val="04A0" w:firstRow="1" w:lastRow="0" w:firstColumn="1" w:lastColumn="0" w:noHBand="0" w:noVBand="1"/>
      </w:tblPr>
      <w:tblGrid>
        <w:gridCol w:w="3261"/>
        <w:gridCol w:w="1559"/>
        <w:gridCol w:w="1660"/>
        <w:gridCol w:w="2160"/>
      </w:tblGrid>
      <w:tr w:rsidR="0003016E" w:rsidRPr="00C236AD" w14:paraId="42BAA79D" w14:textId="77777777" w:rsidTr="00D55FC4">
        <w:tc>
          <w:tcPr>
            <w:tcW w:w="3261" w:type="dxa"/>
            <w:tcBorders>
              <w:top w:val="thinThickSmallGap" w:sz="24" w:space="0" w:color="auto"/>
              <w:bottom w:val="thickThinSmallGap" w:sz="24" w:space="0" w:color="auto"/>
            </w:tcBorders>
          </w:tcPr>
          <w:p w14:paraId="2EC9C234" w14:textId="77777777" w:rsidR="0003016E" w:rsidRPr="00C236AD" w:rsidRDefault="0003016E" w:rsidP="00D55FC4">
            <w:pPr>
              <w:spacing w:after="0" w:line="360" w:lineRule="auto"/>
              <w:jc w:val="both"/>
              <w:rPr>
                <w:rFonts w:cs="Arial"/>
                <w:sz w:val="24"/>
                <w:szCs w:val="24"/>
              </w:rPr>
            </w:pPr>
            <w:r w:rsidRPr="00C236AD">
              <w:rPr>
                <w:rFonts w:cs="Arial"/>
                <w:sz w:val="24"/>
                <w:szCs w:val="24"/>
              </w:rPr>
              <w:t xml:space="preserve">Measure </w:t>
            </w:r>
          </w:p>
        </w:tc>
        <w:tc>
          <w:tcPr>
            <w:tcW w:w="1559" w:type="dxa"/>
            <w:tcBorders>
              <w:top w:val="thinThickSmallGap" w:sz="24" w:space="0" w:color="auto"/>
              <w:bottom w:val="thickThinSmallGap" w:sz="24" w:space="0" w:color="auto"/>
            </w:tcBorders>
          </w:tcPr>
          <w:p w14:paraId="0D2C10CC" w14:textId="77777777" w:rsidR="0003016E" w:rsidRPr="00C236AD" w:rsidRDefault="0003016E" w:rsidP="00D55FC4">
            <w:pPr>
              <w:spacing w:after="0" w:line="360" w:lineRule="auto"/>
              <w:jc w:val="both"/>
              <w:rPr>
                <w:rFonts w:cs="Arial"/>
                <w:sz w:val="24"/>
                <w:szCs w:val="24"/>
              </w:rPr>
            </w:pPr>
            <w:r w:rsidRPr="00C236AD">
              <w:rPr>
                <w:rFonts w:cs="Arial"/>
                <w:sz w:val="24"/>
                <w:szCs w:val="24"/>
              </w:rPr>
              <w:t>Project A</w:t>
            </w:r>
          </w:p>
        </w:tc>
        <w:tc>
          <w:tcPr>
            <w:tcW w:w="1660" w:type="dxa"/>
            <w:tcBorders>
              <w:top w:val="thinThickSmallGap" w:sz="24" w:space="0" w:color="auto"/>
              <w:bottom w:val="thickThinSmallGap" w:sz="24" w:space="0" w:color="auto"/>
            </w:tcBorders>
          </w:tcPr>
          <w:p w14:paraId="6E8D15A8" w14:textId="77777777" w:rsidR="0003016E" w:rsidRPr="00C236AD" w:rsidRDefault="0003016E" w:rsidP="00D55FC4">
            <w:pPr>
              <w:spacing w:after="0" w:line="360" w:lineRule="auto"/>
              <w:jc w:val="both"/>
              <w:rPr>
                <w:rFonts w:cs="Arial"/>
                <w:sz w:val="24"/>
                <w:szCs w:val="24"/>
              </w:rPr>
            </w:pPr>
            <w:r w:rsidRPr="00C236AD">
              <w:rPr>
                <w:rFonts w:cs="Arial"/>
                <w:sz w:val="24"/>
                <w:szCs w:val="24"/>
              </w:rPr>
              <w:t>Project B</w:t>
            </w:r>
          </w:p>
        </w:tc>
        <w:tc>
          <w:tcPr>
            <w:tcW w:w="2160" w:type="dxa"/>
            <w:tcBorders>
              <w:top w:val="thinThickSmallGap" w:sz="24" w:space="0" w:color="auto"/>
              <w:bottom w:val="thickThinSmallGap" w:sz="24" w:space="0" w:color="auto"/>
            </w:tcBorders>
          </w:tcPr>
          <w:p w14:paraId="3584CD09" w14:textId="77777777" w:rsidR="0003016E" w:rsidRPr="00C236AD" w:rsidRDefault="0003016E" w:rsidP="00D55FC4">
            <w:pPr>
              <w:spacing w:after="0" w:line="360" w:lineRule="auto"/>
              <w:jc w:val="both"/>
              <w:rPr>
                <w:rFonts w:cs="Arial"/>
                <w:sz w:val="24"/>
                <w:szCs w:val="24"/>
              </w:rPr>
            </w:pPr>
            <w:r w:rsidRPr="00C236AD">
              <w:rPr>
                <w:rFonts w:cs="Arial"/>
                <w:sz w:val="24"/>
                <w:szCs w:val="24"/>
              </w:rPr>
              <w:t>Project C</w:t>
            </w:r>
          </w:p>
        </w:tc>
      </w:tr>
      <w:tr w:rsidR="0003016E" w:rsidRPr="00C236AD" w14:paraId="59A22C8A" w14:textId="77777777" w:rsidTr="00D55FC4">
        <w:tc>
          <w:tcPr>
            <w:tcW w:w="3261" w:type="dxa"/>
            <w:tcBorders>
              <w:top w:val="thickThinSmallGap" w:sz="24" w:space="0" w:color="auto"/>
            </w:tcBorders>
          </w:tcPr>
          <w:p w14:paraId="0DBD079B" w14:textId="77777777" w:rsidR="0003016E" w:rsidRPr="00C236AD" w:rsidRDefault="0003016E" w:rsidP="00D55FC4">
            <w:pPr>
              <w:spacing w:after="0" w:line="360" w:lineRule="auto"/>
              <w:jc w:val="both"/>
              <w:rPr>
                <w:rFonts w:cs="Arial"/>
                <w:sz w:val="24"/>
                <w:szCs w:val="24"/>
              </w:rPr>
            </w:pPr>
            <w:r w:rsidRPr="00C236AD">
              <w:rPr>
                <w:rFonts w:cs="Arial"/>
                <w:sz w:val="24"/>
                <w:szCs w:val="24"/>
              </w:rPr>
              <w:lastRenderedPageBreak/>
              <w:t>PBP</w:t>
            </w:r>
          </w:p>
        </w:tc>
        <w:tc>
          <w:tcPr>
            <w:tcW w:w="1559" w:type="dxa"/>
            <w:tcBorders>
              <w:top w:val="thickThinSmallGap" w:sz="24" w:space="0" w:color="auto"/>
            </w:tcBorders>
          </w:tcPr>
          <w:p w14:paraId="27D9896C" w14:textId="77777777" w:rsidR="0003016E" w:rsidRPr="00C236AD" w:rsidRDefault="0003016E" w:rsidP="00D55FC4">
            <w:pPr>
              <w:spacing w:after="0" w:line="360" w:lineRule="auto"/>
              <w:jc w:val="both"/>
              <w:rPr>
                <w:rFonts w:cs="Arial"/>
                <w:sz w:val="24"/>
                <w:szCs w:val="24"/>
              </w:rPr>
            </w:pPr>
            <w:r w:rsidRPr="00C236AD">
              <w:rPr>
                <w:rFonts w:cs="Arial"/>
                <w:sz w:val="24"/>
                <w:szCs w:val="24"/>
              </w:rPr>
              <w:t>4.50 yrs</w:t>
            </w:r>
          </w:p>
        </w:tc>
        <w:tc>
          <w:tcPr>
            <w:tcW w:w="1660" w:type="dxa"/>
            <w:tcBorders>
              <w:top w:val="thickThinSmallGap" w:sz="24" w:space="0" w:color="auto"/>
            </w:tcBorders>
          </w:tcPr>
          <w:p w14:paraId="5F79ABFB" w14:textId="77777777" w:rsidR="0003016E" w:rsidRPr="00C236AD" w:rsidRDefault="0003016E" w:rsidP="00D55FC4">
            <w:pPr>
              <w:spacing w:after="0" w:line="360" w:lineRule="auto"/>
              <w:jc w:val="both"/>
              <w:rPr>
                <w:rFonts w:cs="Arial"/>
                <w:sz w:val="24"/>
                <w:szCs w:val="24"/>
              </w:rPr>
            </w:pPr>
            <w:r w:rsidRPr="00C236AD">
              <w:rPr>
                <w:rFonts w:cs="Arial"/>
                <w:sz w:val="24"/>
                <w:szCs w:val="24"/>
              </w:rPr>
              <w:t>4.55 yrs</w:t>
            </w:r>
          </w:p>
        </w:tc>
        <w:tc>
          <w:tcPr>
            <w:tcW w:w="2160" w:type="dxa"/>
            <w:tcBorders>
              <w:top w:val="thickThinSmallGap" w:sz="24" w:space="0" w:color="auto"/>
            </w:tcBorders>
          </w:tcPr>
          <w:p w14:paraId="59C79B6B" w14:textId="77777777" w:rsidR="0003016E" w:rsidRPr="00C236AD" w:rsidRDefault="0003016E" w:rsidP="00D55FC4">
            <w:pPr>
              <w:spacing w:after="0" w:line="360" w:lineRule="auto"/>
              <w:jc w:val="both"/>
              <w:rPr>
                <w:rFonts w:cs="Arial"/>
                <w:sz w:val="24"/>
                <w:szCs w:val="24"/>
              </w:rPr>
            </w:pPr>
            <w:r w:rsidRPr="00C236AD">
              <w:rPr>
                <w:rFonts w:cs="Arial"/>
                <w:sz w:val="24"/>
                <w:szCs w:val="24"/>
              </w:rPr>
              <w:t>3.60 yrs</w:t>
            </w:r>
          </w:p>
        </w:tc>
      </w:tr>
      <w:tr w:rsidR="0003016E" w:rsidRPr="00C236AD" w14:paraId="712999F3" w14:textId="77777777" w:rsidTr="00D55FC4">
        <w:tc>
          <w:tcPr>
            <w:tcW w:w="3261" w:type="dxa"/>
          </w:tcPr>
          <w:p w14:paraId="3D938DB7" w14:textId="77777777" w:rsidR="0003016E" w:rsidRPr="00C236AD" w:rsidRDefault="0003016E" w:rsidP="00D55FC4">
            <w:pPr>
              <w:spacing w:after="0" w:line="360" w:lineRule="auto"/>
              <w:jc w:val="both"/>
              <w:rPr>
                <w:rFonts w:cs="Arial"/>
                <w:sz w:val="24"/>
                <w:szCs w:val="24"/>
              </w:rPr>
            </w:pPr>
            <w:r w:rsidRPr="00C236AD">
              <w:rPr>
                <w:rFonts w:cs="Arial"/>
                <w:sz w:val="24"/>
                <w:szCs w:val="24"/>
              </w:rPr>
              <w:t>ARR</w:t>
            </w:r>
          </w:p>
        </w:tc>
        <w:tc>
          <w:tcPr>
            <w:tcW w:w="1559" w:type="dxa"/>
          </w:tcPr>
          <w:p w14:paraId="60B06851" w14:textId="77777777" w:rsidR="0003016E" w:rsidRPr="00C236AD" w:rsidRDefault="0003016E" w:rsidP="00D55FC4">
            <w:pPr>
              <w:spacing w:after="0" w:line="360" w:lineRule="auto"/>
              <w:jc w:val="both"/>
              <w:rPr>
                <w:rFonts w:cs="Arial"/>
                <w:sz w:val="24"/>
                <w:szCs w:val="24"/>
              </w:rPr>
            </w:pPr>
            <w:r w:rsidRPr="00C236AD">
              <w:rPr>
                <w:rFonts w:cs="Arial"/>
                <w:sz w:val="24"/>
                <w:szCs w:val="24"/>
              </w:rPr>
              <w:t>3.2%</w:t>
            </w:r>
          </w:p>
        </w:tc>
        <w:tc>
          <w:tcPr>
            <w:tcW w:w="1660" w:type="dxa"/>
          </w:tcPr>
          <w:p w14:paraId="6A9EC629" w14:textId="77777777" w:rsidR="0003016E" w:rsidRPr="00C236AD" w:rsidRDefault="0003016E" w:rsidP="00D55FC4">
            <w:pPr>
              <w:spacing w:after="0" w:line="360" w:lineRule="auto"/>
              <w:jc w:val="both"/>
              <w:rPr>
                <w:rFonts w:cs="Arial"/>
                <w:sz w:val="24"/>
                <w:szCs w:val="24"/>
              </w:rPr>
            </w:pPr>
            <w:r w:rsidRPr="00C236AD">
              <w:rPr>
                <w:rFonts w:cs="Arial"/>
                <w:sz w:val="24"/>
                <w:szCs w:val="24"/>
              </w:rPr>
              <w:t>4.0%</w:t>
            </w:r>
          </w:p>
        </w:tc>
        <w:tc>
          <w:tcPr>
            <w:tcW w:w="2160" w:type="dxa"/>
          </w:tcPr>
          <w:p w14:paraId="682511D2" w14:textId="77777777" w:rsidR="0003016E" w:rsidRPr="00C236AD" w:rsidRDefault="0003016E" w:rsidP="00D55FC4">
            <w:pPr>
              <w:spacing w:after="0" w:line="360" w:lineRule="auto"/>
              <w:jc w:val="both"/>
              <w:rPr>
                <w:rFonts w:cs="Arial"/>
                <w:sz w:val="24"/>
                <w:szCs w:val="24"/>
              </w:rPr>
            </w:pPr>
            <w:r w:rsidRPr="00C236AD">
              <w:rPr>
                <w:rFonts w:cs="Arial"/>
                <w:sz w:val="24"/>
                <w:szCs w:val="24"/>
              </w:rPr>
              <w:t>12.0%</w:t>
            </w:r>
          </w:p>
        </w:tc>
      </w:tr>
      <w:tr w:rsidR="0003016E" w:rsidRPr="00C236AD" w14:paraId="22927310" w14:textId="77777777" w:rsidTr="00D55FC4">
        <w:tc>
          <w:tcPr>
            <w:tcW w:w="3261" w:type="dxa"/>
          </w:tcPr>
          <w:p w14:paraId="6403F85C" w14:textId="77777777" w:rsidR="0003016E" w:rsidRPr="00C236AD" w:rsidRDefault="0003016E" w:rsidP="00D55FC4">
            <w:pPr>
              <w:spacing w:after="0" w:line="360" w:lineRule="auto"/>
              <w:jc w:val="both"/>
              <w:rPr>
                <w:rFonts w:cs="Arial"/>
                <w:sz w:val="24"/>
                <w:szCs w:val="24"/>
              </w:rPr>
            </w:pPr>
            <w:r w:rsidRPr="00C236AD">
              <w:rPr>
                <w:rFonts w:cs="Arial"/>
                <w:sz w:val="24"/>
                <w:szCs w:val="24"/>
              </w:rPr>
              <w:t>NPV</w:t>
            </w:r>
          </w:p>
        </w:tc>
        <w:tc>
          <w:tcPr>
            <w:tcW w:w="1559" w:type="dxa"/>
          </w:tcPr>
          <w:p w14:paraId="075BCFA5" w14:textId="6CA1A469" w:rsidR="0003016E" w:rsidRPr="00C236AD" w:rsidRDefault="00ED72CF" w:rsidP="00D55FC4">
            <w:pPr>
              <w:spacing w:after="0" w:line="360" w:lineRule="auto"/>
              <w:jc w:val="both"/>
              <w:rPr>
                <w:rFonts w:cs="Arial"/>
                <w:sz w:val="24"/>
                <w:szCs w:val="24"/>
              </w:rPr>
            </w:pPr>
            <w:r>
              <w:rPr>
                <w:rFonts w:cs="Arial"/>
                <w:sz w:val="24"/>
                <w:szCs w:val="24"/>
              </w:rPr>
              <w:t>-</w:t>
            </w:r>
            <w:r w:rsidR="0003016E" w:rsidRPr="00C236AD">
              <w:rPr>
                <w:rFonts w:cs="Arial"/>
                <w:sz w:val="24"/>
                <w:szCs w:val="24"/>
              </w:rPr>
              <w:t>£6.54m</w:t>
            </w:r>
          </w:p>
        </w:tc>
        <w:tc>
          <w:tcPr>
            <w:tcW w:w="1660" w:type="dxa"/>
          </w:tcPr>
          <w:p w14:paraId="6839A7D5" w14:textId="32B5B76E" w:rsidR="0003016E" w:rsidRPr="00C236AD" w:rsidRDefault="00ED72CF" w:rsidP="00D55FC4">
            <w:pPr>
              <w:spacing w:after="0" w:line="360" w:lineRule="auto"/>
              <w:jc w:val="both"/>
              <w:rPr>
                <w:rFonts w:cs="Arial"/>
                <w:sz w:val="24"/>
                <w:szCs w:val="24"/>
              </w:rPr>
            </w:pPr>
            <w:r>
              <w:rPr>
                <w:rFonts w:cs="Arial"/>
                <w:sz w:val="24"/>
                <w:szCs w:val="24"/>
              </w:rPr>
              <w:t>-</w:t>
            </w:r>
            <w:r w:rsidR="0003016E" w:rsidRPr="00C236AD">
              <w:rPr>
                <w:rFonts w:cs="Arial"/>
                <w:sz w:val="24"/>
                <w:szCs w:val="24"/>
              </w:rPr>
              <w:t>£6.08m</w:t>
            </w:r>
          </w:p>
        </w:tc>
        <w:tc>
          <w:tcPr>
            <w:tcW w:w="2160" w:type="dxa"/>
          </w:tcPr>
          <w:p w14:paraId="06E88DBE" w14:textId="77777777" w:rsidR="0003016E" w:rsidRPr="00C236AD" w:rsidRDefault="0003016E" w:rsidP="00D55FC4">
            <w:pPr>
              <w:spacing w:after="0" w:line="360" w:lineRule="auto"/>
              <w:jc w:val="both"/>
              <w:rPr>
                <w:rFonts w:cs="Arial"/>
                <w:sz w:val="24"/>
                <w:szCs w:val="24"/>
              </w:rPr>
            </w:pPr>
            <w:r w:rsidRPr="00C236AD">
              <w:rPr>
                <w:rFonts w:cs="Arial"/>
                <w:sz w:val="24"/>
                <w:szCs w:val="24"/>
              </w:rPr>
              <w:t>+£0.86m</w:t>
            </w:r>
          </w:p>
        </w:tc>
      </w:tr>
      <w:tr w:rsidR="0003016E" w:rsidRPr="00C236AD" w14:paraId="0EBB3A93" w14:textId="77777777" w:rsidTr="00D55FC4">
        <w:tc>
          <w:tcPr>
            <w:tcW w:w="3261" w:type="dxa"/>
          </w:tcPr>
          <w:p w14:paraId="6754F9C3" w14:textId="77777777" w:rsidR="0003016E" w:rsidRPr="00C236AD" w:rsidRDefault="0003016E" w:rsidP="00D55FC4">
            <w:pPr>
              <w:spacing w:after="0" w:line="360" w:lineRule="auto"/>
              <w:jc w:val="both"/>
              <w:rPr>
                <w:rFonts w:cs="Arial"/>
                <w:sz w:val="24"/>
                <w:szCs w:val="24"/>
              </w:rPr>
            </w:pPr>
            <w:r w:rsidRPr="00C236AD">
              <w:rPr>
                <w:rFonts w:cs="Arial"/>
                <w:sz w:val="24"/>
                <w:szCs w:val="24"/>
              </w:rPr>
              <w:t>PI</w:t>
            </w:r>
          </w:p>
        </w:tc>
        <w:tc>
          <w:tcPr>
            <w:tcW w:w="1559" w:type="dxa"/>
          </w:tcPr>
          <w:p w14:paraId="41FE9C96" w14:textId="77777777" w:rsidR="0003016E" w:rsidRPr="00C236AD" w:rsidRDefault="0003016E" w:rsidP="00D55FC4">
            <w:pPr>
              <w:spacing w:after="0" w:line="360" w:lineRule="auto"/>
              <w:jc w:val="both"/>
              <w:rPr>
                <w:rFonts w:cs="Arial"/>
                <w:sz w:val="24"/>
                <w:szCs w:val="24"/>
              </w:rPr>
            </w:pPr>
            <w:r w:rsidRPr="00C236AD">
              <w:rPr>
                <w:rFonts w:cs="Arial"/>
                <w:sz w:val="24"/>
                <w:szCs w:val="24"/>
              </w:rPr>
              <w:t>0.87</w:t>
            </w:r>
          </w:p>
        </w:tc>
        <w:tc>
          <w:tcPr>
            <w:tcW w:w="1660" w:type="dxa"/>
          </w:tcPr>
          <w:p w14:paraId="5FC9EBCD" w14:textId="77777777" w:rsidR="0003016E" w:rsidRPr="00C236AD" w:rsidRDefault="0003016E" w:rsidP="00D55FC4">
            <w:pPr>
              <w:spacing w:after="0" w:line="360" w:lineRule="auto"/>
              <w:jc w:val="both"/>
              <w:rPr>
                <w:rFonts w:cs="Arial"/>
                <w:sz w:val="24"/>
                <w:szCs w:val="24"/>
              </w:rPr>
            </w:pPr>
            <w:r w:rsidRPr="00C236AD">
              <w:rPr>
                <w:rFonts w:cs="Arial"/>
                <w:sz w:val="24"/>
                <w:szCs w:val="24"/>
              </w:rPr>
              <w:t>0.88</w:t>
            </w:r>
          </w:p>
        </w:tc>
        <w:tc>
          <w:tcPr>
            <w:tcW w:w="2160" w:type="dxa"/>
          </w:tcPr>
          <w:p w14:paraId="6067F1FC" w14:textId="77777777" w:rsidR="0003016E" w:rsidRPr="00C236AD" w:rsidRDefault="0003016E" w:rsidP="00D55FC4">
            <w:pPr>
              <w:spacing w:after="0" w:line="360" w:lineRule="auto"/>
              <w:jc w:val="both"/>
              <w:rPr>
                <w:rFonts w:cs="Arial"/>
                <w:sz w:val="24"/>
                <w:szCs w:val="24"/>
              </w:rPr>
            </w:pPr>
            <w:r w:rsidRPr="00C236AD">
              <w:rPr>
                <w:rFonts w:cs="Arial"/>
                <w:sz w:val="24"/>
                <w:szCs w:val="24"/>
              </w:rPr>
              <w:t>1.02</w:t>
            </w:r>
          </w:p>
        </w:tc>
      </w:tr>
      <w:tr w:rsidR="0003016E" w:rsidRPr="00C236AD" w14:paraId="7C555A72" w14:textId="77777777" w:rsidTr="00D55FC4">
        <w:tc>
          <w:tcPr>
            <w:tcW w:w="3261" w:type="dxa"/>
          </w:tcPr>
          <w:p w14:paraId="3FC2CDB4" w14:textId="77777777" w:rsidR="0003016E" w:rsidRPr="00C236AD" w:rsidRDefault="0003016E" w:rsidP="00D55FC4">
            <w:pPr>
              <w:spacing w:after="0" w:line="360" w:lineRule="auto"/>
              <w:jc w:val="both"/>
              <w:rPr>
                <w:rFonts w:cs="Arial"/>
                <w:sz w:val="24"/>
                <w:szCs w:val="24"/>
              </w:rPr>
            </w:pPr>
            <w:r w:rsidRPr="00C236AD">
              <w:rPr>
                <w:rFonts w:cs="Arial"/>
                <w:sz w:val="24"/>
                <w:szCs w:val="24"/>
              </w:rPr>
              <w:t>IRR</w:t>
            </w:r>
          </w:p>
        </w:tc>
        <w:tc>
          <w:tcPr>
            <w:tcW w:w="1559" w:type="dxa"/>
          </w:tcPr>
          <w:p w14:paraId="2F5A43FD" w14:textId="77777777" w:rsidR="0003016E" w:rsidRPr="00C236AD" w:rsidRDefault="0003016E" w:rsidP="00D55FC4">
            <w:pPr>
              <w:spacing w:after="0" w:line="360" w:lineRule="auto"/>
              <w:jc w:val="both"/>
              <w:rPr>
                <w:rFonts w:cs="Arial"/>
                <w:sz w:val="24"/>
                <w:szCs w:val="24"/>
              </w:rPr>
            </w:pPr>
            <w:r w:rsidRPr="00C236AD">
              <w:rPr>
                <w:rFonts w:cs="Arial"/>
                <w:sz w:val="24"/>
                <w:szCs w:val="24"/>
              </w:rPr>
              <w:t>2.9%</w:t>
            </w:r>
          </w:p>
        </w:tc>
        <w:tc>
          <w:tcPr>
            <w:tcW w:w="1660" w:type="dxa"/>
          </w:tcPr>
          <w:p w14:paraId="34EF1355" w14:textId="77777777" w:rsidR="0003016E" w:rsidRPr="00C236AD" w:rsidRDefault="0003016E" w:rsidP="00D55FC4">
            <w:pPr>
              <w:spacing w:after="0" w:line="360" w:lineRule="auto"/>
              <w:jc w:val="both"/>
              <w:rPr>
                <w:rFonts w:cs="Arial"/>
                <w:sz w:val="24"/>
                <w:szCs w:val="24"/>
              </w:rPr>
            </w:pPr>
            <w:r w:rsidRPr="00C236AD">
              <w:rPr>
                <w:rFonts w:cs="Arial"/>
                <w:sz w:val="24"/>
                <w:szCs w:val="24"/>
              </w:rPr>
              <w:t>1.9%</w:t>
            </w:r>
          </w:p>
        </w:tc>
        <w:tc>
          <w:tcPr>
            <w:tcW w:w="2160" w:type="dxa"/>
          </w:tcPr>
          <w:p w14:paraId="52C57639" w14:textId="77777777" w:rsidR="0003016E" w:rsidRPr="00C236AD" w:rsidRDefault="0003016E" w:rsidP="00D55FC4">
            <w:pPr>
              <w:spacing w:after="0" w:line="360" w:lineRule="auto"/>
              <w:jc w:val="both"/>
              <w:rPr>
                <w:rFonts w:cs="Arial"/>
                <w:sz w:val="24"/>
                <w:szCs w:val="24"/>
              </w:rPr>
            </w:pPr>
            <w:r w:rsidRPr="00C236AD">
              <w:rPr>
                <w:rFonts w:cs="Arial"/>
                <w:sz w:val="24"/>
                <w:szCs w:val="24"/>
              </w:rPr>
              <w:t>8.6%</w:t>
            </w:r>
          </w:p>
        </w:tc>
      </w:tr>
      <w:tr w:rsidR="0003016E" w:rsidRPr="00C236AD" w14:paraId="055179DE" w14:textId="77777777" w:rsidTr="00D55FC4">
        <w:tc>
          <w:tcPr>
            <w:tcW w:w="3261" w:type="dxa"/>
            <w:tcBorders>
              <w:bottom w:val="thickThinSmallGap" w:sz="24" w:space="0" w:color="auto"/>
            </w:tcBorders>
          </w:tcPr>
          <w:p w14:paraId="717BBD46" w14:textId="77777777" w:rsidR="0003016E" w:rsidRPr="00C236AD" w:rsidRDefault="0003016E" w:rsidP="00D55FC4">
            <w:pPr>
              <w:spacing w:after="0" w:line="360" w:lineRule="auto"/>
              <w:jc w:val="both"/>
              <w:rPr>
                <w:rFonts w:cs="Arial"/>
                <w:sz w:val="24"/>
                <w:szCs w:val="24"/>
              </w:rPr>
            </w:pPr>
            <w:r w:rsidRPr="00C236AD">
              <w:rPr>
                <w:rFonts w:cs="Arial"/>
                <w:sz w:val="24"/>
                <w:szCs w:val="24"/>
              </w:rPr>
              <w:t>Overall</w:t>
            </w:r>
          </w:p>
        </w:tc>
        <w:tc>
          <w:tcPr>
            <w:tcW w:w="1559" w:type="dxa"/>
            <w:tcBorders>
              <w:bottom w:val="thickThinSmallGap" w:sz="24" w:space="0" w:color="auto"/>
            </w:tcBorders>
          </w:tcPr>
          <w:p w14:paraId="33191BFE" w14:textId="77777777" w:rsidR="0003016E" w:rsidRPr="00C236AD" w:rsidRDefault="0003016E" w:rsidP="00D55FC4">
            <w:pPr>
              <w:spacing w:after="0" w:line="360" w:lineRule="auto"/>
              <w:jc w:val="both"/>
              <w:rPr>
                <w:rFonts w:cs="Arial"/>
                <w:sz w:val="24"/>
                <w:szCs w:val="24"/>
              </w:rPr>
            </w:pPr>
            <w:r w:rsidRPr="00C236AD">
              <w:rPr>
                <w:rFonts w:cs="Arial"/>
                <w:sz w:val="24"/>
                <w:szCs w:val="24"/>
              </w:rPr>
              <w:t>Reject</w:t>
            </w:r>
          </w:p>
        </w:tc>
        <w:tc>
          <w:tcPr>
            <w:tcW w:w="1660" w:type="dxa"/>
            <w:tcBorders>
              <w:bottom w:val="thickThinSmallGap" w:sz="24" w:space="0" w:color="auto"/>
            </w:tcBorders>
          </w:tcPr>
          <w:p w14:paraId="6553B8F6" w14:textId="77777777" w:rsidR="0003016E" w:rsidRPr="00C236AD" w:rsidRDefault="0003016E" w:rsidP="00D55FC4">
            <w:pPr>
              <w:spacing w:after="0" w:line="360" w:lineRule="auto"/>
              <w:jc w:val="both"/>
              <w:rPr>
                <w:rFonts w:cs="Arial"/>
                <w:sz w:val="24"/>
                <w:szCs w:val="24"/>
              </w:rPr>
            </w:pPr>
            <w:r w:rsidRPr="00C236AD">
              <w:rPr>
                <w:rFonts w:cs="Arial"/>
                <w:sz w:val="24"/>
                <w:szCs w:val="24"/>
              </w:rPr>
              <w:t>Reject</w:t>
            </w:r>
          </w:p>
        </w:tc>
        <w:tc>
          <w:tcPr>
            <w:tcW w:w="2160" w:type="dxa"/>
            <w:tcBorders>
              <w:bottom w:val="thickThinSmallGap" w:sz="24" w:space="0" w:color="auto"/>
            </w:tcBorders>
          </w:tcPr>
          <w:p w14:paraId="57EB9F77" w14:textId="77777777" w:rsidR="0003016E" w:rsidRPr="00C236AD" w:rsidRDefault="0003016E" w:rsidP="00D55FC4">
            <w:pPr>
              <w:spacing w:after="0" w:line="360" w:lineRule="auto"/>
              <w:jc w:val="both"/>
              <w:rPr>
                <w:rFonts w:cs="Arial"/>
                <w:sz w:val="24"/>
                <w:szCs w:val="24"/>
              </w:rPr>
            </w:pPr>
            <w:r w:rsidRPr="00C236AD">
              <w:rPr>
                <w:rFonts w:cs="Arial"/>
                <w:sz w:val="24"/>
                <w:szCs w:val="24"/>
              </w:rPr>
              <w:t>Accept</w:t>
            </w:r>
          </w:p>
        </w:tc>
      </w:tr>
    </w:tbl>
    <w:p w14:paraId="3BD0C92C" w14:textId="0A777D8D" w:rsidR="00511F12" w:rsidRPr="00C236AD" w:rsidRDefault="00967C62" w:rsidP="00C236AD">
      <w:pPr>
        <w:spacing w:after="0" w:line="360" w:lineRule="auto"/>
        <w:jc w:val="both"/>
        <w:rPr>
          <w:rFonts w:cs="Arial"/>
          <w:b/>
          <w:bCs/>
          <w:sz w:val="24"/>
          <w:szCs w:val="24"/>
        </w:rPr>
      </w:pPr>
      <w:r>
        <w:rPr>
          <w:rFonts w:cs="Arial"/>
          <w:b/>
          <w:bCs/>
          <w:sz w:val="24"/>
          <w:szCs w:val="24"/>
        </w:rPr>
        <w:t>Source: Autor’ calculations from projects’ information</w:t>
      </w:r>
    </w:p>
    <w:p w14:paraId="0508D5A7" w14:textId="3AF28C41" w:rsidR="0013798C" w:rsidRPr="00C236AD" w:rsidRDefault="00533B71" w:rsidP="00C236AD">
      <w:pPr>
        <w:spacing w:after="0" w:line="360" w:lineRule="auto"/>
        <w:jc w:val="both"/>
        <w:rPr>
          <w:rFonts w:cs="Arial"/>
          <w:sz w:val="24"/>
          <w:szCs w:val="24"/>
        </w:rPr>
      </w:pPr>
      <w:r>
        <w:rPr>
          <w:rFonts w:cs="Arial"/>
          <w:sz w:val="24"/>
          <w:szCs w:val="24"/>
        </w:rPr>
        <w:t xml:space="preserve">PBP: </w:t>
      </w:r>
      <w:r w:rsidRPr="00C236AD">
        <w:rPr>
          <w:rFonts w:cs="Arial"/>
          <w:sz w:val="24"/>
          <w:szCs w:val="24"/>
        </w:rPr>
        <w:t>Ranking: C &gt; A &gt; B</w:t>
      </w:r>
    </w:p>
    <w:p w14:paraId="1A59D192" w14:textId="77777777" w:rsidR="004A4D3E" w:rsidRPr="00C236AD" w:rsidRDefault="004A4D3E" w:rsidP="00C236AD">
      <w:pPr>
        <w:spacing w:after="0" w:line="360" w:lineRule="auto"/>
        <w:jc w:val="both"/>
        <w:rPr>
          <w:rFonts w:cs="Arial"/>
          <w:b/>
          <w:bCs/>
          <w:sz w:val="24"/>
          <w:szCs w:val="24"/>
          <w:lang w:val="en-GB"/>
        </w:rPr>
      </w:pPr>
      <w:r w:rsidRPr="00C236AD">
        <w:rPr>
          <w:rFonts w:cs="Arial"/>
          <w:sz w:val="24"/>
          <w:szCs w:val="24"/>
          <w:lang w:val="en-GB"/>
        </w:rPr>
        <w:t>Project C has the shortest payback period. It recovers the initial investment almost one year earlier than Projects A and B. From a liquidity perspective, this is particularly attractive for Marriott because it reduces the period during which capital remains tied up.</w:t>
      </w:r>
    </w:p>
    <w:p w14:paraId="02C97E39" w14:textId="77777777" w:rsidR="004A4D3E" w:rsidRPr="00C236AD" w:rsidRDefault="004A4D3E" w:rsidP="00C236AD">
      <w:pPr>
        <w:spacing w:after="0" w:line="360" w:lineRule="auto"/>
        <w:jc w:val="both"/>
        <w:rPr>
          <w:rFonts w:cs="Arial"/>
          <w:b/>
          <w:bCs/>
          <w:sz w:val="24"/>
          <w:szCs w:val="24"/>
          <w:lang w:val="en-GB"/>
        </w:rPr>
      </w:pPr>
      <w:r w:rsidRPr="00C236AD">
        <w:rPr>
          <w:rFonts w:cs="Arial"/>
          <w:sz w:val="24"/>
          <w:szCs w:val="24"/>
          <w:lang w:val="en-GB"/>
        </w:rPr>
        <w:t>However, PBP ignores cash flows after the payback point and does not consider the time value of money. It should therefore not be used alone.</w:t>
      </w:r>
    </w:p>
    <w:p w14:paraId="4ACB7D3E" w14:textId="299C640C" w:rsidR="0013798C" w:rsidRPr="00C236AD" w:rsidRDefault="00533B71" w:rsidP="00C236AD">
      <w:pPr>
        <w:spacing w:after="0" w:line="360" w:lineRule="auto"/>
        <w:jc w:val="both"/>
        <w:rPr>
          <w:rFonts w:cs="Arial"/>
          <w:sz w:val="24"/>
          <w:szCs w:val="24"/>
        </w:rPr>
      </w:pPr>
      <w:r>
        <w:rPr>
          <w:rFonts w:cs="Arial"/>
          <w:sz w:val="24"/>
          <w:szCs w:val="24"/>
        </w:rPr>
        <w:t xml:space="preserve">ARR: </w:t>
      </w:r>
      <w:r w:rsidRPr="00C236AD">
        <w:rPr>
          <w:rFonts w:cs="Arial"/>
          <w:sz w:val="24"/>
          <w:szCs w:val="24"/>
        </w:rPr>
        <w:t>Ranking: C &gt; B &gt; A</w:t>
      </w:r>
    </w:p>
    <w:p w14:paraId="6270234F" w14:textId="77777777" w:rsidR="004F5F19" w:rsidRPr="00C236AD" w:rsidRDefault="004F5F19" w:rsidP="00C236AD">
      <w:pPr>
        <w:spacing w:after="0" w:line="360" w:lineRule="auto"/>
        <w:jc w:val="both"/>
        <w:rPr>
          <w:rFonts w:cs="Arial"/>
          <w:sz w:val="24"/>
          <w:szCs w:val="24"/>
          <w:lang w:val="en-GB"/>
        </w:rPr>
      </w:pPr>
    </w:p>
    <w:p w14:paraId="4C9596FE" w14:textId="1FEC02EF" w:rsidR="004F5F19" w:rsidRPr="00533B71" w:rsidRDefault="004F5F19" w:rsidP="00C236AD">
      <w:pPr>
        <w:spacing w:after="0" w:line="360" w:lineRule="auto"/>
        <w:jc w:val="both"/>
        <w:rPr>
          <w:rFonts w:cs="Arial"/>
          <w:sz w:val="24"/>
          <w:szCs w:val="24"/>
        </w:rPr>
      </w:pPr>
      <w:r w:rsidRPr="00C236AD">
        <w:rPr>
          <w:rFonts w:cs="Arial"/>
          <w:sz w:val="24"/>
          <w:szCs w:val="24"/>
        </w:rPr>
        <w:t>NPV</w:t>
      </w:r>
      <w:r w:rsidR="00533B71">
        <w:rPr>
          <w:rFonts w:cs="Arial"/>
          <w:sz w:val="24"/>
          <w:szCs w:val="24"/>
        </w:rPr>
        <w:t xml:space="preserve">: </w:t>
      </w:r>
      <w:r w:rsidRPr="00C236AD">
        <w:rPr>
          <w:rFonts w:cs="Arial"/>
          <w:sz w:val="24"/>
          <w:szCs w:val="24"/>
          <w:lang w:val="en-GB"/>
        </w:rPr>
        <w:t>Project C is the only project with a positive NPV at the 8% required return. It therefore creates value based on the NPV criterion.</w:t>
      </w:r>
    </w:p>
    <w:p w14:paraId="163BB41E" w14:textId="4AC15296" w:rsidR="004F5F19" w:rsidRPr="00533B71" w:rsidRDefault="004F5F19" w:rsidP="00C236AD">
      <w:pPr>
        <w:spacing w:after="0" w:line="360" w:lineRule="auto"/>
        <w:jc w:val="both"/>
        <w:rPr>
          <w:rFonts w:cs="Arial"/>
          <w:sz w:val="24"/>
          <w:szCs w:val="24"/>
          <w:lang w:val="en-GB"/>
        </w:rPr>
      </w:pPr>
      <w:r w:rsidRPr="00C236AD">
        <w:rPr>
          <w:rFonts w:cs="Arial"/>
          <w:sz w:val="24"/>
          <w:szCs w:val="24"/>
          <w:lang w:val="en-GB"/>
        </w:rPr>
        <w:t>PI</w:t>
      </w:r>
      <w:r w:rsidR="00533B71">
        <w:rPr>
          <w:rFonts w:cs="Arial"/>
          <w:sz w:val="24"/>
          <w:szCs w:val="24"/>
          <w:lang w:val="en-GB"/>
        </w:rPr>
        <w:t xml:space="preserve">: </w:t>
      </w:r>
      <w:r w:rsidRPr="00C236AD">
        <w:rPr>
          <w:rFonts w:cs="Arial"/>
          <w:sz w:val="24"/>
          <w:szCs w:val="24"/>
          <w:lang w:val="en-GB"/>
        </w:rPr>
        <w:t>Project C is therefore the only project that passes the PI criterion.</w:t>
      </w:r>
    </w:p>
    <w:p w14:paraId="7EA30243" w14:textId="7589DFD6" w:rsidR="004A4D3E" w:rsidRPr="0003016E" w:rsidRDefault="004F5F19" w:rsidP="00C236AD">
      <w:pPr>
        <w:spacing w:after="0" w:line="360" w:lineRule="auto"/>
        <w:jc w:val="both"/>
        <w:rPr>
          <w:rFonts w:cs="Arial"/>
          <w:sz w:val="24"/>
          <w:szCs w:val="24"/>
          <w:lang w:val="en-GB"/>
        </w:rPr>
      </w:pPr>
      <w:r w:rsidRPr="00C236AD">
        <w:rPr>
          <w:rFonts w:cs="Arial"/>
          <w:sz w:val="24"/>
          <w:szCs w:val="24"/>
          <w:lang w:val="en-GB"/>
        </w:rPr>
        <w:t>IRR</w:t>
      </w:r>
      <w:r w:rsidR="00533B71">
        <w:rPr>
          <w:rFonts w:cs="Arial"/>
          <w:sz w:val="24"/>
          <w:szCs w:val="24"/>
          <w:lang w:val="en-GB"/>
        </w:rPr>
        <w:t xml:space="preserve">: </w:t>
      </w:r>
      <w:r w:rsidRPr="00C236AD">
        <w:rPr>
          <w:rFonts w:cs="Arial"/>
          <w:sz w:val="24"/>
          <w:szCs w:val="24"/>
        </w:rPr>
        <w:t xml:space="preserve">Project C therefore exceeds the company's assumed 8% hurdle rate. </w:t>
      </w:r>
    </w:p>
    <w:p w14:paraId="095F1E1C" w14:textId="77777777" w:rsidR="00FB132B" w:rsidRPr="00C236AD" w:rsidRDefault="00FB132B" w:rsidP="00C236AD">
      <w:pPr>
        <w:spacing w:after="0" w:line="360" w:lineRule="auto"/>
        <w:jc w:val="both"/>
        <w:rPr>
          <w:rFonts w:cs="Arial"/>
          <w:sz w:val="24"/>
          <w:szCs w:val="24"/>
          <w:lang w:val="en-GB"/>
        </w:rPr>
      </w:pPr>
      <w:r w:rsidRPr="00C236AD">
        <w:rPr>
          <w:rFonts w:cs="Arial"/>
          <w:sz w:val="24"/>
          <w:szCs w:val="24"/>
          <w:lang w:val="en-GB"/>
        </w:rPr>
        <w:t>Since the required rate of return is 8%, Projects A and B should be rejected because their IRRs are substantially below the required rate. Project C is the only project whose IRR exceeds the 8% cost of capital.</w:t>
      </w:r>
    </w:p>
    <w:p w14:paraId="2112C189" w14:textId="77777777" w:rsidR="00FB132B" w:rsidRPr="00C236AD" w:rsidRDefault="00FB132B" w:rsidP="00C236AD">
      <w:pPr>
        <w:spacing w:after="0" w:line="360" w:lineRule="auto"/>
        <w:jc w:val="both"/>
        <w:rPr>
          <w:rFonts w:cs="Arial"/>
          <w:sz w:val="24"/>
          <w:szCs w:val="24"/>
          <w:lang w:val="en-GB"/>
        </w:rPr>
      </w:pPr>
      <w:r w:rsidRPr="00C236AD">
        <w:rPr>
          <w:rFonts w:cs="Arial"/>
          <w:sz w:val="24"/>
          <w:szCs w:val="24"/>
          <w:lang w:val="en-GB"/>
        </w:rPr>
        <w:t>This supports the NPV result, as Project C is also the only project generating a positive NPV at the 8% discount rate. Therefore, based on the IRR and NPV criteria, Project C is the preferred investment under the assumptions provided.</w:t>
      </w:r>
    </w:p>
    <w:p w14:paraId="6797626F" w14:textId="77777777" w:rsidR="00FB132B" w:rsidRPr="00C236AD" w:rsidRDefault="00FB132B" w:rsidP="00C236AD">
      <w:pPr>
        <w:spacing w:after="0" w:line="360" w:lineRule="auto"/>
        <w:jc w:val="both"/>
        <w:rPr>
          <w:rFonts w:cs="Arial"/>
          <w:sz w:val="24"/>
          <w:szCs w:val="24"/>
          <w:lang w:val="en-GB"/>
        </w:rPr>
      </w:pPr>
      <w:r w:rsidRPr="00C236AD">
        <w:rPr>
          <w:rFonts w:cs="Arial"/>
          <w:sz w:val="24"/>
          <w:szCs w:val="24"/>
          <w:lang w:val="en-GB"/>
        </w:rPr>
        <w:t>The interpolation calculations also correct the IRR figures used in the previous analysis: Project A has an IRR of approximately 3.0%, Project B approximately 3.6%, and Project C approximately 8.6%.</w:t>
      </w:r>
    </w:p>
    <w:p w14:paraId="25065CD0" w14:textId="77777777" w:rsidR="004F5F19" w:rsidRPr="00C236AD" w:rsidRDefault="004F5F19" w:rsidP="00C236AD">
      <w:pPr>
        <w:spacing w:after="0" w:line="360" w:lineRule="auto"/>
        <w:jc w:val="both"/>
        <w:rPr>
          <w:rFonts w:cs="Arial"/>
          <w:sz w:val="24"/>
          <w:szCs w:val="24"/>
          <w:lang w:val="en-GB"/>
        </w:rPr>
      </w:pPr>
    </w:p>
    <w:p w14:paraId="4EBF56EB" w14:textId="6DD6C4EE"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4.</w:t>
      </w:r>
      <w:r w:rsidR="0003016E">
        <w:rPr>
          <w:rFonts w:cs="Arial"/>
          <w:sz w:val="24"/>
          <w:szCs w:val="24"/>
          <w:lang w:val="en-GB"/>
        </w:rPr>
        <w:t>c</w:t>
      </w:r>
      <w:r w:rsidRPr="00C236AD">
        <w:rPr>
          <w:rFonts w:cs="Arial"/>
          <w:sz w:val="24"/>
          <w:szCs w:val="24"/>
          <w:lang w:val="en-GB"/>
        </w:rPr>
        <w:t>. Recommended Project</w:t>
      </w:r>
    </w:p>
    <w:p w14:paraId="1D7661A5" w14:textId="7A3D5D80"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lastRenderedPageBreak/>
        <w:t>Project C should be recommended because it is the only project that satisfies the fundamental value</w:t>
      </w:r>
      <w:r w:rsidR="00ED72CF">
        <w:rPr>
          <w:rFonts w:cs="Arial"/>
          <w:sz w:val="24"/>
          <w:szCs w:val="24"/>
          <w:lang w:val="en-GB"/>
        </w:rPr>
        <w:t>-</w:t>
      </w:r>
      <w:r w:rsidRPr="00C236AD">
        <w:rPr>
          <w:rFonts w:cs="Arial"/>
          <w:sz w:val="24"/>
          <w:szCs w:val="24"/>
          <w:lang w:val="en-GB"/>
        </w:rPr>
        <w:t>creation criteria.</w:t>
      </w:r>
    </w:p>
    <w:p w14:paraId="618CBC79"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Its most important advantage is its positive NPV of approximately £0.86 million. This means that, at the 8% required return, the present value of Project C's expected cash inflows exceeds the £50 million initial investment.</w:t>
      </w:r>
    </w:p>
    <w:p w14:paraId="6F275D5F" w14:textId="4EAC4A6B"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 xml:space="preserve">Project C also has the shortest payback period at 3.60 years, compared with 4.50 years for Project A and 4.55 years for Project B. This is particularly relevant to Marriott because the company's liquidity position is relatively tight. Marriott reported only approximately $358 million of cash and equivalents at the end of 2025, although it generated $3.212 billion of operating cash flow during the year. </w:t>
      </w:r>
    </w:p>
    <w:p w14:paraId="54360989"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 ARR result is also strongly favourable. Project C produces an ARR of 12%, compared with 3.2% for Project A and 4.0% for Project B.</w:t>
      </w:r>
    </w:p>
    <w:p w14:paraId="3818A8B5" w14:textId="42AFBFB1"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 xml:space="preserve">The project also fits Marriott's broader financial position. Marriott's revenue reached $26.186 billion and operating income reached $4.141 billion in 2025, demonstrating that the company has strong operating profitability. </w:t>
      </w:r>
    </w:p>
    <w:p w14:paraId="250CFCB9" w14:textId="63FFCEB0"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However, Project C's cash flows are back</w:t>
      </w:r>
      <w:r w:rsidR="00ED72CF">
        <w:rPr>
          <w:rFonts w:cs="Arial"/>
          <w:sz w:val="24"/>
          <w:szCs w:val="24"/>
          <w:lang w:val="en-GB"/>
        </w:rPr>
        <w:t>-</w:t>
      </w:r>
      <w:r w:rsidRPr="00C236AD">
        <w:rPr>
          <w:rFonts w:cs="Arial"/>
          <w:sz w:val="24"/>
          <w:szCs w:val="24"/>
          <w:lang w:val="en-GB"/>
        </w:rPr>
        <w:t>loaded. Only £15 million is recovered during the first two years, while the largest inflows occur in Years 3 and 4. This creates greater forecasting risk than Project B, which produces a stable £11 million every year.</w:t>
      </w:r>
    </w:p>
    <w:p w14:paraId="2FBF2253" w14:textId="6B6CA718"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Therefore, Marriott should approve Project C only after considering the reliability of the assumptions underlying the Year 3 and Year 4 cash flows.</w:t>
      </w:r>
    </w:p>
    <w:p w14:paraId="5294A663" w14:textId="6169766E"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4.</w:t>
      </w:r>
      <w:r w:rsidR="0003016E">
        <w:rPr>
          <w:rFonts w:cs="Arial"/>
          <w:sz w:val="24"/>
          <w:szCs w:val="24"/>
          <w:lang w:val="en-GB"/>
        </w:rPr>
        <w:t>d</w:t>
      </w:r>
      <w:r w:rsidRPr="00C236AD">
        <w:rPr>
          <w:rFonts w:cs="Arial"/>
          <w:sz w:val="24"/>
          <w:szCs w:val="24"/>
          <w:lang w:val="en-GB"/>
        </w:rPr>
        <w:t>. Financial and Non</w:t>
      </w:r>
      <w:r w:rsidR="00ED72CF">
        <w:rPr>
          <w:rFonts w:cs="Arial"/>
          <w:sz w:val="24"/>
          <w:szCs w:val="24"/>
          <w:lang w:val="en-GB"/>
        </w:rPr>
        <w:t>-</w:t>
      </w:r>
      <w:r w:rsidRPr="00C236AD">
        <w:rPr>
          <w:rFonts w:cs="Arial"/>
          <w:sz w:val="24"/>
          <w:szCs w:val="24"/>
          <w:lang w:val="en-GB"/>
        </w:rPr>
        <w:t>Financial Risks</w:t>
      </w:r>
    </w:p>
    <w:p w14:paraId="2BC014CF"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Financial considerations</w:t>
      </w:r>
    </w:p>
    <w:p w14:paraId="02EB11CF" w14:textId="339357AB"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Project C is attractive because Marriott has strong cash</w:t>
      </w:r>
      <w:r w:rsidR="00ED72CF">
        <w:rPr>
          <w:rFonts w:cs="Arial"/>
          <w:sz w:val="24"/>
          <w:szCs w:val="24"/>
          <w:lang w:val="en-GB"/>
        </w:rPr>
        <w:t>-</w:t>
      </w:r>
      <w:r w:rsidRPr="00C236AD">
        <w:rPr>
          <w:rFonts w:cs="Arial"/>
          <w:sz w:val="24"/>
          <w:szCs w:val="24"/>
          <w:lang w:val="en-GB"/>
        </w:rPr>
        <w:t>generation capacity. Operating cash flow was $3.212 billion in 2025, compared with $2.749 billion in 2024.</w:t>
      </w:r>
    </w:p>
    <w:p w14:paraId="0F16E60E" w14:textId="5B0BDDC9"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However, Marriott also has significant financial leverage. Total debt reached approximately $16.2 billion at the end of 2025.</w:t>
      </w:r>
    </w:p>
    <w:p w14:paraId="7C844EDF"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 £50 million investment is therefore manageable relative to the scale of Marriott's operations, but management should avoid allowing multiple projects with uncertain cash flows to increase financial pressure simultaneously.</w:t>
      </w:r>
    </w:p>
    <w:p w14:paraId="7AD2C329"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lastRenderedPageBreak/>
        <w:t>Political and international risk</w:t>
      </w:r>
    </w:p>
    <w:p w14:paraId="0295E95E" w14:textId="5C0C1E8C"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Marriott operates a highly international business, with approximately 9,805 properties across 145 countries and territories at year</w:t>
      </w:r>
      <w:r w:rsidR="00ED72CF">
        <w:rPr>
          <w:rFonts w:cs="Arial"/>
          <w:sz w:val="24"/>
          <w:szCs w:val="24"/>
          <w:lang w:val="en-GB"/>
        </w:rPr>
        <w:t>-</w:t>
      </w:r>
      <w:r w:rsidRPr="00C236AD">
        <w:rPr>
          <w:rFonts w:cs="Arial"/>
          <w:sz w:val="24"/>
          <w:szCs w:val="24"/>
          <w:lang w:val="en-GB"/>
        </w:rPr>
        <w:t>end 2025.</w:t>
      </w:r>
    </w:p>
    <w:p w14:paraId="4C267D29"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Any investment project involving international markets may therefore face:</w:t>
      </w:r>
    </w:p>
    <w:p w14:paraId="7B9C68B5"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political instability;</w:t>
      </w:r>
    </w:p>
    <w:p w14:paraId="3A69DE4B"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changes in tourism regulations;</w:t>
      </w:r>
    </w:p>
    <w:p w14:paraId="0A81A483"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taxation changes;</w:t>
      </w:r>
    </w:p>
    <w:p w14:paraId="2A90F116" w14:textId="18BAF25D"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foreign</w:t>
      </w:r>
      <w:r w:rsidR="00ED72CF">
        <w:rPr>
          <w:rFonts w:cs="Arial"/>
          <w:sz w:val="24"/>
          <w:szCs w:val="24"/>
          <w:lang w:val="en-GB"/>
        </w:rPr>
        <w:t>-</w:t>
      </w:r>
      <w:r w:rsidRPr="00C236AD">
        <w:rPr>
          <w:rFonts w:cs="Arial"/>
          <w:sz w:val="24"/>
          <w:szCs w:val="24"/>
          <w:lang w:val="en-GB"/>
        </w:rPr>
        <w:t>exchange movements;</w:t>
      </w:r>
    </w:p>
    <w:p w14:paraId="157D9503"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restrictions on international capital flows;</w:t>
      </w:r>
    </w:p>
    <w:p w14:paraId="0DCA5A87"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geopolitical conflicts;</w:t>
      </w:r>
    </w:p>
    <w:p w14:paraId="26FF96A1"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changes in visa and travel policies.</w:t>
      </w:r>
    </w:p>
    <w:p w14:paraId="3642710F"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These risks are particularly relevant to Project C because its higher cash flows occur later in the investment period. The longer the project remains exposed to international conditions, the greater the uncertainty surrounding the forecast cash flows.</w:t>
      </w:r>
    </w:p>
    <w:p w14:paraId="2DF82CBC"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Customer loyalty</w:t>
      </w:r>
    </w:p>
    <w:p w14:paraId="24D8EB6F" w14:textId="3C59B16E"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Customer loyalty is another important non</w:t>
      </w:r>
      <w:r w:rsidR="00ED72CF">
        <w:rPr>
          <w:rFonts w:cs="Arial"/>
          <w:sz w:val="24"/>
          <w:szCs w:val="24"/>
          <w:lang w:val="en-GB"/>
        </w:rPr>
        <w:t>-</w:t>
      </w:r>
      <w:r w:rsidRPr="00C236AD">
        <w:rPr>
          <w:rFonts w:cs="Arial"/>
          <w:sz w:val="24"/>
          <w:szCs w:val="24"/>
          <w:lang w:val="en-GB"/>
        </w:rPr>
        <w:t>financial consideration. Marriott's Bonvoy loyalty ecosystem is strategically important because it supports repeat stays, direct customer relationships and cross</w:t>
      </w:r>
      <w:r w:rsidR="00ED72CF">
        <w:rPr>
          <w:rFonts w:cs="Arial"/>
          <w:sz w:val="24"/>
          <w:szCs w:val="24"/>
          <w:lang w:val="en-GB"/>
        </w:rPr>
        <w:t>-</w:t>
      </w:r>
      <w:r w:rsidRPr="00C236AD">
        <w:rPr>
          <w:rFonts w:cs="Arial"/>
          <w:sz w:val="24"/>
          <w:szCs w:val="24"/>
          <w:lang w:val="en-GB"/>
        </w:rPr>
        <w:t>selling across Marriott's brands.</w:t>
      </w:r>
    </w:p>
    <w:p w14:paraId="30CCD193"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A project that strengthens the customer experience, Marriott Bonvoy engagement, digital services or brand loyalty would have strategic value beyond the financial appraisal.</w:t>
      </w:r>
    </w:p>
    <w:p w14:paraId="3C90BC7C" w14:textId="77FD8A7A"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Conversely, an investment that increases revenue but weakens customer satisfaction or brand reputation could destroy long</w:t>
      </w:r>
      <w:r w:rsidR="00ED72CF">
        <w:rPr>
          <w:rFonts w:cs="Arial"/>
          <w:sz w:val="24"/>
          <w:szCs w:val="24"/>
          <w:lang w:val="en-GB"/>
        </w:rPr>
        <w:t>-</w:t>
      </w:r>
      <w:r w:rsidRPr="00C236AD">
        <w:rPr>
          <w:rFonts w:cs="Arial"/>
          <w:sz w:val="24"/>
          <w:szCs w:val="24"/>
          <w:lang w:val="en-GB"/>
        </w:rPr>
        <w:t>term value despite having apparently attractive financial returns.</w:t>
      </w:r>
    </w:p>
    <w:p w14:paraId="179BB0D9"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Operational and ESG considerations</w:t>
      </w:r>
    </w:p>
    <w:p w14:paraId="4ADC3977"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 investment should also be assessed against Marriott's sustainability objectives. Energy consumption, water usage, waste management, employee welfare and local community impact should be incorporated into the final investment decision.</w:t>
      </w:r>
    </w:p>
    <w:p w14:paraId="7D9572C1" w14:textId="769437AA"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lastRenderedPageBreak/>
        <w:t>A project with slightly lower financial returns could potentially be preferable if it significantly reduces environmental costs, improves energy efficiency or strengthens Marriott's long</w:t>
      </w:r>
      <w:r w:rsidR="00ED72CF">
        <w:rPr>
          <w:rFonts w:cs="Arial"/>
          <w:sz w:val="24"/>
          <w:szCs w:val="24"/>
          <w:lang w:val="en-GB"/>
        </w:rPr>
        <w:t>-</w:t>
      </w:r>
      <w:r w:rsidRPr="00C236AD">
        <w:rPr>
          <w:rFonts w:cs="Arial"/>
          <w:sz w:val="24"/>
          <w:szCs w:val="24"/>
          <w:lang w:val="en-GB"/>
        </w:rPr>
        <w:t>term regulatory position.</w:t>
      </w:r>
    </w:p>
    <w:p w14:paraId="69603EDC" w14:textId="277CBE0E" w:rsidR="00EB716E" w:rsidRPr="00C236AD" w:rsidRDefault="00EB716E" w:rsidP="00C236AD">
      <w:pPr>
        <w:spacing w:after="0" w:line="360" w:lineRule="auto"/>
        <w:jc w:val="both"/>
        <w:rPr>
          <w:rFonts w:cs="Arial"/>
          <w:b/>
          <w:bCs/>
          <w:sz w:val="24"/>
          <w:szCs w:val="24"/>
          <w:lang w:val="en-GB"/>
        </w:rPr>
      </w:pPr>
    </w:p>
    <w:p w14:paraId="2C587BBA" w14:textId="51C03411"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4.</w:t>
      </w:r>
      <w:r w:rsidR="0003016E">
        <w:rPr>
          <w:rFonts w:cs="Arial"/>
          <w:sz w:val="24"/>
          <w:szCs w:val="24"/>
          <w:lang w:val="en-GB"/>
        </w:rPr>
        <w:t>e</w:t>
      </w:r>
      <w:r w:rsidRPr="00C236AD">
        <w:rPr>
          <w:rFonts w:cs="Arial"/>
          <w:sz w:val="24"/>
          <w:szCs w:val="24"/>
          <w:lang w:val="en-GB"/>
        </w:rPr>
        <w:t xml:space="preserve">. Capital Rationing </w:t>
      </w:r>
      <w:r w:rsidR="00ED72CF">
        <w:rPr>
          <w:rFonts w:cs="Arial"/>
          <w:sz w:val="24"/>
          <w:szCs w:val="24"/>
          <w:lang w:val="en-GB"/>
        </w:rPr>
        <w:t>-</w:t>
      </w:r>
      <w:r w:rsidRPr="00C236AD">
        <w:rPr>
          <w:rFonts w:cs="Arial"/>
          <w:sz w:val="24"/>
          <w:szCs w:val="24"/>
          <w:lang w:val="en-GB"/>
        </w:rPr>
        <w:t xml:space="preserve"> Maximum Investment of £100 Million</w:t>
      </w:r>
    </w:p>
    <w:p w14:paraId="598F676F"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 maximum available investment budget is £100 million. Since each project requires £50 million, Marriott can invest in either:</w:t>
      </w:r>
    </w:p>
    <w:p w14:paraId="6D7FF77F"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one project; or</w:t>
      </w:r>
    </w:p>
    <w:p w14:paraId="6146ABBC"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two projects.</w:t>
      </w:r>
    </w:p>
    <w:p w14:paraId="6F373B03"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All possible combinations are therefore considered.</w:t>
      </w:r>
    </w:p>
    <w:p w14:paraId="34DFDBA0"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NPV of individual projects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0"/>
        <w:gridCol w:w="1794"/>
        <w:gridCol w:w="1114"/>
        <w:gridCol w:w="996"/>
      </w:tblGrid>
      <w:tr w:rsidR="00FB132B" w:rsidRPr="00C236AD" w14:paraId="246E64B6" w14:textId="77777777" w:rsidTr="00F00090">
        <w:trPr>
          <w:tblHeader/>
          <w:tblCellSpacing w:w="15" w:type="dxa"/>
        </w:trPr>
        <w:tc>
          <w:tcPr>
            <w:tcW w:w="0" w:type="auto"/>
            <w:tcBorders>
              <w:top w:val="thinThickSmallGap" w:sz="24" w:space="0" w:color="auto"/>
              <w:bottom w:val="thickThinSmallGap" w:sz="24" w:space="0" w:color="auto"/>
            </w:tcBorders>
            <w:vAlign w:val="center"/>
            <w:hideMark/>
          </w:tcPr>
          <w:p w14:paraId="59CDADF8"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Investment option</w:t>
            </w:r>
          </w:p>
        </w:tc>
        <w:tc>
          <w:tcPr>
            <w:tcW w:w="0" w:type="auto"/>
            <w:tcBorders>
              <w:top w:val="thinThickSmallGap" w:sz="24" w:space="0" w:color="auto"/>
              <w:bottom w:val="thickThinSmallGap" w:sz="24" w:space="0" w:color="auto"/>
            </w:tcBorders>
            <w:vAlign w:val="center"/>
            <w:hideMark/>
          </w:tcPr>
          <w:p w14:paraId="4297E8EC"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Investment (£m)</w:t>
            </w:r>
          </w:p>
        </w:tc>
        <w:tc>
          <w:tcPr>
            <w:tcW w:w="0" w:type="auto"/>
            <w:tcBorders>
              <w:top w:val="thinThickSmallGap" w:sz="24" w:space="0" w:color="auto"/>
              <w:bottom w:val="thickThinSmallGap" w:sz="24" w:space="0" w:color="auto"/>
            </w:tcBorders>
            <w:vAlign w:val="center"/>
            <w:hideMark/>
          </w:tcPr>
          <w:p w14:paraId="58CF79CD"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NPV (£m)</w:t>
            </w:r>
          </w:p>
        </w:tc>
        <w:tc>
          <w:tcPr>
            <w:tcW w:w="0" w:type="auto"/>
            <w:tcBorders>
              <w:top w:val="thinThickSmallGap" w:sz="24" w:space="0" w:color="auto"/>
              <w:bottom w:val="thickThinSmallGap" w:sz="24" w:space="0" w:color="auto"/>
            </w:tcBorders>
            <w:vAlign w:val="center"/>
            <w:hideMark/>
          </w:tcPr>
          <w:p w14:paraId="2A80A609"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Decision</w:t>
            </w:r>
          </w:p>
        </w:tc>
      </w:tr>
      <w:tr w:rsidR="00FB132B" w:rsidRPr="00C236AD" w14:paraId="6C1CFE62" w14:textId="77777777" w:rsidTr="00F00090">
        <w:trPr>
          <w:tblCellSpacing w:w="15" w:type="dxa"/>
        </w:trPr>
        <w:tc>
          <w:tcPr>
            <w:tcW w:w="0" w:type="auto"/>
            <w:vAlign w:val="center"/>
            <w:hideMark/>
          </w:tcPr>
          <w:p w14:paraId="3A1A71DC"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Project A</w:t>
            </w:r>
          </w:p>
        </w:tc>
        <w:tc>
          <w:tcPr>
            <w:tcW w:w="0" w:type="auto"/>
            <w:vAlign w:val="center"/>
            <w:hideMark/>
          </w:tcPr>
          <w:p w14:paraId="238ED34D"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50</w:t>
            </w:r>
          </w:p>
        </w:tc>
        <w:tc>
          <w:tcPr>
            <w:tcW w:w="0" w:type="auto"/>
            <w:vAlign w:val="center"/>
            <w:hideMark/>
          </w:tcPr>
          <w:p w14:paraId="394CE44D" w14:textId="3EDC6A86" w:rsidR="00FB132B" w:rsidRPr="00C236AD" w:rsidRDefault="00ED72CF" w:rsidP="00C236AD">
            <w:pPr>
              <w:spacing w:after="0" w:line="360" w:lineRule="auto"/>
              <w:jc w:val="both"/>
              <w:rPr>
                <w:rFonts w:cs="Arial"/>
                <w:b/>
                <w:bCs/>
                <w:sz w:val="24"/>
                <w:szCs w:val="24"/>
                <w:lang w:val="en-GB"/>
              </w:rPr>
            </w:pPr>
            <w:r>
              <w:rPr>
                <w:rFonts w:cs="Arial"/>
                <w:sz w:val="24"/>
                <w:szCs w:val="24"/>
                <w:lang w:val="en-GB"/>
              </w:rPr>
              <w:t>-</w:t>
            </w:r>
            <w:r w:rsidR="00FB132B" w:rsidRPr="00C236AD">
              <w:rPr>
                <w:rFonts w:cs="Arial"/>
                <w:sz w:val="24"/>
                <w:szCs w:val="24"/>
                <w:lang w:val="en-GB"/>
              </w:rPr>
              <w:t>6.54</w:t>
            </w:r>
          </w:p>
        </w:tc>
        <w:tc>
          <w:tcPr>
            <w:tcW w:w="0" w:type="auto"/>
            <w:vAlign w:val="center"/>
            <w:hideMark/>
          </w:tcPr>
          <w:p w14:paraId="55DF21B5"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Reject</w:t>
            </w:r>
          </w:p>
        </w:tc>
      </w:tr>
      <w:tr w:rsidR="00FB132B" w:rsidRPr="00C236AD" w14:paraId="5CB7AE66" w14:textId="77777777" w:rsidTr="00F00090">
        <w:trPr>
          <w:tblCellSpacing w:w="15" w:type="dxa"/>
        </w:trPr>
        <w:tc>
          <w:tcPr>
            <w:tcW w:w="0" w:type="auto"/>
            <w:vAlign w:val="center"/>
            <w:hideMark/>
          </w:tcPr>
          <w:p w14:paraId="2F57E971"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Project B</w:t>
            </w:r>
          </w:p>
        </w:tc>
        <w:tc>
          <w:tcPr>
            <w:tcW w:w="0" w:type="auto"/>
            <w:vAlign w:val="center"/>
            <w:hideMark/>
          </w:tcPr>
          <w:p w14:paraId="5AA366FF"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50</w:t>
            </w:r>
          </w:p>
        </w:tc>
        <w:tc>
          <w:tcPr>
            <w:tcW w:w="0" w:type="auto"/>
            <w:vAlign w:val="center"/>
            <w:hideMark/>
          </w:tcPr>
          <w:p w14:paraId="49B32166" w14:textId="059F85C7" w:rsidR="00FB132B" w:rsidRPr="00C236AD" w:rsidRDefault="00ED72CF" w:rsidP="00C236AD">
            <w:pPr>
              <w:spacing w:after="0" w:line="360" w:lineRule="auto"/>
              <w:jc w:val="both"/>
              <w:rPr>
                <w:rFonts w:cs="Arial"/>
                <w:b/>
                <w:bCs/>
                <w:sz w:val="24"/>
                <w:szCs w:val="24"/>
                <w:lang w:val="en-GB"/>
              </w:rPr>
            </w:pPr>
            <w:r>
              <w:rPr>
                <w:rFonts w:cs="Arial"/>
                <w:sz w:val="24"/>
                <w:szCs w:val="24"/>
                <w:lang w:val="en-GB"/>
              </w:rPr>
              <w:t>-</w:t>
            </w:r>
            <w:r w:rsidR="00FB132B" w:rsidRPr="00C236AD">
              <w:rPr>
                <w:rFonts w:cs="Arial"/>
                <w:sz w:val="24"/>
                <w:szCs w:val="24"/>
                <w:lang w:val="en-GB"/>
              </w:rPr>
              <w:t>6.08</w:t>
            </w:r>
          </w:p>
        </w:tc>
        <w:tc>
          <w:tcPr>
            <w:tcW w:w="0" w:type="auto"/>
            <w:vAlign w:val="center"/>
            <w:hideMark/>
          </w:tcPr>
          <w:p w14:paraId="78151AF2"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Reject</w:t>
            </w:r>
          </w:p>
        </w:tc>
      </w:tr>
      <w:tr w:rsidR="00FB132B" w:rsidRPr="00C236AD" w14:paraId="626CAB6A" w14:textId="77777777" w:rsidTr="00F00090">
        <w:trPr>
          <w:tblCellSpacing w:w="15" w:type="dxa"/>
        </w:trPr>
        <w:tc>
          <w:tcPr>
            <w:tcW w:w="0" w:type="auto"/>
            <w:tcBorders>
              <w:bottom w:val="thickThinSmallGap" w:sz="24" w:space="0" w:color="auto"/>
            </w:tcBorders>
            <w:vAlign w:val="center"/>
            <w:hideMark/>
          </w:tcPr>
          <w:p w14:paraId="0DAA5BE5"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Project C</w:t>
            </w:r>
          </w:p>
        </w:tc>
        <w:tc>
          <w:tcPr>
            <w:tcW w:w="0" w:type="auto"/>
            <w:tcBorders>
              <w:bottom w:val="thickThinSmallGap" w:sz="24" w:space="0" w:color="auto"/>
            </w:tcBorders>
            <w:vAlign w:val="center"/>
            <w:hideMark/>
          </w:tcPr>
          <w:p w14:paraId="5B9415B0"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50</w:t>
            </w:r>
          </w:p>
        </w:tc>
        <w:tc>
          <w:tcPr>
            <w:tcW w:w="0" w:type="auto"/>
            <w:tcBorders>
              <w:bottom w:val="thickThinSmallGap" w:sz="24" w:space="0" w:color="auto"/>
            </w:tcBorders>
            <w:vAlign w:val="center"/>
            <w:hideMark/>
          </w:tcPr>
          <w:p w14:paraId="5B10F54D"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+0.86</w:t>
            </w:r>
          </w:p>
        </w:tc>
        <w:tc>
          <w:tcPr>
            <w:tcW w:w="0" w:type="auto"/>
            <w:tcBorders>
              <w:bottom w:val="thickThinSmallGap" w:sz="24" w:space="0" w:color="auto"/>
            </w:tcBorders>
            <w:vAlign w:val="center"/>
            <w:hideMark/>
          </w:tcPr>
          <w:p w14:paraId="349F682F"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Accept</w:t>
            </w:r>
          </w:p>
        </w:tc>
      </w:tr>
    </w:tbl>
    <w:p w14:paraId="623B9AEA"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NPV of project combinations</w:t>
      </w:r>
    </w:p>
    <w:p w14:paraId="23B2EE15" w14:textId="7B23DAC2"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Because NPVs are additive when the projects are independent</w:t>
      </w:r>
      <w:r w:rsidR="00FD5F42">
        <w:rPr>
          <w:rFonts w:cs="Arial"/>
          <w:sz w:val="24"/>
          <w:szCs w:val="24"/>
          <w:lang w:val="en-GB"/>
        </w:rPr>
        <w:t xml:space="preserve">. </w:t>
      </w:r>
      <w:r w:rsidR="00FD5F42" w:rsidRPr="00FD5F42">
        <w:rPr>
          <w:rFonts w:cs="Arial"/>
          <w:sz w:val="24"/>
          <w:szCs w:val="24"/>
        </w:rPr>
        <w:t xml:space="preserve">When capital is constrained, investment should be allocated towards projects that </w:t>
      </w:r>
      <w:proofErr w:type="spellStart"/>
      <w:r w:rsidR="00FD5F42" w:rsidRPr="00FD5F42">
        <w:rPr>
          <w:rFonts w:cs="Arial"/>
          <w:sz w:val="24"/>
          <w:szCs w:val="24"/>
        </w:rPr>
        <w:t>maximise</w:t>
      </w:r>
      <w:proofErr w:type="spellEnd"/>
      <w:r w:rsidR="00FD5F42" w:rsidRPr="00FD5F42">
        <w:rPr>
          <w:rFonts w:cs="Arial"/>
          <w:sz w:val="24"/>
          <w:szCs w:val="24"/>
        </w:rPr>
        <w:t xml:space="preserve"> value rather than simply using the full available budget (Berk and DeMarzo, 2020).</w:t>
      </w:r>
    </w:p>
    <w:p w14:paraId="47505CED" w14:textId="77777777" w:rsidR="00FD5F42" w:rsidRDefault="00FD5F42" w:rsidP="00C236AD">
      <w:pPr>
        <w:spacing w:after="0" w:line="360" w:lineRule="auto"/>
        <w:jc w:val="both"/>
        <w:rPr>
          <w:rFonts w:cs="Arial"/>
          <w:sz w:val="24"/>
          <w:szCs w:val="24"/>
          <w:lang w:val="en-GB"/>
        </w:rPr>
      </w:pPr>
    </w:p>
    <w:p w14:paraId="54715A30" w14:textId="03E3701B"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Capital rationing comparison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3"/>
        <w:gridCol w:w="1794"/>
        <w:gridCol w:w="2275"/>
        <w:gridCol w:w="996"/>
      </w:tblGrid>
      <w:tr w:rsidR="00FB132B" w:rsidRPr="00C236AD" w14:paraId="488A19A3" w14:textId="77777777" w:rsidTr="00F00090">
        <w:trPr>
          <w:tblHeader/>
          <w:tblCellSpacing w:w="15" w:type="dxa"/>
        </w:trPr>
        <w:tc>
          <w:tcPr>
            <w:tcW w:w="0" w:type="auto"/>
            <w:tcBorders>
              <w:top w:val="thinThickSmallGap" w:sz="24" w:space="0" w:color="auto"/>
              <w:bottom w:val="thickThinSmallGap" w:sz="24" w:space="0" w:color="auto"/>
            </w:tcBorders>
            <w:vAlign w:val="center"/>
            <w:hideMark/>
          </w:tcPr>
          <w:p w14:paraId="1B9DC0BA"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Combination</w:t>
            </w:r>
          </w:p>
        </w:tc>
        <w:tc>
          <w:tcPr>
            <w:tcW w:w="0" w:type="auto"/>
            <w:tcBorders>
              <w:top w:val="thinThickSmallGap" w:sz="24" w:space="0" w:color="auto"/>
              <w:bottom w:val="thickThinSmallGap" w:sz="24" w:space="0" w:color="auto"/>
            </w:tcBorders>
            <w:vAlign w:val="center"/>
            <w:hideMark/>
          </w:tcPr>
          <w:p w14:paraId="0DF75885"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Investment (£m)</w:t>
            </w:r>
          </w:p>
        </w:tc>
        <w:tc>
          <w:tcPr>
            <w:tcW w:w="0" w:type="auto"/>
            <w:tcBorders>
              <w:top w:val="thinThickSmallGap" w:sz="24" w:space="0" w:color="auto"/>
              <w:bottom w:val="thickThinSmallGap" w:sz="24" w:space="0" w:color="auto"/>
            </w:tcBorders>
            <w:vAlign w:val="center"/>
            <w:hideMark/>
          </w:tcPr>
          <w:p w14:paraId="650B9B97"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Combined NPV (£m)</w:t>
            </w:r>
          </w:p>
        </w:tc>
        <w:tc>
          <w:tcPr>
            <w:tcW w:w="0" w:type="auto"/>
            <w:tcBorders>
              <w:top w:val="thinThickSmallGap" w:sz="24" w:space="0" w:color="auto"/>
              <w:bottom w:val="thickThinSmallGap" w:sz="24" w:space="0" w:color="auto"/>
            </w:tcBorders>
            <w:vAlign w:val="center"/>
            <w:hideMark/>
          </w:tcPr>
          <w:p w14:paraId="095CCF51"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Decision</w:t>
            </w:r>
          </w:p>
        </w:tc>
      </w:tr>
      <w:tr w:rsidR="00FB132B" w:rsidRPr="00C236AD" w14:paraId="1898101B" w14:textId="77777777" w:rsidTr="00F00090">
        <w:trPr>
          <w:tblCellSpacing w:w="15" w:type="dxa"/>
        </w:trPr>
        <w:tc>
          <w:tcPr>
            <w:tcW w:w="0" w:type="auto"/>
            <w:vAlign w:val="center"/>
            <w:hideMark/>
          </w:tcPr>
          <w:p w14:paraId="7506596E"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A</w:t>
            </w:r>
          </w:p>
        </w:tc>
        <w:tc>
          <w:tcPr>
            <w:tcW w:w="0" w:type="auto"/>
            <w:vAlign w:val="center"/>
            <w:hideMark/>
          </w:tcPr>
          <w:p w14:paraId="0FA1BB4A"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50</w:t>
            </w:r>
          </w:p>
        </w:tc>
        <w:tc>
          <w:tcPr>
            <w:tcW w:w="0" w:type="auto"/>
            <w:vAlign w:val="center"/>
            <w:hideMark/>
          </w:tcPr>
          <w:p w14:paraId="4A9AAFC4" w14:textId="30EE1638" w:rsidR="00FB132B" w:rsidRPr="00C236AD" w:rsidRDefault="00ED72CF" w:rsidP="00C236AD">
            <w:pPr>
              <w:spacing w:after="0" w:line="360" w:lineRule="auto"/>
              <w:jc w:val="both"/>
              <w:rPr>
                <w:rFonts w:cs="Arial"/>
                <w:b/>
                <w:bCs/>
                <w:sz w:val="24"/>
                <w:szCs w:val="24"/>
                <w:lang w:val="en-GB"/>
              </w:rPr>
            </w:pPr>
            <w:r>
              <w:rPr>
                <w:rFonts w:cs="Arial"/>
                <w:sz w:val="24"/>
                <w:szCs w:val="24"/>
                <w:lang w:val="en-GB"/>
              </w:rPr>
              <w:t>-</w:t>
            </w:r>
            <w:r w:rsidR="00FB132B" w:rsidRPr="00C236AD">
              <w:rPr>
                <w:rFonts w:cs="Arial"/>
                <w:sz w:val="24"/>
                <w:szCs w:val="24"/>
                <w:lang w:val="en-GB"/>
              </w:rPr>
              <w:t>6.54</w:t>
            </w:r>
          </w:p>
        </w:tc>
        <w:tc>
          <w:tcPr>
            <w:tcW w:w="0" w:type="auto"/>
            <w:vAlign w:val="center"/>
            <w:hideMark/>
          </w:tcPr>
          <w:p w14:paraId="2B55E0A6"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Reject</w:t>
            </w:r>
          </w:p>
        </w:tc>
      </w:tr>
      <w:tr w:rsidR="00FB132B" w:rsidRPr="00C236AD" w14:paraId="1A040F8A" w14:textId="77777777" w:rsidTr="00F00090">
        <w:trPr>
          <w:tblCellSpacing w:w="15" w:type="dxa"/>
        </w:trPr>
        <w:tc>
          <w:tcPr>
            <w:tcW w:w="0" w:type="auto"/>
            <w:vAlign w:val="center"/>
            <w:hideMark/>
          </w:tcPr>
          <w:p w14:paraId="1CAEA072"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B</w:t>
            </w:r>
          </w:p>
        </w:tc>
        <w:tc>
          <w:tcPr>
            <w:tcW w:w="0" w:type="auto"/>
            <w:vAlign w:val="center"/>
            <w:hideMark/>
          </w:tcPr>
          <w:p w14:paraId="724DF793"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50</w:t>
            </w:r>
          </w:p>
        </w:tc>
        <w:tc>
          <w:tcPr>
            <w:tcW w:w="0" w:type="auto"/>
            <w:vAlign w:val="center"/>
            <w:hideMark/>
          </w:tcPr>
          <w:p w14:paraId="341FAB27" w14:textId="309D71BE" w:rsidR="00FB132B" w:rsidRPr="00C236AD" w:rsidRDefault="00ED72CF" w:rsidP="00C236AD">
            <w:pPr>
              <w:spacing w:after="0" w:line="360" w:lineRule="auto"/>
              <w:jc w:val="both"/>
              <w:rPr>
                <w:rFonts w:cs="Arial"/>
                <w:b/>
                <w:bCs/>
                <w:sz w:val="24"/>
                <w:szCs w:val="24"/>
                <w:lang w:val="en-GB"/>
              </w:rPr>
            </w:pPr>
            <w:r>
              <w:rPr>
                <w:rFonts w:cs="Arial"/>
                <w:sz w:val="24"/>
                <w:szCs w:val="24"/>
                <w:lang w:val="en-GB"/>
              </w:rPr>
              <w:t>-</w:t>
            </w:r>
            <w:r w:rsidR="00FB132B" w:rsidRPr="00C236AD">
              <w:rPr>
                <w:rFonts w:cs="Arial"/>
                <w:sz w:val="24"/>
                <w:szCs w:val="24"/>
                <w:lang w:val="en-GB"/>
              </w:rPr>
              <w:t>6.08</w:t>
            </w:r>
          </w:p>
        </w:tc>
        <w:tc>
          <w:tcPr>
            <w:tcW w:w="0" w:type="auto"/>
            <w:vAlign w:val="center"/>
            <w:hideMark/>
          </w:tcPr>
          <w:p w14:paraId="3DF5CE9C"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Reject</w:t>
            </w:r>
          </w:p>
        </w:tc>
      </w:tr>
      <w:tr w:rsidR="00FB132B" w:rsidRPr="00C236AD" w14:paraId="3E180C80" w14:textId="77777777" w:rsidTr="00F00090">
        <w:trPr>
          <w:tblCellSpacing w:w="15" w:type="dxa"/>
        </w:trPr>
        <w:tc>
          <w:tcPr>
            <w:tcW w:w="0" w:type="auto"/>
            <w:vAlign w:val="center"/>
            <w:hideMark/>
          </w:tcPr>
          <w:p w14:paraId="28D4E4F2"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C</w:t>
            </w:r>
          </w:p>
        </w:tc>
        <w:tc>
          <w:tcPr>
            <w:tcW w:w="0" w:type="auto"/>
            <w:vAlign w:val="center"/>
            <w:hideMark/>
          </w:tcPr>
          <w:p w14:paraId="0A5FDA27"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50</w:t>
            </w:r>
          </w:p>
        </w:tc>
        <w:tc>
          <w:tcPr>
            <w:tcW w:w="0" w:type="auto"/>
            <w:vAlign w:val="center"/>
            <w:hideMark/>
          </w:tcPr>
          <w:p w14:paraId="1A40D387"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+0.86</w:t>
            </w:r>
          </w:p>
        </w:tc>
        <w:tc>
          <w:tcPr>
            <w:tcW w:w="0" w:type="auto"/>
            <w:vAlign w:val="center"/>
            <w:hideMark/>
          </w:tcPr>
          <w:p w14:paraId="43FF8EDA"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Accept</w:t>
            </w:r>
          </w:p>
        </w:tc>
      </w:tr>
      <w:tr w:rsidR="00FB132B" w:rsidRPr="00C236AD" w14:paraId="5926E47C" w14:textId="77777777" w:rsidTr="00F00090">
        <w:trPr>
          <w:tblCellSpacing w:w="15" w:type="dxa"/>
        </w:trPr>
        <w:tc>
          <w:tcPr>
            <w:tcW w:w="0" w:type="auto"/>
            <w:vAlign w:val="center"/>
            <w:hideMark/>
          </w:tcPr>
          <w:p w14:paraId="3BA45308"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A + B</w:t>
            </w:r>
          </w:p>
        </w:tc>
        <w:tc>
          <w:tcPr>
            <w:tcW w:w="0" w:type="auto"/>
            <w:vAlign w:val="center"/>
            <w:hideMark/>
          </w:tcPr>
          <w:p w14:paraId="2A122D27"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100</w:t>
            </w:r>
          </w:p>
        </w:tc>
        <w:tc>
          <w:tcPr>
            <w:tcW w:w="0" w:type="auto"/>
            <w:vAlign w:val="center"/>
            <w:hideMark/>
          </w:tcPr>
          <w:p w14:paraId="165B0371" w14:textId="52A3D03E" w:rsidR="00FB132B" w:rsidRPr="00C236AD" w:rsidRDefault="00ED72CF" w:rsidP="00C236AD">
            <w:pPr>
              <w:spacing w:after="0" w:line="360" w:lineRule="auto"/>
              <w:jc w:val="both"/>
              <w:rPr>
                <w:rFonts w:cs="Arial"/>
                <w:b/>
                <w:bCs/>
                <w:sz w:val="24"/>
                <w:szCs w:val="24"/>
                <w:lang w:val="en-GB"/>
              </w:rPr>
            </w:pPr>
            <w:r>
              <w:rPr>
                <w:rFonts w:cs="Arial"/>
                <w:sz w:val="24"/>
                <w:szCs w:val="24"/>
                <w:lang w:val="en-GB"/>
              </w:rPr>
              <w:t>-</w:t>
            </w:r>
            <w:r w:rsidR="00FB132B" w:rsidRPr="00C236AD">
              <w:rPr>
                <w:rFonts w:cs="Arial"/>
                <w:sz w:val="24"/>
                <w:szCs w:val="24"/>
                <w:lang w:val="en-GB"/>
              </w:rPr>
              <w:t>12.62</w:t>
            </w:r>
          </w:p>
        </w:tc>
        <w:tc>
          <w:tcPr>
            <w:tcW w:w="0" w:type="auto"/>
            <w:vAlign w:val="center"/>
            <w:hideMark/>
          </w:tcPr>
          <w:p w14:paraId="3C9FCA76"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Reject</w:t>
            </w:r>
          </w:p>
        </w:tc>
      </w:tr>
      <w:tr w:rsidR="00FB132B" w:rsidRPr="00C236AD" w14:paraId="7DA15934" w14:textId="77777777" w:rsidTr="00F00090">
        <w:trPr>
          <w:tblCellSpacing w:w="15" w:type="dxa"/>
        </w:trPr>
        <w:tc>
          <w:tcPr>
            <w:tcW w:w="0" w:type="auto"/>
            <w:vAlign w:val="center"/>
            <w:hideMark/>
          </w:tcPr>
          <w:p w14:paraId="44185E29"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A + C</w:t>
            </w:r>
          </w:p>
        </w:tc>
        <w:tc>
          <w:tcPr>
            <w:tcW w:w="0" w:type="auto"/>
            <w:vAlign w:val="center"/>
            <w:hideMark/>
          </w:tcPr>
          <w:p w14:paraId="75E1210F"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100</w:t>
            </w:r>
          </w:p>
        </w:tc>
        <w:tc>
          <w:tcPr>
            <w:tcW w:w="0" w:type="auto"/>
            <w:vAlign w:val="center"/>
            <w:hideMark/>
          </w:tcPr>
          <w:p w14:paraId="58BE384E" w14:textId="3D22572D" w:rsidR="00FB132B" w:rsidRPr="00C236AD" w:rsidRDefault="00ED72CF" w:rsidP="00C236AD">
            <w:pPr>
              <w:spacing w:after="0" w:line="360" w:lineRule="auto"/>
              <w:jc w:val="both"/>
              <w:rPr>
                <w:rFonts w:cs="Arial"/>
                <w:b/>
                <w:bCs/>
                <w:sz w:val="24"/>
                <w:szCs w:val="24"/>
                <w:lang w:val="en-GB"/>
              </w:rPr>
            </w:pPr>
            <w:r>
              <w:rPr>
                <w:rFonts w:cs="Arial"/>
                <w:sz w:val="24"/>
                <w:szCs w:val="24"/>
                <w:lang w:val="en-GB"/>
              </w:rPr>
              <w:t>-</w:t>
            </w:r>
            <w:r w:rsidR="00FB132B" w:rsidRPr="00C236AD">
              <w:rPr>
                <w:rFonts w:cs="Arial"/>
                <w:sz w:val="24"/>
                <w:szCs w:val="24"/>
                <w:lang w:val="en-GB"/>
              </w:rPr>
              <w:t>5.68</w:t>
            </w:r>
          </w:p>
        </w:tc>
        <w:tc>
          <w:tcPr>
            <w:tcW w:w="0" w:type="auto"/>
            <w:vAlign w:val="center"/>
            <w:hideMark/>
          </w:tcPr>
          <w:p w14:paraId="1482EBEB"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Reject</w:t>
            </w:r>
          </w:p>
        </w:tc>
      </w:tr>
      <w:tr w:rsidR="00FB132B" w:rsidRPr="00C236AD" w14:paraId="659692FF" w14:textId="77777777" w:rsidTr="00F00090">
        <w:trPr>
          <w:tblCellSpacing w:w="15" w:type="dxa"/>
        </w:trPr>
        <w:tc>
          <w:tcPr>
            <w:tcW w:w="0" w:type="auto"/>
            <w:tcBorders>
              <w:bottom w:val="thickThinSmallGap" w:sz="24" w:space="0" w:color="auto"/>
            </w:tcBorders>
            <w:vAlign w:val="center"/>
            <w:hideMark/>
          </w:tcPr>
          <w:p w14:paraId="31E820FE"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B + C</w:t>
            </w:r>
          </w:p>
        </w:tc>
        <w:tc>
          <w:tcPr>
            <w:tcW w:w="0" w:type="auto"/>
            <w:tcBorders>
              <w:bottom w:val="thickThinSmallGap" w:sz="24" w:space="0" w:color="auto"/>
            </w:tcBorders>
            <w:vAlign w:val="center"/>
            <w:hideMark/>
          </w:tcPr>
          <w:p w14:paraId="314688EA"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100</w:t>
            </w:r>
          </w:p>
        </w:tc>
        <w:tc>
          <w:tcPr>
            <w:tcW w:w="0" w:type="auto"/>
            <w:tcBorders>
              <w:bottom w:val="thickThinSmallGap" w:sz="24" w:space="0" w:color="auto"/>
            </w:tcBorders>
            <w:vAlign w:val="center"/>
            <w:hideMark/>
          </w:tcPr>
          <w:p w14:paraId="79FF4E46" w14:textId="1B445D83" w:rsidR="00FB132B" w:rsidRPr="00C236AD" w:rsidRDefault="00ED72CF" w:rsidP="00C236AD">
            <w:pPr>
              <w:spacing w:after="0" w:line="360" w:lineRule="auto"/>
              <w:jc w:val="both"/>
              <w:rPr>
                <w:rFonts w:cs="Arial"/>
                <w:b/>
                <w:bCs/>
                <w:sz w:val="24"/>
                <w:szCs w:val="24"/>
                <w:lang w:val="en-GB"/>
              </w:rPr>
            </w:pPr>
            <w:r>
              <w:rPr>
                <w:rFonts w:cs="Arial"/>
                <w:sz w:val="24"/>
                <w:szCs w:val="24"/>
                <w:lang w:val="en-GB"/>
              </w:rPr>
              <w:t>-</w:t>
            </w:r>
            <w:r w:rsidR="00FB132B" w:rsidRPr="00C236AD">
              <w:rPr>
                <w:rFonts w:cs="Arial"/>
                <w:sz w:val="24"/>
                <w:szCs w:val="24"/>
                <w:lang w:val="en-GB"/>
              </w:rPr>
              <w:t>5.22</w:t>
            </w:r>
          </w:p>
        </w:tc>
        <w:tc>
          <w:tcPr>
            <w:tcW w:w="0" w:type="auto"/>
            <w:tcBorders>
              <w:bottom w:val="thickThinSmallGap" w:sz="24" w:space="0" w:color="auto"/>
            </w:tcBorders>
            <w:vAlign w:val="center"/>
            <w:hideMark/>
          </w:tcPr>
          <w:p w14:paraId="526AC864" w14:textId="77777777" w:rsidR="00FB132B" w:rsidRPr="00C236AD" w:rsidRDefault="00FB132B" w:rsidP="00C236AD">
            <w:pPr>
              <w:spacing w:after="0" w:line="360" w:lineRule="auto"/>
              <w:jc w:val="both"/>
              <w:rPr>
                <w:rFonts w:cs="Arial"/>
                <w:b/>
                <w:bCs/>
                <w:sz w:val="24"/>
                <w:szCs w:val="24"/>
                <w:lang w:val="en-GB"/>
              </w:rPr>
            </w:pPr>
            <w:r w:rsidRPr="00C236AD">
              <w:rPr>
                <w:rFonts w:cs="Arial"/>
                <w:sz w:val="24"/>
                <w:szCs w:val="24"/>
                <w:lang w:val="en-GB"/>
              </w:rPr>
              <w:t>Reject</w:t>
            </w:r>
          </w:p>
        </w:tc>
      </w:tr>
    </w:tbl>
    <w:p w14:paraId="3C51F107" w14:textId="0757BD20"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lastRenderedPageBreak/>
        <w:t>Although the B + C combination has the least negative NPV among the two</w:t>
      </w:r>
      <w:r w:rsidR="00ED72CF">
        <w:rPr>
          <w:rFonts w:cs="Arial"/>
          <w:sz w:val="24"/>
          <w:szCs w:val="24"/>
          <w:lang w:val="en-GB"/>
        </w:rPr>
        <w:t>-</w:t>
      </w:r>
      <w:r w:rsidRPr="00C236AD">
        <w:rPr>
          <w:rFonts w:cs="Arial"/>
          <w:sz w:val="24"/>
          <w:szCs w:val="24"/>
          <w:lang w:val="en-GB"/>
        </w:rPr>
        <w:t>project combinations, it still destroys approximately £5.22 million of value. Therefore, Marriott should not invest the entire £100 million simply because the budget is available.</w:t>
      </w:r>
    </w:p>
    <w:p w14:paraId="2E986812" w14:textId="1902647B"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 optimal capital</w:t>
      </w:r>
      <w:r w:rsidR="00ED72CF">
        <w:rPr>
          <w:rFonts w:cs="Arial"/>
          <w:sz w:val="24"/>
          <w:szCs w:val="24"/>
          <w:lang w:val="en-GB"/>
        </w:rPr>
        <w:t>-</w:t>
      </w:r>
      <w:r w:rsidRPr="00C236AD">
        <w:rPr>
          <w:rFonts w:cs="Arial"/>
          <w:sz w:val="24"/>
          <w:szCs w:val="24"/>
          <w:lang w:val="en-GB"/>
        </w:rPr>
        <w:t>rationing decision is consequently to invest £50 million in Project C and retain the remaining £50 million rather than investing in a project with a negative NPV.</w:t>
      </w:r>
    </w:p>
    <w:p w14:paraId="27DD3BCE"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This is an important principle of capital budgeting: the objective is not to spend the available investment budget, but to maximise shareholder value.</w:t>
      </w:r>
    </w:p>
    <w:p w14:paraId="6D4C0954" w14:textId="4C4D783D" w:rsidR="00EB716E" w:rsidRPr="00C236AD" w:rsidRDefault="00EB716E" w:rsidP="00C236AD">
      <w:pPr>
        <w:spacing w:after="0" w:line="360" w:lineRule="auto"/>
        <w:jc w:val="both"/>
        <w:rPr>
          <w:rFonts w:cs="Arial"/>
          <w:b/>
          <w:bCs/>
          <w:sz w:val="24"/>
          <w:szCs w:val="24"/>
          <w:lang w:val="en-GB"/>
        </w:rPr>
      </w:pPr>
    </w:p>
    <w:p w14:paraId="190EBDE6" w14:textId="7F579515"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4.</w:t>
      </w:r>
      <w:r w:rsidR="0003016E">
        <w:rPr>
          <w:rFonts w:cs="Arial"/>
          <w:sz w:val="24"/>
          <w:szCs w:val="24"/>
          <w:lang w:val="en-GB"/>
        </w:rPr>
        <w:t>f</w:t>
      </w:r>
      <w:r w:rsidRPr="00C236AD">
        <w:rPr>
          <w:rFonts w:cs="Arial"/>
          <w:sz w:val="24"/>
          <w:szCs w:val="24"/>
          <w:lang w:val="en-GB"/>
        </w:rPr>
        <w:t>. Final Recommendation</w:t>
      </w:r>
    </w:p>
    <w:p w14:paraId="6597E70F"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Project C is the clear preferred investment.</w:t>
      </w:r>
    </w:p>
    <w:p w14:paraId="0F8827BC"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It has the:</w:t>
      </w:r>
    </w:p>
    <w:p w14:paraId="7568FF61"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shortest PBP (3.60 years);</w:t>
      </w:r>
    </w:p>
    <w:p w14:paraId="581A3342"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highest ARR (12.00%);</w:t>
      </w:r>
    </w:p>
    <w:p w14:paraId="002D511C"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only positive NPV (+£0.86m);</w:t>
      </w:r>
    </w:p>
    <w:p w14:paraId="658D4263"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only PI above 1 (1.02); and</w:t>
      </w:r>
    </w:p>
    <w:p w14:paraId="7738B80A"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highest IRR (approximately 8.6%).</w:t>
      </w:r>
    </w:p>
    <w:p w14:paraId="55F94B52"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Projects A and B should be rejected because their NPVs are negative and their IRRs are below the 8% required return.</w:t>
      </w:r>
    </w:p>
    <w:p w14:paraId="57CB7403" w14:textId="1653DDE1"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From Marriott's perspective, Project C is also preferable because the company has strong operating cash generation and profitability, allowing it to finance a £50 million investment. Nevertheless, Marriott's high debt and relatively low cash balance mean that financial discipline remains important. The project should therefore be funded without creating unnecessary additional short</w:t>
      </w:r>
      <w:r w:rsidR="00ED72CF">
        <w:rPr>
          <w:rFonts w:cs="Arial"/>
          <w:sz w:val="24"/>
          <w:szCs w:val="24"/>
          <w:lang w:val="en-GB"/>
        </w:rPr>
        <w:t>-</w:t>
      </w:r>
      <w:r w:rsidRPr="00C236AD">
        <w:rPr>
          <w:rFonts w:cs="Arial"/>
          <w:sz w:val="24"/>
          <w:szCs w:val="24"/>
          <w:lang w:val="en-GB"/>
        </w:rPr>
        <w:t>term financial pressure.</w:t>
      </w:r>
    </w:p>
    <w:p w14:paraId="332E6E28" w14:textId="37FD03CD"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Under the £100 million capital</w:t>
      </w:r>
      <w:r w:rsidR="00ED72CF">
        <w:rPr>
          <w:rFonts w:cs="Arial"/>
          <w:sz w:val="24"/>
          <w:szCs w:val="24"/>
          <w:lang w:val="en-GB"/>
        </w:rPr>
        <w:t>-</w:t>
      </w:r>
      <w:r w:rsidRPr="00C236AD">
        <w:rPr>
          <w:rFonts w:cs="Arial"/>
          <w:sz w:val="24"/>
          <w:szCs w:val="24"/>
          <w:lang w:val="en-GB"/>
        </w:rPr>
        <w:t>rationing constraint, the company should select Project C only rather than combining it with Project A or B. The remaining £50 million should be retained for liquidity, debt management or future projects with a positive NPV.</w:t>
      </w:r>
    </w:p>
    <w:p w14:paraId="1744D0EC"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t>The final recommendation is therefore:</w:t>
      </w:r>
    </w:p>
    <w:p w14:paraId="460F9FC9" w14:textId="77777777" w:rsidR="00EB716E" w:rsidRPr="00C236AD" w:rsidRDefault="00EB716E" w:rsidP="00C236AD">
      <w:pPr>
        <w:spacing w:after="0" w:line="360" w:lineRule="auto"/>
        <w:jc w:val="both"/>
        <w:rPr>
          <w:rFonts w:cs="Arial"/>
          <w:b/>
          <w:bCs/>
          <w:sz w:val="24"/>
          <w:szCs w:val="24"/>
          <w:lang w:val="en-GB"/>
        </w:rPr>
      </w:pPr>
      <w:r w:rsidRPr="00C236AD">
        <w:rPr>
          <w:rFonts w:cs="Arial"/>
          <w:sz w:val="24"/>
          <w:szCs w:val="24"/>
          <w:lang w:val="en-GB"/>
        </w:rPr>
        <w:lastRenderedPageBreak/>
        <w:t>Invest £50 million in Project C and reject Projects A and B.</w:t>
      </w:r>
    </w:p>
    <w:p w14:paraId="6071C8BF" w14:textId="77777777" w:rsidR="00EB716E" w:rsidRDefault="00EB716E" w:rsidP="00C236AD">
      <w:pPr>
        <w:spacing w:after="0" w:line="360" w:lineRule="auto"/>
        <w:jc w:val="both"/>
        <w:rPr>
          <w:rFonts w:cs="Arial"/>
          <w:sz w:val="24"/>
          <w:szCs w:val="24"/>
          <w:lang w:val="en-GB"/>
        </w:rPr>
      </w:pPr>
      <w:r w:rsidRPr="00C236AD">
        <w:rPr>
          <w:rFonts w:cs="Arial"/>
          <w:sz w:val="24"/>
          <w:szCs w:val="24"/>
          <w:lang w:val="en-GB"/>
        </w:rPr>
        <w:t>This decision provides the strongest combination of financial value creation, rapid capital recovery and strategic flexibility, while remaining consistent with Marriott's current financial position.</w:t>
      </w:r>
    </w:p>
    <w:p w14:paraId="483009AA" w14:textId="77777777" w:rsidR="002A7575" w:rsidRPr="00C236AD" w:rsidRDefault="002A7575" w:rsidP="00C236AD">
      <w:pPr>
        <w:spacing w:after="0" w:line="360" w:lineRule="auto"/>
        <w:jc w:val="both"/>
        <w:rPr>
          <w:rFonts w:cs="Arial"/>
          <w:b/>
          <w:bCs/>
          <w:sz w:val="24"/>
          <w:szCs w:val="24"/>
          <w:lang w:val="en-GB"/>
        </w:rPr>
      </w:pPr>
    </w:p>
    <w:p w14:paraId="47D441FE" w14:textId="77777777" w:rsidR="002A7575" w:rsidRPr="002A7575" w:rsidRDefault="002A7575" w:rsidP="002A7575">
      <w:pPr>
        <w:spacing w:after="0" w:line="360" w:lineRule="auto"/>
        <w:jc w:val="both"/>
        <w:rPr>
          <w:rFonts w:cs="Arial"/>
          <w:sz w:val="24"/>
          <w:szCs w:val="24"/>
        </w:rPr>
      </w:pPr>
      <w:r w:rsidRPr="002A7575">
        <w:rPr>
          <w:rFonts w:cs="Arial"/>
          <w:sz w:val="24"/>
          <w:szCs w:val="24"/>
        </w:rPr>
        <w:t>5. CRITICAL REFLECTION ON AI USAGE</w:t>
      </w:r>
    </w:p>
    <w:p w14:paraId="34F48C0F" w14:textId="77777777" w:rsidR="002A7575" w:rsidRPr="002A7575" w:rsidRDefault="002A7575" w:rsidP="002A7575">
      <w:pPr>
        <w:spacing w:after="0" w:line="360" w:lineRule="auto"/>
        <w:jc w:val="both"/>
        <w:rPr>
          <w:rFonts w:cs="Arial"/>
          <w:sz w:val="24"/>
          <w:szCs w:val="24"/>
        </w:rPr>
      </w:pPr>
    </w:p>
    <w:p w14:paraId="24ADECAC" w14:textId="77777777" w:rsidR="002A7575" w:rsidRPr="002A7575" w:rsidRDefault="002A7575" w:rsidP="002A7575">
      <w:pPr>
        <w:spacing w:after="0" w:line="360" w:lineRule="auto"/>
        <w:jc w:val="both"/>
        <w:rPr>
          <w:rFonts w:cs="Arial"/>
          <w:sz w:val="24"/>
          <w:szCs w:val="24"/>
        </w:rPr>
      </w:pPr>
      <w:r w:rsidRPr="002A7575">
        <w:rPr>
          <w:rFonts w:cs="Arial"/>
          <w:sz w:val="24"/>
          <w:szCs w:val="24"/>
        </w:rPr>
        <w:t>5.1 Introduction</w:t>
      </w:r>
    </w:p>
    <w:p w14:paraId="3F5D586D" w14:textId="77777777" w:rsidR="002A7575" w:rsidRPr="002A7575" w:rsidRDefault="002A7575" w:rsidP="002A7575">
      <w:pPr>
        <w:spacing w:after="0" w:line="360" w:lineRule="auto"/>
        <w:jc w:val="both"/>
        <w:rPr>
          <w:rFonts w:cs="Arial"/>
          <w:sz w:val="24"/>
          <w:szCs w:val="24"/>
        </w:rPr>
      </w:pPr>
      <w:r w:rsidRPr="002A7575">
        <w:rPr>
          <w:rFonts w:cs="Arial"/>
          <w:sz w:val="24"/>
          <w:szCs w:val="24"/>
        </w:rPr>
        <w:t>Artificial Intelligence was used as a supporting tool in the preparation of this report. The aim of this section is to explain how AI was used, how its output was checked, and to reflect on the ethical issues. This is important to meet UWTSD requirements on academic integrity and to show that final judgement and all calculations remained with the author. Given that this report involves financial analysis, it was essential to use AI carefully and ensure that no data or calculation was accepted without independent checking.</w:t>
      </w:r>
    </w:p>
    <w:p w14:paraId="7B16348C" w14:textId="77777777" w:rsidR="002A7575" w:rsidRPr="002A7575" w:rsidRDefault="002A7575" w:rsidP="002A7575">
      <w:pPr>
        <w:spacing w:after="0" w:line="360" w:lineRule="auto"/>
        <w:jc w:val="both"/>
        <w:rPr>
          <w:rFonts w:cs="Arial"/>
          <w:sz w:val="24"/>
          <w:szCs w:val="24"/>
        </w:rPr>
      </w:pPr>
    </w:p>
    <w:p w14:paraId="1DEACEBB" w14:textId="77777777" w:rsidR="002A7575" w:rsidRPr="002A7575" w:rsidRDefault="002A7575" w:rsidP="002A7575">
      <w:pPr>
        <w:spacing w:after="0" w:line="360" w:lineRule="auto"/>
        <w:jc w:val="both"/>
        <w:rPr>
          <w:rFonts w:cs="Arial"/>
          <w:sz w:val="24"/>
          <w:szCs w:val="24"/>
        </w:rPr>
      </w:pPr>
      <w:r w:rsidRPr="002A7575">
        <w:rPr>
          <w:rFonts w:cs="Arial"/>
          <w:sz w:val="24"/>
          <w:szCs w:val="24"/>
        </w:rPr>
        <w:t>5.2 How AI Was Used</w:t>
      </w:r>
    </w:p>
    <w:p w14:paraId="540996C0" w14:textId="77777777" w:rsidR="002A7575" w:rsidRPr="002A7575" w:rsidRDefault="002A7575" w:rsidP="002A7575">
      <w:pPr>
        <w:spacing w:after="0" w:line="360" w:lineRule="auto"/>
        <w:jc w:val="both"/>
        <w:rPr>
          <w:rFonts w:cs="Arial"/>
          <w:sz w:val="24"/>
          <w:szCs w:val="24"/>
        </w:rPr>
      </w:pPr>
      <w:r w:rsidRPr="002A7575">
        <w:rPr>
          <w:rFonts w:cs="Arial"/>
          <w:sz w:val="24"/>
          <w:szCs w:val="24"/>
        </w:rPr>
        <w:t>The main tool used was ChatGPT. AI was not used to replace research, analysis or calculations, and it was not used to write or draft any part of this report. All writing was done by myself.</w:t>
      </w:r>
    </w:p>
    <w:p w14:paraId="0EE93425" w14:textId="77777777" w:rsidR="002A7575" w:rsidRPr="002A7575" w:rsidRDefault="002A7575" w:rsidP="002A7575">
      <w:pPr>
        <w:spacing w:after="0" w:line="360" w:lineRule="auto"/>
        <w:jc w:val="both"/>
        <w:rPr>
          <w:rFonts w:cs="Arial"/>
          <w:sz w:val="24"/>
          <w:szCs w:val="24"/>
        </w:rPr>
      </w:pPr>
    </w:p>
    <w:p w14:paraId="2382349A" w14:textId="70DBA3B2" w:rsidR="002A7575" w:rsidRPr="002A7575" w:rsidRDefault="002A7575" w:rsidP="002A7575">
      <w:pPr>
        <w:spacing w:after="0" w:line="360" w:lineRule="auto"/>
        <w:jc w:val="both"/>
        <w:rPr>
          <w:rFonts w:cs="Arial"/>
          <w:sz w:val="24"/>
          <w:szCs w:val="24"/>
        </w:rPr>
      </w:pPr>
      <w:r w:rsidRPr="002A7575">
        <w:rPr>
          <w:rFonts w:cs="Arial"/>
          <w:sz w:val="24"/>
          <w:szCs w:val="24"/>
        </w:rPr>
        <w:t xml:space="preserve">AI was used in three supporting ways only. First, it helped to </w:t>
      </w:r>
      <w:proofErr w:type="spellStart"/>
      <w:r w:rsidRPr="002A7575">
        <w:rPr>
          <w:rFonts w:cs="Arial"/>
          <w:sz w:val="24"/>
          <w:szCs w:val="24"/>
        </w:rPr>
        <w:t>organise</w:t>
      </w:r>
      <w:proofErr w:type="spellEnd"/>
      <w:r w:rsidRPr="002A7575">
        <w:rPr>
          <w:rFonts w:cs="Arial"/>
          <w:sz w:val="24"/>
          <w:szCs w:val="24"/>
        </w:rPr>
        <w:t xml:space="preserve"> the report structure and suggest logical flow for the sections, which I then adapted to Marriott’s case and to UWTSD guidelines. Second, it supported research by identifying sources on hospitality finance, debt management and the asset</w:t>
      </w:r>
      <w:r w:rsidR="00ED72CF">
        <w:rPr>
          <w:rFonts w:cs="Arial"/>
          <w:sz w:val="24"/>
          <w:szCs w:val="24"/>
        </w:rPr>
        <w:t>-</w:t>
      </w:r>
      <w:r w:rsidRPr="002A7575">
        <w:rPr>
          <w:rFonts w:cs="Arial"/>
          <w:sz w:val="24"/>
          <w:szCs w:val="24"/>
        </w:rPr>
        <w:t xml:space="preserve">light model. It also </w:t>
      </w:r>
      <w:proofErr w:type="spellStart"/>
      <w:r w:rsidRPr="002A7575">
        <w:rPr>
          <w:rFonts w:cs="Arial"/>
          <w:sz w:val="24"/>
          <w:szCs w:val="24"/>
        </w:rPr>
        <w:t>summarised</w:t>
      </w:r>
      <w:proofErr w:type="spellEnd"/>
      <w:r w:rsidRPr="002A7575">
        <w:rPr>
          <w:rFonts w:cs="Arial"/>
          <w:sz w:val="24"/>
          <w:szCs w:val="24"/>
        </w:rPr>
        <w:t xml:space="preserve"> long articles and annual reports. This made it faster to check if a source was relevant before reading it in full.</w:t>
      </w:r>
    </w:p>
    <w:p w14:paraId="5528C485" w14:textId="77777777" w:rsidR="002A7575" w:rsidRPr="002A7575" w:rsidRDefault="002A7575" w:rsidP="002A7575">
      <w:pPr>
        <w:spacing w:after="0" w:line="360" w:lineRule="auto"/>
        <w:jc w:val="both"/>
        <w:rPr>
          <w:rFonts w:cs="Arial"/>
          <w:sz w:val="24"/>
          <w:szCs w:val="24"/>
        </w:rPr>
      </w:pPr>
    </w:p>
    <w:p w14:paraId="18081496" w14:textId="3B00EEEC" w:rsidR="002A7575" w:rsidRPr="002A7575" w:rsidRDefault="002A7575" w:rsidP="002A7575">
      <w:pPr>
        <w:spacing w:after="0" w:line="360" w:lineRule="auto"/>
        <w:jc w:val="both"/>
        <w:rPr>
          <w:rFonts w:cs="Arial"/>
          <w:sz w:val="24"/>
          <w:szCs w:val="24"/>
        </w:rPr>
      </w:pPr>
      <w:r w:rsidRPr="002A7575">
        <w:rPr>
          <w:rFonts w:cs="Arial"/>
          <w:sz w:val="24"/>
          <w:szCs w:val="24"/>
        </w:rPr>
        <w:t>Third, it helped with methodology. It explained financial</w:t>
      </w:r>
      <w:r w:rsidR="00ED72CF">
        <w:rPr>
          <w:rFonts w:cs="Arial"/>
          <w:sz w:val="24"/>
          <w:szCs w:val="24"/>
        </w:rPr>
        <w:t>-</w:t>
      </w:r>
      <w:r w:rsidRPr="002A7575">
        <w:rPr>
          <w:rFonts w:cs="Arial"/>
          <w:sz w:val="24"/>
          <w:szCs w:val="24"/>
        </w:rPr>
        <w:t>ratio formulas and the steps for investment appraisal techniques such as NPV, IRR, PI, ARR and PBP. This was useful for confirming that I was applying the correct approach.</w:t>
      </w:r>
    </w:p>
    <w:p w14:paraId="090A720C" w14:textId="77777777" w:rsidR="002A7575" w:rsidRPr="002A7575" w:rsidRDefault="002A7575" w:rsidP="002A7575">
      <w:pPr>
        <w:spacing w:after="0" w:line="360" w:lineRule="auto"/>
        <w:jc w:val="both"/>
        <w:rPr>
          <w:rFonts w:cs="Arial"/>
          <w:sz w:val="24"/>
          <w:szCs w:val="24"/>
        </w:rPr>
      </w:pPr>
    </w:p>
    <w:p w14:paraId="70C5E8A2" w14:textId="77777777" w:rsidR="002A7575" w:rsidRPr="002A7575" w:rsidRDefault="002A7575" w:rsidP="002A7575">
      <w:pPr>
        <w:spacing w:after="0" w:line="360" w:lineRule="auto"/>
        <w:jc w:val="both"/>
        <w:rPr>
          <w:rFonts w:cs="Arial"/>
          <w:sz w:val="24"/>
          <w:szCs w:val="24"/>
        </w:rPr>
      </w:pPr>
      <w:r w:rsidRPr="002A7575">
        <w:rPr>
          <w:rFonts w:cs="Arial"/>
          <w:sz w:val="24"/>
          <w:szCs w:val="24"/>
        </w:rPr>
        <w:t>It is important to state that all ratios and investment appraisal calculations were done by myself using Excel, based directly on data extracted from Marriott’s financial statements. No calculation was taken from AI. AI was used to understand the method, but the inputs and results came from my own work.</w:t>
      </w:r>
    </w:p>
    <w:p w14:paraId="737A8A7B" w14:textId="77777777" w:rsidR="002A7575" w:rsidRPr="002A7575" w:rsidRDefault="002A7575" w:rsidP="002A7575">
      <w:pPr>
        <w:spacing w:after="0" w:line="360" w:lineRule="auto"/>
        <w:jc w:val="both"/>
        <w:rPr>
          <w:rFonts w:cs="Arial"/>
          <w:sz w:val="24"/>
          <w:szCs w:val="24"/>
        </w:rPr>
      </w:pPr>
    </w:p>
    <w:p w14:paraId="3F1F85CC" w14:textId="77777777" w:rsidR="002A7575" w:rsidRPr="002A7575" w:rsidRDefault="002A7575" w:rsidP="002A7575">
      <w:pPr>
        <w:spacing w:after="0" w:line="360" w:lineRule="auto"/>
        <w:jc w:val="both"/>
        <w:rPr>
          <w:rFonts w:cs="Arial"/>
          <w:sz w:val="24"/>
          <w:szCs w:val="24"/>
        </w:rPr>
      </w:pPr>
      <w:r w:rsidRPr="002A7575">
        <w:rPr>
          <w:rFonts w:cs="Arial"/>
          <w:sz w:val="24"/>
          <w:szCs w:val="24"/>
        </w:rPr>
        <w:t>5.3 Critical Evaluation and Contribution</w:t>
      </w:r>
    </w:p>
    <w:p w14:paraId="375CB95A" w14:textId="77777777" w:rsidR="002A7575" w:rsidRPr="002A7575" w:rsidRDefault="002A7575" w:rsidP="002A7575">
      <w:pPr>
        <w:spacing w:after="0" w:line="360" w:lineRule="auto"/>
        <w:jc w:val="both"/>
        <w:rPr>
          <w:rFonts w:cs="Arial"/>
          <w:sz w:val="24"/>
          <w:szCs w:val="24"/>
        </w:rPr>
      </w:pPr>
      <w:r w:rsidRPr="002A7575">
        <w:rPr>
          <w:rFonts w:cs="Arial"/>
          <w:sz w:val="24"/>
          <w:szCs w:val="24"/>
        </w:rPr>
        <w:t>A key lesson was that AI output must be verified. AI can give confident answers that are still wrong. This is a particular risk in finance because similar terms can have different meanings under different accounting standards.</w:t>
      </w:r>
    </w:p>
    <w:p w14:paraId="7B3F8E27" w14:textId="77777777" w:rsidR="002A7575" w:rsidRPr="002A7575" w:rsidRDefault="002A7575" w:rsidP="002A7575">
      <w:pPr>
        <w:spacing w:after="0" w:line="360" w:lineRule="auto"/>
        <w:jc w:val="both"/>
        <w:rPr>
          <w:rFonts w:cs="Arial"/>
          <w:sz w:val="24"/>
          <w:szCs w:val="24"/>
        </w:rPr>
      </w:pPr>
    </w:p>
    <w:p w14:paraId="503D73EA" w14:textId="77777777" w:rsidR="002A7575" w:rsidRPr="002A7575" w:rsidRDefault="002A7575" w:rsidP="002A7575">
      <w:pPr>
        <w:spacing w:after="0" w:line="360" w:lineRule="auto"/>
        <w:jc w:val="both"/>
        <w:rPr>
          <w:rFonts w:cs="Arial"/>
          <w:sz w:val="24"/>
          <w:szCs w:val="24"/>
        </w:rPr>
      </w:pPr>
      <w:r w:rsidRPr="002A7575">
        <w:rPr>
          <w:rFonts w:cs="Arial"/>
          <w:sz w:val="24"/>
          <w:szCs w:val="24"/>
        </w:rPr>
        <w:t xml:space="preserve">To manage this, I adopted a clear process. All key figures and ratios were traced back to Marriott’s Consolidated Income Statement, Balance Sheet and Cash Flow Statement for 2021 to 2025. Because I calculated all ratios and indices myself, I was able to check each formula and input directly against the source documents. Where a ratio was not reported by Marriott, this was stated clearly rather than presented as an official company measure. For example, any </w:t>
      </w:r>
      <w:proofErr w:type="spellStart"/>
      <w:r w:rsidRPr="002A7575">
        <w:rPr>
          <w:rFonts w:cs="Arial"/>
          <w:sz w:val="24"/>
          <w:szCs w:val="24"/>
        </w:rPr>
        <w:t>standardised</w:t>
      </w:r>
      <w:proofErr w:type="spellEnd"/>
      <w:r w:rsidRPr="002A7575">
        <w:rPr>
          <w:rFonts w:cs="Arial"/>
          <w:sz w:val="24"/>
          <w:szCs w:val="24"/>
        </w:rPr>
        <w:t xml:space="preserve"> gross profit figure was labelled as such.</w:t>
      </w:r>
    </w:p>
    <w:p w14:paraId="6094BAB0" w14:textId="77777777" w:rsidR="002A7575" w:rsidRPr="002A7575" w:rsidRDefault="002A7575" w:rsidP="002A7575">
      <w:pPr>
        <w:spacing w:after="0" w:line="360" w:lineRule="auto"/>
        <w:jc w:val="both"/>
        <w:rPr>
          <w:rFonts w:cs="Arial"/>
          <w:sz w:val="24"/>
          <w:szCs w:val="24"/>
        </w:rPr>
      </w:pPr>
    </w:p>
    <w:p w14:paraId="44CAD43E" w14:textId="77777777" w:rsidR="002A7575" w:rsidRPr="002A7575" w:rsidRDefault="002A7575" w:rsidP="002A7575">
      <w:pPr>
        <w:spacing w:after="0" w:line="360" w:lineRule="auto"/>
        <w:jc w:val="both"/>
        <w:rPr>
          <w:rFonts w:cs="Arial"/>
          <w:sz w:val="24"/>
          <w:szCs w:val="24"/>
        </w:rPr>
      </w:pPr>
      <w:r w:rsidRPr="002A7575">
        <w:rPr>
          <w:rFonts w:cs="Arial"/>
          <w:sz w:val="24"/>
          <w:szCs w:val="24"/>
        </w:rPr>
        <w:t>The investment appraisal calculations were also checked step by step. Rather than relying on AI, I built the NPV, PI, ARR and PBP models in Excel and tested different discount rates to estimate IRR by interpolation. This gave IRRs of approximately 3.0% for Project A, 3.6% for Project B and 8.6% for Project C. This process helped to avoid errors and to understand the assumptions behind each result.</w:t>
      </w:r>
    </w:p>
    <w:p w14:paraId="343D345A" w14:textId="77777777" w:rsidR="002A7575" w:rsidRPr="002A7575" w:rsidRDefault="002A7575" w:rsidP="002A7575">
      <w:pPr>
        <w:spacing w:after="0" w:line="360" w:lineRule="auto"/>
        <w:jc w:val="both"/>
        <w:rPr>
          <w:rFonts w:cs="Arial"/>
          <w:sz w:val="24"/>
          <w:szCs w:val="24"/>
        </w:rPr>
      </w:pPr>
    </w:p>
    <w:p w14:paraId="2B0E34C4" w14:textId="35D4F985" w:rsidR="002A7575" w:rsidRPr="002A7575" w:rsidRDefault="002A7575" w:rsidP="002A7575">
      <w:pPr>
        <w:spacing w:after="0" w:line="360" w:lineRule="auto"/>
        <w:jc w:val="both"/>
        <w:rPr>
          <w:rFonts w:cs="Arial"/>
          <w:sz w:val="24"/>
          <w:szCs w:val="24"/>
        </w:rPr>
      </w:pPr>
      <w:r w:rsidRPr="002A7575">
        <w:rPr>
          <w:rFonts w:cs="Arial"/>
          <w:sz w:val="24"/>
          <w:szCs w:val="24"/>
        </w:rPr>
        <w:t>Economic logic was also considered. For example, Marriott’s negative shareholders’ equity could have been misinterpreted as insolvency. By reviewing the asset</w:t>
      </w:r>
      <w:r w:rsidR="00ED72CF">
        <w:rPr>
          <w:rFonts w:cs="Arial"/>
          <w:sz w:val="24"/>
          <w:szCs w:val="24"/>
        </w:rPr>
        <w:t>-</w:t>
      </w:r>
      <w:r w:rsidRPr="002A7575">
        <w:rPr>
          <w:rFonts w:cs="Arial"/>
          <w:sz w:val="24"/>
          <w:szCs w:val="24"/>
        </w:rPr>
        <w:t>light model, treasury stock and continued operating cash flow, it was clear that this was not the case. This shows that professional judgement is still needed to interpret financial results.</w:t>
      </w:r>
    </w:p>
    <w:p w14:paraId="5B0B1566" w14:textId="77777777" w:rsidR="002A7575" w:rsidRPr="002A7575" w:rsidRDefault="002A7575" w:rsidP="002A7575">
      <w:pPr>
        <w:spacing w:after="0" w:line="360" w:lineRule="auto"/>
        <w:jc w:val="both"/>
        <w:rPr>
          <w:rFonts w:cs="Arial"/>
          <w:sz w:val="24"/>
          <w:szCs w:val="24"/>
        </w:rPr>
      </w:pPr>
    </w:p>
    <w:p w14:paraId="5340CDDC" w14:textId="77777777" w:rsidR="002A7575" w:rsidRPr="002A7575" w:rsidRDefault="002A7575" w:rsidP="002A7575">
      <w:pPr>
        <w:spacing w:after="0" w:line="360" w:lineRule="auto"/>
        <w:jc w:val="both"/>
        <w:rPr>
          <w:rFonts w:cs="Arial"/>
          <w:sz w:val="24"/>
          <w:szCs w:val="24"/>
        </w:rPr>
      </w:pPr>
      <w:r w:rsidRPr="002A7575">
        <w:rPr>
          <w:rFonts w:cs="Arial"/>
          <w:sz w:val="24"/>
          <w:szCs w:val="24"/>
        </w:rPr>
        <w:lastRenderedPageBreak/>
        <w:t>AI’s role was limited to structure suggestions, source identification and methodology explanation. My role was to select relevant information, perform all calculations, verify data, write the report, and decide on the final recommendations for Marriott.</w:t>
      </w:r>
    </w:p>
    <w:p w14:paraId="782648A9" w14:textId="77777777" w:rsidR="002A7575" w:rsidRPr="002A7575" w:rsidRDefault="002A7575" w:rsidP="002A7575">
      <w:pPr>
        <w:spacing w:after="0" w:line="360" w:lineRule="auto"/>
        <w:jc w:val="both"/>
        <w:rPr>
          <w:rFonts w:cs="Arial"/>
          <w:sz w:val="24"/>
          <w:szCs w:val="24"/>
        </w:rPr>
      </w:pPr>
    </w:p>
    <w:p w14:paraId="6FBE7021" w14:textId="77777777" w:rsidR="002A7575" w:rsidRPr="002A7575" w:rsidRDefault="002A7575" w:rsidP="002A7575">
      <w:pPr>
        <w:spacing w:after="0" w:line="360" w:lineRule="auto"/>
        <w:jc w:val="both"/>
        <w:rPr>
          <w:rFonts w:cs="Arial"/>
          <w:sz w:val="24"/>
          <w:szCs w:val="24"/>
        </w:rPr>
      </w:pPr>
      <w:r w:rsidRPr="002A7575">
        <w:rPr>
          <w:rFonts w:cs="Arial"/>
          <w:sz w:val="24"/>
          <w:szCs w:val="24"/>
        </w:rPr>
        <w:t>5.4 Ethical Reflection</w:t>
      </w:r>
    </w:p>
    <w:p w14:paraId="77E0A230" w14:textId="194AE9A1" w:rsidR="002A7575" w:rsidRPr="002A7575" w:rsidRDefault="002A7575" w:rsidP="002A7575">
      <w:pPr>
        <w:spacing w:after="0" w:line="360" w:lineRule="auto"/>
        <w:jc w:val="both"/>
        <w:rPr>
          <w:rFonts w:cs="Arial"/>
          <w:sz w:val="24"/>
          <w:szCs w:val="24"/>
        </w:rPr>
      </w:pPr>
      <w:r w:rsidRPr="002A7575">
        <w:rPr>
          <w:rFonts w:cs="Arial"/>
          <w:sz w:val="24"/>
          <w:szCs w:val="24"/>
        </w:rPr>
        <w:t>Two issues are important. First, transparency. AI use should be disclosed and not presented as fully original work. This is expected in academic submissions and in professional practice. Second, over</w:t>
      </w:r>
      <w:r w:rsidR="00ED72CF">
        <w:rPr>
          <w:rFonts w:cs="Arial"/>
          <w:sz w:val="24"/>
          <w:szCs w:val="24"/>
        </w:rPr>
        <w:t>-</w:t>
      </w:r>
      <w:r w:rsidRPr="002A7575">
        <w:rPr>
          <w:rFonts w:cs="Arial"/>
          <w:sz w:val="24"/>
          <w:szCs w:val="24"/>
        </w:rPr>
        <w:t xml:space="preserve">reliance should be avoided. AI can be persuasive but inaccurate, especially with outdated or incomplete data. In finance, accepting AI output without checking could lead to poor investment or financing decisions. Data privacy is also relevant. Sensitive company information should not be entered into public AI tools without proper </w:t>
      </w:r>
      <w:proofErr w:type="spellStart"/>
      <w:r w:rsidRPr="002A7575">
        <w:rPr>
          <w:rFonts w:cs="Arial"/>
          <w:sz w:val="24"/>
          <w:szCs w:val="24"/>
        </w:rPr>
        <w:t>authorisation</w:t>
      </w:r>
      <w:proofErr w:type="spellEnd"/>
      <w:r w:rsidRPr="002A7575">
        <w:rPr>
          <w:rFonts w:cs="Arial"/>
          <w:sz w:val="24"/>
          <w:szCs w:val="24"/>
        </w:rPr>
        <w:t>.</w:t>
      </w:r>
    </w:p>
    <w:p w14:paraId="7FBB038B" w14:textId="77777777" w:rsidR="002A7575" w:rsidRPr="002A7575" w:rsidRDefault="002A7575" w:rsidP="002A7575">
      <w:pPr>
        <w:spacing w:after="0" w:line="360" w:lineRule="auto"/>
        <w:jc w:val="both"/>
        <w:rPr>
          <w:rFonts w:cs="Arial"/>
          <w:sz w:val="24"/>
          <w:szCs w:val="24"/>
        </w:rPr>
      </w:pPr>
    </w:p>
    <w:p w14:paraId="4BE57B7B" w14:textId="4483F24B" w:rsidR="00EB716E" w:rsidRPr="00C236AD" w:rsidRDefault="002A7575" w:rsidP="002A7575">
      <w:pPr>
        <w:spacing w:after="0" w:line="360" w:lineRule="auto"/>
        <w:jc w:val="both"/>
        <w:rPr>
          <w:rFonts w:cs="Arial"/>
          <w:b/>
          <w:bCs/>
          <w:sz w:val="24"/>
          <w:szCs w:val="24"/>
          <w:lang w:val="fr-FR"/>
        </w:rPr>
      </w:pPr>
      <w:r w:rsidRPr="002A7575">
        <w:rPr>
          <w:rFonts w:cs="Arial"/>
          <w:sz w:val="24"/>
          <w:szCs w:val="24"/>
        </w:rPr>
        <w:t xml:space="preserve">Overall, AI improved efficiency and </w:t>
      </w:r>
      <w:proofErr w:type="spellStart"/>
      <w:r w:rsidRPr="002A7575">
        <w:rPr>
          <w:rFonts w:cs="Arial"/>
          <w:sz w:val="24"/>
          <w:szCs w:val="24"/>
        </w:rPr>
        <w:t>organisation</w:t>
      </w:r>
      <w:proofErr w:type="spellEnd"/>
      <w:r w:rsidRPr="002A7575">
        <w:rPr>
          <w:rFonts w:cs="Arial"/>
          <w:sz w:val="24"/>
          <w:szCs w:val="24"/>
        </w:rPr>
        <w:t>. However, its value depended on human verification. It works best as a support tool within a controlled process, not as a replacement for professional judgement.</w:t>
      </w:r>
      <w:r w:rsidR="00EB716E" w:rsidRPr="002A7575">
        <w:rPr>
          <w:rFonts w:cs="Arial"/>
          <w:sz w:val="24"/>
          <w:szCs w:val="24"/>
          <w:lang w:val="en-GB"/>
        </w:rPr>
        <w:t xml:space="preserve">6. </w:t>
      </w:r>
      <w:r w:rsidR="00EB716E" w:rsidRPr="00C236AD">
        <w:rPr>
          <w:rFonts w:cs="Arial"/>
          <w:sz w:val="24"/>
          <w:szCs w:val="24"/>
          <w:lang w:val="fr-FR"/>
        </w:rPr>
        <w:t>Appendices</w:t>
      </w:r>
    </w:p>
    <w:p w14:paraId="377DFCC2" w14:textId="2347132C" w:rsidR="00016117" w:rsidRDefault="00EB716E" w:rsidP="00C236AD">
      <w:pPr>
        <w:spacing w:after="0" w:line="360" w:lineRule="auto"/>
        <w:jc w:val="both"/>
        <w:rPr>
          <w:rFonts w:cs="Arial"/>
          <w:sz w:val="24"/>
          <w:szCs w:val="24"/>
          <w:lang w:val="fr-FR"/>
        </w:rPr>
      </w:pPr>
      <w:r w:rsidRPr="00C236AD">
        <w:rPr>
          <w:rFonts w:cs="Arial"/>
          <w:sz w:val="24"/>
          <w:szCs w:val="24"/>
          <w:lang w:val="fr-FR"/>
        </w:rPr>
        <w:t>Pour les annexes, je te conseille de ne pas remettre toute l’analyse. Mets plutôt les tableaux et calculs détaillés auxquels le corps du rapport fait référence.</w:t>
      </w:r>
    </w:p>
    <w:p w14:paraId="294DF110" w14:textId="77777777" w:rsidR="00ED72CF" w:rsidRPr="00ED72CF" w:rsidRDefault="00ED72CF" w:rsidP="00C236AD">
      <w:pPr>
        <w:spacing w:after="0" w:line="360" w:lineRule="auto"/>
        <w:jc w:val="both"/>
        <w:rPr>
          <w:rFonts w:cs="Arial"/>
          <w:sz w:val="24"/>
          <w:szCs w:val="24"/>
          <w:lang w:val="fr-FR"/>
        </w:rPr>
      </w:pPr>
    </w:p>
    <w:p w14:paraId="3FD6E2CF"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References</w:t>
      </w:r>
    </w:p>
    <w:p w14:paraId="31C7F478"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Berk, J. and DeMarzo, P. (2020) </w:t>
      </w:r>
      <w:r w:rsidRPr="00FD5F42">
        <w:rPr>
          <w:rFonts w:cs="Arial"/>
          <w:i/>
          <w:iCs/>
          <w:sz w:val="24"/>
          <w:szCs w:val="24"/>
          <w:lang w:val="en-GB"/>
        </w:rPr>
        <w:t>Corporate Finance</w:t>
      </w:r>
      <w:r w:rsidRPr="00FD5F42">
        <w:rPr>
          <w:rFonts w:cs="Arial"/>
          <w:sz w:val="24"/>
          <w:szCs w:val="24"/>
          <w:lang w:val="en-GB"/>
        </w:rPr>
        <w:t xml:space="preserve">. 5th </w:t>
      </w:r>
      <w:proofErr w:type="spellStart"/>
      <w:r w:rsidRPr="00FD5F42">
        <w:rPr>
          <w:rFonts w:cs="Arial"/>
          <w:sz w:val="24"/>
          <w:szCs w:val="24"/>
          <w:lang w:val="en-GB"/>
        </w:rPr>
        <w:t>edn</w:t>
      </w:r>
      <w:proofErr w:type="spellEnd"/>
      <w:r w:rsidRPr="00FD5F42">
        <w:rPr>
          <w:rFonts w:cs="Arial"/>
          <w:sz w:val="24"/>
          <w:szCs w:val="24"/>
          <w:lang w:val="en-GB"/>
        </w:rPr>
        <w:t>. Harlow: Pearson.</w:t>
      </w:r>
    </w:p>
    <w:p w14:paraId="5EFA79A8"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Brealey, R.A., Myers, S.C. and Allen, F. (2020) </w:t>
      </w:r>
      <w:r w:rsidRPr="00FD5F42">
        <w:rPr>
          <w:rFonts w:cs="Arial"/>
          <w:i/>
          <w:iCs/>
          <w:sz w:val="24"/>
          <w:szCs w:val="24"/>
          <w:lang w:val="en-GB"/>
        </w:rPr>
        <w:t>Principles of Corporate Finance</w:t>
      </w:r>
      <w:r w:rsidRPr="00FD5F42">
        <w:rPr>
          <w:rFonts w:cs="Arial"/>
          <w:sz w:val="24"/>
          <w:szCs w:val="24"/>
          <w:lang w:val="en-GB"/>
        </w:rPr>
        <w:t xml:space="preserve">. 13th </w:t>
      </w:r>
      <w:proofErr w:type="spellStart"/>
      <w:r w:rsidRPr="00FD5F42">
        <w:rPr>
          <w:rFonts w:cs="Arial"/>
          <w:sz w:val="24"/>
          <w:szCs w:val="24"/>
          <w:lang w:val="en-GB"/>
        </w:rPr>
        <w:t>edn</w:t>
      </w:r>
      <w:proofErr w:type="spellEnd"/>
      <w:r w:rsidRPr="00FD5F42">
        <w:rPr>
          <w:rFonts w:cs="Arial"/>
          <w:sz w:val="24"/>
          <w:szCs w:val="24"/>
          <w:lang w:val="en-GB"/>
        </w:rPr>
        <w:t>. New York: McGraw-Hill Education.</w:t>
      </w:r>
    </w:p>
    <w:p w14:paraId="4A1A089C"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Gonçalves, T., Gaio, C. and Robles, F. (2018) ‘The impact of working capital management on firm profitability in different economic cycles: Evidence from the United Kingdom’, </w:t>
      </w:r>
      <w:r w:rsidRPr="00FD5F42">
        <w:rPr>
          <w:rFonts w:cs="Arial"/>
          <w:i/>
          <w:iCs/>
          <w:sz w:val="24"/>
          <w:szCs w:val="24"/>
          <w:lang w:val="en-GB"/>
        </w:rPr>
        <w:t>Economics and Business Letters</w:t>
      </w:r>
      <w:r w:rsidRPr="00FD5F42">
        <w:rPr>
          <w:rFonts w:cs="Arial"/>
          <w:sz w:val="24"/>
          <w:szCs w:val="24"/>
          <w:lang w:val="en-GB"/>
        </w:rPr>
        <w:t>, 7(2), pp. 70–75.</w:t>
      </w:r>
    </w:p>
    <w:p w14:paraId="63C915B2"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Hilton Worldwide Holdings (2025) </w:t>
      </w:r>
      <w:r w:rsidRPr="00FD5F42">
        <w:rPr>
          <w:rFonts w:cs="Arial"/>
          <w:i/>
          <w:iCs/>
          <w:sz w:val="24"/>
          <w:szCs w:val="24"/>
          <w:lang w:val="en-GB"/>
        </w:rPr>
        <w:t>Annual Report 2025</w:t>
      </w:r>
      <w:r w:rsidRPr="00FD5F42">
        <w:rPr>
          <w:rFonts w:cs="Arial"/>
          <w:sz w:val="24"/>
          <w:szCs w:val="24"/>
          <w:lang w:val="en-GB"/>
        </w:rPr>
        <w:t>.</w:t>
      </w:r>
    </w:p>
    <w:p w14:paraId="34524361"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Marriott International (2022) </w:t>
      </w:r>
      <w:r w:rsidRPr="00FD5F42">
        <w:rPr>
          <w:rFonts w:cs="Arial"/>
          <w:i/>
          <w:iCs/>
          <w:sz w:val="24"/>
          <w:szCs w:val="24"/>
          <w:lang w:val="en-GB"/>
        </w:rPr>
        <w:t>Annual Report 2021</w:t>
      </w:r>
      <w:r w:rsidRPr="00FD5F42">
        <w:rPr>
          <w:rFonts w:cs="Arial"/>
          <w:sz w:val="24"/>
          <w:szCs w:val="24"/>
          <w:lang w:val="en-GB"/>
        </w:rPr>
        <w:t>.</w:t>
      </w:r>
    </w:p>
    <w:p w14:paraId="52EFA16D"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Marriott International (2023) </w:t>
      </w:r>
      <w:r w:rsidRPr="00FD5F42">
        <w:rPr>
          <w:rFonts w:cs="Arial"/>
          <w:i/>
          <w:iCs/>
          <w:sz w:val="24"/>
          <w:szCs w:val="24"/>
          <w:lang w:val="en-GB"/>
        </w:rPr>
        <w:t>Annual Report 2022</w:t>
      </w:r>
      <w:r w:rsidRPr="00FD5F42">
        <w:rPr>
          <w:rFonts w:cs="Arial"/>
          <w:sz w:val="24"/>
          <w:szCs w:val="24"/>
          <w:lang w:val="en-GB"/>
        </w:rPr>
        <w:t>.</w:t>
      </w:r>
    </w:p>
    <w:p w14:paraId="4E10AD7C"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Marriott International (2024) </w:t>
      </w:r>
      <w:r w:rsidRPr="00FD5F42">
        <w:rPr>
          <w:rFonts w:cs="Arial"/>
          <w:i/>
          <w:iCs/>
          <w:sz w:val="24"/>
          <w:szCs w:val="24"/>
          <w:lang w:val="en-GB"/>
        </w:rPr>
        <w:t>Annual Report 2023</w:t>
      </w:r>
      <w:r w:rsidRPr="00FD5F42">
        <w:rPr>
          <w:rFonts w:cs="Arial"/>
          <w:sz w:val="24"/>
          <w:szCs w:val="24"/>
          <w:lang w:val="en-GB"/>
        </w:rPr>
        <w:t>.</w:t>
      </w:r>
    </w:p>
    <w:p w14:paraId="70DC548C"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lastRenderedPageBreak/>
        <w:t xml:space="preserve">Marriott International (2025) </w:t>
      </w:r>
      <w:r w:rsidRPr="00FD5F42">
        <w:rPr>
          <w:rFonts w:cs="Arial"/>
          <w:i/>
          <w:iCs/>
          <w:sz w:val="24"/>
          <w:szCs w:val="24"/>
          <w:lang w:val="en-GB"/>
        </w:rPr>
        <w:t>Annual Report 2024</w:t>
      </w:r>
      <w:r w:rsidRPr="00FD5F42">
        <w:rPr>
          <w:rFonts w:cs="Arial"/>
          <w:sz w:val="24"/>
          <w:szCs w:val="24"/>
          <w:lang w:val="en-GB"/>
        </w:rPr>
        <w:t>.</w:t>
      </w:r>
    </w:p>
    <w:p w14:paraId="4FA46B48"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Marriott International (2026) </w:t>
      </w:r>
      <w:r w:rsidRPr="00FD5F42">
        <w:rPr>
          <w:rFonts w:cs="Arial"/>
          <w:i/>
          <w:iCs/>
          <w:sz w:val="24"/>
          <w:szCs w:val="24"/>
          <w:lang w:val="en-GB"/>
        </w:rPr>
        <w:t>Annual Report 2025</w:t>
      </w:r>
      <w:r w:rsidRPr="00FD5F42">
        <w:rPr>
          <w:rFonts w:cs="Arial"/>
          <w:sz w:val="24"/>
          <w:szCs w:val="24"/>
          <w:lang w:val="en-GB"/>
        </w:rPr>
        <w:t>.</w:t>
      </w:r>
    </w:p>
    <w:p w14:paraId="71B47CB3"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Ross, S.A., Westerfield, R.W. and Jordan, B.D. (2022) </w:t>
      </w:r>
      <w:r w:rsidRPr="00FD5F42">
        <w:rPr>
          <w:rFonts w:cs="Arial"/>
          <w:i/>
          <w:iCs/>
          <w:sz w:val="24"/>
          <w:szCs w:val="24"/>
          <w:lang w:val="en-GB"/>
        </w:rPr>
        <w:t>Fundamentals of Corporate Finance</w:t>
      </w:r>
      <w:r w:rsidRPr="00FD5F42">
        <w:rPr>
          <w:rFonts w:cs="Arial"/>
          <w:sz w:val="24"/>
          <w:szCs w:val="24"/>
          <w:lang w:val="en-GB"/>
        </w:rPr>
        <w:t xml:space="preserve">. 14th </w:t>
      </w:r>
      <w:proofErr w:type="spellStart"/>
      <w:r w:rsidRPr="00FD5F42">
        <w:rPr>
          <w:rFonts w:cs="Arial"/>
          <w:sz w:val="24"/>
          <w:szCs w:val="24"/>
          <w:lang w:val="en-GB"/>
        </w:rPr>
        <w:t>edn</w:t>
      </w:r>
      <w:proofErr w:type="spellEnd"/>
      <w:r w:rsidRPr="00FD5F42">
        <w:rPr>
          <w:rFonts w:cs="Arial"/>
          <w:sz w:val="24"/>
          <w:szCs w:val="24"/>
          <w:lang w:val="en-GB"/>
        </w:rPr>
        <w:t>. New York: McGraw-Hill.</w:t>
      </w:r>
    </w:p>
    <w:p w14:paraId="3420CD2C"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Singh, H.P., Kumar, S. and </w:t>
      </w:r>
      <w:proofErr w:type="spellStart"/>
      <w:r w:rsidRPr="00FD5F42">
        <w:rPr>
          <w:rFonts w:cs="Arial"/>
          <w:sz w:val="24"/>
          <w:szCs w:val="24"/>
          <w:lang w:val="en-GB"/>
        </w:rPr>
        <w:t>Colombage</w:t>
      </w:r>
      <w:proofErr w:type="spellEnd"/>
      <w:r w:rsidRPr="00FD5F42">
        <w:rPr>
          <w:rFonts w:cs="Arial"/>
          <w:sz w:val="24"/>
          <w:szCs w:val="24"/>
          <w:lang w:val="en-GB"/>
        </w:rPr>
        <w:t xml:space="preserve">, S. (2017) ‘Working capital management and firm profitability: a meta-analysis’, </w:t>
      </w:r>
      <w:r w:rsidRPr="00FD5F42">
        <w:rPr>
          <w:rFonts w:cs="Arial"/>
          <w:i/>
          <w:iCs/>
          <w:sz w:val="24"/>
          <w:szCs w:val="24"/>
          <w:lang w:val="en-GB"/>
        </w:rPr>
        <w:t>Qualitative Research in Financial Markets</w:t>
      </w:r>
      <w:r w:rsidRPr="00FD5F42">
        <w:rPr>
          <w:rFonts w:cs="Arial"/>
          <w:sz w:val="24"/>
          <w:szCs w:val="24"/>
          <w:lang w:val="en-GB"/>
        </w:rPr>
        <w:t>, 9(1), pp. 34–47.</w:t>
      </w:r>
    </w:p>
    <w:p w14:paraId="696BEB6C"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University of Wales Trinity Saint David (2025) </w:t>
      </w:r>
      <w:r w:rsidRPr="00FD5F42">
        <w:rPr>
          <w:rFonts w:cs="Arial"/>
          <w:i/>
          <w:iCs/>
          <w:sz w:val="24"/>
          <w:szCs w:val="24"/>
          <w:lang w:val="en-GB"/>
        </w:rPr>
        <w:t>Harvard Referencing Handbook</w:t>
      </w:r>
      <w:r w:rsidRPr="00FD5F42">
        <w:rPr>
          <w:rFonts w:cs="Arial"/>
          <w:sz w:val="24"/>
          <w:szCs w:val="24"/>
          <w:lang w:val="en-GB"/>
        </w:rPr>
        <w:t>. Swansea: University of Wales Trinity Saint David.</w:t>
      </w:r>
    </w:p>
    <w:p w14:paraId="6C33714A" w14:textId="77777777" w:rsidR="00FD5F42" w:rsidRPr="00FD5F42" w:rsidRDefault="00FD5F42" w:rsidP="00FD5F42">
      <w:pPr>
        <w:spacing w:after="0" w:line="360" w:lineRule="auto"/>
        <w:jc w:val="both"/>
        <w:rPr>
          <w:rFonts w:cs="Arial"/>
          <w:sz w:val="24"/>
          <w:szCs w:val="24"/>
          <w:lang w:val="en-GB"/>
        </w:rPr>
      </w:pPr>
      <w:r w:rsidRPr="00FD5F42">
        <w:rPr>
          <w:rFonts w:cs="Arial"/>
          <w:sz w:val="24"/>
          <w:szCs w:val="24"/>
          <w:lang w:val="en-GB"/>
        </w:rPr>
        <w:t xml:space="preserve">Van Horne, J.C. and Wachowicz, J.M. (2008) </w:t>
      </w:r>
      <w:r w:rsidRPr="00FD5F42">
        <w:rPr>
          <w:rFonts w:cs="Arial"/>
          <w:i/>
          <w:iCs/>
          <w:sz w:val="24"/>
          <w:szCs w:val="24"/>
          <w:lang w:val="en-GB"/>
        </w:rPr>
        <w:t>Fundamentals of Financial Management</w:t>
      </w:r>
      <w:r w:rsidRPr="00FD5F42">
        <w:rPr>
          <w:rFonts w:cs="Arial"/>
          <w:sz w:val="24"/>
          <w:szCs w:val="24"/>
          <w:lang w:val="en-GB"/>
        </w:rPr>
        <w:t xml:space="preserve">. 13th </w:t>
      </w:r>
      <w:proofErr w:type="spellStart"/>
      <w:r w:rsidRPr="00FD5F42">
        <w:rPr>
          <w:rFonts w:cs="Arial"/>
          <w:sz w:val="24"/>
          <w:szCs w:val="24"/>
          <w:lang w:val="en-GB"/>
        </w:rPr>
        <w:t>edn</w:t>
      </w:r>
      <w:proofErr w:type="spellEnd"/>
      <w:r w:rsidRPr="00FD5F42">
        <w:rPr>
          <w:rFonts w:cs="Arial"/>
          <w:sz w:val="24"/>
          <w:szCs w:val="24"/>
          <w:lang w:val="en-GB"/>
        </w:rPr>
        <w:t>. Harlow: Pearson Education.</w:t>
      </w:r>
    </w:p>
    <w:p w14:paraId="45F262D8" w14:textId="77777777" w:rsidR="00016117" w:rsidRDefault="00016117" w:rsidP="00C236AD">
      <w:pPr>
        <w:spacing w:after="0" w:line="360" w:lineRule="auto"/>
        <w:jc w:val="both"/>
        <w:rPr>
          <w:rFonts w:cs="Arial"/>
          <w:sz w:val="24"/>
          <w:szCs w:val="24"/>
          <w:lang w:val="en-GB"/>
        </w:rPr>
      </w:pPr>
    </w:p>
    <w:p w14:paraId="7A2BFFB8" w14:textId="77777777" w:rsidR="00ED72CF" w:rsidRDefault="00ED72CF" w:rsidP="00C236AD">
      <w:pPr>
        <w:spacing w:after="0" w:line="360" w:lineRule="auto"/>
        <w:jc w:val="both"/>
        <w:rPr>
          <w:rFonts w:cs="Arial"/>
          <w:sz w:val="24"/>
          <w:szCs w:val="24"/>
          <w:lang w:val="en-GB"/>
        </w:rPr>
      </w:pPr>
    </w:p>
    <w:p w14:paraId="24362118" w14:textId="77777777" w:rsidR="00ED72CF" w:rsidRDefault="00ED72CF" w:rsidP="00C236AD">
      <w:pPr>
        <w:spacing w:after="0" w:line="360" w:lineRule="auto"/>
        <w:jc w:val="both"/>
        <w:rPr>
          <w:rFonts w:cs="Arial"/>
          <w:sz w:val="24"/>
          <w:szCs w:val="24"/>
          <w:lang w:val="en-GB"/>
        </w:rPr>
      </w:pPr>
    </w:p>
    <w:p w14:paraId="644679BB" w14:textId="77777777" w:rsidR="00ED72CF" w:rsidRDefault="00ED72CF" w:rsidP="00C236AD">
      <w:pPr>
        <w:spacing w:after="0" w:line="360" w:lineRule="auto"/>
        <w:jc w:val="both"/>
        <w:rPr>
          <w:rFonts w:cs="Arial"/>
          <w:sz w:val="24"/>
          <w:szCs w:val="24"/>
          <w:lang w:val="en-GB"/>
        </w:rPr>
      </w:pPr>
    </w:p>
    <w:p w14:paraId="18EEE63E" w14:textId="77777777" w:rsidR="00ED72CF" w:rsidRDefault="00ED72CF" w:rsidP="00C236AD">
      <w:pPr>
        <w:spacing w:after="0" w:line="360" w:lineRule="auto"/>
        <w:jc w:val="both"/>
        <w:rPr>
          <w:rFonts w:cs="Arial"/>
          <w:sz w:val="24"/>
          <w:szCs w:val="24"/>
          <w:lang w:val="en-GB"/>
        </w:rPr>
      </w:pPr>
    </w:p>
    <w:p w14:paraId="470CC068" w14:textId="77777777" w:rsidR="00ED72CF" w:rsidRDefault="00ED72CF" w:rsidP="00C236AD">
      <w:pPr>
        <w:spacing w:after="0" w:line="360" w:lineRule="auto"/>
        <w:jc w:val="both"/>
        <w:rPr>
          <w:rFonts w:cs="Arial"/>
          <w:sz w:val="24"/>
          <w:szCs w:val="24"/>
          <w:lang w:val="en-GB"/>
        </w:rPr>
      </w:pPr>
    </w:p>
    <w:p w14:paraId="21F49E92" w14:textId="77777777" w:rsidR="00ED72CF" w:rsidRDefault="00ED72CF" w:rsidP="00C236AD">
      <w:pPr>
        <w:spacing w:after="0" w:line="360" w:lineRule="auto"/>
        <w:jc w:val="both"/>
        <w:rPr>
          <w:rFonts w:cs="Arial"/>
          <w:sz w:val="24"/>
          <w:szCs w:val="24"/>
          <w:lang w:val="en-GB"/>
        </w:rPr>
      </w:pPr>
    </w:p>
    <w:p w14:paraId="3F440A42" w14:textId="77777777" w:rsidR="00ED72CF" w:rsidRDefault="00ED72CF" w:rsidP="00C236AD">
      <w:pPr>
        <w:spacing w:after="0" w:line="360" w:lineRule="auto"/>
        <w:jc w:val="both"/>
        <w:rPr>
          <w:rFonts w:cs="Arial"/>
          <w:sz w:val="24"/>
          <w:szCs w:val="24"/>
          <w:lang w:val="en-GB"/>
        </w:rPr>
      </w:pPr>
    </w:p>
    <w:p w14:paraId="31DD147E" w14:textId="77777777" w:rsidR="00ED72CF" w:rsidRDefault="00ED72CF" w:rsidP="00C236AD">
      <w:pPr>
        <w:spacing w:after="0" w:line="360" w:lineRule="auto"/>
        <w:jc w:val="both"/>
        <w:rPr>
          <w:rFonts w:cs="Arial"/>
          <w:sz w:val="24"/>
          <w:szCs w:val="24"/>
          <w:lang w:val="en-GB"/>
        </w:rPr>
      </w:pPr>
    </w:p>
    <w:p w14:paraId="757B3F11" w14:textId="77777777" w:rsidR="00ED72CF" w:rsidRDefault="00ED72CF" w:rsidP="00C236AD">
      <w:pPr>
        <w:spacing w:after="0" w:line="360" w:lineRule="auto"/>
        <w:jc w:val="both"/>
        <w:rPr>
          <w:rFonts w:cs="Arial"/>
          <w:sz w:val="24"/>
          <w:szCs w:val="24"/>
          <w:lang w:val="en-GB"/>
        </w:rPr>
      </w:pPr>
    </w:p>
    <w:p w14:paraId="798EBC77" w14:textId="77777777" w:rsidR="00ED72CF" w:rsidRDefault="00ED72CF" w:rsidP="00C236AD">
      <w:pPr>
        <w:spacing w:after="0" w:line="360" w:lineRule="auto"/>
        <w:jc w:val="both"/>
        <w:rPr>
          <w:rFonts w:cs="Arial"/>
          <w:sz w:val="24"/>
          <w:szCs w:val="24"/>
          <w:lang w:val="en-GB"/>
        </w:rPr>
      </w:pPr>
    </w:p>
    <w:p w14:paraId="1FF483D4" w14:textId="77777777" w:rsidR="00ED72CF" w:rsidRDefault="00ED72CF" w:rsidP="00C236AD">
      <w:pPr>
        <w:spacing w:after="0" w:line="360" w:lineRule="auto"/>
        <w:jc w:val="both"/>
        <w:rPr>
          <w:rFonts w:cs="Arial"/>
          <w:sz w:val="24"/>
          <w:szCs w:val="24"/>
          <w:lang w:val="en-GB"/>
        </w:rPr>
      </w:pPr>
    </w:p>
    <w:p w14:paraId="6E72934D" w14:textId="77777777" w:rsidR="00ED72CF" w:rsidRDefault="00ED72CF" w:rsidP="00C236AD">
      <w:pPr>
        <w:spacing w:after="0" w:line="360" w:lineRule="auto"/>
        <w:jc w:val="both"/>
        <w:rPr>
          <w:rFonts w:cs="Arial"/>
          <w:sz w:val="24"/>
          <w:szCs w:val="24"/>
          <w:lang w:val="en-GB"/>
        </w:rPr>
      </w:pPr>
    </w:p>
    <w:p w14:paraId="137A6E14" w14:textId="77777777" w:rsidR="00ED72CF" w:rsidRDefault="00ED72CF" w:rsidP="00C236AD">
      <w:pPr>
        <w:spacing w:after="0" w:line="360" w:lineRule="auto"/>
        <w:jc w:val="both"/>
        <w:rPr>
          <w:rFonts w:cs="Arial"/>
          <w:sz w:val="24"/>
          <w:szCs w:val="24"/>
          <w:lang w:val="en-GB"/>
        </w:rPr>
      </w:pPr>
    </w:p>
    <w:p w14:paraId="03887F3E" w14:textId="77777777" w:rsidR="00ED72CF" w:rsidRDefault="00ED72CF" w:rsidP="00C236AD">
      <w:pPr>
        <w:spacing w:after="0" w:line="360" w:lineRule="auto"/>
        <w:jc w:val="both"/>
        <w:rPr>
          <w:rFonts w:cs="Arial"/>
          <w:sz w:val="24"/>
          <w:szCs w:val="24"/>
          <w:lang w:val="en-GB"/>
        </w:rPr>
      </w:pPr>
    </w:p>
    <w:p w14:paraId="050593A6" w14:textId="77777777" w:rsidR="00ED72CF" w:rsidRDefault="00ED72CF" w:rsidP="00C236AD">
      <w:pPr>
        <w:spacing w:after="0" w:line="360" w:lineRule="auto"/>
        <w:jc w:val="both"/>
        <w:rPr>
          <w:rFonts w:cs="Arial"/>
          <w:sz w:val="24"/>
          <w:szCs w:val="24"/>
          <w:lang w:val="en-GB"/>
        </w:rPr>
      </w:pPr>
    </w:p>
    <w:p w14:paraId="44E15AFA" w14:textId="77777777" w:rsidR="00ED72CF" w:rsidRDefault="00ED72CF" w:rsidP="00C236AD">
      <w:pPr>
        <w:spacing w:after="0" w:line="360" w:lineRule="auto"/>
        <w:jc w:val="both"/>
        <w:rPr>
          <w:rFonts w:cs="Arial"/>
          <w:sz w:val="24"/>
          <w:szCs w:val="24"/>
          <w:lang w:val="en-GB"/>
        </w:rPr>
      </w:pPr>
    </w:p>
    <w:p w14:paraId="11412174" w14:textId="77777777" w:rsidR="00ED72CF" w:rsidRDefault="00ED72CF" w:rsidP="00C236AD">
      <w:pPr>
        <w:spacing w:after="0" w:line="360" w:lineRule="auto"/>
        <w:jc w:val="both"/>
        <w:rPr>
          <w:rFonts w:cs="Arial"/>
          <w:sz w:val="24"/>
          <w:szCs w:val="24"/>
          <w:lang w:val="en-GB"/>
        </w:rPr>
      </w:pPr>
    </w:p>
    <w:p w14:paraId="2EEC0F56" w14:textId="77777777" w:rsidR="00ED72CF" w:rsidRDefault="00ED72CF" w:rsidP="00C236AD">
      <w:pPr>
        <w:spacing w:after="0" w:line="360" w:lineRule="auto"/>
        <w:jc w:val="both"/>
        <w:rPr>
          <w:rFonts w:cs="Arial"/>
          <w:sz w:val="24"/>
          <w:szCs w:val="24"/>
          <w:lang w:val="en-GB"/>
        </w:rPr>
      </w:pPr>
    </w:p>
    <w:p w14:paraId="12A6610A" w14:textId="77777777" w:rsidR="00ED72CF" w:rsidRDefault="00ED72CF" w:rsidP="00C236AD">
      <w:pPr>
        <w:spacing w:after="0" w:line="360" w:lineRule="auto"/>
        <w:jc w:val="both"/>
        <w:rPr>
          <w:rFonts w:cs="Arial"/>
          <w:sz w:val="24"/>
          <w:szCs w:val="24"/>
          <w:lang w:val="en-GB"/>
        </w:rPr>
      </w:pPr>
    </w:p>
    <w:p w14:paraId="66243BA8" w14:textId="77777777" w:rsidR="00ED72CF" w:rsidRDefault="00ED72CF" w:rsidP="00C236AD">
      <w:pPr>
        <w:spacing w:after="0" w:line="360" w:lineRule="auto"/>
        <w:jc w:val="both"/>
        <w:rPr>
          <w:rFonts w:cs="Arial"/>
          <w:sz w:val="24"/>
          <w:szCs w:val="24"/>
          <w:lang w:val="en-GB"/>
        </w:rPr>
      </w:pPr>
    </w:p>
    <w:p w14:paraId="1910E211" w14:textId="77777777" w:rsidR="00ED72CF" w:rsidRDefault="00ED72CF" w:rsidP="00C236AD">
      <w:pPr>
        <w:spacing w:after="0" w:line="360" w:lineRule="auto"/>
        <w:jc w:val="both"/>
        <w:rPr>
          <w:rFonts w:cs="Arial"/>
          <w:sz w:val="24"/>
          <w:szCs w:val="24"/>
          <w:lang w:val="en-GB"/>
        </w:rPr>
      </w:pPr>
    </w:p>
    <w:p w14:paraId="78D42E6E" w14:textId="77777777" w:rsidR="00ED72CF" w:rsidRDefault="00ED72CF" w:rsidP="00C236AD">
      <w:pPr>
        <w:spacing w:after="0" w:line="360" w:lineRule="auto"/>
        <w:jc w:val="both"/>
        <w:rPr>
          <w:rFonts w:cs="Arial"/>
          <w:sz w:val="24"/>
          <w:szCs w:val="24"/>
          <w:lang w:val="en-GB"/>
        </w:rPr>
      </w:pPr>
    </w:p>
    <w:p w14:paraId="27CE5453" w14:textId="77777777" w:rsidR="00ED72CF" w:rsidRDefault="00ED72CF" w:rsidP="00C236AD">
      <w:pPr>
        <w:spacing w:after="0" w:line="360" w:lineRule="auto"/>
        <w:jc w:val="both"/>
        <w:rPr>
          <w:rFonts w:cs="Arial"/>
          <w:sz w:val="24"/>
          <w:szCs w:val="24"/>
          <w:lang w:val="en-GB"/>
        </w:rPr>
      </w:pPr>
    </w:p>
    <w:p w14:paraId="737BEF1E" w14:textId="77777777" w:rsidR="00ED72CF" w:rsidRDefault="00ED72CF" w:rsidP="00C236AD">
      <w:pPr>
        <w:spacing w:after="0" w:line="360" w:lineRule="auto"/>
        <w:jc w:val="both"/>
        <w:rPr>
          <w:rFonts w:cs="Arial"/>
          <w:sz w:val="24"/>
          <w:szCs w:val="24"/>
          <w:lang w:val="en-GB"/>
        </w:rPr>
      </w:pPr>
    </w:p>
    <w:p w14:paraId="0491D202" w14:textId="77777777" w:rsidR="00ED72CF" w:rsidRDefault="00ED72CF" w:rsidP="00C236AD">
      <w:pPr>
        <w:spacing w:after="0" w:line="360" w:lineRule="auto"/>
        <w:jc w:val="both"/>
        <w:rPr>
          <w:rFonts w:cs="Arial"/>
          <w:sz w:val="24"/>
          <w:szCs w:val="24"/>
          <w:lang w:val="en-GB"/>
        </w:rPr>
      </w:pPr>
    </w:p>
    <w:p w14:paraId="4A1EB582" w14:textId="77777777" w:rsidR="00ED72CF" w:rsidRDefault="00ED72CF" w:rsidP="00C236AD">
      <w:pPr>
        <w:spacing w:after="0" w:line="360" w:lineRule="auto"/>
        <w:jc w:val="both"/>
        <w:rPr>
          <w:rFonts w:cs="Arial"/>
          <w:sz w:val="24"/>
          <w:szCs w:val="24"/>
          <w:lang w:val="en-GB"/>
        </w:rPr>
      </w:pPr>
    </w:p>
    <w:p w14:paraId="07411689" w14:textId="52739DCF" w:rsidR="008F42DF" w:rsidRDefault="008F42DF" w:rsidP="008F42DF">
      <w:pPr>
        <w:spacing w:line="360" w:lineRule="auto"/>
        <w:rPr>
          <w:rFonts w:cs="Arial"/>
          <w:b/>
          <w:bCs/>
          <w:sz w:val="24"/>
          <w:szCs w:val="24"/>
        </w:rPr>
      </w:pPr>
      <w:r w:rsidRPr="008F42DF">
        <w:rPr>
          <w:rFonts w:cs="Arial"/>
          <w:b/>
          <w:bCs/>
          <w:sz w:val="24"/>
          <w:szCs w:val="24"/>
        </w:rPr>
        <w:t>6. Appendices:</w:t>
      </w:r>
    </w:p>
    <w:p w14:paraId="4EB8B2FB" w14:textId="1EB0FF5B" w:rsidR="00ED72CF" w:rsidRPr="007B608B" w:rsidRDefault="00ED72CF" w:rsidP="00ED72CF">
      <w:pPr>
        <w:spacing w:line="360" w:lineRule="auto"/>
        <w:jc w:val="center"/>
        <w:rPr>
          <w:rFonts w:cs="Arial"/>
          <w:b/>
          <w:bCs/>
          <w:sz w:val="24"/>
          <w:szCs w:val="24"/>
        </w:rPr>
      </w:pPr>
      <w:r w:rsidRPr="00FB30A7">
        <w:rPr>
          <w:rFonts w:cs="Arial"/>
          <w:b/>
          <w:bCs/>
          <w:sz w:val="24"/>
          <w:szCs w:val="24"/>
        </w:rPr>
        <w:t>APPENDIX 1:</w:t>
      </w:r>
      <w:r w:rsidRPr="007B608B">
        <w:rPr>
          <w:rFonts w:cs="Arial"/>
          <w:sz w:val="24"/>
          <w:szCs w:val="24"/>
        </w:rPr>
        <w:t xml:space="preserve"> </w:t>
      </w:r>
      <w:r w:rsidRPr="007B608B">
        <w:rPr>
          <w:rFonts w:cs="Arial"/>
          <w:b/>
          <w:bCs/>
          <w:sz w:val="24"/>
          <w:szCs w:val="24"/>
        </w:rPr>
        <w:t>MARRIOTT INTERNATIONAL, INC. CONSOLIDATED STATEMENTS OF INCOME (LOSS) Fiscal Years 2025, 2024, 2023, 2022 and 2021</w:t>
      </w:r>
      <w:r>
        <w:rPr>
          <w:rFonts w:cs="Arial"/>
          <w:b/>
          <w:bCs/>
          <w:sz w:val="24"/>
          <w:szCs w:val="24"/>
        </w:rPr>
        <w:t xml:space="preserve">- </w:t>
      </w:r>
      <w:r w:rsidRPr="00FB30A7">
        <w:rPr>
          <w:rFonts w:cs="Arial"/>
          <w:b/>
          <w:bCs/>
          <w:sz w:val="24"/>
          <w:szCs w:val="24"/>
        </w:rPr>
        <w:t>($ in millions, except per share amounts)</w:t>
      </w:r>
    </w:p>
    <w:p w14:paraId="1EB72299" w14:textId="77777777" w:rsidR="00ED72CF" w:rsidRDefault="00ED72CF" w:rsidP="00ED72CF">
      <w:r>
        <w:rPr>
          <w:noProof/>
        </w:rPr>
        <w:lastRenderedPageBreak/>
        <w:drawing>
          <wp:inline distT="0" distB="0" distL="0" distR="0" wp14:anchorId="19110657" wp14:editId="3D2CE9CF">
            <wp:extent cx="5731510" cy="5674995"/>
            <wp:effectExtent l="0" t="0" r="2540" b="1905"/>
            <wp:docPr id="160738407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384079" name=""/>
                    <pic:cNvPicPr/>
                  </pic:nvPicPr>
                  <pic:blipFill>
                    <a:blip r:embed="rId23"/>
                    <a:stretch>
                      <a:fillRect/>
                    </a:stretch>
                  </pic:blipFill>
                  <pic:spPr>
                    <a:xfrm>
                      <a:off x="0" y="0"/>
                      <a:ext cx="5731510" cy="5674995"/>
                    </a:xfrm>
                    <a:prstGeom prst="rect">
                      <a:avLst/>
                    </a:prstGeom>
                  </pic:spPr>
                </pic:pic>
              </a:graphicData>
            </a:graphic>
          </wp:inline>
        </w:drawing>
      </w:r>
      <w:r>
        <w:rPr>
          <w:noProof/>
        </w:rPr>
        <w:drawing>
          <wp:inline distT="0" distB="0" distL="0" distR="0" wp14:anchorId="7F12787F" wp14:editId="02A5993A">
            <wp:extent cx="5731510" cy="2138045"/>
            <wp:effectExtent l="0" t="0" r="2540" b="0"/>
            <wp:docPr id="2073328727"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28727" name=""/>
                    <pic:cNvPicPr/>
                  </pic:nvPicPr>
                  <pic:blipFill>
                    <a:blip r:embed="rId24"/>
                    <a:stretch>
                      <a:fillRect/>
                    </a:stretch>
                  </pic:blipFill>
                  <pic:spPr>
                    <a:xfrm>
                      <a:off x="0" y="0"/>
                      <a:ext cx="5731510" cy="2138045"/>
                    </a:xfrm>
                    <a:prstGeom prst="rect">
                      <a:avLst/>
                    </a:prstGeom>
                  </pic:spPr>
                </pic:pic>
              </a:graphicData>
            </a:graphic>
          </wp:inline>
        </w:drawing>
      </w:r>
    </w:p>
    <w:p w14:paraId="72B71222" w14:textId="77777777" w:rsidR="00ED72CF" w:rsidRDefault="00ED72CF" w:rsidP="00ED72CF"/>
    <w:p w14:paraId="743F9849" w14:textId="77777777" w:rsidR="00ED72CF" w:rsidRDefault="00ED72CF" w:rsidP="00ED72CF"/>
    <w:p w14:paraId="46C22520" w14:textId="77777777" w:rsidR="00ED72CF" w:rsidRDefault="00ED72CF" w:rsidP="00ED72CF">
      <w:r>
        <w:rPr>
          <w:noProof/>
        </w:rPr>
        <w:lastRenderedPageBreak/>
        <w:drawing>
          <wp:inline distT="0" distB="0" distL="0" distR="0" wp14:anchorId="25F3E791" wp14:editId="19076093">
            <wp:extent cx="5731510" cy="6031230"/>
            <wp:effectExtent l="0" t="0" r="2540" b="7620"/>
            <wp:docPr id="26098555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85554" name=""/>
                    <pic:cNvPicPr/>
                  </pic:nvPicPr>
                  <pic:blipFill>
                    <a:blip r:embed="rId25"/>
                    <a:stretch>
                      <a:fillRect/>
                    </a:stretch>
                  </pic:blipFill>
                  <pic:spPr>
                    <a:xfrm>
                      <a:off x="0" y="0"/>
                      <a:ext cx="5731510" cy="6031230"/>
                    </a:xfrm>
                    <a:prstGeom prst="rect">
                      <a:avLst/>
                    </a:prstGeom>
                  </pic:spPr>
                </pic:pic>
              </a:graphicData>
            </a:graphic>
          </wp:inline>
        </w:drawing>
      </w:r>
      <w:r>
        <w:rPr>
          <w:noProof/>
        </w:rPr>
        <w:lastRenderedPageBreak/>
        <w:drawing>
          <wp:inline distT="0" distB="0" distL="0" distR="0" wp14:anchorId="4B10A90A" wp14:editId="5931C2F7">
            <wp:extent cx="5731510" cy="2338070"/>
            <wp:effectExtent l="0" t="0" r="2540" b="5080"/>
            <wp:docPr id="1403979909"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79909" name=""/>
                    <pic:cNvPicPr/>
                  </pic:nvPicPr>
                  <pic:blipFill>
                    <a:blip r:embed="rId26"/>
                    <a:stretch>
                      <a:fillRect/>
                    </a:stretch>
                  </pic:blipFill>
                  <pic:spPr>
                    <a:xfrm>
                      <a:off x="0" y="0"/>
                      <a:ext cx="5731510" cy="2338070"/>
                    </a:xfrm>
                    <a:prstGeom prst="rect">
                      <a:avLst/>
                    </a:prstGeom>
                  </pic:spPr>
                </pic:pic>
              </a:graphicData>
            </a:graphic>
          </wp:inline>
        </w:drawing>
      </w:r>
    </w:p>
    <w:p w14:paraId="2117192A" w14:textId="77777777" w:rsidR="00ED72CF" w:rsidRDefault="00ED72CF" w:rsidP="00ED72CF"/>
    <w:p w14:paraId="0E2D2040" w14:textId="77777777" w:rsidR="00ED72CF" w:rsidRDefault="00ED72CF" w:rsidP="00ED72CF">
      <w:r>
        <w:rPr>
          <w:noProof/>
        </w:rPr>
        <w:lastRenderedPageBreak/>
        <w:drawing>
          <wp:inline distT="0" distB="0" distL="0" distR="0" wp14:anchorId="651171DE" wp14:editId="694A4051">
            <wp:extent cx="5731510" cy="6209030"/>
            <wp:effectExtent l="0" t="0" r="2540" b="1270"/>
            <wp:docPr id="1759774697"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74697" name=""/>
                    <pic:cNvPicPr/>
                  </pic:nvPicPr>
                  <pic:blipFill>
                    <a:blip r:embed="rId27"/>
                    <a:stretch>
                      <a:fillRect/>
                    </a:stretch>
                  </pic:blipFill>
                  <pic:spPr>
                    <a:xfrm>
                      <a:off x="0" y="0"/>
                      <a:ext cx="5731510" cy="6209030"/>
                    </a:xfrm>
                    <a:prstGeom prst="rect">
                      <a:avLst/>
                    </a:prstGeom>
                  </pic:spPr>
                </pic:pic>
              </a:graphicData>
            </a:graphic>
          </wp:inline>
        </w:drawing>
      </w:r>
      <w:r>
        <w:rPr>
          <w:noProof/>
        </w:rPr>
        <w:lastRenderedPageBreak/>
        <w:drawing>
          <wp:inline distT="0" distB="0" distL="0" distR="0" wp14:anchorId="60924821" wp14:editId="66E5F89F">
            <wp:extent cx="5731510" cy="2513965"/>
            <wp:effectExtent l="0" t="0" r="2540" b="635"/>
            <wp:docPr id="46502070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20701" name=""/>
                    <pic:cNvPicPr/>
                  </pic:nvPicPr>
                  <pic:blipFill>
                    <a:blip r:embed="rId28"/>
                    <a:stretch>
                      <a:fillRect/>
                    </a:stretch>
                  </pic:blipFill>
                  <pic:spPr>
                    <a:xfrm>
                      <a:off x="0" y="0"/>
                      <a:ext cx="5731510" cy="2513965"/>
                    </a:xfrm>
                    <a:prstGeom prst="rect">
                      <a:avLst/>
                    </a:prstGeom>
                  </pic:spPr>
                </pic:pic>
              </a:graphicData>
            </a:graphic>
          </wp:inline>
        </w:drawing>
      </w:r>
    </w:p>
    <w:p w14:paraId="743AEF5E" w14:textId="77777777" w:rsidR="00ED72CF" w:rsidRDefault="00ED72CF" w:rsidP="00ED72CF">
      <w:r>
        <w:rPr>
          <w:noProof/>
        </w:rPr>
        <w:lastRenderedPageBreak/>
        <w:drawing>
          <wp:inline distT="0" distB="0" distL="0" distR="0" wp14:anchorId="1F7FD56A" wp14:editId="062AFB55">
            <wp:extent cx="5731510" cy="5688330"/>
            <wp:effectExtent l="0" t="0" r="2540" b="7620"/>
            <wp:docPr id="1939586562"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86562" name=""/>
                    <pic:cNvPicPr/>
                  </pic:nvPicPr>
                  <pic:blipFill>
                    <a:blip r:embed="rId29"/>
                    <a:stretch>
                      <a:fillRect/>
                    </a:stretch>
                  </pic:blipFill>
                  <pic:spPr>
                    <a:xfrm>
                      <a:off x="0" y="0"/>
                      <a:ext cx="5731510" cy="5688330"/>
                    </a:xfrm>
                    <a:prstGeom prst="rect">
                      <a:avLst/>
                    </a:prstGeom>
                  </pic:spPr>
                </pic:pic>
              </a:graphicData>
            </a:graphic>
          </wp:inline>
        </w:drawing>
      </w:r>
      <w:r>
        <w:rPr>
          <w:noProof/>
        </w:rPr>
        <w:lastRenderedPageBreak/>
        <w:drawing>
          <wp:inline distT="0" distB="0" distL="0" distR="0" wp14:anchorId="39F8ABB8" wp14:editId="13E08265">
            <wp:extent cx="5731510" cy="2597150"/>
            <wp:effectExtent l="0" t="0" r="2540" b="0"/>
            <wp:docPr id="279804052"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04052" name=""/>
                    <pic:cNvPicPr/>
                  </pic:nvPicPr>
                  <pic:blipFill>
                    <a:blip r:embed="rId30"/>
                    <a:stretch>
                      <a:fillRect/>
                    </a:stretch>
                  </pic:blipFill>
                  <pic:spPr>
                    <a:xfrm>
                      <a:off x="0" y="0"/>
                      <a:ext cx="5731510" cy="2597150"/>
                    </a:xfrm>
                    <a:prstGeom prst="rect">
                      <a:avLst/>
                    </a:prstGeom>
                  </pic:spPr>
                </pic:pic>
              </a:graphicData>
            </a:graphic>
          </wp:inline>
        </w:drawing>
      </w:r>
    </w:p>
    <w:p w14:paraId="13FDEB3A" w14:textId="77777777" w:rsidR="00ED72CF" w:rsidRDefault="00ED72CF" w:rsidP="00ED72CF"/>
    <w:p w14:paraId="0F35D023" w14:textId="77777777" w:rsidR="00ED72CF" w:rsidRDefault="00ED72CF" w:rsidP="00ED72CF">
      <w:r>
        <w:rPr>
          <w:noProof/>
        </w:rPr>
        <w:lastRenderedPageBreak/>
        <w:drawing>
          <wp:inline distT="0" distB="0" distL="0" distR="0" wp14:anchorId="26F71A49" wp14:editId="70B821D5">
            <wp:extent cx="5731510" cy="6337935"/>
            <wp:effectExtent l="0" t="0" r="2540" b="5715"/>
            <wp:docPr id="997425575"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25575" name=""/>
                    <pic:cNvPicPr/>
                  </pic:nvPicPr>
                  <pic:blipFill>
                    <a:blip r:embed="rId31"/>
                    <a:stretch>
                      <a:fillRect/>
                    </a:stretch>
                  </pic:blipFill>
                  <pic:spPr>
                    <a:xfrm>
                      <a:off x="0" y="0"/>
                      <a:ext cx="5731510" cy="6337935"/>
                    </a:xfrm>
                    <a:prstGeom prst="rect">
                      <a:avLst/>
                    </a:prstGeom>
                  </pic:spPr>
                </pic:pic>
              </a:graphicData>
            </a:graphic>
          </wp:inline>
        </w:drawing>
      </w:r>
      <w:r>
        <w:rPr>
          <w:noProof/>
        </w:rPr>
        <w:lastRenderedPageBreak/>
        <w:drawing>
          <wp:inline distT="0" distB="0" distL="0" distR="0" wp14:anchorId="62F6D4E0" wp14:editId="32516FD1">
            <wp:extent cx="5657850" cy="2491059"/>
            <wp:effectExtent l="0" t="0" r="0" b="5080"/>
            <wp:docPr id="1135073593"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73593" name=""/>
                    <pic:cNvPicPr/>
                  </pic:nvPicPr>
                  <pic:blipFill>
                    <a:blip r:embed="rId32"/>
                    <a:stretch>
                      <a:fillRect/>
                    </a:stretch>
                  </pic:blipFill>
                  <pic:spPr>
                    <a:xfrm>
                      <a:off x="0" y="0"/>
                      <a:ext cx="5661869" cy="2492828"/>
                    </a:xfrm>
                    <a:prstGeom prst="rect">
                      <a:avLst/>
                    </a:prstGeom>
                  </pic:spPr>
                </pic:pic>
              </a:graphicData>
            </a:graphic>
          </wp:inline>
        </w:drawing>
      </w:r>
    </w:p>
    <w:p w14:paraId="1E7E8DCF" w14:textId="77777777" w:rsidR="00ED72CF" w:rsidRPr="00FB30A7" w:rsidRDefault="00ED72CF" w:rsidP="00ED72CF">
      <w:pPr>
        <w:rPr>
          <w:b/>
          <w:bCs/>
        </w:rPr>
      </w:pPr>
      <w:r>
        <w:rPr>
          <w:b/>
          <w:bCs/>
        </w:rPr>
        <w:t xml:space="preserve">APENDIX: 2 </w:t>
      </w:r>
      <w:r w:rsidRPr="00FB30A7">
        <w:rPr>
          <w:b/>
          <w:bCs/>
        </w:rPr>
        <w:t>MARRIOTT INTERNATIONAL, INC.</w:t>
      </w:r>
      <w:r>
        <w:rPr>
          <w:b/>
          <w:bCs/>
        </w:rPr>
        <w:t xml:space="preserve"> </w:t>
      </w:r>
      <w:r w:rsidRPr="00FB30A7">
        <w:rPr>
          <w:b/>
          <w:bCs/>
        </w:rPr>
        <w:t>CONSOLIDATED BALANCE SHEETS</w:t>
      </w:r>
      <w:r>
        <w:rPr>
          <w:b/>
          <w:bCs/>
        </w:rPr>
        <w:t xml:space="preserve"> </w:t>
      </w:r>
      <w:r w:rsidRPr="007B608B">
        <w:rPr>
          <w:rFonts w:cs="Arial"/>
          <w:b/>
          <w:bCs/>
          <w:sz w:val="24"/>
          <w:szCs w:val="24"/>
        </w:rPr>
        <w:t>FISCAL YEARS 2025, 2024, 2023, 2022 AND 2021</w:t>
      </w:r>
      <w:r>
        <w:rPr>
          <w:b/>
          <w:bCs/>
        </w:rPr>
        <w:t xml:space="preserve"> </w:t>
      </w:r>
      <w:r w:rsidRPr="00FB30A7">
        <w:t>($ IN MILLIONS)</w:t>
      </w:r>
    </w:p>
    <w:p w14:paraId="7812EF6D" w14:textId="77777777" w:rsidR="00ED72CF" w:rsidRDefault="00ED72CF" w:rsidP="00ED72CF">
      <w:r>
        <w:rPr>
          <w:noProof/>
        </w:rPr>
        <w:lastRenderedPageBreak/>
        <w:drawing>
          <wp:inline distT="0" distB="0" distL="0" distR="0" wp14:anchorId="793B619D" wp14:editId="761CC92E">
            <wp:extent cx="5731510" cy="7854315"/>
            <wp:effectExtent l="0" t="0" r="2540" b="0"/>
            <wp:docPr id="1879277660"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77660" name=""/>
                    <pic:cNvPicPr/>
                  </pic:nvPicPr>
                  <pic:blipFill>
                    <a:blip r:embed="rId33"/>
                    <a:stretch>
                      <a:fillRect/>
                    </a:stretch>
                  </pic:blipFill>
                  <pic:spPr>
                    <a:xfrm>
                      <a:off x="0" y="0"/>
                      <a:ext cx="5731510" cy="7854315"/>
                    </a:xfrm>
                    <a:prstGeom prst="rect">
                      <a:avLst/>
                    </a:prstGeom>
                  </pic:spPr>
                </pic:pic>
              </a:graphicData>
            </a:graphic>
          </wp:inline>
        </w:drawing>
      </w:r>
    </w:p>
    <w:p w14:paraId="09780F67" w14:textId="77777777" w:rsidR="00ED72CF" w:rsidRDefault="00ED72CF" w:rsidP="00ED72CF"/>
    <w:p w14:paraId="5DF39DFC" w14:textId="77777777" w:rsidR="00ED72CF" w:rsidRDefault="00ED72CF" w:rsidP="00ED72CF"/>
    <w:p w14:paraId="6600B5E5" w14:textId="77777777" w:rsidR="00ED72CF" w:rsidRDefault="00ED72CF" w:rsidP="00ED72CF"/>
    <w:p w14:paraId="444EFADE" w14:textId="77777777" w:rsidR="00ED72CF" w:rsidRDefault="00ED72CF" w:rsidP="00ED72CF">
      <w:r>
        <w:rPr>
          <w:noProof/>
        </w:rPr>
        <w:drawing>
          <wp:inline distT="0" distB="0" distL="0" distR="0" wp14:anchorId="495EE15F" wp14:editId="57F8D67F">
            <wp:extent cx="5731510" cy="7533005"/>
            <wp:effectExtent l="0" t="0" r="2540" b="0"/>
            <wp:docPr id="108205311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53114" name=""/>
                    <pic:cNvPicPr/>
                  </pic:nvPicPr>
                  <pic:blipFill>
                    <a:blip r:embed="rId34"/>
                    <a:stretch>
                      <a:fillRect/>
                    </a:stretch>
                  </pic:blipFill>
                  <pic:spPr>
                    <a:xfrm>
                      <a:off x="0" y="0"/>
                      <a:ext cx="5731510" cy="7533005"/>
                    </a:xfrm>
                    <a:prstGeom prst="rect">
                      <a:avLst/>
                    </a:prstGeom>
                  </pic:spPr>
                </pic:pic>
              </a:graphicData>
            </a:graphic>
          </wp:inline>
        </w:drawing>
      </w:r>
    </w:p>
    <w:p w14:paraId="24FAE6F9" w14:textId="77777777" w:rsidR="00ED72CF" w:rsidRDefault="00ED72CF" w:rsidP="00ED72CF"/>
    <w:p w14:paraId="487BAD82" w14:textId="77777777" w:rsidR="00ED72CF" w:rsidRDefault="00ED72CF" w:rsidP="00ED72CF"/>
    <w:p w14:paraId="4BBC1FE7" w14:textId="77777777" w:rsidR="00ED72CF" w:rsidRDefault="00ED72CF" w:rsidP="00ED72CF"/>
    <w:p w14:paraId="0B20CC4B" w14:textId="77777777" w:rsidR="00ED72CF" w:rsidRDefault="00ED72CF" w:rsidP="00ED72CF"/>
    <w:p w14:paraId="044A17E4" w14:textId="77777777" w:rsidR="00ED72CF" w:rsidRDefault="00ED72CF" w:rsidP="00ED72CF">
      <w:r>
        <w:rPr>
          <w:noProof/>
        </w:rPr>
        <w:lastRenderedPageBreak/>
        <w:drawing>
          <wp:inline distT="0" distB="0" distL="0" distR="0" wp14:anchorId="0049AFF1" wp14:editId="25EF4FF3">
            <wp:extent cx="5731510" cy="7642225"/>
            <wp:effectExtent l="0" t="0" r="2540" b="0"/>
            <wp:docPr id="53940039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400398" name=""/>
                    <pic:cNvPicPr/>
                  </pic:nvPicPr>
                  <pic:blipFill>
                    <a:blip r:embed="rId35"/>
                    <a:stretch>
                      <a:fillRect/>
                    </a:stretch>
                  </pic:blipFill>
                  <pic:spPr>
                    <a:xfrm>
                      <a:off x="0" y="0"/>
                      <a:ext cx="5731510" cy="7642225"/>
                    </a:xfrm>
                    <a:prstGeom prst="rect">
                      <a:avLst/>
                    </a:prstGeom>
                  </pic:spPr>
                </pic:pic>
              </a:graphicData>
            </a:graphic>
          </wp:inline>
        </w:drawing>
      </w:r>
    </w:p>
    <w:p w14:paraId="2983339C" w14:textId="77777777" w:rsidR="00ED72CF" w:rsidRDefault="00ED72CF" w:rsidP="00ED72CF"/>
    <w:p w14:paraId="295FC0D7" w14:textId="77777777" w:rsidR="00ED72CF" w:rsidRDefault="00ED72CF" w:rsidP="00ED72CF"/>
    <w:p w14:paraId="5975B16D" w14:textId="77777777" w:rsidR="00ED72CF" w:rsidRDefault="00ED72CF" w:rsidP="00ED72CF"/>
    <w:p w14:paraId="13247AB7" w14:textId="77777777" w:rsidR="00ED72CF" w:rsidRDefault="00ED72CF" w:rsidP="00ED72CF"/>
    <w:p w14:paraId="79848955" w14:textId="77777777" w:rsidR="00ED72CF" w:rsidRDefault="00ED72CF" w:rsidP="00ED72CF">
      <w:r>
        <w:rPr>
          <w:noProof/>
        </w:rPr>
        <w:lastRenderedPageBreak/>
        <w:drawing>
          <wp:inline distT="0" distB="0" distL="0" distR="0" wp14:anchorId="68DAD4E0" wp14:editId="2E25750F">
            <wp:extent cx="5731510" cy="7396480"/>
            <wp:effectExtent l="0" t="0" r="2540" b="0"/>
            <wp:docPr id="382666593"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66593" name=""/>
                    <pic:cNvPicPr/>
                  </pic:nvPicPr>
                  <pic:blipFill>
                    <a:blip r:embed="rId36"/>
                    <a:stretch>
                      <a:fillRect/>
                    </a:stretch>
                  </pic:blipFill>
                  <pic:spPr>
                    <a:xfrm>
                      <a:off x="0" y="0"/>
                      <a:ext cx="5731510" cy="7396480"/>
                    </a:xfrm>
                    <a:prstGeom prst="rect">
                      <a:avLst/>
                    </a:prstGeom>
                  </pic:spPr>
                </pic:pic>
              </a:graphicData>
            </a:graphic>
          </wp:inline>
        </w:drawing>
      </w:r>
    </w:p>
    <w:p w14:paraId="6C956D53" w14:textId="77777777" w:rsidR="00ED72CF" w:rsidRDefault="00ED72CF" w:rsidP="00ED72CF"/>
    <w:p w14:paraId="3B8FF546" w14:textId="77777777" w:rsidR="00ED72CF" w:rsidRDefault="00ED72CF" w:rsidP="00ED72CF"/>
    <w:p w14:paraId="1CC15C78" w14:textId="77777777" w:rsidR="00ED72CF" w:rsidRDefault="00ED72CF" w:rsidP="00ED72CF"/>
    <w:p w14:paraId="4105197F" w14:textId="77777777" w:rsidR="00ED72CF" w:rsidRDefault="00ED72CF" w:rsidP="00ED72CF"/>
    <w:p w14:paraId="7BAFF5EC" w14:textId="77777777" w:rsidR="00ED72CF" w:rsidRDefault="00ED72CF" w:rsidP="00ED72CF"/>
    <w:p w14:paraId="287A684E" w14:textId="77777777" w:rsidR="00ED72CF" w:rsidRDefault="00ED72CF" w:rsidP="00ED72CF">
      <w:r>
        <w:rPr>
          <w:noProof/>
        </w:rPr>
        <w:lastRenderedPageBreak/>
        <w:drawing>
          <wp:inline distT="0" distB="0" distL="0" distR="0" wp14:anchorId="6E089890" wp14:editId="5AD1BD87">
            <wp:extent cx="5731510" cy="7539355"/>
            <wp:effectExtent l="0" t="0" r="2540" b="4445"/>
            <wp:docPr id="475252470"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52470" name=""/>
                    <pic:cNvPicPr/>
                  </pic:nvPicPr>
                  <pic:blipFill>
                    <a:blip r:embed="rId37"/>
                    <a:stretch>
                      <a:fillRect/>
                    </a:stretch>
                  </pic:blipFill>
                  <pic:spPr>
                    <a:xfrm>
                      <a:off x="0" y="0"/>
                      <a:ext cx="5731510" cy="7539355"/>
                    </a:xfrm>
                    <a:prstGeom prst="rect">
                      <a:avLst/>
                    </a:prstGeom>
                  </pic:spPr>
                </pic:pic>
              </a:graphicData>
            </a:graphic>
          </wp:inline>
        </w:drawing>
      </w:r>
    </w:p>
    <w:p w14:paraId="7B003EB1" w14:textId="77777777" w:rsidR="00ED72CF" w:rsidRDefault="00ED72CF" w:rsidP="00ED72CF"/>
    <w:p w14:paraId="5371FBA5" w14:textId="77777777" w:rsidR="00ED72CF" w:rsidRDefault="00ED72CF" w:rsidP="00ED72CF"/>
    <w:p w14:paraId="56CFBFC8" w14:textId="77777777" w:rsidR="00ED72CF" w:rsidRPr="00FB30A7" w:rsidRDefault="00ED72CF" w:rsidP="00ED72CF">
      <w:pPr>
        <w:rPr>
          <w:b/>
          <w:bCs/>
        </w:rPr>
      </w:pPr>
      <w:r w:rsidRPr="00FB30A7">
        <w:rPr>
          <w:b/>
          <w:bCs/>
          <w:sz w:val="24"/>
          <w:szCs w:val="24"/>
        </w:rPr>
        <w:lastRenderedPageBreak/>
        <w:t xml:space="preserve">APPENDIX 3: MARRIOTT INTERNATIONAL, INC. CONSOLIDATED STATEMENTS OF CASH FLOWS </w:t>
      </w:r>
      <w:r w:rsidRPr="00FB30A7">
        <w:rPr>
          <w:rFonts w:cs="Arial"/>
          <w:b/>
          <w:bCs/>
          <w:sz w:val="24"/>
          <w:szCs w:val="24"/>
        </w:rPr>
        <w:t>FISCAL YEARS 2025, 2024, 2023, 2022 AND 2021</w:t>
      </w:r>
      <w:r>
        <w:rPr>
          <w:b/>
          <w:bCs/>
        </w:rPr>
        <w:t xml:space="preserve"> </w:t>
      </w:r>
      <w:r w:rsidRPr="00FB30A7">
        <w:t>($ in millions)</w:t>
      </w:r>
    </w:p>
    <w:p w14:paraId="7AFD497F" w14:textId="77777777" w:rsidR="00ED72CF" w:rsidRDefault="00ED72CF" w:rsidP="00ED72CF"/>
    <w:p w14:paraId="61F99847" w14:textId="77777777" w:rsidR="00ED72CF" w:rsidRDefault="00ED72CF" w:rsidP="00ED72CF">
      <w:r>
        <w:rPr>
          <w:noProof/>
        </w:rPr>
        <w:lastRenderedPageBreak/>
        <w:drawing>
          <wp:inline distT="0" distB="0" distL="0" distR="0" wp14:anchorId="3B60CF91" wp14:editId="0C07BA42">
            <wp:extent cx="5731510" cy="7470140"/>
            <wp:effectExtent l="0" t="0" r="2540" b="0"/>
            <wp:docPr id="169662653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626531" name=""/>
                    <pic:cNvPicPr/>
                  </pic:nvPicPr>
                  <pic:blipFill>
                    <a:blip r:embed="rId38"/>
                    <a:stretch>
                      <a:fillRect/>
                    </a:stretch>
                  </pic:blipFill>
                  <pic:spPr>
                    <a:xfrm>
                      <a:off x="0" y="0"/>
                      <a:ext cx="5731510" cy="7470140"/>
                    </a:xfrm>
                    <a:prstGeom prst="rect">
                      <a:avLst/>
                    </a:prstGeom>
                  </pic:spPr>
                </pic:pic>
              </a:graphicData>
            </a:graphic>
          </wp:inline>
        </w:drawing>
      </w:r>
    </w:p>
    <w:p w14:paraId="3F53C179" w14:textId="77777777" w:rsidR="00ED72CF" w:rsidRDefault="00ED72CF" w:rsidP="00ED72CF"/>
    <w:p w14:paraId="0B320518" w14:textId="77777777" w:rsidR="00ED72CF" w:rsidRDefault="00ED72CF" w:rsidP="00ED72CF"/>
    <w:p w14:paraId="18FA1DCC" w14:textId="77777777" w:rsidR="00ED72CF" w:rsidRDefault="00ED72CF" w:rsidP="00ED72CF"/>
    <w:p w14:paraId="4E55D7CD" w14:textId="77777777" w:rsidR="00ED72CF" w:rsidRDefault="00ED72CF" w:rsidP="00ED72CF"/>
    <w:p w14:paraId="4E44B242" w14:textId="77777777" w:rsidR="00ED72CF" w:rsidRDefault="00ED72CF" w:rsidP="00ED72CF">
      <w:r>
        <w:rPr>
          <w:noProof/>
        </w:rPr>
        <w:drawing>
          <wp:inline distT="0" distB="0" distL="0" distR="0" wp14:anchorId="1F811B85" wp14:editId="370970DE">
            <wp:extent cx="5731510" cy="7232015"/>
            <wp:effectExtent l="0" t="0" r="2540" b="6985"/>
            <wp:docPr id="349724957"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24957" name=""/>
                    <pic:cNvPicPr/>
                  </pic:nvPicPr>
                  <pic:blipFill>
                    <a:blip r:embed="rId39"/>
                    <a:stretch>
                      <a:fillRect/>
                    </a:stretch>
                  </pic:blipFill>
                  <pic:spPr>
                    <a:xfrm>
                      <a:off x="0" y="0"/>
                      <a:ext cx="5731510" cy="7232015"/>
                    </a:xfrm>
                    <a:prstGeom prst="rect">
                      <a:avLst/>
                    </a:prstGeom>
                  </pic:spPr>
                </pic:pic>
              </a:graphicData>
            </a:graphic>
          </wp:inline>
        </w:drawing>
      </w:r>
    </w:p>
    <w:p w14:paraId="3C775F33" w14:textId="77777777" w:rsidR="00ED72CF" w:rsidRDefault="00ED72CF" w:rsidP="00ED72CF"/>
    <w:p w14:paraId="4A8BFD78" w14:textId="77777777" w:rsidR="00ED72CF" w:rsidRDefault="00ED72CF" w:rsidP="00ED72CF"/>
    <w:p w14:paraId="7787CB8B" w14:textId="77777777" w:rsidR="00ED72CF" w:rsidRDefault="00ED72CF" w:rsidP="00ED72CF"/>
    <w:p w14:paraId="2F98835E" w14:textId="77777777" w:rsidR="00ED72CF" w:rsidRDefault="00ED72CF" w:rsidP="00ED72CF"/>
    <w:p w14:paraId="08F467F9" w14:textId="77777777" w:rsidR="00ED72CF" w:rsidRDefault="00ED72CF" w:rsidP="00ED72CF"/>
    <w:p w14:paraId="23455F20" w14:textId="77777777" w:rsidR="00ED72CF" w:rsidRDefault="00ED72CF" w:rsidP="00ED72CF">
      <w:r>
        <w:rPr>
          <w:noProof/>
        </w:rPr>
        <w:lastRenderedPageBreak/>
        <w:drawing>
          <wp:inline distT="0" distB="0" distL="0" distR="0" wp14:anchorId="003BCD4B" wp14:editId="113F6528">
            <wp:extent cx="5731510" cy="7077710"/>
            <wp:effectExtent l="0" t="0" r="2540" b="8890"/>
            <wp:docPr id="1413043855"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043855" name=""/>
                    <pic:cNvPicPr/>
                  </pic:nvPicPr>
                  <pic:blipFill>
                    <a:blip r:embed="rId40"/>
                    <a:stretch>
                      <a:fillRect/>
                    </a:stretch>
                  </pic:blipFill>
                  <pic:spPr>
                    <a:xfrm>
                      <a:off x="0" y="0"/>
                      <a:ext cx="5731510" cy="7077710"/>
                    </a:xfrm>
                    <a:prstGeom prst="rect">
                      <a:avLst/>
                    </a:prstGeom>
                  </pic:spPr>
                </pic:pic>
              </a:graphicData>
            </a:graphic>
          </wp:inline>
        </w:drawing>
      </w:r>
    </w:p>
    <w:p w14:paraId="375F13C9" w14:textId="77777777" w:rsidR="00ED72CF" w:rsidRDefault="00ED72CF" w:rsidP="00ED72CF"/>
    <w:p w14:paraId="5586D298" w14:textId="77777777" w:rsidR="00ED72CF" w:rsidRDefault="00ED72CF" w:rsidP="00ED72CF"/>
    <w:p w14:paraId="304A037C" w14:textId="77777777" w:rsidR="00ED72CF" w:rsidRDefault="00ED72CF" w:rsidP="00ED72CF"/>
    <w:p w14:paraId="227485F7" w14:textId="77777777" w:rsidR="00ED72CF" w:rsidRDefault="00ED72CF" w:rsidP="00ED72CF"/>
    <w:p w14:paraId="6B440701" w14:textId="77777777" w:rsidR="00ED72CF" w:rsidRDefault="00ED72CF" w:rsidP="00ED72CF"/>
    <w:p w14:paraId="2BCDACFF" w14:textId="77777777" w:rsidR="00ED72CF" w:rsidRDefault="00ED72CF" w:rsidP="00ED72CF"/>
    <w:p w14:paraId="0C728164" w14:textId="77777777" w:rsidR="00ED72CF" w:rsidRDefault="00ED72CF" w:rsidP="00ED72CF">
      <w:r>
        <w:rPr>
          <w:noProof/>
        </w:rPr>
        <w:drawing>
          <wp:inline distT="0" distB="0" distL="0" distR="0" wp14:anchorId="481857C5" wp14:editId="68EBF72A">
            <wp:extent cx="5731510" cy="7151370"/>
            <wp:effectExtent l="0" t="0" r="2540" b="0"/>
            <wp:docPr id="1413604425"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04425" name=""/>
                    <pic:cNvPicPr/>
                  </pic:nvPicPr>
                  <pic:blipFill>
                    <a:blip r:embed="rId41"/>
                    <a:stretch>
                      <a:fillRect/>
                    </a:stretch>
                  </pic:blipFill>
                  <pic:spPr>
                    <a:xfrm>
                      <a:off x="0" y="0"/>
                      <a:ext cx="5731510" cy="7151370"/>
                    </a:xfrm>
                    <a:prstGeom prst="rect">
                      <a:avLst/>
                    </a:prstGeom>
                  </pic:spPr>
                </pic:pic>
              </a:graphicData>
            </a:graphic>
          </wp:inline>
        </w:drawing>
      </w:r>
    </w:p>
    <w:p w14:paraId="1FDA8922" w14:textId="77777777" w:rsidR="00ED72CF" w:rsidRDefault="00ED72CF" w:rsidP="00ED72CF"/>
    <w:p w14:paraId="1DCBB2D9" w14:textId="77777777" w:rsidR="00ED72CF" w:rsidRDefault="00ED72CF" w:rsidP="00ED72CF"/>
    <w:p w14:paraId="2A98EBFA" w14:textId="77777777" w:rsidR="00ED72CF" w:rsidRDefault="00ED72CF" w:rsidP="00ED72CF"/>
    <w:p w14:paraId="47A191B0" w14:textId="77777777" w:rsidR="00ED72CF" w:rsidRDefault="00ED72CF" w:rsidP="00ED72CF"/>
    <w:p w14:paraId="1C5EEBCD" w14:textId="77777777" w:rsidR="00ED72CF" w:rsidRDefault="00ED72CF" w:rsidP="00ED72CF"/>
    <w:p w14:paraId="0088C94E" w14:textId="77777777" w:rsidR="00ED72CF" w:rsidRPr="007B608B" w:rsidRDefault="00ED72CF" w:rsidP="00ED72CF">
      <w:r>
        <w:rPr>
          <w:noProof/>
        </w:rPr>
        <w:lastRenderedPageBreak/>
        <w:drawing>
          <wp:inline distT="0" distB="0" distL="0" distR="0" wp14:anchorId="3F75E711" wp14:editId="292E44BA">
            <wp:extent cx="5731510" cy="7292340"/>
            <wp:effectExtent l="0" t="0" r="2540" b="3810"/>
            <wp:docPr id="139048963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489631" name=""/>
                    <pic:cNvPicPr/>
                  </pic:nvPicPr>
                  <pic:blipFill>
                    <a:blip r:embed="rId42"/>
                    <a:stretch>
                      <a:fillRect/>
                    </a:stretch>
                  </pic:blipFill>
                  <pic:spPr>
                    <a:xfrm>
                      <a:off x="0" y="0"/>
                      <a:ext cx="5731510" cy="7292340"/>
                    </a:xfrm>
                    <a:prstGeom prst="rect">
                      <a:avLst/>
                    </a:prstGeom>
                  </pic:spPr>
                </pic:pic>
              </a:graphicData>
            </a:graphic>
          </wp:inline>
        </w:drawing>
      </w:r>
    </w:p>
    <w:p w14:paraId="1A9F60CC" w14:textId="77777777" w:rsidR="00ED72CF" w:rsidRDefault="00ED72CF" w:rsidP="00ED72CF"/>
    <w:p w14:paraId="6F513312" w14:textId="77777777" w:rsidR="00ED72CF" w:rsidRDefault="00ED72CF" w:rsidP="00ED72CF"/>
    <w:p w14:paraId="19213164" w14:textId="77777777" w:rsidR="00ED72CF" w:rsidRDefault="00ED72CF" w:rsidP="00ED72CF"/>
    <w:p w14:paraId="29707E27" w14:textId="77777777" w:rsidR="00ED72CF" w:rsidRPr="00C236AD" w:rsidRDefault="00ED72CF" w:rsidP="00ED72CF">
      <w:pPr>
        <w:spacing w:after="0" w:line="360" w:lineRule="auto"/>
        <w:jc w:val="both"/>
        <w:rPr>
          <w:rFonts w:cs="Arial"/>
          <w:sz w:val="24"/>
          <w:szCs w:val="24"/>
        </w:rPr>
      </w:pPr>
      <w:r>
        <w:rPr>
          <w:rFonts w:cs="Arial"/>
          <w:b/>
          <w:bCs/>
          <w:sz w:val="24"/>
          <w:szCs w:val="24"/>
          <w:u w:val="single"/>
        </w:rPr>
        <w:lastRenderedPageBreak/>
        <w:t>Appendix 3</w:t>
      </w:r>
      <w:r w:rsidRPr="00C236AD">
        <w:rPr>
          <w:rFonts w:cs="Arial"/>
          <w:b/>
          <w:bCs/>
          <w:sz w:val="24"/>
          <w:szCs w:val="24"/>
          <w:u w:val="single"/>
          <w:lang w:val="en-GB"/>
        </w:rPr>
        <w:t>:</w:t>
      </w:r>
      <w:r w:rsidRPr="00C236AD">
        <w:rPr>
          <w:rFonts w:cs="Arial"/>
          <w:b/>
          <w:bCs/>
          <w:sz w:val="24"/>
          <w:szCs w:val="24"/>
          <w:lang w:val="en-GB"/>
        </w:rPr>
        <w:t xml:space="preserve"> </w:t>
      </w:r>
      <w:r>
        <w:rPr>
          <w:rFonts w:cs="Arial"/>
          <w:b/>
          <w:bCs/>
          <w:sz w:val="24"/>
          <w:szCs w:val="24"/>
        </w:rPr>
        <w:t>Autor’s calculations of p</w:t>
      </w:r>
      <w:proofErr w:type="spellStart"/>
      <w:r w:rsidRPr="00C236AD">
        <w:rPr>
          <w:rFonts w:cs="Arial"/>
          <w:b/>
          <w:bCs/>
          <w:sz w:val="24"/>
          <w:szCs w:val="24"/>
          <w:lang w:val="en-GB"/>
        </w:rPr>
        <w:t>rofitability</w:t>
      </w:r>
      <w:proofErr w:type="spellEnd"/>
      <w:r w:rsidRPr="00C236AD">
        <w:rPr>
          <w:rFonts w:cs="Arial"/>
          <w:b/>
          <w:bCs/>
          <w:sz w:val="24"/>
          <w:szCs w:val="24"/>
          <w:lang w:val="en-GB"/>
        </w:rPr>
        <w:t xml:space="preserve"> ratios</w:t>
      </w:r>
      <w:r w:rsidRPr="00C236AD">
        <w:rPr>
          <w:rFonts w:cs="Arial"/>
          <w:sz w:val="24"/>
          <w:szCs w:val="24"/>
        </w:rPr>
        <w:t xml:space="preserve"> 2021-2025  </w:t>
      </w:r>
    </w:p>
    <w:p w14:paraId="5BA47A2E" w14:textId="77777777" w:rsidR="00ED72CF" w:rsidRPr="00260408" w:rsidRDefault="00ED72CF" w:rsidP="00ED72CF">
      <w:pPr>
        <w:spacing w:after="0" w:line="360" w:lineRule="auto"/>
        <w:rPr>
          <w:rFonts w:cs="Arial"/>
          <w:sz w:val="24"/>
          <w:szCs w:val="24"/>
          <w:lang w:val="en-GB"/>
        </w:rPr>
      </w:pPr>
    </w:p>
    <w:p w14:paraId="4FF012A6" w14:textId="77777777" w:rsidR="00ED72CF" w:rsidRPr="00506BBB" w:rsidRDefault="00ED72CF" w:rsidP="00ED72CF">
      <w:pPr>
        <w:spacing w:after="0" w:line="360" w:lineRule="auto"/>
        <w:rPr>
          <w:rFonts w:cs="Arial"/>
          <w:b/>
          <w:bCs/>
          <w:sz w:val="24"/>
          <w:szCs w:val="24"/>
          <w:lang w:val="en-GB"/>
        </w:rPr>
      </w:pPr>
      <w:r w:rsidRPr="00506BBB">
        <w:rPr>
          <w:rFonts w:cs="Arial"/>
          <w:b/>
          <w:bCs/>
          <w:sz w:val="24"/>
          <w:szCs w:val="24"/>
          <w:lang w:val="en-GB"/>
        </w:rPr>
        <w:t>1. Net Profit Margin</w:t>
      </w:r>
    </w:p>
    <w:p w14:paraId="48083F4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7F703984"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Net Profit Margin = Net Income ÷ Revenue × 100</w:t>
      </w:r>
    </w:p>
    <w:p w14:paraId="0F5B7C09"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43B21B25"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 xml:space="preserve">Numerator = Consolidated Statement of Income </w:t>
      </w:r>
      <w:r>
        <w:rPr>
          <w:rFonts w:cs="Arial"/>
          <w:sz w:val="24"/>
          <w:szCs w:val="24"/>
        </w:rPr>
        <w:t>-</w:t>
      </w:r>
      <w:r w:rsidRPr="002C7A45">
        <w:rPr>
          <w:rFonts w:cs="Arial"/>
          <w:sz w:val="24"/>
          <w:szCs w:val="24"/>
          <w:lang w:val="en-GB"/>
        </w:rPr>
        <w:t>Net income</w:t>
      </w:r>
    </w:p>
    <w:p w14:paraId="22C824EC" w14:textId="77777777" w:rsidR="00ED72CF" w:rsidRPr="00056C1F" w:rsidRDefault="00ED72CF" w:rsidP="00ED72CF">
      <w:pPr>
        <w:spacing w:after="0" w:line="360" w:lineRule="auto"/>
        <w:rPr>
          <w:rFonts w:cs="Arial"/>
          <w:b/>
          <w:bCs/>
          <w:sz w:val="24"/>
          <w:szCs w:val="24"/>
          <w:lang w:val="en-GB"/>
        </w:rPr>
      </w:pPr>
      <w:r w:rsidRPr="002C7A45">
        <w:rPr>
          <w:rFonts w:cs="Arial"/>
          <w:sz w:val="24"/>
          <w:szCs w:val="24"/>
          <w:lang w:val="en-GB"/>
        </w:rPr>
        <w:t>Denominator = Consolidated Statement of Income</w:t>
      </w:r>
      <w:r>
        <w:rPr>
          <w:rFonts w:cs="Arial"/>
          <w:sz w:val="24"/>
          <w:szCs w:val="24"/>
          <w:lang w:val="en-GB"/>
        </w:rPr>
        <w:t xml:space="preserve"> </w:t>
      </w:r>
      <w:r>
        <w:rPr>
          <w:rFonts w:cs="Arial"/>
          <w:sz w:val="24"/>
          <w:szCs w:val="24"/>
        </w:rPr>
        <w:t>-</w:t>
      </w:r>
      <w:r w:rsidRPr="002C7A45">
        <w:rPr>
          <w:rFonts w:cs="Arial"/>
          <w:sz w:val="24"/>
          <w:szCs w:val="24"/>
          <w:lang w:val="en-GB"/>
        </w:rPr>
        <w:t>Total revenues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1794"/>
        <w:gridCol w:w="2169"/>
        <w:gridCol w:w="2206"/>
        <w:gridCol w:w="1862"/>
      </w:tblGrid>
      <w:tr w:rsidR="00ED72CF" w:rsidRPr="00260408" w14:paraId="35A4C39D"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33D3A56" w14:textId="77777777" w:rsidR="00ED72CF" w:rsidRPr="00260408" w:rsidRDefault="00ED72CF" w:rsidP="008C2C42">
            <w:pPr>
              <w:spacing w:after="0" w:line="360" w:lineRule="auto"/>
              <w:rPr>
                <w:rFonts w:cs="Arial"/>
                <w:b/>
                <w:bCs/>
                <w:sz w:val="24"/>
                <w:szCs w:val="24"/>
                <w:lang w:val="en-GB"/>
              </w:rPr>
            </w:pPr>
            <w:r w:rsidRPr="00260408">
              <w:rPr>
                <w:rFonts w:cs="Arial"/>
                <w:b/>
                <w:bCs/>
                <w:sz w:val="24"/>
                <w:szCs w:val="24"/>
                <w:lang w:val="en-GB"/>
              </w:rPr>
              <w:t>Year</w:t>
            </w:r>
          </w:p>
        </w:tc>
        <w:tc>
          <w:tcPr>
            <w:tcW w:w="0" w:type="auto"/>
            <w:tcBorders>
              <w:top w:val="thinThickSmallGap" w:sz="24" w:space="0" w:color="auto"/>
              <w:bottom w:val="thickThinSmallGap" w:sz="24" w:space="0" w:color="auto"/>
            </w:tcBorders>
            <w:vAlign w:val="center"/>
            <w:hideMark/>
          </w:tcPr>
          <w:p w14:paraId="0EF3F5D3" w14:textId="77777777" w:rsidR="00ED72CF" w:rsidRPr="00260408" w:rsidRDefault="00ED72CF" w:rsidP="008C2C42">
            <w:pPr>
              <w:spacing w:after="0" w:line="360" w:lineRule="auto"/>
              <w:rPr>
                <w:rFonts w:cs="Arial"/>
                <w:b/>
                <w:bCs/>
                <w:sz w:val="24"/>
                <w:szCs w:val="24"/>
                <w:lang w:val="en-GB"/>
              </w:rPr>
            </w:pPr>
            <w:r w:rsidRPr="00260408">
              <w:rPr>
                <w:rFonts w:cs="Arial"/>
                <w:b/>
                <w:bCs/>
                <w:sz w:val="24"/>
                <w:szCs w:val="24"/>
                <w:lang w:val="en-GB"/>
              </w:rPr>
              <w:t>Net income ($m)</w:t>
            </w:r>
          </w:p>
        </w:tc>
        <w:tc>
          <w:tcPr>
            <w:tcW w:w="0" w:type="auto"/>
            <w:tcBorders>
              <w:top w:val="thinThickSmallGap" w:sz="24" w:space="0" w:color="auto"/>
              <w:bottom w:val="thickThinSmallGap" w:sz="24" w:space="0" w:color="auto"/>
            </w:tcBorders>
            <w:vAlign w:val="center"/>
            <w:hideMark/>
          </w:tcPr>
          <w:p w14:paraId="402A4771" w14:textId="77777777" w:rsidR="00ED72CF" w:rsidRPr="00260408" w:rsidRDefault="00ED72CF" w:rsidP="008C2C42">
            <w:pPr>
              <w:spacing w:after="0" w:line="360" w:lineRule="auto"/>
              <w:rPr>
                <w:rFonts w:cs="Arial"/>
                <w:b/>
                <w:bCs/>
                <w:sz w:val="24"/>
                <w:szCs w:val="24"/>
                <w:lang w:val="en-GB"/>
              </w:rPr>
            </w:pPr>
            <w:r w:rsidRPr="00260408">
              <w:rPr>
                <w:rFonts w:cs="Arial"/>
                <w:b/>
                <w:bCs/>
                <w:sz w:val="24"/>
                <w:szCs w:val="24"/>
                <w:lang w:val="en-GB"/>
              </w:rPr>
              <w:t>Total revenues ($m)</w:t>
            </w:r>
          </w:p>
        </w:tc>
        <w:tc>
          <w:tcPr>
            <w:tcW w:w="0" w:type="auto"/>
            <w:tcBorders>
              <w:top w:val="thinThickSmallGap" w:sz="24" w:space="0" w:color="auto"/>
              <w:bottom w:val="thickThinSmallGap" w:sz="24" w:space="0" w:color="auto"/>
            </w:tcBorders>
            <w:vAlign w:val="center"/>
            <w:hideMark/>
          </w:tcPr>
          <w:p w14:paraId="31037ED6" w14:textId="77777777" w:rsidR="00ED72CF" w:rsidRPr="00260408" w:rsidRDefault="00ED72CF" w:rsidP="008C2C42">
            <w:pPr>
              <w:spacing w:after="0" w:line="360" w:lineRule="auto"/>
              <w:rPr>
                <w:rFonts w:cs="Arial"/>
                <w:b/>
                <w:bCs/>
                <w:sz w:val="24"/>
                <w:szCs w:val="24"/>
                <w:lang w:val="en-GB"/>
              </w:rPr>
            </w:pPr>
            <w:r w:rsidRPr="00260408">
              <w:rPr>
                <w:rFonts w:cs="Arial"/>
                <w:b/>
                <w:bCs/>
                <w:sz w:val="24"/>
                <w:szCs w:val="24"/>
                <w:lang w:val="en-GB"/>
              </w:rPr>
              <w:t>Calculation</w:t>
            </w:r>
          </w:p>
        </w:tc>
        <w:tc>
          <w:tcPr>
            <w:tcW w:w="0" w:type="auto"/>
            <w:tcBorders>
              <w:top w:val="thinThickSmallGap" w:sz="24" w:space="0" w:color="auto"/>
              <w:bottom w:val="thickThinSmallGap" w:sz="24" w:space="0" w:color="auto"/>
            </w:tcBorders>
            <w:vAlign w:val="center"/>
            <w:hideMark/>
          </w:tcPr>
          <w:p w14:paraId="6E25A7D7" w14:textId="77777777" w:rsidR="00ED72CF" w:rsidRPr="00260408" w:rsidRDefault="00ED72CF" w:rsidP="008C2C42">
            <w:pPr>
              <w:spacing w:after="0" w:line="360" w:lineRule="auto"/>
              <w:rPr>
                <w:rFonts w:cs="Arial"/>
                <w:b/>
                <w:bCs/>
                <w:sz w:val="24"/>
                <w:szCs w:val="24"/>
                <w:lang w:val="en-GB"/>
              </w:rPr>
            </w:pPr>
            <w:r w:rsidRPr="00260408">
              <w:rPr>
                <w:rFonts w:cs="Arial"/>
                <w:b/>
                <w:bCs/>
                <w:sz w:val="24"/>
                <w:szCs w:val="24"/>
                <w:lang w:val="en-GB"/>
              </w:rPr>
              <w:t>Net Profit Margin</w:t>
            </w:r>
          </w:p>
        </w:tc>
      </w:tr>
      <w:tr w:rsidR="00ED72CF" w:rsidRPr="003515D6" w14:paraId="0E5EE9A1" w14:textId="77777777" w:rsidTr="008C2C42">
        <w:trPr>
          <w:tblCellSpacing w:w="15" w:type="dxa"/>
        </w:trPr>
        <w:tc>
          <w:tcPr>
            <w:tcW w:w="0" w:type="auto"/>
            <w:vAlign w:val="center"/>
            <w:hideMark/>
          </w:tcPr>
          <w:p w14:paraId="0CF1361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1CB4612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1,099</w:t>
            </w:r>
          </w:p>
        </w:tc>
        <w:tc>
          <w:tcPr>
            <w:tcW w:w="0" w:type="auto"/>
            <w:vAlign w:val="center"/>
            <w:hideMark/>
          </w:tcPr>
          <w:p w14:paraId="4EFFDE5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13,857</w:t>
            </w:r>
          </w:p>
        </w:tc>
        <w:tc>
          <w:tcPr>
            <w:tcW w:w="0" w:type="auto"/>
            <w:vAlign w:val="center"/>
            <w:hideMark/>
          </w:tcPr>
          <w:p w14:paraId="4902CE1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1,099 ÷ 13,857 × 100</w:t>
            </w:r>
          </w:p>
        </w:tc>
        <w:tc>
          <w:tcPr>
            <w:tcW w:w="0" w:type="auto"/>
            <w:vAlign w:val="center"/>
            <w:hideMark/>
          </w:tcPr>
          <w:p w14:paraId="0BA9DBB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7.93%</w:t>
            </w:r>
          </w:p>
        </w:tc>
      </w:tr>
      <w:tr w:rsidR="00ED72CF" w:rsidRPr="003515D6" w14:paraId="16F9E71D" w14:textId="77777777" w:rsidTr="008C2C42">
        <w:trPr>
          <w:tblCellSpacing w:w="15" w:type="dxa"/>
        </w:trPr>
        <w:tc>
          <w:tcPr>
            <w:tcW w:w="0" w:type="auto"/>
            <w:vAlign w:val="center"/>
            <w:hideMark/>
          </w:tcPr>
          <w:p w14:paraId="6A35796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207FACA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2,358</w:t>
            </w:r>
          </w:p>
        </w:tc>
        <w:tc>
          <w:tcPr>
            <w:tcW w:w="0" w:type="auto"/>
            <w:vAlign w:val="center"/>
            <w:hideMark/>
          </w:tcPr>
          <w:p w14:paraId="5D0E5D2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20,773</w:t>
            </w:r>
          </w:p>
        </w:tc>
        <w:tc>
          <w:tcPr>
            <w:tcW w:w="0" w:type="auto"/>
            <w:vAlign w:val="center"/>
            <w:hideMark/>
          </w:tcPr>
          <w:p w14:paraId="0B1871A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2,358 ÷ 20,773 × 100</w:t>
            </w:r>
          </w:p>
        </w:tc>
        <w:tc>
          <w:tcPr>
            <w:tcW w:w="0" w:type="auto"/>
            <w:vAlign w:val="center"/>
            <w:hideMark/>
          </w:tcPr>
          <w:p w14:paraId="43CC7D9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11.35%</w:t>
            </w:r>
          </w:p>
        </w:tc>
      </w:tr>
      <w:tr w:rsidR="00ED72CF" w:rsidRPr="003515D6" w14:paraId="2C8F9BF4" w14:textId="77777777" w:rsidTr="008C2C42">
        <w:trPr>
          <w:tblCellSpacing w:w="15" w:type="dxa"/>
        </w:trPr>
        <w:tc>
          <w:tcPr>
            <w:tcW w:w="0" w:type="auto"/>
            <w:vAlign w:val="center"/>
            <w:hideMark/>
          </w:tcPr>
          <w:p w14:paraId="0C24094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5D85603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3,083</w:t>
            </w:r>
          </w:p>
        </w:tc>
        <w:tc>
          <w:tcPr>
            <w:tcW w:w="0" w:type="auto"/>
            <w:vAlign w:val="center"/>
            <w:hideMark/>
          </w:tcPr>
          <w:p w14:paraId="60C8A28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23,713</w:t>
            </w:r>
          </w:p>
        </w:tc>
        <w:tc>
          <w:tcPr>
            <w:tcW w:w="0" w:type="auto"/>
            <w:vAlign w:val="center"/>
            <w:hideMark/>
          </w:tcPr>
          <w:p w14:paraId="0C10D82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3,083 ÷ 23,713 × 100</w:t>
            </w:r>
          </w:p>
        </w:tc>
        <w:tc>
          <w:tcPr>
            <w:tcW w:w="0" w:type="auto"/>
            <w:vAlign w:val="center"/>
            <w:hideMark/>
          </w:tcPr>
          <w:p w14:paraId="7D40732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13.00%</w:t>
            </w:r>
          </w:p>
        </w:tc>
      </w:tr>
      <w:tr w:rsidR="00ED72CF" w:rsidRPr="003515D6" w14:paraId="20EA00E7" w14:textId="77777777" w:rsidTr="008C2C42">
        <w:trPr>
          <w:tblCellSpacing w:w="15" w:type="dxa"/>
        </w:trPr>
        <w:tc>
          <w:tcPr>
            <w:tcW w:w="0" w:type="auto"/>
            <w:vAlign w:val="center"/>
            <w:hideMark/>
          </w:tcPr>
          <w:p w14:paraId="1C5EBD6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7993EEA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2,375</w:t>
            </w:r>
          </w:p>
        </w:tc>
        <w:tc>
          <w:tcPr>
            <w:tcW w:w="0" w:type="auto"/>
            <w:vAlign w:val="center"/>
            <w:hideMark/>
          </w:tcPr>
          <w:p w14:paraId="3B367FC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25,100</w:t>
            </w:r>
          </w:p>
        </w:tc>
        <w:tc>
          <w:tcPr>
            <w:tcW w:w="0" w:type="auto"/>
            <w:vAlign w:val="center"/>
            <w:hideMark/>
          </w:tcPr>
          <w:p w14:paraId="34D03D9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2,375 ÷ 25,100 × 100</w:t>
            </w:r>
          </w:p>
        </w:tc>
        <w:tc>
          <w:tcPr>
            <w:tcW w:w="0" w:type="auto"/>
            <w:vAlign w:val="center"/>
            <w:hideMark/>
          </w:tcPr>
          <w:p w14:paraId="33D8D82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9.46%</w:t>
            </w:r>
          </w:p>
        </w:tc>
      </w:tr>
      <w:tr w:rsidR="00ED72CF" w:rsidRPr="003515D6" w14:paraId="243C7D6E" w14:textId="77777777" w:rsidTr="008C2C42">
        <w:trPr>
          <w:tblCellSpacing w:w="15" w:type="dxa"/>
        </w:trPr>
        <w:tc>
          <w:tcPr>
            <w:tcW w:w="0" w:type="auto"/>
            <w:tcBorders>
              <w:bottom w:val="thinThickSmallGap" w:sz="24" w:space="0" w:color="auto"/>
            </w:tcBorders>
            <w:vAlign w:val="center"/>
            <w:hideMark/>
          </w:tcPr>
          <w:p w14:paraId="4C316D7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nThickSmallGap" w:sz="24" w:space="0" w:color="auto"/>
            </w:tcBorders>
            <w:vAlign w:val="center"/>
            <w:hideMark/>
          </w:tcPr>
          <w:p w14:paraId="1F4250D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2,601</w:t>
            </w:r>
          </w:p>
        </w:tc>
        <w:tc>
          <w:tcPr>
            <w:tcW w:w="0" w:type="auto"/>
            <w:tcBorders>
              <w:bottom w:val="thinThickSmallGap" w:sz="24" w:space="0" w:color="auto"/>
            </w:tcBorders>
            <w:vAlign w:val="center"/>
            <w:hideMark/>
          </w:tcPr>
          <w:p w14:paraId="4E25232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26,186</w:t>
            </w:r>
          </w:p>
        </w:tc>
        <w:tc>
          <w:tcPr>
            <w:tcW w:w="0" w:type="auto"/>
            <w:tcBorders>
              <w:bottom w:val="thinThickSmallGap" w:sz="24" w:space="0" w:color="auto"/>
            </w:tcBorders>
            <w:vAlign w:val="center"/>
            <w:hideMark/>
          </w:tcPr>
          <w:p w14:paraId="01C3369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2,601 ÷ 26,186 × 100</w:t>
            </w:r>
          </w:p>
        </w:tc>
        <w:tc>
          <w:tcPr>
            <w:tcW w:w="0" w:type="auto"/>
            <w:tcBorders>
              <w:bottom w:val="thinThickSmallGap" w:sz="24" w:space="0" w:color="auto"/>
            </w:tcBorders>
            <w:vAlign w:val="center"/>
            <w:hideMark/>
          </w:tcPr>
          <w:p w14:paraId="3912E08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9.93%</w:t>
            </w:r>
          </w:p>
        </w:tc>
      </w:tr>
    </w:tbl>
    <w:p w14:paraId="3FA49C09" w14:textId="77777777" w:rsidR="00ED72CF" w:rsidRDefault="00ED72CF" w:rsidP="00ED72CF">
      <w:pPr>
        <w:spacing w:after="0" w:line="360" w:lineRule="auto"/>
        <w:rPr>
          <w:rFonts w:cs="Arial"/>
          <w:b/>
          <w:bCs/>
          <w:sz w:val="24"/>
          <w:szCs w:val="24"/>
          <w:u w:val="single"/>
        </w:rPr>
      </w:pPr>
    </w:p>
    <w:p w14:paraId="2902CC27"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2. Operating Profit Margin</w:t>
      </w:r>
    </w:p>
    <w:p w14:paraId="6B5EC790"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2E1ABF8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Operating Profit Margin = Operating Income ÷ Revenue × 100</w:t>
      </w:r>
    </w:p>
    <w:p w14:paraId="533233D9"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47FBE033"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Numerator = Consolidated Statement of Income</w:t>
      </w:r>
      <w:r>
        <w:rPr>
          <w:rFonts w:cs="Arial"/>
          <w:sz w:val="24"/>
          <w:szCs w:val="24"/>
          <w:lang w:val="en-GB"/>
        </w:rPr>
        <w:t>-</w:t>
      </w:r>
      <w:r w:rsidRPr="002C7A45">
        <w:rPr>
          <w:rFonts w:cs="Arial"/>
          <w:sz w:val="24"/>
          <w:szCs w:val="24"/>
          <w:lang w:val="en-GB"/>
        </w:rPr>
        <w:t>Operating income</w:t>
      </w:r>
    </w:p>
    <w:p w14:paraId="24D4F299" w14:textId="77777777" w:rsidR="00ED72CF" w:rsidRPr="00056C1F" w:rsidRDefault="00ED72CF" w:rsidP="00ED72CF">
      <w:pPr>
        <w:spacing w:after="0" w:line="360" w:lineRule="auto"/>
        <w:rPr>
          <w:rFonts w:cs="Arial"/>
          <w:b/>
          <w:bCs/>
          <w:sz w:val="24"/>
          <w:szCs w:val="24"/>
          <w:lang w:val="en-GB"/>
        </w:rPr>
      </w:pPr>
      <w:r w:rsidRPr="002C7A45">
        <w:rPr>
          <w:rFonts w:cs="Arial"/>
          <w:sz w:val="24"/>
          <w:szCs w:val="24"/>
          <w:lang w:val="en-GB"/>
        </w:rPr>
        <w:t>Denominator = Consolidated Statement of Income</w:t>
      </w:r>
      <w:r>
        <w:rPr>
          <w:rFonts w:cs="Arial"/>
          <w:sz w:val="24"/>
          <w:szCs w:val="24"/>
          <w:lang w:val="en-GB"/>
        </w:rPr>
        <w:t>-</w:t>
      </w:r>
      <w:r w:rsidRPr="002C7A45">
        <w:rPr>
          <w:rFonts w:cs="Arial"/>
          <w:sz w:val="24"/>
          <w:szCs w:val="24"/>
          <w:lang w:val="en-GB"/>
        </w:rPr>
        <w:t>Total revenues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090"/>
        <w:gridCol w:w="1849"/>
        <w:gridCol w:w="1947"/>
        <w:gridCol w:w="2145"/>
      </w:tblGrid>
      <w:tr w:rsidR="00ED72CF" w:rsidRPr="00056C1F" w14:paraId="548E9CE9"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186BAAE8" w14:textId="77777777" w:rsidR="00ED72CF" w:rsidRPr="00056C1F" w:rsidRDefault="00ED72CF" w:rsidP="008C2C42">
            <w:pPr>
              <w:spacing w:after="0" w:line="360" w:lineRule="auto"/>
              <w:rPr>
                <w:rFonts w:cs="Arial"/>
                <w:b/>
                <w:bCs/>
                <w:sz w:val="24"/>
                <w:szCs w:val="24"/>
                <w:lang w:val="en-GB"/>
              </w:rPr>
            </w:pPr>
            <w:r w:rsidRPr="00056C1F">
              <w:rPr>
                <w:rFonts w:cs="Arial"/>
                <w:b/>
                <w:bCs/>
                <w:sz w:val="24"/>
                <w:szCs w:val="24"/>
                <w:lang w:val="en-GB"/>
              </w:rPr>
              <w:lastRenderedPageBreak/>
              <w:t>Year</w:t>
            </w:r>
          </w:p>
        </w:tc>
        <w:tc>
          <w:tcPr>
            <w:tcW w:w="0" w:type="auto"/>
            <w:tcBorders>
              <w:top w:val="thinThickSmallGap" w:sz="24" w:space="0" w:color="auto"/>
              <w:bottom w:val="thickThinSmallGap" w:sz="24" w:space="0" w:color="auto"/>
            </w:tcBorders>
            <w:vAlign w:val="center"/>
            <w:hideMark/>
          </w:tcPr>
          <w:p w14:paraId="75883928" w14:textId="77777777" w:rsidR="00ED72CF" w:rsidRPr="00056C1F" w:rsidRDefault="00ED72CF" w:rsidP="008C2C42">
            <w:pPr>
              <w:spacing w:after="0" w:line="360" w:lineRule="auto"/>
              <w:rPr>
                <w:rFonts w:cs="Arial"/>
                <w:b/>
                <w:bCs/>
                <w:sz w:val="24"/>
                <w:szCs w:val="24"/>
                <w:lang w:val="en-GB"/>
              </w:rPr>
            </w:pPr>
            <w:r w:rsidRPr="00056C1F">
              <w:rPr>
                <w:rFonts w:cs="Arial"/>
                <w:b/>
                <w:bCs/>
                <w:sz w:val="24"/>
                <w:szCs w:val="24"/>
                <w:lang w:val="en-GB"/>
              </w:rPr>
              <w:t>Operating income ($m)</w:t>
            </w:r>
          </w:p>
        </w:tc>
        <w:tc>
          <w:tcPr>
            <w:tcW w:w="0" w:type="auto"/>
            <w:tcBorders>
              <w:top w:val="thinThickSmallGap" w:sz="24" w:space="0" w:color="auto"/>
              <w:bottom w:val="thickThinSmallGap" w:sz="24" w:space="0" w:color="auto"/>
            </w:tcBorders>
            <w:vAlign w:val="center"/>
            <w:hideMark/>
          </w:tcPr>
          <w:p w14:paraId="06059A30" w14:textId="77777777" w:rsidR="00ED72CF" w:rsidRPr="00056C1F" w:rsidRDefault="00ED72CF" w:rsidP="008C2C42">
            <w:pPr>
              <w:spacing w:after="0" w:line="360" w:lineRule="auto"/>
              <w:rPr>
                <w:rFonts w:cs="Arial"/>
                <w:b/>
                <w:bCs/>
                <w:sz w:val="24"/>
                <w:szCs w:val="24"/>
                <w:lang w:val="en-GB"/>
              </w:rPr>
            </w:pPr>
            <w:r w:rsidRPr="00056C1F">
              <w:rPr>
                <w:rFonts w:cs="Arial"/>
                <w:b/>
                <w:bCs/>
                <w:sz w:val="24"/>
                <w:szCs w:val="24"/>
                <w:lang w:val="en-GB"/>
              </w:rPr>
              <w:t>Total revenues ($m)</w:t>
            </w:r>
          </w:p>
        </w:tc>
        <w:tc>
          <w:tcPr>
            <w:tcW w:w="0" w:type="auto"/>
            <w:tcBorders>
              <w:top w:val="thinThickSmallGap" w:sz="24" w:space="0" w:color="auto"/>
              <w:bottom w:val="thickThinSmallGap" w:sz="24" w:space="0" w:color="auto"/>
            </w:tcBorders>
            <w:vAlign w:val="center"/>
            <w:hideMark/>
          </w:tcPr>
          <w:p w14:paraId="1FF8D139" w14:textId="77777777" w:rsidR="00ED72CF" w:rsidRPr="00056C1F" w:rsidRDefault="00ED72CF" w:rsidP="008C2C42">
            <w:pPr>
              <w:spacing w:after="0" w:line="360" w:lineRule="auto"/>
              <w:rPr>
                <w:rFonts w:cs="Arial"/>
                <w:b/>
                <w:bCs/>
                <w:sz w:val="24"/>
                <w:szCs w:val="24"/>
                <w:lang w:val="en-GB"/>
              </w:rPr>
            </w:pPr>
            <w:r w:rsidRPr="00056C1F">
              <w:rPr>
                <w:rFonts w:cs="Arial"/>
                <w:b/>
                <w:bCs/>
                <w:sz w:val="24"/>
                <w:szCs w:val="24"/>
                <w:lang w:val="en-GB"/>
              </w:rPr>
              <w:t>Calculation</w:t>
            </w:r>
          </w:p>
        </w:tc>
        <w:tc>
          <w:tcPr>
            <w:tcW w:w="0" w:type="auto"/>
            <w:tcBorders>
              <w:top w:val="thinThickSmallGap" w:sz="24" w:space="0" w:color="auto"/>
              <w:bottom w:val="thickThinSmallGap" w:sz="24" w:space="0" w:color="auto"/>
            </w:tcBorders>
            <w:vAlign w:val="center"/>
            <w:hideMark/>
          </w:tcPr>
          <w:p w14:paraId="277F2A83" w14:textId="77777777" w:rsidR="00ED72CF" w:rsidRPr="00056C1F" w:rsidRDefault="00ED72CF" w:rsidP="008C2C42">
            <w:pPr>
              <w:spacing w:after="0" w:line="360" w:lineRule="auto"/>
              <w:rPr>
                <w:rFonts w:cs="Arial"/>
                <w:b/>
                <w:bCs/>
                <w:sz w:val="24"/>
                <w:szCs w:val="24"/>
                <w:lang w:val="en-GB"/>
              </w:rPr>
            </w:pPr>
            <w:r w:rsidRPr="00056C1F">
              <w:rPr>
                <w:rFonts w:cs="Arial"/>
                <w:b/>
                <w:bCs/>
                <w:sz w:val="24"/>
                <w:szCs w:val="24"/>
                <w:lang w:val="en-GB"/>
              </w:rPr>
              <w:t>Operating Profit Margin</w:t>
            </w:r>
          </w:p>
        </w:tc>
      </w:tr>
      <w:tr w:rsidR="00ED72CF" w:rsidRPr="003515D6" w14:paraId="53F17528" w14:textId="77777777" w:rsidTr="008C2C42">
        <w:trPr>
          <w:tblCellSpacing w:w="15" w:type="dxa"/>
        </w:trPr>
        <w:tc>
          <w:tcPr>
            <w:tcW w:w="0" w:type="auto"/>
            <w:vAlign w:val="center"/>
            <w:hideMark/>
          </w:tcPr>
          <w:p w14:paraId="7E266EC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2373F9B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1,750</w:t>
            </w:r>
          </w:p>
        </w:tc>
        <w:tc>
          <w:tcPr>
            <w:tcW w:w="0" w:type="auto"/>
            <w:vAlign w:val="center"/>
            <w:hideMark/>
          </w:tcPr>
          <w:p w14:paraId="333EE6D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13,857</w:t>
            </w:r>
          </w:p>
        </w:tc>
        <w:tc>
          <w:tcPr>
            <w:tcW w:w="0" w:type="auto"/>
            <w:vAlign w:val="center"/>
            <w:hideMark/>
          </w:tcPr>
          <w:p w14:paraId="0F29F93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1,750 ÷ 13,857 × 100</w:t>
            </w:r>
          </w:p>
        </w:tc>
        <w:tc>
          <w:tcPr>
            <w:tcW w:w="0" w:type="auto"/>
            <w:vAlign w:val="center"/>
            <w:hideMark/>
          </w:tcPr>
          <w:p w14:paraId="584B185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12.63%</w:t>
            </w:r>
          </w:p>
        </w:tc>
      </w:tr>
      <w:tr w:rsidR="00ED72CF" w:rsidRPr="003515D6" w14:paraId="1F1EE7EF" w14:textId="77777777" w:rsidTr="008C2C42">
        <w:trPr>
          <w:tblCellSpacing w:w="15" w:type="dxa"/>
        </w:trPr>
        <w:tc>
          <w:tcPr>
            <w:tcW w:w="0" w:type="auto"/>
            <w:vAlign w:val="center"/>
            <w:hideMark/>
          </w:tcPr>
          <w:p w14:paraId="7128582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33CB654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3,462</w:t>
            </w:r>
          </w:p>
        </w:tc>
        <w:tc>
          <w:tcPr>
            <w:tcW w:w="0" w:type="auto"/>
            <w:vAlign w:val="center"/>
            <w:hideMark/>
          </w:tcPr>
          <w:p w14:paraId="1CF83D5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20,773</w:t>
            </w:r>
          </w:p>
        </w:tc>
        <w:tc>
          <w:tcPr>
            <w:tcW w:w="0" w:type="auto"/>
            <w:vAlign w:val="center"/>
            <w:hideMark/>
          </w:tcPr>
          <w:p w14:paraId="7A56EEF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3,462 ÷ 20,773 × 100</w:t>
            </w:r>
          </w:p>
        </w:tc>
        <w:tc>
          <w:tcPr>
            <w:tcW w:w="0" w:type="auto"/>
            <w:vAlign w:val="center"/>
            <w:hideMark/>
          </w:tcPr>
          <w:p w14:paraId="7419DC2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16.67%</w:t>
            </w:r>
          </w:p>
        </w:tc>
      </w:tr>
      <w:tr w:rsidR="00ED72CF" w:rsidRPr="003515D6" w14:paraId="0EC36205" w14:textId="77777777" w:rsidTr="008C2C42">
        <w:trPr>
          <w:tblCellSpacing w:w="15" w:type="dxa"/>
        </w:trPr>
        <w:tc>
          <w:tcPr>
            <w:tcW w:w="0" w:type="auto"/>
            <w:vAlign w:val="center"/>
            <w:hideMark/>
          </w:tcPr>
          <w:p w14:paraId="7FB47EB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4A6ED40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3,864</w:t>
            </w:r>
          </w:p>
        </w:tc>
        <w:tc>
          <w:tcPr>
            <w:tcW w:w="0" w:type="auto"/>
            <w:vAlign w:val="center"/>
            <w:hideMark/>
          </w:tcPr>
          <w:p w14:paraId="18C7FEC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23,713</w:t>
            </w:r>
          </w:p>
        </w:tc>
        <w:tc>
          <w:tcPr>
            <w:tcW w:w="0" w:type="auto"/>
            <w:vAlign w:val="center"/>
            <w:hideMark/>
          </w:tcPr>
          <w:p w14:paraId="4B8719E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3,864 ÷ 23,713 × 100</w:t>
            </w:r>
          </w:p>
        </w:tc>
        <w:tc>
          <w:tcPr>
            <w:tcW w:w="0" w:type="auto"/>
            <w:vAlign w:val="center"/>
            <w:hideMark/>
          </w:tcPr>
          <w:p w14:paraId="18F8759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16.29%</w:t>
            </w:r>
          </w:p>
        </w:tc>
      </w:tr>
      <w:tr w:rsidR="00ED72CF" w:rsidRPr="003515D6" w14:paraId="644A6051" w14:textId="77777777" w:rsidTr="008C2C42">
        <w:trPr>
          <w:tblCellSpacing w:w="15" w:type="dxa"/>
        </w:trPr>
        <w:tc>
          <w:tcPr>
            <w:tcW w:w="0" w:type="auto"/>
            <w:vAlign w:val="center"/>
            <w:hideMark/>
          </w:tcPr>
          <w:p w14:paraId="7894169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643337E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3,767</w:t>
            </w:r>
          </w:p>
        </w:tc>
        <w:tc>
          <w:tcPr>
            <w:tcW w:w="0" w:type="auto"/>
            <w:vAlign w:val="center"/>
            <w:hideMark/>
          </w:tcPr>
          <w:p w14:paraId="1BF3A65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25,100</w:t>
            </w:r>
          </w:p>
        </w:tc>
        <w:tc>
          <w:tcPr>
            <w:tcW w:w="0" w:type="auto"/>
            <w:vAlign w:val="center"/>
            <w:hideMark/>
          </w:tcPr>
          <w:p w14:paraId="6D41AEF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3,767 ÷ 25,100 × 100</w:t>
            </w:r>
          </w:p>
        </w:tc>
        <w:tc>
          <w:tcPr>
            <w:tcW w:w="0" w:type="auto"/>
            <w:vAlign w:val="center"/>
            <w:hideMark/>
          </w:tcPr>
          <w:p w14:paraId="0BE17B7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15.01%</w:t>
            </w:r>
          </w:p>
        </w:tc>
      </w:tr>
      <w:tr w:rsidR="00ED72CF" w:rsidRPr="003515D6" w14:paraId="63DA306B" w14:textId="77777777" w:rsidTr="008C2C42">
        <w:trPr>
          <w:tblCellSpacing w:w="15" w:type="dxa"/>
        </w:trPr>
        <w:tc>
          <w:tcPr>
            <w:tcW w:w="0" w:type="auto"/>
            <w:tcBorders>
              <w:bottom w:val="thickThinSmallGap" w:sz="24" w:space="0" w:color="auto"/>
            </w:tcBorders>
            <w:vAlign w:val="center"/>
            <w:hideMark/>
          </w:tcPr>
          <w:p w14:paraId="145DE65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715A1BB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4,141</w:t>
            </w:r>
          </w:p>
        </w:tc>
        <w:tc>
          <w:tcPr>
            <w:tcW w:w="0" w:type="auto"/>
            <w:tcBorders>
              <w:bottom w:val="thickThinSmallGap" w:sz="24" w:space="0" w:color="auto"/>
            </w:tcBorders>
            <w:vAlign w:val="center"/>
            <w:hideMark/>
          </w:tcPr>
          <w:p w14:paraId="28E6880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26,186</w:t>
            </w:r>
          </w:p>
        </w:tc>
        <w:tc>
          <w:tcPr>
            <w:tcW w:w="0" w:type="auto"/>
            <w:tcBorders>
              <w:bottom w:val="thickThinSmallGap" w:sz="24" w:space="0" w:color="auto"/>
            </w:tcBorders>
            <w:vAlign w:val="center"/>
            <w:hideMark/>
          </w:tcPr>
          <w:p w14:paraId="2EFD969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4,141 ÷ 26,186 × 100</w:t>
            </w:r>
          </w:p>
        </w:tc>
        <w:tc>
          <w:tcPr>
            <w:tcW w:w="0" w:type="auto"/>
            <w:tcBorders>
              <w:bottom w:val="thickThinSmallGap" w:sz="24" w:space="0" w:color="auto"/>
            </w:tcBorders>
            <w:vAlign w:val="center"/>
            <w:hideMark/>
          </w:tcPr>
          <w:p w14:paraId="5187DA9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15.82%</w:t>
            </w:r>
          </w:p>
        </w:tc>
      </w:tr>
    </w:tbl>
    <w:p w14:paraId="448056FB" w14:textId="77777777" w:rsidR="00ED72CF" w:rsidRDefault="00ED72CF" w:rsidP="00ED72CF">
      <w:pPr>
        <w:spacing w:after="0" w:line="360" w:lineRule="auto"/>
        <w:rPr>
          <w:rFonts w:cs="Arial"/>
          <w:b/>
          <w:bCs/>
          <w:sz w:val="24"/>
          <w:szCs w:val="24"/>
          <w:u w:val="single"/>
        </w:rPr>
      </w:pPr>
    </w:p>
    <w:p w14:paraId="0A95BA6C" w14:textId="77777777" w:rsidR="00ED72CF" w:rsidRPr="00056C1F" w:rsidRDefault="00ED72CF" w:rsidP="00ED72CF">
      <w:pPr>
        <w:spacing w:after="0" w:line="360" w:lineRule="auto"/>
        <w:rPr>
          <w:rFonts w:cs="Arial"/>
          <w:b/>
          <w:bCs/>
          <w:sz w:val="24"/>
          <w:szCs w:val="24"/>
          <w:lang w:val="en-GB"/>
        </w:rPr>
      </w:pPr>
      <w:r w:rsidRPr="00056C1F">
        <w:rPr>
          <w:rFonts w:cs="Arial"/>
          <w:b/>
          <w:bCs/>
          <w:sz w:val="24"/>
          <w:szCs w:val="24"/>
          <w:lang w:val="en-GB"/>
        </w:rPr>
        <w:t>3. Gross Profit Margin</w:t>
      </w:r>
    </w:p>
    <w:p w14:paraId="2D1D6F8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5D4CE4B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Gross Profit Margin = Gross Profit ÷ Revenue × 100</w:t>
      </w:r>
    </w:p>
    <w:p w14:paraId="69EF0350"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115F152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Numerator = Standardised financial statement</w:t>
      </w:r>
      <w:r>
        <w:rPr>
          <w:rFonts w:cs="Arial"/>
          <w:sz w:val="24"/>
          <w:szCs w:val="24"/>
          <w:lang w:val="en-GB"/>
        </w:rPr>
        <w:t>-</w:t>
      </w:r>
      <w:r w:rsidRPr="002C7A45">
        <w:rPr>
          <w:rFonts w:cs="Arial"/>
          <w:sz w:val="24"/>
          <w:szCs w:val="24"/>
          <w:lang w:val="en-GB"/>
        </w:rPr>
        <w:t>Gross Profit</w:t>
      </w:r>
    </w:p>
    <w:p w14:paraId="07BBC4D4" w14:textId="77777777" w:rsidR="00ED72CF" w:rsidRPr="00056C1F" w:rsidRDefault="00ED72CF" w:rsidP="00ED72CF">
      <w:pPr>
        <w:spacing w:after="0" w:line="360" w:lineRule="auto"/>
        <w:rPr>
          <w:rFonts w:cs="Arial"/>
          <w:b/>
          <w:bCs/>
          <w:sz w:val="24"/>
          <w:szCs w:val="24"/>
          <w:lang w:val="en-GB"/>
        </w:rPr>
      </w:pPr>
      <w:r w:rsidRPr="002C7A45">
        <w:rPr>
          <w:rFonts w:cs="Arial"/>
          <w:sz w:val="24"/>
          <w:szCs w:val="24"/>
          <w:lang w:val="en-GB"/>
        </w:rPr>
        <w:t>Denominator = Marriott Consolidated Statement of Income</w:t>
      </w:r>
      <w:r>
        <w:rPr>
          <w:rFonts w:cs="Arial"/>
          <w:sz w:val="24"/>
          <w:szCs w:val="24"/>
          <w:lang w:val="en-GB"/>
        </w:rPr>
        <w:t>-</w:t>
      </w:r>
      <w:r w:rsidRPr="002C7A45">
        <w:rPr>
          <w:rFonts w:cs="Arial"/>
          <w:sz w:val="24"/>
          <w:szCs w:val="24"/>
          <w:lang w:val="en-GB"/>
        </w:rPr>
        <w:t>Total revenues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1861"/>
        <w:gridCol w:w="1581"/>
        <w:gridCol w:w="2334"/>
        <w:gridCol w:w="2143"/>
      </w:tblGrid>
      <w:tr w:rsidR="00ED72CF" w:rsidRPr="003515D6" w14:paraId="2A71BA47"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497AA0F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007D835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Gross profit ($m)</w:t>
            </w:r>
          </w:p>
        </w:tc>
        <w:tc>
          <w:tcPr>
            <w:tcW w:w="0" w:type="auto"/>
            <w:tcBorders>
              <w:top w:val="thinThickSmallGap" w:sz="24" w:space="0" w:color="auto"/>
              <w:bottom w:val="thickThinSmallGap" w:sz="24" w:space="0" w:color="auto"/>
            </w:tcBorders>
            <w:vAlign w:val="center"/>
            <w:hideMark/>
          </w:tcPr>
          <w:p w14:paraId="6A254EA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Revenue ($m)</w:t>
            </w:r>
          </w:p>
        </w:tc>
        <w:tc>
          <w:tcPr>
            <w:tcW w:w="0" w:type="auto"/>
            <w:tcBorders>
              <w:top w:val="thinThickSmallGap" w:sz="24" w:space="0" w:color="auto"/>
              <w:bottom w:val="thickThinSmallGap" w:sz="24" w:space="0" w:color="auto"/>
            </w:tcBorders>
            <w:vAlign w:val="center"/>
            <w:hideMark/>
          </w:tcPr>
          <w:p w14:paraId="3446CAD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1AE0503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Gross Profit Margin</w:t>
            </w:r>
          </w:p>
        </w:tc>
      </w:tr>
      <w:tr w:rsidR="00ED72CF" w:rsidRPr="003515D6" w14:paraId="0D78FDDF" w14:textId="77777777" w:rsidTr="008C2C42">
        <w:trPr>
          <w:tblCellSpacing w:w="15" w:type="dxa"/>
        </w:trPr>
        <w:tc>
          <w:tcPr>
            <w:tcW w:w="0" w:type="auto"/>
            <w:vAlign w:val="center"/>
            <w:hideMark/>
          </w:tcPr>
          <w:p w14:paraId="6803F20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7A691E9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2,801</w:t>
            </w:r>
          </w:p>
        </w:tc>
        <w:tc>
          <w:tcPr>
            <w:tcW w:w="0" w:type="auto"/>
            <w:vAlign w:val="center"/>
            <w:hideMark/>
          </w:tcPr>
          <w:p w14:paraId="2DC80A4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13,857</w:t>
            </w:r>
          </w:p>
        </w:tc>
        <w:tc>
          <w:tcPr>
            <w:tcW w:w="0" w:type="auto"/>
            <w:vAlign w:val="center"/>
            <w:hideMark/>
          </w:tcPr>
          <w:p w14:paraId="6E3E59D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2,801 ÷ 13,857 × 100</w:t>
            </w:r>
          </w:p>
        </w:tc>
        <w:tc>
          <w:tcPr>
            <w:tcW w:w="0" w:type="auto"/>
            <w:vAlign w:val="center"/>
            <w:hideMark/>
          </w:tcPr>
          <w:p w14:paraId="6908B0F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r>
      <w:tr w:rsidR="00ED72CF" w:rsidRPr="003515D6" w14:paraId="4D7AC971" w14:textId="77777777" w:rsidTr="008C2C42">
        <w:trPr>
          <w:tblCellSpacing w:w="15" w:type="dxa"/>
        </w:trPr>
        <w:tc>
          <w:tcPr>
            <w:tcW w:w="0" w:type="auto"/>
            <w:vAlign w:val="center"/>
            <w:hideMark/>
          </w:tcPr>
          <w:p w14:paraId="75B0123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7EB7259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4,558</w:t>
            </w:r>
          </w:p>
        </w:tc>
        <w:tc>
          <w:tcPr>
            <w:tcW w:w="0" w:type="auto"/>
            <w:vAlign w:val="center"/>
            <w:hideMark/>
          </w:tcPr>
          <w:p w14:paraId="5329DD7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20,773</w:t>
            </w:r>
          </w:p>
        </w:tc>
        <w:tc>
          <w:tcPr>
            <w:tcW w:w="0" w:type="auto"/>
            <w:vAlign w:val="center"/>
            <w:hideMark/>
          </w:tcPr>
          <w:p w14:paraId="0821B5F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4,558 ÷ 20,773 × 100</w:t>
            </w:r>
          </w:p>
        </w:tc>
        <w:tc>
          <w:tcPr>
            <w:tcW w:w="0" w:type="auto"/>
            <w:vAlign w:val="center"/>
            <w:hideMark/>
          </w:tcPr>
          <w:p w14:paraId="104F4E4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21.94%</w:t>
            </w:r>
          </w:p>
        </w:tc>
      </w:tr>
      <w:tr w:rsidR="00ED72CF" w:rsidRPr="003515D6" w14:paraId="34358E43" w14:textId="77777777" w:rsidTr="008C2C42">
        <w:trPr>
          <w:tblCellSpacing w:w="15" w:type="dxa"/>
        </w:trPr>
        <w:tc>
          <w:tcPr>
            <w:tcW w:w="0" w:type="auto"/>
            <w:vAlign w:val="center"/>
            <w:hideMark/>
          </w:tcPr>
          <w:p w14:paraId="7A8ED11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53F90FF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4,980</w:t>
            </w:r>
          </w:p>
        </w:tc>
        <w:tc>
          <w:tcPr>
            <w:tcW w:w="0" w:type="auto"/>
            <w:vAlign w:val="center"/>
            <w:hideMark/>
          </w:tcPr>
          <w:p w14:paraId="14E5524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23,713</w:t>
            </w:r>
          </w:p>
        </w:tc>
        <w:tc>
          <w:tcPr>
            <w:tcW w:w="0" w:type="auto"/>
            <w:vAlign w:val="center"/>
            <w:hideMark/>
          </w:tcPr>
          <w:p w14:paraId="3C91B9A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4,980 ÷ 23,713 × 100</w:t>
            </w:r>
          </w:p>
        </w:tc>
        <w:tc>
          <w:tcPr>
            <w:tcW w:w="0" w:type="auto"/>
            <w:vAlign w:val="center"/>
            <w:hideMark/>
          </w:tcPr>
          <w:p w14:paraId="3D8BB89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21.00%</w:t>
            </w:r>
          </w:p>
        </w:tc>
      </w:tr>
      <w:tr w:rsidR="00ED72CF" w:rsidRPr="003515D6" w14:paraId="2023766D" w14:textId="77777777" w:rsidTr="008C2C42">
        <w:trPr>
          <w:tblCellSpacing w:w="15" w:type="dxa"/>
        </w:trPr>
        <w:tc>
          <w:tcPr>
            <w:tcW w:w="0" w:type="auto"/>
            <w:vAlign w:val="center"/>
            <w:hideMark/>
          </w:tcPr>
          <w:p w14:paraId="059F818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5338BBB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4,972</w:t>
            </w:r>
          </w:p>
        </w:tc>
        <w:tc>
          <w:tcPr>
            <w:tcW w:w="0" w:type="auto"/>
            <w:vAlign w:val="center"/>
            <w:hideMark/>
          </w:tcPr>
          <w:p w14:paraId="4285FA4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25,100</w:t>
            </w:r>
          </w:p>
        </w:tc>
        <w:tc>
          <w:tcPr>
            <w:tcW w:w="0" w:type="auto"/>
            <w:vAlign w:val="center"/>
            <w:hideMark/>
          </w:tcPr>
          <w:p w14:paraId="28DF425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4,972 ÷ 25,100 × 100</w:t>
            </w:r>
          </w:p>
        </w:tc>
        <w:tc>
          <w:tcPr>
            <w:tcW w:w="0" w:type="auto"/>
            <w:vAlign w:val="center"/>
            <w:hideMark/>
          </w:tcPr>
          <w:p w14:paraId="1802026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19.81%</w:t>
            </w:r>
          </w:p>
        </w:tc>
      </w:tr>
      <w:tr w:rsidR="00ED72CF" w:rsidRPr="003515D6" w14:paraId="02C3A72C" w14:textId="77777777" w:rsidTr="008C2C42">
        <w:trPr>
          <w:tblCellSpacing w:w="15" w:type="dxa"/>
        </w:trPr>
        <w:tc>
          <w:tcPr>
            <w:tcW w:w="0" w:type="auto"/>
            <w:tcBorders>
              <w:bottom w:val="thickThinSmallGap" w:sz="24" w:space="0" w:color="auto"/>
            </w:tcBorders>
            <w:vAlign w:val="center"/>
            <w:hideMark/>
          </w:tcPr>
          <w:p w14:paraId="0B82E5E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37B997A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5,222</w:t>
            </w:r>
          </w:p>
        </w:tc>
        <w:tc>
          <w:tcPr>
            <w:tcW w:w="0" w:type="auto"/>
            <w:tcBorders>
              <w:bottom w:val="thickThinSmallGap" w:sz="24" w:space="0" w:color="auto"/>
            </w:tcBorders>
            <w:vAlign w:val="center"/>
            <w:hideMark/>
          </w:tcPr>
          <w:p w14:paraId="65FB638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26,186</w:t>
            </w:r>
          </w:p>
        </w:tc>
        <w:tc>
          <w:tcPr>
            <w:tcW w:w="0" w:type="auto"/>
            <w:tcBorders>
              <w:bottom w:val="thickThinSmallGap" w:sz="24" w:space="0" w:color="auto"/>
            </w:tcBorders>
            <w:vAlign w:val="center"/>
            <w:hideMark/>
          </w:tcPr>
          <w:p w14:paraId="782693B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5,222 ÷ 26,186 × 100</w:t>
            </w:r>
          </w:p>
        </w:tc>
        <w:tc>
          <w:tcPr>
            <w:tcW w:w="0" w:type="auto"/>
            <w:tcBorders>
              <w:bottom w:val="thickThinSmallGap" w:sz="24" w:space="0" w:color="auto"/>
            </w:tcBorders>
            <w:vAlign w:val="center"/>
            <w:hideMark/>
          </w:tcPr>
          <w:p w14:paraId="7AFE244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19.94%</w:t>
            </w:r>
          </w:p>
        </w:tc>
      </w:tr>
    </w:tbl>
    <w:p w14:paraId="26F0E694" w14:textId="77777777" w:rsidR="00ED72CF" w:rsidRPr="002C7A45" w:rsidRDefault="00ED72CF" w:rsidP="00ED72CF">
      <w:pPr>
        <w:spacing w:after="0" w:line="360" w:lineRule="auto"/>
        <w:rPr>
          <w:rFonts w:cs="Arial"/>
          <w:b/>
          <w:bCs/>
          <w:sz w:val="24"/>
          <w:szCs w:val="24"/>
          <w:lang w:val="en-GB"/>
        </w:rPr>
      </w:pPr>
    </w:p>
    <w:p w14:paraId="02CA79F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4. Return on Capital Employed (ROCE)</w:t>
      </w:r>
    </w:p>
    <w:p w14:paraId="2CB593B5"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4CF04938"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lastRenderedPageBreak/>
        <w:t>ROCE = Operating Income ÷ Capital Employed × 100</w:t>
      </w:r>
    </w:p>
    <w:p w14:paraId="3935B83E"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Capital Employed = Total Assets</w:t>
      </w:r>
      <w:r>
        <w:rPr>
          <w:rFonts w:cs="Arial"/>
          <w:sz w:val="24"/>
          <w:szCs w:val="24"/>
          <w:lang w:val="en-GB"/>
        </w:rPr>
        <w:t>-</w:t>
      </w:r>
      <w:r w:rsidRPr="002C7A45">
        <w:rPr>
          <w:rFonts w:cs="Arial"/>
          <w:sz w:val="24"/>
          <w:szCs w:val="24"/>
          <w:lang w:val="en-GB"/>
        </w:rPr>
        <w:t>Current Liabilities</w:t>
      </w:r>
    </w:p>
    <w:p w14:paraId="5CEA06A0"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190D1BBE"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Operating income = Consolidated Statement of Income</w:t>
      </w:r>
    </w:p>
    <w:p w14:paraId="26EE05E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Total assets = Consolidated Balance Sheet</w:t>
      </w:r>
    </w:p>
    <w:p w14:paraId="1465BD33"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Current liabilities = Consolidated Balance Sheet</w:t>
      </w:r>
    </w:p>
    <w:p w14:paraId="1E18032E" w14:textId="77777777" w:rsidR="00ED72CF" w:rsidRPr="00FD7C67" w:rsidRDefault="00ED72CF" w:rsidP="00ED72CF">
      <w:pPr>
        <w:spacing w:after="0" w:line="360" w:lineRule="auto"/>
        <w:rPr>
          <w:rFonts w:cs="Arial"/>
          <w:b/>
          <w:bCs/>
          <w:sz w:val="24"/>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1532"/>
        <w:gridCol w:w="1130"/>
        <w:gridCol w:w="1395"/>
        <w:gridCol w:w="1512"/>
        <w:gridCol w:w="1573"/>
        <w:gridCol w:w="889"/>
      </w:tblGrid>
      <w:tr w:rsidR="00ED72CF" w:rsidRPr="003515D6" w14:paraId="60C86DC3"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1A3EB14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7224127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Operating income ($m)</w:t>
            </w:r>
          </w:p>
        </w:tc>
        <w:tc>
          <w:tcPr>
            <w:tcW w:w="0" w:type="auto"/>
            <w:tcBorders>
              <w:top w:val="thinThickSmallGap" w:sz="24" w:space="0" w:color="auto"/>
              <w:bottom w:val="thickThinSmallGap" w:sz="24" w:space="0" w:color="auto"/>
            </w:tcBorders>
            <w:vAlign w:val="center"/>
            <w:hideMark/>
          </w:tcPr>
          <w:p w14:paraId="6CE61E7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Total assets ($m)</w:t>
            </w:r>
          </w:p>
        </w:tc>
        <w:tc>
          <w:tcPr>
            <w:tcW w:w="0" w:type="auto"/>
            <w:tcBorders>
              <w:top w:val="thinThickSmallGap" w:sz="24" w:space="0" w:color="auto"/>
              <w:bottom w:val="thickThinSmallGap" w:sz="24" w:space="0" w:color="auto"/>
            </w:tcBorders>
            <w:vAlign w:val="center"/>
            <w:hideMark/>
          </w:tcPr>
          <w:p w14:paraId="532CED4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Current liabilities ($m)</w:t>
            </w:r>
          </w:p>
        </w:tc>
        <w:tc>
          <w:tcPr>
            <w:tcW w:w="0" w:type="auto"/>
            <w:tcBorders>
              <w:top w:val="thinThickSmallGap" w:sz="24" w:space="0" w:color="auto"/>
              <w:bottom w:val="thickThinSmallGap" w:sz="24" w:space="0" w:color="auto"/>
            </w:tcBorders>
            <w:vAlign w:val="center"/>
            <w:hideMark/>
          </w:tcPr>
          <w:p w14:paraId="7D98132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Capital employed ($m)</w:t>
            </w:r>
          </w:p>
        </w:tc>
        <w:tc>
          <w:tcPr>
            <w:tcW w:w="0" w:type="auto"/>
            <w:tcBorders>
              <w:top w:val="thinThickSmallGap" w:sz="24" w:space="0" w:color="auto"/>
              <w:bottom w:val="thickThinSmallGap" w:sz="24" w:space="0" w:color="auto"/>
            </w:tcBorders>
            <w:vAlign w:val="center"/>
            <w:hideMark/>
          </w:tcPr>
          <w:p w14:paraId="4E23FF9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5610E25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ROCE</w:t>
            </w:r>
          </w:p>
        </w:tc>
      </w:tr>
      <w:tr w:rsidR="00ED72CF" w:rsidRPr="003515D6" w14:paraId="700BF81F" w14:textId="77777777" w:rsidTr="008C2C42">
        <w:trPr>
          <w:tblCellSpacing w:w="15" w:type="dxa"/>
        </w:trPr>
        <w:tc>
          <w:tcPr>
            <w:tcW w:w="0" w:type="auto"/>
            <w:vAlign w:val="center"/>
            <w:hideMark/>
          </w:tcPr>
          <w:p w14:paraId="0427AE3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0153BF7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1,750</w:t>
            </w:r>
          </w:p>
        </w:tc>
        <w:tc>
          <w:tcPr>
            <w:tcW w:w="0" w:type="auto"/>
            <w:vAlign w:val="center"/>
            <w:hideMark/>
          </w:tcPr>
          <w:p w14:paraId="04E5DEC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25,553</w:t>
            </w:r>
          </w:p>
        </w:tc>
        <w:tc>
          <w:tcPr>
            <w:tcW w:w="0" w:type="auto"/>
            <w:vAlign w:val="center"/>
            <w:hideMark/>
          </w:tcPr>
          <w:p w14:paraId="01A02CE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6,407</w:t>
            </w:r>
          </w:p>
        </w:tc>
        <w:tc>
          <w:tcPr>
            <w:tcW w:w="0" w:type="auto"/>
            <w:vAlign w:val="center"/>
            <w:hideMark/>
          </w:tcPr>
          <w:p w14:paraId="78E71FC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19,146</w:t>
            </w:r>
          </w:p>
        </w:tc>
        <w:tc>
          <w:tcPr>
            <w:tcW w:w="0" w:type="auto"/>
            <w:vAlign w:val="center"/>
            <w:hideMark/>
          </w:tcPr>
          <w:p w14:paraId="55BB9E1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1,750 ÷ 19,146 × 100</w:t>
            </w:r>
          </w:p>
        </w:tc>
        <w:tc>
          <w:tcPr>
            <w:tcW w:w="0" w:type="auto"/>
            <w:vAlign w:val="center"/>
            <w:hideMark/>
          </w:tcPr>
          <w:p w14:paraId="19ABD4B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9.14%</w:t>
            </w:r>
          </w:p>
        </w:tc>
      </w:tr>
      <w:tr w:rsidR="00ED72CF" w:rsidRPr="003515D6" w14:paraId="1DFCB9EF" w14:textId="77777777" w:rsidTr="008C2C42">
        <w:trPr>
          <w:tblCellSpacing w:w="15" w:type="dxa"/>
        </w:trPr>
        <w:tc>
          <w:tcPr>
            <w:tcW w:w="0" w:type="auto"/>
            <w:vAlign w:val="center"/>
            <w:hideMark/>
          </w:tcPr>
          <w:p w14:paraId="163AAB5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63CBAF4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3,462</w:t>
            </w:r>
          </w:p>
        </w:tc>
        <w:tc>
          <w:tcPr>
            <w:tcW w:w="0" w:type="auto"/>
            <w:vAlign w:val="center"/>
            <w:hideMark/>
          </w:tcPr>
          <w:p w14:paraId="180FF0A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24,815</w:t>
            </w:r>
          </w:p>
        </w:tc>
        <w:tc>
          <w:tcPr>
            <w:tcW w:w="0" w:type="auto"/>
            <w:vAlign w:val="center"/>
            <w:hideMark/>
          </w:tcPr>
          <w:p w14:paraId="368F7FB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7,339</w:t>
            </w:r>
          </w:p>
        </w:tc>
        <w:tc>
          <w:tcPr>
            <w:tcW w:w="0" w:type="auto"/>
            <w:vAlign w:val="center"/>
            <w:hideMark/>
          </w:tcPr>
          <w:p w14:paraId="3A2496C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17,476</w:t>
            </w:r>
          </w:p>
        </w:tc>
        <w:tc>
          <w:tcPr>
            <w:tcW w:w="0" w:type="auto"/>
            <w:vAlign w:val="center"/>
            <w:hideMark/>
          </w:tcPr>
          <w:p w14:paraId="28B8582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3,462 ÷ 17,476 × 100</w:t>
            </w:r>
          </w:p>
        </w:tc>
        <w:tc>
          <w:tcPr>
            <w:tcW w:w="0" w:type="auto"/>
            <w:vAlign w:val="center"/>
            <w:hideMark/>
          </w:tcPr>
          <w:p w14:paraId="431BD66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19.82%</w:t>
            </w:r>
          </w:p>
        </w:tc>
      </w:tr>
      <w:tr w:rsidR="00ED72CF" w:rsidRPr="003515D6" w14:paraId="15BFA593" w14:textId="77777777" w:rsidTr="008C2C42">
        <w:trPr>
          <w:tblCellSpacing w:w="15" w:type="dxa"/>
        </w:trPr>
        <w:tc>
          <w:tcPr>
            <w:tcW w:w="0" w:type="auto"/>
            <w:vAlign w:val="center"/>
            <w:hideMark/>
          </w:tcPr>
          <w:p w14:paraId="0375C61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583E1A8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3,864</w:t>
            </w:r>
          </w:p>
        </w:tc>
        <w:tc>
          <w:tcPr>
            <w:tcW w:w="0" w:type="auto"/>
            <w:vAlign w:val="center"/>
            <w:hideMark/>
          </w:tcPr>
          <w:p w14:paraId="618C9EA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25,674</w:t>
            </w:r>
          </w:p>
        </w:tc>
        <w:tc>
          <w:tcPr>
            <w:tcW w:w="0" w:type="auto"/>
            <w:vAlign w:val="center"/>
            <w:hideMark/>
          </w:tcPr>
          <w:p w14:paraId="6AAE94C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7,762</w:t>
            </w:r>
          </w:p>
        </w:tc>
        <w:tc>
          <w:tcPr>
            <w:tcW w:w="0" w:type="auto"/>
            <w:vAlign w:val="center"/>
            <w:hideMark/>
          </w:tcPr>
          <w:p w14:paraId="468E6DA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17,912</w:t>
            </w:r>
          </w:p>
        </w:tc>
        <w:tc>
          <w:tcPr>
            <w:tcW w:w="0" w:type="auto"/>
            <w:vAlign w:val="center"/>
            <w:hideMark/>
          </w:tcPr>
          <w:p w14:paraId="6111BE4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3,864 ÷ 17,912 × 100</w:t>
            </w:r>
          </w:p>
        </w:tc>
        <w:tc>
          <w:tcPr>
            <w:tcW w:w="0" w:type="auto"/>
            <w:vAlign w:val="center"/>
            <w:hideMark/>
          </w:tcPr>
          <w:p w14:paraId="00BE0B2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21.57%</w:t>
            </w:r>
          </w:p>
        </w:tc>
      </w:tr>
      <w:tr w:rsidR="00ED72CF" w:rsidRPr="003515D6" w14:paraId="22004EDE" w14:textId="77777777" w:rsidTr="008C2C42">
        <w:trPr>
          <w:tblCellSpacing w:w="15" w:type="dxa"/>
        </w:trPr>
        <w:tc>
          <w:tcPr>
            <w:tcW w:w="0" w:type="auto"/>
            <w:vAlign w:val="center"/>
            <w:hideMark/>
          </w:tcPr>
          <w:p w14:paraId="743FC54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4D80281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3,767</w:t>
            </w:r>
          </w:p>
        </w:tc>
        <w:tc>
          <w:tcPr>
            <w:tcW w:w="0" w:type="auto"/>
            <w:vAlign w:val="center"/>
            <w:hideMark/>
          </w:tcPr>
          <w:p w14:paraId="488E12B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26,182</w:t>
            </w:r>
          </w:p>
        </w:tc>
        <w:tc>
          <w:tcPr>
            <w:tcW w:w="0" w:type="auto"/>
            <w:vAlign w:val="center"/>
            <w:hideMark/>
          </w:tcPr>
          <w:p w14:paraId="0D7161C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8,649</w:t>
            </w:r>
          </w:p>
        </w:tc>
        <w:tc>
          <w:tcPr>
            <w:tcW w:w="0" w:type="auto"/>
            <w:vAlign w:val="center"/>
            <w:hideMark/>
          </w:tcPr>
          <w:p w14:paraId="51C0107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17,533</w:t>
            </w:r>
          </w:p>
        </w:tc>
        <w:tc>
          <w:tcPr>
            <w:tcW w:w="0" w:type="auto"/>
            <w:vAlign w:val="center"/>
            <w:hideMark/>
          </w:tcPr>
          <w:p w14:paraId="5043850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3,767 ÷ 17,533 × 100</w:t>
            </w:r>
          </w:p>
        </w:tc>
        <w:tc>
          <w:tcPr>
            <w:tcW w:w="0" w:type="auto"/>
            <w:vAlign w:val="center"/>
            <w:hideMark/>
          </w:tcPr>
          <w:p w14:paraId="495376C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21.49%</w:t>
            </w:r>
          </w:p>
        </w:tc>
      </w:tr>
      <w:tr w:rsidR="00ED72CF" w:rsidRPr="003515D6" w14:paraId="2518AFEC" w14:textId="77777777" w:rsidTr="008C2C42">
        <w:trPr>
          <w:tblCellSpacing w:w="15" w:type="dxa"/>
        </w:trPr>
        <w:tc>
          <w:tcPr>
            <w:tcW w:w="0" w:type="auto"/>
            <w:tcBorders>
              <w:bottom w:val="thickThinSmallGap" w:sz="24" w:space="0" w:color="auto"/>
            </w:tcBorders>
            <w:vAlign w:val="center"/>
            <w:hideMark/>
          </w:tcPr>
          <w:p w14:paraId="00DE525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6C08EC0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4,141</w:t>
            </w:r>
          </w:p>
        </w:tc>
        <w:tc>
          <w:tcPr>
            <w:tcW w:w="0" w:type="auto"/>
            <w:tcBorders>
              <w:bottom w:val="thickThinSmallGap" w:sz="24" w:space="0" w:color="auto"/>
            </w:tcBorders>
            <w:vAlign w:val="center"/>
            <w:hideMark/>
          </w:tcPr>
          <w:p w14:paraId="2D54ADE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27,540</w:t>
            </w:r>
          </w:p>
        </w:tc>
        <w:tc>
          <w:tcPr>
            <w:tcW w:w="0" w:type="auto"/>
            <w:tcBorders>
              <w:bottom w:val="thickThinSmallGap" w:sz="24" w:space="0" w:color="auto"/>
            </w:tcBorders>
            <w:vAlign w:val="center"/>
            <w:hideMark/>
          </w:tcPr>
          <w:p w14:paraId="249F593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8,398</w:t>
            </w:r>
          </w:p>
        </w:tc>
        <w:tc>
          <w:tcPr>
            <w:tcW w:w="0" w:type="auto"/>
            <w:tcBorders>
              <w:bottom w:val="thickThinSmallGap" w:sz="24" w:space="0" w:color="auto"/>
            </w:tcBorders>
            <w:vAlign w:val="center"/>
            <w:hideMark/>
          </w:tcPr>
          <w:p w14:paraId="102D9F7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19,142</w:t>
            </w:r>
          </w:p>
        </w:tc>
        <w:tc>
          <w:tcPr>
            <w:tcW w:w="0" w:type="auto"/>
            <w:tcBorders>
              <w:bottom w:val="thickThinSmallGap" w:sz="24" w:space="0" w:color="auto"/>
            </w:tcBorders>
            <w:vAlign w:val="center"/>
            <w:hideMark/>
          </w:tcPr>
          <w:p w14:paraId="414A887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4,141 ÷ 19,142 × 100</w:t>
            </w:r>
          </w:p>
        </w:tc>
        <w:tc>
          <w:tcPr>
            <w:tcW w:w="0" w:type="auto"/>
            <w:tcBorders>
              <w:bottom w:val="thickThinSmallGap" w:sz="24" w:space="0" w:color="auto"/>
            </w:tcBorders>
            <w:vAlign w:val="center"/>
            <w:hideMark/>
          </w:tcPr>
          <w:p w14:paraId="6361417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21.63%</w:t>
            </w:r>
          </w:p>
        </w:tc>
      </w:tr>
    </w:tbl>
    <w:p w14:paraId="3F21ADBA" w14:textId="77777777" w:rsidR="00ED72CF" w:rsidRDefault="00ED72CF" w:rsidP="00ED72CF">
      <w:pPr>
        <w:spacing w:after="0" w:line="360" w:lineRule="auto"/>
        <w:rPr>
          <w:rFonts w:cs="Arial"/>
          <w:b/>
          <w:bCs/>
          <w:sz w:val="24"/>
          <w:szCs w:val="24"/>
          <w:u w:val="single"/>
        </w:rPr>
      </w:pPr>
    </w:p>
    <w:p w14:paraId="0A128CDE" w14:textId="77777777" w:rsidR="00ED72CF" w:rsidRPr="00C236AD" w:rsidRDefault="00ED72CF" w:rsidP="00ED72CF">
      <w:pPr>
        <w:spacing w:after="0" w:line="360" w:lineRule="auto"/>
        <w:jc w:val="both"/>
        <w:rPr>
          <w:rFonts w:cs="Arial"/>
          <w:sz w:val="24"/>
          <w:szCs w:val="24"/>
        </w:rPr>
      </w:pPr>
      <w:r>
        <w:rPr>
          <w:rFonts w:cs="Arial"/>
          <w:b/>
          <w:bCs/>
          <w:sz w:val="24"/>
          <w:szCs w:val="24"/>
          <w:u w:val="single"/>
        </w:rPr>
        <w:t>Appendix 4</w:t>
      </w:r>
      <w:r w:rsidRPr="00C236AD">
        <w:rPr>
          <w:rFonts w:cs="Arial"/>
          <w:b/>
          <w:bCs/>
          <w:sz w:val="24"/>
          <w:szCs w:val="24"/>
          <w:u w:val="single"/>
          <w:lang w:val="en-GB"/>
        </w:rPr>
        <w:t>:</w:t>
      </w:r>
      <w:r w:rsidRPr="00C236AD">
        <w:rPr>
          <w:rFonts w:cs="Arial"/>
          <w:b/>
          <w:bCs/>
          <w:sz w:val="24"/>
          <w:szCs w:val="24"/>
          <w:lang w:val="en-GB"/>
        </w:rPr>
        <w:t xml:space="preserve"> </w:t>
      </w:r>
      <w:r>
        <w:rPr>
          <w:rFonts w:cs="Arial"/>
          <w:b/>
          <w:bCs/>
          <w:sz w:val="24"/>
          <w:szCs w:val="24"/>
        </w:rPr>
        <w:t xml:space="preserve">Autor’s calculations of </w:t>
      </w:r>
      <w:r w:rsidRPr="00C236AD">
        <w:rPr>
          <w:rFonts w:cs="Arial"/>
          <w:sz w:val="24"/>
          <w:szCs w:val="24"/>
          <w:lang w:val="en-GB"/>
        </w:rPr>
        <w:t>Liquidity Ratios</w:t>
      </w:r>
      <w:r w:rsidRPr="00C236AD">
        <w:rPr>
          <w:rFonts w:cs="Arial"/>
          <w:sz w:val="24"/>
          <w:szCs w:val="24"/>
        </w:rPr>
        <w:t xml:space="preserve"> 2021-2025  </w:t>
      </w:r>
    </w:p>
    <w:p w14:paraId="04B2E164"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1. Current Ratio</w:t>
      </w:r>
    </w:p>
    <w:p w14:paraId="5D7D6A68"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2F67F0A6" w14:textId="77777777" w:rsidR="00ED72CF" w:rsidRPr="00ED72CF" w:rsidRDefault="00ED72CF" w:rsidP="00ED72CF">
      <w:pPr>
        <w:spacing w:after="0" w:line="360" w:lineRule="auto"/>
        <w:rPr>
          <w:rFonts w:cs="Arial"/>
          <w:b/>
          <w:bCs/>
          <w:sz w:val="24"/>
          <w:szCs w:val="24"/>
          <w:lang w:val="fr-FR"/>
        </w:rPr>
      </w:pPr>
      <w:r w:rsidRPr="00ED72CF">
        <w:rPr>
          <w:rFonts w:cs="Arial"/>
          <w:sz w:val="24"/>
          <w:szCs w:val="24"/>
          <w:lang w:val="fr-FR"/>
        </w:rPr>
        <w:t xml:space="preserve">Current Ratio = Current Assets ÷ Current </w:t>
      </w:r>
      <w:proofErr w:type="spellStart"/>
      <w:r w:rsidRPr="00ED72CF">
        <w:rPr>
          <w:rFonts w:cs="Arial"/>
          <w:sz w:val="24"/>
          <w:szCs w:val="24"/>
          <w:lang w:val="fr-FR"/>
        </w:rPr>
        <w:t>Liabilities</w:t>
      </w:r>
      <w:proofErr w:type="spellEnd"/>
    </w:p>
    <w:p w14:paraId="4187D41D"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12E14523"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Numerator = Consolidated Balance Sheet</w:t>
      </w:r>
      <w:r>
        <w:rPr>
          <w:rFonts w:cs="Arial"/>
          <w:sz w:val="24"/>
          <w:szCs w:val="24"/>
          <w:lang w:val="en-GB"/>
        </w:rPr>
        <w:t>-</w:t>
      </w:r>
      <w:r w:rsidRPr="002C7A45">
        <w:rPr>
          <w:rFonts w:cs="Arial"/>
          <w:sz w:val="24"/>
          <w:szCs w:val="24"/>
          <w:lang w:val="en-GB"/>
        </w:rPr>
        <w:t>Current assets</w:t>
      </w:r>
    </w:p>
    <w:p w14:paraId="67261911" w14:textId="77777777" w:rsidR="00ED72CF" w:rsidRPr="00FD7C67" w:rsidRDefault="00ED72CF" w:rsidP="00ED72CF">
      <w:pPr>
        <w:spacing w:after="0" w:line="360" w:lineRule="auto"/>
        <w:rPr>
          <w:rFonts w:cs="Arial"/>
          <w:b/>
          <w:bCs/>
          <w:sz w:val="24"/>
          <w:szCs w:val="24"/>
          <w:lang w:val="en-GB"/>
        </w:rPr>
      </w:pPr>
      <w:r w:rsidRPr="002C7A45">
        <w:rPr>
          <w:rFonts w:cs="Arial"/>
          <w:sz w:val="24"/>
          <w:szCs w:val="24"/>
          <w:lang w:val="en-GB"/>
        </w:rPr>
        <w:t>Denominator = Consolidated Balance Sheet</w:t>
      </w:r>
      <w:r>
        <w:rPr>
          <w:rFonts w:cs="Arial"/>
          <w:sz w:val="24"/>
          <w:szCs w:val="24"/>
          <w:lang w:val="en-GB"/>
        </w:rPr>
        <w:t>-</w:t>
      </w:r>
      <w:r w:rsidRPr="002C7A45">
        <w:rPr>
          <w:rFonts w:cs="Arial"/>
          <w:sz w:val="24"/>
          <w:szCs w:val="24"/>
          <w:lang w:val="en-GB"/>
        </w:rPr>
        <w:t>Current liabilities</w:t>
      </w:r>
    </w:p>
    <w:tbl>
      <w:tblPr>
        <w:tblW w:w="9434" w:type="dxa"/>
        <w:tblCellSpacing w:w="15" w:type="dxa"/>
        <w:tblCellMar>
          <w:top w:w="15" w:type="dxa"/>
          <w:left w:w="15" w:type="dxa"/>
          <w:bottom w:w="15" w:type="dxa"/>
          <w:right w:w="15" w:type="dxa"/>
        </w:tblCellMar>
        <w:tblLook w:val="04A0" w:firstRow="1" w:lastRow="0" w:firstColumn="1" w:lastColumn="0" w:noHBand="0" w:noVBand="1"/>
      </w:tblPr>
      <w:tblGrid>
        <w:gridCol w:w="695"/>
        <w:gridCol w:w="2508"/>
        <w:gridCol w:w="2753"/>
        <w:gridCol w:w="1754"/>
        <w:gridCol w:w="1724"/>
      </w:tblGrid>
      <w:tr w:rsidR="00ED72CF" w:rsidRPr="003515D6" w14:paraId="3CB3CD6E" w14:textId="77777777" w:rsidTr="008C2C42">
        <w:trPr>
          <w:trHeight w:val="504"/>
          <w:tblHeader/>
          <w:tblCellSpacing w:w="15" w:type="dxa"/>
        </w:trPr>
        <w:tc>
          <w:tcPr>
            <w:tcW w:w="0" w:type="auto"/>
            <w:tcBorders>
              <w:top w:val="thinThickSmallGap" w:sz="24" w:space="0" w:color="auto"/>
              <w:bottom w:val="thickThinSmallGap" w:sz="24" w:space="0" w:color="auto"/>
            </w:tcBorders>
            <w:vAlign w:val="center"/>
            <w:hideMark/>
          </w:tcPr>
          <w:p w14:paraId="3B9C9AB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lastRenderedPageBreak/>
              <w:t>Year</w:t>
            </w:r>
          </w:p>
        </w:tc>
        <w:tc>
          <w:tcPr>
            <w:tcW w:w="0" w:type="auto"/>
            <w:tcBorders>
              <w:top w:val="thinThickSmallGap" w:sz="24" w:space="0" w:color="auto"/>
              <w:bottom w:val="thickThinSmallGap" w:sz="24" w:space="0" w:color="auto"/>
            </w:tcBorders>
            <w:vAlign w:val="center"/>
            <w:hideMark/>
          </w:tcPr>
          <w:p w14:paraId="01E8036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Current assets ($m)</w:t>
            </w:r>
          </w:p>
        </w:tc>
        <w:tc>
          <w:tcPr>
            <w:tcW w:w="0" w:type="auto"/>
            <w:tcBorders>
              <w:top w:val="thinThickSmallGap" w:sz="24" w:space="0" w:color="auto"/>
              <w:bottom w:val="thickThinSmallGap" w:sz="24" w:space="0" w:color="auto"/>
            </w:tcBorders>
            <w:vAlign w:val="center"/>
            <w:hideMark/>
          </w:tcPr>
          <w:p w14:paraId="3CD80EC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Current liabilities ($m)</w:t>
            </w:r>
          </w:p>
        </w:tc>
        <w:tc>
          <w:tcPr>
            <w:tcW w:w="0" w:type="auto"/>
            <w:tcBorders>
              <w:top w:val="thinThickSmallGap" w:sz="24" w:space="0" w:color="auto"/>
              <w:bottom w:val="thickThinSmallGap" w:sz="24" w:space="0" w:color="auto"/>
            </w:tcBorders>
            <w:vAlign w:val="center"/>
            <w:hideMark/>
          </w:tcPr>
          <w:p w14:paraId="47BB487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76D74D0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Current Ratio</w:t>
            </w:r>
          </w:p>
        </w:tc>
      </w:tr>
      <w:tr w:rsidR="00ED72CF" w:rsidRPr="003515D6" w14:paraId="09392388" w14:textId="77777777" w:rsidTr="008C2C42">
        <w:trPr>
          <w:trHeight w:val="514"/>
          <w:tblCellSpacing w:w="15" w:type="dxa"/>
        </w:trPr>
        <w:tc>
          <w:tcPr>
            <w:tcW w:w="0" w:type="auto"/>
            <w:vAlign w:val="center"/>
            <w:hideMark/>
          </w:tcPr>
          <w:p w14:paraId="58DCC96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2927697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3,626</w:t>
            </w:r>
          </w:p>
        </w:tc>
        <w:tc>
          <w:tcPr>
            <w:tcW w:w="0" w:type="auto"/>
            <w:vAlign w:val="center"/>
            <w:hideMark/>
          </w:tcPr>
          <w:p w14:paraId="68057CB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6,407</w:t>
            </w:r>
          </w:p>
        </w:tc>
        <w:tc>
          <w:tcPr>
            <w:tcW w:w="0" w:type="auto"/>
            <w:vAlign w:val="center"/>
            <w:hideMark/>
          </w:tcPr>
          <w:p w14:paraId="358DDF0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3,626 ÷ 6,407</w:t>
            </w:r>
          </w:p>
        </w:tc>
        <w:tc>
          <w:tcPr>
            <w:tcW w:w="0" w:type="auto"/>
            <w:vAlign w:val="center"/>
            <w:hideMark/>
          </w:tcPr>
          <w:p w14:paraId="1EB10C7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0.57</w:t>
            </w:r>
          </w:p>
        </w:tc>
      </w:tr>
      <w:tr w:rsidR="00ED72CF" w:rsidRPr="003515D6" w14:paraId="480FFEE1" w14:textId="77777777" w:rsidTr="008C2C42">
        <w:trPr>
          <w:trHeight w:val="514"/>
          <w:tblCellSpacing w:w="15" w:type="dxa"/>
        </w:trPr>
        <w:tc>
          <w:tcPr>
            <w:tcW w:w="0" w:type="auto"/>
            <w:vAlign w:val="center"/>
            <w:hideMark/>
          </w:tcPr>
          <w:p w14:paraId="7014BF2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66F5C4C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3,313</w:t>
            </w:r>
          </w:p>
        </w:tc>
        <w:tc>
          <w:tcPr>
            <w:tcW w:w="0" w:type="auto"/>
            <w:vAlign w:val="center"/>
            <w:hideMark/>
          </w:tcPr>
          <w:p w14:paraId="7D8A29E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7,339</w:t>
            </w:r>
          </w:p>
        </w:tc>
        <w:tc>
          <w:tcPr>
            <w:tcW w:w="0" w:type="auto"/>
            <w:vAlign w:val="center"/>
            <w:hideMark/>
          </w:tcPr>
          <w:p w14:paraId="3876848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3,313 ÷ 7,339</w:t>
            </w:r>
          </w:p>
        </w:tc>
        <w:tc>
          <w:tcPr>
            <w:tcW w:w="0" w:type="auto"/>
            <w:vAlign w:val="center"/>
            <w:hideMark/>
          </w:tcPr>
          <w:p w14:paraId="35C7ABA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0.45</w:t>
            </w:r>
          </w:p>
        </w:tc>
      </w:tr>
      <w:tr w:rsidR="00ED72CF" w:rsidRPr="003515D6" w14:paraId="2B00CAEE" w14:textId="77777777" w:rsidTr="008C2C42">
        <w:trPr>
          <w:trHeight w:val="504"/>
          <w:tblCellSpacing w:w="15" w:type="dxa"/>
        </w:trPr>
        <w:tc>
          <w:tcPr>
            <w:tcW w:w="0" w:type="auto"/>
            <w:vAlign w:val="center"/>
            <w:hideMark/>
          </w:tcPr>
          <w:p w14:paraId="28B1CAD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47BF706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3,311</w:t>
            </w:r>
          </w:p>
        </w:tc>
        <w:tc>
          <w:tcPr>
            <w:tcW w:w="0" w:type="auto"/>
            <w:vAlign w:val="center"/>
            <w:hideMark/>
          </w:tcPr>
          <w:p w14:paraId="1648C2A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7,762</w:t>
            </w:r>
          </w:p>
        </w:tc>
        <w:tc>
          <w:tcPr>
            <w:tcW w:w="0" w:type="auto"/>
            <w:vAlign w:val="center"/>
            <w:hideMark/>
          </w:tcPr>
          <w:p w14:paraId="0060CF0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3,311 ÷ 7,762</w:t>
            </w:r>
          </w:p>
        </w:tc>
        <w:tc>
          <w:tcPr>
            <w:tcW w:w="0" w:type="auto"/>
            <w:vAlign w:val="center"/>
            <w:hideMark/>
          </w:tcPr>
          <w:p w14:paraId="1CF2D5C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0.43</w:t>
            </w:r>
          </w:p>
        </w:tc>
      </w:tr>
      <w:tr w:rsidR="00ED72CF" w:rsidRPr="003515D6" w14:paraId="752D65D7" w14:textId="77777777" w:rsidTr="008C2C42">
        <w:trPr>
          <w:trHeight w:val="514"/>
          <w:tblCellSpacing w:w="15" w:type="dxa"/>
        </w:trPr>
        <w:tc>
          <w:tcPr>
            <w:tcW w:w="0" w:type="auto"/>
            <w:vAlign w:val="center"/>
            <w:hideMark/>
          </w:tcPr>
          <w:p w14:paraId="5875C9D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39CC9AC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3,485</w:t>
            </w:r>
          </w:p>
        </w:tc>
        <w:tc>
          <w:tcPr>
            <w:tcW w:w="0" w:type="auto"/>
            <w:vAlign w:val="center"/>
            <w:hideMark/>
          </w:tcPr>
          <w:p w14:paraId="795B09E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8,649</w:t>
            </w:r>
          </w:p>
        </w:tc>
        <w:tc>
          <w:tcPr>
            <w:tcW w:w="0" w:type="auto"/>
            <w:vAlign w:val="center"/>
            <w:hideMark/>
          </w:tcPr>
          <w:p w14:paraId="3496D60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3,485 ÷ 8,649</w:t>
            </w:r>
          </w:p>
        </w:tc>
        <w:tc>
          <w:tcPr>
            <w:tcW w:w="0" w:type="auto"/>
            <w:vAlign w:val="center"/>
            <w:hideMark/>
          </w:tcPr>
          <w:p w14:paraId="199E9E5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0.40</w:t>
            </w:r>
          </w:p>
        </w:tc>
      </w:tr>
      <w:tr w:rsidR="00ED72CF" w:rsidRPr="003515D6" w14:paraId="277F264A" w14:textId="77777777" w:rsidTr="008C2C42">
        <w:trPr>
          <w:trHeight w:val="504"/>
          <w:tblCellSpacing w:w="15" w:type="dxa"/>
        </w:trPr>
        <w:tc>
          <w:tcPr>
            <w:tcW w:w="0" w:type="auto"/>
            <w:tcBorders>
              <w:bottom w:val="thickThinSmallGap" w:sz="24" w:space="0" w:color="auto"/>
            </w:tcBorders>
            <w:vAlign w:val="center"/>
            <w:hideMark/>
          </w:tcPr>
          <w:p w14:paraId="69A8DB1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0DE9260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3,584</w:t>
            </w:r>
          </w:p>
        </w:tc>
        <w:tc>
          <w:tcPr>
            <w:tcW w:w="0" w:type="auto"/>
            <w:tcBorders>
              <w:bottom w:val="thickThinSmallGap" w:sz="24" w:space="0" w:color="auto"/>
            </w:tcBorders>
            <w:vAlign w:val="center"/>
            <w:hideMark/>
          </w:tcPr>
          <w:p w14:paraId="4464578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8,398</w:t>
            </w:r>
          </w:p>
        </w:tc>
        <w:tc>
          <w:tcPr>
            <w:tcW w:w="0" w:type="auto"/>
            <w:tcBorders>
              <w:bottom w:val="thickThinSmallGap" w:sz="24" w:space="0" w:color="auto"/>
            </w:tcBorders>
            <w:vAlign w:val="center"/>
            <w:hideMark/>
          </w:tcPr>
          <w:p w14:paraId="587F658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3,584 ÷ 8,398</w:t>
            </w:r>
          </w:p>
        </w:tc>
        <w:tc>
          <w:tcPr>
            <w:tcW w:w="0" w:type="auto"/>
            <w:tcBorders>
              <w:bottom w:val="thickThinSmallGap" w:sz="24" w:space="0" w:color="auto"/>
            </w:tcBorders>
            <w:vAlign w:val="center"/>
            <w:hideMark/>
          </w:tcPr>
          <w:p w14:paraId="2A66094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0.43</w:t>
            </w:r>
          </w:p>
        </w:tc>
      </w:tr>
    </w:tbl>
    <w:p w14:paraId="53ECA685" w14:textId="77777777" w:rsidR="00ED72CF" w:rsidRDefault="00ED72CF" w:rsidP="00ED72CF">
      <w:pPr>
        <w:spacing w:after="0" w:line="360" w:lineRule="auto"/>
        <w:rPr>
          <w:rFonts w:cs="Arial"/>
          <w:b/>
          <w:bCs/>
          <w:sz w:val="24"/>
          <w:szCs w:val="24"/>
          <w:u w:val="single"/>
        </w:rPr>
      </w:pPr>
    </w:p>
    <w:p w14:paraId="38BD1AA7"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2. Quick Ratio</w:t>
      </w:r>
    </w:p>
    <w:p w14:paraId="49B44671"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23FF4BB9"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Quick Ratio = (Cash and Equivalents + Accounts and Notes Receivable) ÷ Current Liabilities</w:t>
      </w:r>
    </w:p>
    <w:p w14:paraId="1408B68D"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2D4FF77F"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Cash and equivalents = Consolidated Balance Sheet</w:t>
      </w:r>
    </w:p>
    <w:p w14:paraId="6FD6866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Accounts and notes receivable, net = Consolidated Balance Sheet</w:t>
      </w:r>
    </w:p>
    <w:p w14:paraId="13EFBB6C" w14:textId="77777777" w:rsidR="00ED72CF" w:rsidRPr="006C4055" w:rsidRDefault="00ED72CF" w:rsidP="00ED72CF">
      <w:pPr>
        <w:spacing w:after="0" w:line="360" w:lineRule="auto"/>
        <w:rPr>
          <w:rFonts w:cs="Arial"/>
          <w:b/>
          <w:bCs/>
          <w:sz w:val="24"/>
          <w:szCs w:val="24"/>
          <w:lang w:val="en-GB"/>
        </w:rPr>
      </w:pPr>
      <w:r w:rsidRPr="002C7A45">
        <w:rPr>
          <w:rFonts w:cs="Arial"/>
          <w:sz w:val="24"/>
          <w:szCs w:val="24"/>
          <w:lang w:val="en-GB"/>
        </w:rPr>
        <w:t>Current liabilities = Consolidated Balance Sheet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1023"/>
        <w:gridCol w:w="1758"/>
        <w:gridCol w:w="1961"/>
        <w:gridCol w:w="2163"/>
        <w:gridCol w:w="1126"/>
      </w:tblGrid>
      <w:tr w:rsidR="00ED72CF" w:rsidRPr="003515D6" w14:paraId="63C7D070"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6EF5DE2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69582F5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Cash ($m)</w:t>
            </w:r>
          </w:p>
        </w:tc>
        <w:tc>
          <w:tcPr>
            <w:tcW w:w="0" w:type="auto"/>
            <w:tcBorders>
              <w:top w:val="thinThickSmallGap" w:sz="24" w:space="0" w:color="auto"/>
              <w:bottom w:val="thickThinSmallGap" w:sz="24" w:space="0" w:color="auto"/>
            </w:tcBorders>
            <w:vAlign w:val="center"/>
            <w:hideMark/>
          </w:tcPr>
          <w:p w14:paraId="771C3C9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Receivables ($m)</w:t>
            </w:r>
          </w:p>
        </w:tc>
        <w:tc>
          <w:tcPr>
            <w:tcW w:w="0" w:type="auto"/>
            <w:tcBorders>
              <w:top w:val="thinThickSmallGap" w:sz="24" w:space="0" w:color="auto"/>
              <w:bottom w:val="thickThinSmallGap" w:sz="24" w:space="0" w:color="auto"/>
            </w:tcBorders>
            <w:vAlign w:val="center"/>
            <w:hideMark/>
          </w:tcPr>
          <w:p w14:paraId="114E85D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Current liabilities ($m)</w:t>
            </w:r>
          </w:p>
        </w:tc>
        <w:tc>
          <w:tcPr>
            <w:tcW w:w="0" w:type="auto"/>
            <w:tcBorders>
              <w:top w:val="thinThickSmallGap" w:sz="24" w:space="0" w:color="auto"/>
              <w:bottom w:val="thickThinSmallGap" w:sz="24" w:space="0" w:color="auto"/>
            </w:tcBorders>
            <w:vAlign w:val="center"/>
            <w:hideMark/>
          </w:tcPr>
          <w:p w14:paraId="0C7065B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4EF9E4B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Quick Ratio</w:t>
            </w:r>
          </w:p>
        </w:tc>
      </w:tr>
      <w:tr w:rsidR="00ED72CF" w:rsidRPr="003515D6" w14:paraId="6EF8A83F" w14:textId="77777777" w:rsidTr="008C2C42">
        <w:trPr>
          <w:tblCellSpacing w:w="15" w:type="dxa"/>
        </w:trPr>
        <w:tc>
          <w:tcPr>
            <w:tcW w:w="0" w:type="auto"/>
            <w:vAlign w:val="center"/>
            <w:hideMark/>
          </w:tcPr>
          <w:p w14:paraId="03944CF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6B59E90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1,393</w:t>
            </w:r>
          </w:p>
        </w:tc>
        <w:tc>
          <w:tcPr>
            <w:tcW w:w="0" w:type="auto"/>
            <w:vAlign w:val="center"/>
            <w:hideMark/>
          </w:tcPr>
          <w:p w14:paraId="734EE74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1,982</w:t>
            </w:r>
          </w:p>
        </w:tc>
        <w:tc>
          <w:tcPr>
            <w:tcW w:w="0" w:type="auto"/>
            <w:vAlign w:val="center"/>
            <w:hideMark/>
          </w:tcPr>
          <w:p w14:paraId="350B47F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6,407</w:t>
            </w:r>
          </w:p>
        </w:tc>
        <w:tc>
          <w:tcPr>
            <w:tcW w:w="0" w:type="auto"/>
            <w:vAlign w:val="center"/>
            <w:hideMark/>
          </w:tcPr>
          <w:p w14:paraId="0CD498F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(1,393 + 1,982) ÷ 6,407</w:t>
            </w:r>
          </w:p>
        </w:tc>
        <w:tc>
          <w:tcPr>
            <w:tcW w:w="0" w:type="auto"/>
            <w:vAlign w:val="center"/>
            <w:hideMark/>
          </w:tcPr>
          <w:p w14:paraId="52FDD59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0.53</w:t>
            </w:r>
          </w:p>
        </w:tc>
      </w:tr>
      <w:tr w:rsidR="00ED72CF" w:rsidRPr="003515D6" w14:paraId="413B3114" w14:textId="77777777" w:rsidTr="008C2C42">
        <w:trPr>
          <w:tblCellSpacing w:w="15" w:type="dxa"/>
        </w:trPr>
        <w:tc>
          <w:tcPr>
            <w:tcW w:w="0" w:type="auto"/>
            <w:vAlign w:val="center"/>
            <w:hideMark/>
          </w:tcPr>
          <w:p w14:paraId="545B6C4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5255AF2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507</w:t>
            </w:r>
          </w:p>
        </w:tc>
        <w:tc>
          <w:tcPr>
            <w:tcW w:w="0" w:type="auto"/>
            <w:vAlign w:val="center"/>
            <w:hideMark/>
          </w:tcPr>
          <w:p w14:paraId="3C2CDFA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2,571</w:t>
            </w:r>
          </w:p>
        </w:tc>
        <w:tc>
          <w:tcPr>
            <w:tcW w:w="0" w:type="auto"/>
            <w:vAlign w:val="center"/>
            <w:hideMark/>
          </w:tcPr>
          <w:p w14:paraId="208BFE6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7,339</w:t>
            </w:r>
          </w:p>
        </w:tc>
        <w:tc>
          <w:tcPr>
            <w:tcW w:w="0" w:type="auto"/>
            <w:vAlign w:val="center"/>
            <w:hideMark/>
          </w:tcPr>
          <w:p w14:paraId="35AA8F6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(507 + 2,571) ÷ 7,339</w:t>
            </w:r>
          </w:p>
        </w:tc>
        <w:tc>
          <w:tcPr>
            <w:tcW w:w="0" w:type="auto"/>
            <w:vAlign w:val="center"/>
            <w:hideMark/>
          </w:tcPr>
          <w:p w14:paraId="6B4B424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0.42</w:t>
            </w:r>
          </w:p>
        </w:tc>
      </w:tr>
      <w:tr w:rsidR="00ED72CF" w:rsidRPr="003515D6" w14:paraId="28602C8F" w14:textId="77777777" w:rsidTr="008C2C42">
        <w:trPr>
          <w:tblCellSpacing w:w="15" w:type="dxa"/>
        </w:trPr>
        <w:tc>
          <w:tcPr>
            <w:tcW w:w="0" w:type="auto"/>
            <w:vAlign w:val="center"/>
            <w:hideMark/>
          </w:tcPr>
          <w:p w14:paraId="16D6B39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45B4943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338</w:t>
            </w:r>
          </w:p>
        </w:tc>
        <w:tc>
          <w:tcPr>
            <w:tcW w:w="0" w:type="auto"/>
            <w:vAlign w:val="center"/>
            <w:hideMark/>
          </w:tcPr>
          <w:p w14:paraId="3BA65B6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2,712</w:t>
            </w:r>
          </w:p>
        </w:tc>
        <w:tc>
          <w:tcPr>
            <w:tcW w:w="0" w:type="auto"/>
            <w:vAlign w:val="center"/>
            <w:hideMark/>
          </w:tcPr>
          <w:p w14:paraId="780CF69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7,762</w:t>
            </w:r>
          </w:p>
        </w:tc>
        <w:tc>
          <w:tcPr>
            <w:tcW w:w="0" w:type="auto"/>
            <w:vAlign w:val="center"/>
            <w:hideMark/>
          </w:tcPr>
          <w:p w14:paraId="245E362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(338 + 2,712) ÷ 7,762</w:t>
            </w:r>
          </w:p>
        </w:tc>
        <w:tc>
          <w:tcPr>
            <w:tcW w:w="0" w:type="auto"/>
            <w:vAlign w:val="center"/>
            <w:hideMark/>
          </w:tcPr>
          <w:p w14:paraId="4D509B3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0.39</w:t>
            </w:r>
          </w:p>
        </w:tc>
      </w:tr>
      <w:tr w:rsidR="00ED72CF" w:rsidRPr="003515D6" w14:paraId="6C1602B3" w14:textId="77777777" w:rsidTr="008C2C42">
        <w:trPr>
          <w:tblCellSpacing w:w="15" w:type="dxa"/>
        </w:trPr>
        <w:tc>
          <w:tcPr>
            <w:tcW w:w="0" w:type="auto"/>
            <w:vAlign w:val="center"/>
            <w:hideMark/>
          </w:tcPr>
          <w:p w14:paraId="0C9A22A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1030E73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396</w:t>
            </w:r>
          </w:p>
        </w:tc>
        <w:tc>
          <w:tcPr>
            <w:tcW w:w="0" w:type="auto"/>
            <w:vAlign w:val="center"/>
            <w:hideMark/>
          </w:tcPr>
          <w:p w14:paraId="3F2314C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2,795</w:t>
            </w:r>
          </w:p>
        </w:tc>
        <w:tc>
          <w:tcPr>
            <w:tcW w:w="0" w:type="auto"/>
            <w:vAlign w:val="center"/>
            <w:hideMark/>
          </w:tcPr>
          <w:p w14:paraId="3FE1E4E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8,649</w:t>
            </w:r>
          </w:p>
        </w:tc>
        <w:tc>
          <w:tcPr>
            <w:tcW w:w="0" w:type="auto"/>
            <w:vAlign w:val="center"/>
            <w:hideMark/>
          </w:tcPr>
          <w:p w14:paraId="5818138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(396 + 2,795) ÷ 8,649</w:t>
            </w:r>
          </w:p>
        </w:tc>
        <w:tc>
          <w:tcPr>
            <w:tcW w:w="0" w:type="auto"/>
            <w:vAlign w:val="center"/>
            <w:hideMark/>
          </w:tcPr>
          <w:p w14:paraId="2EB18A5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0.37</w:t>
            </w:r>
          </w:p>
        </w:tc>
      </w:tr>
      <w:tr w:rsidR="00ED72CF" w:rsidRPr="003515D6" w14:paraId="51B41424" w14:textId="77777777" w:rsidTr="008C2C42">
        <w:trPr>
          <w:tblCellSpacing w:w="15" w:type="dxa"/>
        </w:trPr>
        <w:tc>
          <w:tcPr>
            <w:tcW w:w="0" w:type="auto"/>
            <w:tcBorders>
              <w:bottom w:val="thickThinSmallGap" w:sz="24" w:space="0" w:color="auto"/>
            </w:tcBorders>
            <w:vAlign w:val="center"/>
            <w:hideMark/>
          </w:tcPr>
          <w:p w14:paraId="237282F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lastRenderedPageBreak/>
              <w:t>2025</w:t>
            </w:r>
          </w:p>
        </w:tc>
        <w:tc>
          <w:tcPr>
            <w:tcW w:w="0" w:type="auto"/>
            <w:tcBorders>
              <w:bottom w:val="thickThinSmallGap" w:sz="24" w:space="0" w:color="auto"/>
            </w:tcBorders>
            <w:vAlign w:val="center"/>
            <w:hideMark/>
          </w:tcPr>
          <w:p w14:paraId="7B1713F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358</w:t>
            </w:r>
          </w:p>
        </w:tc>
        <w:tc>
          <w:tcPr>
            <w:tcW w:w="0" w:type="auto"/>
            <w:tcBorders>
              <w:bottom w:val="thickThinSmallGap" w:sz="24" w:space="0" w:color="auto"/>
            </w:tcBorders>
            <w:vAlign w:val="center"/>
            <w:hideMark/>
          </w:tcPr>
          <w:p w14:paraId="3F6613E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2,909</w:t>
            </w:r>
          </w:p>
        </w:tc>
        <w:tc>
          <w:tcPr>
            <w:tcW w:w="0" w:type="auto"/>
            <w:tcBorders>
              <w:bottom w:val="thickThinSmallGap" w:sz="24" w:space="0" w:color="auto"/>
            </w:tcBorders>
            <w:vAlign w:val="center"/>
            <w:hideMark/>
          </w:tcPr>
          <w:p w14:paraId="4A16FDE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8,398</w:t>
            </w:r>
          </w:p>
        </w:tc>
        <w:tc>
          <w:tcPr>
            <w:tcW w:w="0" w:type="auto"/>
            <w:tcBorders>
              <w:bottom w:val="thickThinSmallGap" w:sz="24" w:space="0" w:color="auto"/>
            </w:tcBorders>
            <w:vAlign w:val="center"/>
            <w:hideMark/>
          </w:tcPr>
          <w:p w14:paraId="6F17777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(358 + 2,909) ÷ 8,398</w:t>
            </w:r>
          </w:p>
        </w:tc>
        <w:tc>
          <w:tcPr>
            <w:tcW w:w="0" w:type="auto"/>
            <w:tcBorders>
              <w:bottom w:val="thickThinSmallGap" w:sz="24" w:space="0" w:color="auto"/>
            </w:tcBorders>
            <w:vAlign w:val="center"/>
            <w:hideMark/>
          </w:tcPr>
          <w:p w14:paraId="724EBCF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0.39</w:t>
            </w:r>
          </w:p>
        </w:tc>
      </w:tr>
    </w:tbl>
    <w:p w14:paraId="04757CC7" w14:textId="77777777" w:rsidR="00ED72CF" w:rsidRDefault="00ED72CF" w:rsidP="00ED72CF">
      <w:pPr>
        <w:spacing w:after="0" w:line="360" w:lineRule="auto"/>
        <w:rPr>
          <w:rFonts w:cs="Arial"/>
          <w:b/>
          <w:bCs/>
          <w:sz w:val="24"/>
          <w:szCs w:val="24"/>
          <w:u w:val="single"/>
        </w:rPr>
      </w:pPr>
    </w:p>
    <w:p w14:paraId="2A408DA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3. Cash Ratio</w:t>
      </w:r>
    </w:p>
    <w:p w14:paraId="0986EB5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17FFB191"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Cash Ratio = Cash and Equivalents ÷ Current Liabilities</w:t>
      </w:r>
    </w:p>
    <w:p w14:paraId="474BC14C"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40434E3C"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Numerator = Consolidated Balance Sheet</w:t>
      </w:r>
      <w:r>
        <w:rPr>
          <w:rFonts w:cs="Arial"/>
          <w:sz w:val="24"/>
          <w:szCs w:val="24"/>
          <w:lang w:val="en-GB"/>
        </w:rPr>
        <w:t>-</w:t>
      </w:r>
      <w:r w:rsidRPr="002C7A45">
        <w:rPr>
          <w:rFonts w:cs="Arial"/>
          <w:sz w:val="24"/>
          <w:szCs w:val="24"/>
          <w:lang w:val="en-GB"/>
        </w:rPr>
        <w:t>Cash and equivalents</w:t>
      </w:r>
    </w:p>
    <w:p w14:paraId="711D3487" w14:textId="77777777" w:rsidR="00ED72CF" w:rsidRPr="006C4055" w:rsidRDefault="00ED72CF" w:rsidP="00ED72CF">
      <w:pPr>
        <w:spacing w:after="0" w:line="360" w:lineRule="auto"/>
        <w:rPr>
          <w:rFonts w:cs="Arial"/>
          <w:b/>
          <w:bCs/>
          <w:sz w:val="24"/>
          <w:szCs w:val="24"/>
          <w:lang w:val="en-GB"/>
        </w:rPr>
      </w:pPr>
      <w:r w:rsidRPr="002C7A45">
        <w:rPr>
          <w:rFonts w:cs="Arial"/>
          <w:sz w:val="24"/>
          <w:szCs w:val="24"/>
          <w:lang w:val="en-GB"/>
        </w:rPr>
        <w:t>Denominator = Consolidated Balance Sheet</w:t>
      </w:r>
      <w:r>
        <w:rPr>
          <w:rFonts w:cs="Arial"/>
          <w:sz w:val="24"/>
          <w:szCs w:val="24"/>
          <w:lang w:val="en-GB"/>
        </w:rPr>
        <w:t>-</w:t>
      </w:r>
      <w:r w:rsidRPr="002C7A45">
        <w:rPr>
          <w:rFonts w:cs="Arial"/>
          <w:sz w:val="24"/>
          <w:szCs w:val="24"/>
          <w:lang w:val="en-GB"/>
        </w:rPr>
        <w:t>Current liabilities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895"/>
        <w:gridCol w:w="2365"/>
        <w:gridCol w:w="1521"/>
        <w:gridCol w:w="1250"/>
      </w:tblGrid>
      <w:tr w:rsidR="00ED72CF" w:rsidRPr="003515D6" w14:paraId="4F26AA1C"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08750BF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0D59C6F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Cash and equivalents ($m)</w:t>
            </w:r>
          </w:p>
        </w:tc>
        <w:tc>
          <w:tcPr>
            <w:tcW w:w="0" w:type="auto"/>
            <w:tcBorders>
              <w:top w:val="thinThickSmallGap" w:sz="24" w:space="0" w:color="auto"/>
              <w:bottom w:val="thickThinSmallGap" w:sz="24" w:space="0" w:color="auto"/>
            </w:tcBorders>
            <w:vAlign w:val="center"/>
            <w:hideMark/>
          </w:tcPr>
          <w:p w14:paraId="48320A2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Current liabilities ($m)</w:t>
            </w:r>
          </w:p>
        </w:tc>
        <w:tc>
          <w:tcPr>
            <w:tcW w:w="0" w:type="auto"/>
            <w:tcBorders>
              <w:top w:val="thinThickSmallGap" w:sz="24" w:space="0" w:color="auto"/>
              <w:bottom w:val="thickThinSmallGap" w:sz="24" w:space="0" w:color="auto"/>
            </w:tcBorders>
            <w:vAlign w:val="center"/>
            <w:hideMark/>
          </w:tcPr>
          <w:p w14:paraId="42BD5F8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760594B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Cash Ratio</w:t>
            </w:r>
          </w:p>
        </w:tc>
      </w:tr>
      <w:tr w:rsidR="00ED72CF" w:rsidRPr="003515D6" w14:paraId="4B649F22" w14:textId="77777777" w:rsidTr="008C2C42">
        <w:trPr>
          <w:tblCellSpacing w:w="15" w:type="dxa"/>
        </w:trPr>
        <w:tc>
          <w:tcPr>
            <w:tcW w:w="0" w:type="auto"/>
            <w:vAlign w:val="center"/>
            <w:hideMark/>
          </w:tcPr>
          <w:p w14:paraId="1958E39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021FF58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1,393</w:t>
            </w:r>
          </w:p>
        </w:tc>
        <w:tc>
          <w:tcPr>
            <w:tcW w:w="0" w:type="auto"/>
            <w:vAlign w:val="center"/>
            <w:hideMark/>
          </w:tcPr>
          <w:p w14:paraId="1F1AA4B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6,407</w:t>
            </w:r>
          </w:p>
        </w:tc>
        <w:tc>
          <w:tcPr>
            <w:tcW w:w="0" w:type="auto"/>
            <w:vAlign w:val="center"/>
            <w:hideMark/>
          </w:tcPr>
          <w:p w14:paraId="5C2ED40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1,393 ÷ 6,407</w:t>
            </w:r>
          </w:p>
        </w:tc>
        <w:tc>
          <w:tcPr>
            <w:tcW w:w="0" w:type="auto"/>
            <w:vAlign w:val="center"/>
            <w:hideMark/>
          </w:tcPr>
          <w:p w14:paraId="0B8A156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0.22</w:t>
            </w:r>
          </w:p>
        </w:tc>
      </w:tr>
      <w:tr w:rsidR="00ED72CF" w:rsidRPr="003515D6" w14:paraId="242CCDD4" w14:textId="77777777" w:rsidTr="008C2C42">
        <w:trPr>
          <w:tblCellSpacing w:w="15" w:type="dxa"/>
        </w:trPr>
        <w:tc>
          <w:tcPr>
            <w:tcW w:w="0" w:type="auto"/>
            <w:vAlign w:val="center"/>
            <w:hideMark/>
          </w:tcPr>
          <w:p w14:paraId="6E39BF7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3872B8C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507</w:t>
            </w:r>
          </w:p>
        </w:tc>
        <w:tc>
          <w:tcPr>
            <w:tcW w:w="0" w:type="auto"/>
            <w:vAlign w:val="center"/>
            <w:hideMark/>
          </w:tcPr>
          <w:p w14:paraId="2426A87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7,339</w:t>
            </w:r>
          </w:p>
        </w:tc>
        <w:tc>
          <w:tcPr>
            <w:tcW w:w="0" w:type="auto"/>
            <w:vAlign w:val="center"/>
            <w:hideMark/>
          </w:tcPr>
          <w:p w14:paraId="7A18D93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507 ÷ 7,339</w:t>
            </w:r>
          </w:p>
        </w:tc>
        <w:tc>
          <w:tcPr>
            <w:tcW w:w="0" w:type="auto"/>
            <w:vAlign w:val="center"/>
            <w:hideMark/>
          </w:tcPr>
          <w:p w14:paraId="26519E2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0.07</w:t>
            </w:r>
          </w:p>
        </w:tc>
      </w:tr>
      <w:tr w:rsidR="00ED72CF" w:rsidRPr="003515D6" w14:paraId="6E86E787" w14:textId="77777777" w:rsidTr="008C2C42">
        <w:trPr>
          <w:tblCellSpacing w:w="15" w:type="dxa"/>
        </w:trPr>
        <w:tc>
          <w:tcPr>
            <w:tcW w:w="0" w:type="auto"/>
            <w:vAlign w:val="center"/>
            <w:hideMark/>
          </w:tcPr>
          <w:p w14:paraId="65E1166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072660B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338</w:t>
            </w:r>
          </w:p>
        </w:tc>
        <w:tc>
          <w:tcPr>
            <w:tcW w:w="0" w:type="auto"/>
            <w:vAlign w:val="center"/>
            <w:hideMark/>
          </w:tcPr>
          <w:p w14:paraId="66581AE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7,762</w:t>
            </w:r>
          </w:p>
        </w:tc>
        <w:tc>
          <w:tcPr>
            <w:tcW w:w="0" w:type="auto"/>
            <w:vAlign w:val="center"/>
            <w:hideMark/>
          </w:tcPr>
          <w:p w14:paraId="5D0CD70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338 ÷ 7,762</w:t>
            </w:r>
          </w:p>
        </w:tc>
        <w:tc>
          <w:tcPr>
            <w:tcW w:w="0" w:type="auto"/>
            <w:vAlign w:val="center"/>
            <w:hideMark/>
          </w:tcPr>
          <w:p w14:paraId="50A1E97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0.04</w:t>
            </w:r>
          </w:p>
        </w:tc>
      </w:tr>
      <w:tr w:rsidR="00ED72CF" w:rsidRPr="003515D6" w14:paraId="5D639CA8" w14:textId="77777777" w:rsidTr="008C2C42">
        <w:trPr>
          <w:tblCellSpacing w:w="15" w:type="dxa"/>
        </w:trPr>
        <w:tc>
          <w:tcPr>
            <w:tcW w:w="0" w:type="auto"/>
            <w:vAlign w:val="center"/>
            <w:hideMark/>
          </w:tcPr>
          <w:p w14:paraId="486D09B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1A19E1F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396</w:t>
            </w:r>
          </w:p>
        </w:tc>
        <w:tc>
          <w:tcPr>
            <w:tcW w:w="0" w:type="auto"/>
            <w:vAlign w:val="center"/>
            <w:hideMark/>
          </w:tcPr>
          <w:p w14:paraId="6DFF3EB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8,649</w:t>
            </w:r>
          </w:p>
        </w:tc>
        <w:tc>
          <w:tcPr>
            <w:tcW w:w="0" w:type="auto"/>
            <w:vAlign w:val="center"/>
            <w:hideMark/>
          </w:tcPr>
          <w:p w14:paraId="7416A95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396 ÷ 8,649</w:t>
            </w:r>
          </w:p>
        </w:tc>
        <w:tc>
          <w:tcPr>
            <w:tcW w:w="0" w:type="auto"/>
            <w:vAlign w:val="center"/>
            <w:hideMark/>
          </w:tcPr>
          <w:p w14:paraId="246BFA0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0.05</w:t>
            </w:r>
          </w:p>
        </w:tc>
      </w:tr>
      <w:tr w:rsidR="00ED72CF" w:rsidRPr="003515D6" w14:paraId="4F4BF0AB" w14:textId="77777777" w:rsidTr="008C2C42">
        <w:trPr>
          <w:tblCellSpacing w:w="15" w:type="dxa"/>
        </w:trPr>
        <w:tc>
          <w:tcPr>
            <w:tcW w:w="0" w:type="auto"/>
            <w:tcBorders>
              <w:bottom w:val="thickThinSmallGap" w:sz="24" w:space="0" w:color="auto"/>
            </w:tcBorders>
            <w:vAlign w:val="center"/>
            <w:hideMark/>
          </w:tcPr>
          <w:p w14:paraId="517DC92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6199A04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358</w:t>
            </w:r>
          </w:p>
        </w:tc>
        <w:tc>
          <w:tcPr>
            <w:tcW w:w="0" w:type="auto"/>
            <w:tcBorders>
              <w:bottom w:val="thickThinSmallGap" w:sz="24" w:space="0" w:color="auto"/>
            </w:tcBorders>
            <w:vAlign w:val="center"/>
            <w:hideMark/>
          </w:tcPr>
          <w:p w14:paraId="5DA67A7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8,398</w:t>
            </w:r>
          </w:p>
        </w:tc>
        <w:tc>
          <w:tcPr>
            <w:tcW w:w="0" w:type="auto"/>
            <w:tcBorders>
              <w:bottom w:val="thickThinSmallGap" w:sz="24" w:space="0" w:color="auto"/>
            </w:tcBorders>
            <w:vAlign w:val="center"/>
            <w:hideMark/>
          </w:tcPr>
          <w:p w14:paraId="56B5FE2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358 ÷ 8,398</w:t>
            </w:r>
          </w:p>
        </w:tc>
        <w:tc>
          <w:tcPr>
            <w:tcW w:w="0" w:type="auto"/>
            <w:tcBorders>
              <w:bottom w:val="thickThinSmallGap" w:sz="24" w:space="0" w:color="auto"/>
            </w:tcBorders>
            <w:vAlign w:val="center"/>
            <w:hideMark/>
          </w:tcPr>
          <w:p w14:paraId="1EE4EC5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0.04</w:t>
            </w:r>
          </w:p>
        </w:tc>
      </w:tr>
    </w:tbl>
    <w:p w14:paraId="2F5C9DE6" w14:textId="77777777" w:rsidR="00ED72CF" w:rsidRDefault="00ED72CF" w:rsidP="00ED72CF">
      <w:pPr>
        <w:spacing w:after="0" w:line="360" w:lineRule="auto"/>
        <w:rPr>
          <w:rFonts w:cs="Arial"/>
          <w:b/>
          <w:bCs/>
          <w:sz w:val="24"/>
          <w:szCs w:val="24"/>
          <w:u w:val="single"/>
        </w:rPr>
      </w:pPr>
    </w:p>
    <w:p w14:paraId="0F2248DD" w14:textId="77777777" w:rsidR="00ED72CF" w:rsidRPr="003164CC" w:rsidRDefault="00ED72CF" w:rsidP="00ED72CF">
      <w:pPr>
        <w:spacing w:after="0" w:line="360" w:lineRule="auto"/>
        <w:rPr>
          <w:rFonts w:cs="Arial"/>
          <w:b/>
          <w:bCs/>
          <w:sz w:val="24"/>
          <w:szCs w:val="24"/>
        </w:rPr>
      </w:pPr>
      <w:r>
        <w:rPr>
          <w:rFonts w:cs="Arial"/>
          <w:b/>
          <w:bCs/>
          <w:sz w:val="24"/>
          <w:szCs w:val="24"/>
          <w:u w:val="single"/>
        </w:rPr>
        <w:t>Appendix 5</w:t>
      </w:r>
      <w:r w:rsidRPr="00C236AD">
        <w:rPr>
          <w:rFonts w:cs="Arial"/>
          <w:b/>
          <w:bCs/>
          <w:sz w:val="24"/>
          <w:szCs w:val="24"/>
          <w:u w:val="single"/>
          <w:lang w:val="en-GB"/>
        </w:rPr>
        <w:t>:</w:t>
      </w:r>
      <w:r w:rsidRPr="00C236AD">
        <w:rPr>
          <w:rFonts w:cs="Arial"/>
          <w:b/>
          <w:bCs/>
          <w:sz w:val="24"/>
          <w:szCs w:val="24"/>
          <w:lang w:val="en-GB"/>
        </w:rPr>
        <w:t xml:space="preserve"> </w:t>
      </w:r>
      <w:r>
        <w:rPr>
          <w:rFonts w:cs="Arial"/>
          <w:b/>
          <w:bCs/>
          <w:sz w:val="24"/>
          <w:szCs w:val="24"/>
        </w:rPr>
        <w:t xml:space="preserve">Autor’s calculations of </w:t>
      </w:r>
      <w:r w:rsidRPr="002C7A45">
        <w:rPr>
          <w:rFonts w:cs="Arial"/>
          <w:sz w:val="24"/>
          <w:szCs w:val="24"/>
          <w:lang w:val="en-GB"/>
        </w:rPr>
        <w:t>Efficiency Ratios</w:t>
      </w:r>
      <w:r>
        <w:rPr>
          <w:rFonts w:cs="Arial"/>
          <w:b/>
          <w:bCs/>
          <w:sz w:val="24"/>
          <w:szCs w:val="24"/>
        </w:rPr>
        <w:t xml:space="preserve"> </w:t>
      </w:r>
      <w:r w:rsidRPr="00C236AD">
        <w:rPr>
          <w:rFonts w:cs="Arial"/>
          <w:sz w:val="24"/>
          <w:szCs w:val="24"/>
        </w:rPr>
        <w:t xml:space="preserve">2021-2025  </w:t>
      </w:r>
    </w:p>
    <w:p w14:paraId="315204A0"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1. Days Sales of Inventory (DSI)</w:t>
      </w:r>
    </w:p>
    <w:p w14:paraId="32884CC3"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31F59820"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DSI = Average Inventory ÷ Cost of Revenue × 365</w:t>
      </w:r>
    </w:p>
    <w:p w14:paraId="35D9E1D0"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Marriott's Consolidated Balance Sheets do not present a separate material inventory line comparable to that of a manufacturing or retail company. Consequently, DSI is classified as N/A rather than being reported as zero.</w:t>
      </w:r>
    </w:p>
    <w:p w14:paraId="02B8A868" w14:textId="77777777" w:rsidR="00ED72CF" w:rsidRPr="006C4055" w:rsidRDefault="00ED72CF" w:rsidP="00ED72CF">
      <w:pPr>
        <w:spacing w:after="0" w:line="360" w:lineRule="auto"/>
        <w:rPr>
          <w:rFonts w:cs="Arial"/>
          <w:b/>
          <w:bCs/>
          <w:sz w:val="24"/>
          <w:szCs w:val="24"/>
          <w:lang w:val="en-GB"/>
        </w:rPr>
      </w:pPr>
      <w:r w:rsidRPr="006C4055">
        <w:rPr>
          <w:rFonts w:cs="Arial"/>
          <w:b/>
          <w:bCs/>
          <w:sz w:val="24"/>
          <w:szCs w:val="24"/>
          <w:u w:val="single"/>
          <w:lang w:val="en-GB"/>
        </w:rPr>
        <w:t>Table:</w:t>
      </w:r>
      <w:r w:rsidRPr="006C4055">
        <w:rPr>
          <w:rFonts w:cs="Arial"/>
          <w:b/>
          <w:bCs/>
          <w:sz w:val="24"/>
          <w:szCs w:val="24"/>
          <w:lang w:val="en-GB"/>
        </w:rPr>
        <w:t xml:space="preserve"> Calculation of DSI, 2021–2025</w:t>
      </w:r>
    </w:p>
    <w:tbl>
      <w:tblPr>
        <w:tblW w:w="8974" w:type="dxa"/>
        <w:tblCellSpacing w:w="15" w:type="dxa"/>
        <w:tblCellMar>
          <w:top w:w="15" w:type="dxa"/>
          <w:left w:w="15" w:type="dxa"/>
          <w:bottom w:w="15" w:type="dxa"/>
          <w:right w:w="15" w:type="dxa"/>
        </w:tblCellMar>
        <w:tblLook w:val="04A0" w:firstRow="1" w:lastRow="0" w:firstColumn="1" w:lastColumn="0" w:noHBand="0" w:noVBand="1"/>
      </w:tblPr>
      <w:tblGrid>
        <w:gridCol w:w="1100"/>
        <w:gridCol w:w="7023"/>
        <w:gridCol w:w="851"/>
      </w:tblGrid>
      <w:tr w:rsidR="00ED72CF" w:rsidRPr="006C4055" w14:paraId="5F30C7A5" w14:textId="77777777" w:rsidTr="008C2C42">
        <w:trPr>
          <w:trHeight w:val="490"/>
          <w:tblHeader/>
          <w:tblCellSpacing w:w="15" w:type="dxa"/>
        </w:trPr>
        <w:tc>
          <w:tcPr>
            <w:tcW w:w="0" w:type="auto"/>
            <w:tcBorders>
              <w:top w:val="thinThickSmallGap" w:sz="24" w:space="0" w:color="auto"/>
              <w:bottom w:val="thickThinSmallGap" w:sz="24" w:space="0" w:color="auto"/>
            </w:tcBorders>
            <w:vAlign w:val="center"/>
            <w:hideMark/>
          </w:tcPr>
          <w:p w14:paraId="012147F8" w14:textId="77777777" w:rsidR="00ED72CF" w:rsidRPr="006C4055" w:rsidRDefault="00ED72CF" w:rsidP="008C2C42">
            <w:pPr>
              <w:spacing w:after="0" w:line="360" w:lineRule="auto"/>
              <w:rPr>
                <w:rFonts w:cs="Arial"/>
                <w:b/>
                <w:bCs/>
                <w:sz w:val="24"/>
                <w:szCs w:val="24"/>
                <w:lang w:val="en-GB"/>
              </w:rPr>
            </w:pPr>
            <w:r w:rsidRPr="006C4055">
              <w:rPr>
                <w:rFonts w:cs="Arial"/>
                <w:b/>
                <w:bCs/>
                <w:sz w:val="24"/>
                <w:szCs w:val="24"/>
                <w:lang w:val="en-GB"/>
              </w:rPr>
              <w:lastRenderedPageBreak/>
              <w:t>Year</w:t>
            </w:r>
          </w:p>
        </w:tc>
        <w:tc>
          <w:tcPr>
            <w:tcW w:w="0" w:type="auto"/>
            <w:tcBorders>
              <w:top w:val="thinThickSmallGap" w:sz="24" w:space="0" w:color="auto"/>
              <w:bottom w:val="thickThinSmallGap" w:sz="24" w:space="0" w:color="auto"/>
            </w:tcBorders>
            <w:vAlign w:val="center"/>
            <w:hideMark/>
          </w:tcPr>
          <w:p w14:paraId="74D2B2AF" w14:textId="77777777" w:rsidR="00ED72CF" w:rsidRPr="006C4055" w:rsidRDefault="00ED72CF" w:rsidP="008C2C42">
            <w:pPr>
              <w:spacing w:after="0" w:line="360" w:lineRule="auto"/>
              <w:rPr>
                <w:rFonts w:cs="Arial"/>
                <w:b/>
                <w:bCs/>
                <w:sz w:val="24"/>
                <w:szCs w:val="24"/>
                <w:lang w:val="en-GB"/>
              </w:rPr>
            </w:pPr>
            <w:r w:rsidRPr="006C4055">
              <w:rPr>
                <w:rFonts w:cs="Arial"/>
                <w:b/>
                <w:bCs/>
                <w:sz w:val="24"/>
                <w:szCs w:val="24"/>
                <w:lang w:val="en-GB"/>
              </w:rPr>
              <w:t>Inventory</w:t>
            </w:r>
          </w:p>
        </w:tc>
        <w:tc>
          <w:tcPr>
            <w:tcW w:w="0" w:type="auto"/>
            <w:tcBorders>
              <w:top w:val="thinThickSmallGap" w:sz="24" w:space="0" w:color="auto"/>
              <w:bottom w:val="thickThinSmallGap" w:sz="24" w:space="0" w:color="auto"/>
            </w:tcBorders>
            <w:vAlign w:val="center"/>
            <w:hideMark/>
          </w:tcPr>
          <w:p w14:paraId="521DE040" w14:textId="77777777" w:rsidR="00ED72CF" w:rsidRPr="006C4055" w:rsidRDefault="00ED72CF" w:rsidP="008C2C42">
            <w:pPr>
              <w:spacing w:after="0" w:line="360" w:lineRule="auto"/>
              <w:rPr>
                <w:rFonts w:cs="Arial"/>
                <w:b/>
                <w:bCs/>
                <w:sz w:val="24"/>
                <w:szCs w:val="24"/>
                <w:lang w:val="en-GB"/>
              </w:rPr>
            </w:pPr>
            <w:r w:rsidRPr="006C4055">
              <w:rPr>
                <w:rFonts w:cs="Arial"/>
                <w:b/>
                <w:bCs/>
                <w:sz w:val="24"/>
                <w:szCs w:val="24"/>
                <w:lang w:val="en-GB"/>
              </w:rPr>
              <w:t>DSI</w:t>
            </w:r>
          </w:p>
        </w:tc>
      </w:tr>
      <w:tr w:rsidR="00ED72CF" w:rsidRPr="003515D6" w14:paraId="0E8822DB" w14:textId="77777777" w:rsidTr="008C2C42">
        <w:trPr>
          <w:trHeight w:val="500"/>
          <w:tblCellSpacing w:w="15" w:type="dxa"/>
        </w:trPr>
        <w:tc>
          <w:tcPr>
            <w:tcW w:w="0" w:type="auto"/>
            <w:vAlign w:val="center"/>
            <w:hideMark/>
          </w:tcPr>
          <w:p w14:paraId="6D68015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4A0794B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No separate material inventory line</w:t>
            </w:r>
          </w:p>
        </w:tc>
        <w:tc>
          <w:tcPr>
            <w:tcW w:w="0" w:type="auto"/>
            <w:vAlign w:val="center"/>
            <w:hideMark/>
          </w:tcPr>
          <w:p w14:paraId="1FE0CF9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N/A</w:t>
            </w:r>
          </w:p>
        </w:tc>
      </w:tr>
      <w:tr w:rsidR="00ED72CF" w:rsidRPr="003515D6" w14:paraId="40D5D445" w14:textId="77777777" w:rsidTr="008C2C42">
        <w:trPr>
          <w:trHeight w:val="500"/>
          <w:tblCellSpacing w:w="15" w:type="dxa"/>
        </w:trPr>
        <w:tc>
          <w:tcPr>
            <w:tcW w:w="0" w:type="auto"/>
            <w:vAlign w:val="center"/>
            <w:hideMark/>
          </w:tcPr>
          <w:p w14:paraId="17ADE6F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0582E03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No separate material inventory line</w:t>
            </w:r>
          </w:p>
        </w:tc>
        <w:tc>
          <w:tcPr>
            <w:tcW w:w="0" w:type="auto"/>
            <w:vAlign w:val="center"/>
            <w:hideMark/>
          </w:tcPr>
          <w:p w14:paraId="08E1285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N/A</w:t>
            </w:r>
          </w:p>
        </w:tc>
      </w:tr>
      <w:tr w:rsidR="00ED72CF" w:rsidRPr="003515D6" w14:paraId="7D04D9FD" w14:textId="77777777" w:rsidTr="008C2C42">
        <w:trPr>
          <w:trHeight w:val="490"/>
          <w:tblCellSpacing w:w="15" w:type="dxa"/>
        </w:trPr>
        <w:tc>
          <w:tcPr>
            <w:tcW w:w="0" w:type="auto"/>
            <w:vAlign w:val="center"/>
            <w:hideMark/>
          </w:tcPr>
          <w:p w14:paraId="663D312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5493C06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No separate material inventory line</w:t>
            </w:r>
          </w:p>
        </w:tc>
        <w:tc>
          <w:tcPr>
            <w:tcW w:w="0" w:type="auto"/>
            <w:vAlign w:val="center"/>
            <w:hideMark/>
          </w:tcPr>
          <w:p w14:paraId="4349B07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N/A</w:t>
            </w:r>
          </w:p>
        </w:tc>
      </w:tr>
      <w:tr w:rsidR="00ED72CF" w:rsidRPr="003515D6" w14:paraId="017FC02D" w14:textId="77777777" w:rsidTr="008C2C42">
        <w:trPr>
          <w:trHeight w:val="500"/>
          <w:tblCellSpacing w:w="15" w:type="dxa"/>
        </w:trPr>
        <w:tc>
          <w:tcPr>
            <w:tcW w:w="0" w:type="auto"/>
            <w:vAlign w:val="center"/>
            <w:hideMark/>
          </w:tcPr>
          <w:p w14:paraId="3E2BC7A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30973E8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No separate material inventory line</w:t>
            </w:r>
          </w:p>
        </w:tc>
        <w:tc>
          <w:tcPr>
            <w:tcW w:w="0" w:type="auto"/>
            <w:vAlign w:val="center"/>
            <w:hideMark/>
          </w:tcPr>
          <w:p w14:paraId="35470B0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N/A</w:t>
            </w:r>
          </w:p>
        </w:tc>
      </w:tr>
      <w:tr w:rsidR="00ED72CF" w:rsidRPr="006C4055" w14:paraId="10C9CB53" w14:textId="77777777" w:rsidTr="008C2C42">
        <w:trPr>
          <w:trHeight w:val="490"/>
          <w:tblCellSpacing w:w="15" w:type="dxa"/>
        </w:trPr>
        <w:tc>
          <w:tcPr>
            <w:tcW w:w="0" w:type="auto"/>
            <w:tcBorders>
              <w:bottom w:val="thickThinSmallGap" w:sz="24" w:space="0" w:color="auto"/>
            </w:tcBorders>
            <w:vAlign w:val="center"/>
            <w:hideMark/>
          </w:tcPr>
          <w:p w14:paraId="1CFC38A5" w14:textId="77777777" w:rsidR="00ED72CF" w:rsidRPr="006C4055" w:rsidRDefault="00ED72CF" w:rsidP="008C2C42">
            <w:pPr>
              <w:spacing w:after="0" w:line="360" w:lineRule="auto"/>
              <w:rPr>
                <w:rFonts w:cs="Arial"/>
                <w:sz w:val="24"/>
                <w:szCs w:val="24"/>
                <w:lang w:val="en-GB"/>
              </w:rPr>
            </w:pPr>
            <w:r w:rsidRPr="006C4055">
              <w:rPr>
                <w:rFonts w:cs="Arial"/>
                <w:sz w:val="24"/>
                <w:szCs w:val="24"/>
                <w:lang w:val="en-GB"/>
              </w:rPr>
              <w:t>2025</w:t>
            </w:r>
          </w:p>
        </w:tc>
        <w:tc>
          <w:tcPr>
            <w:tcW w:w="0" w:type="auto"/>
            <w:tcBorders>
              <w:bottom w:val="thickThinSmallGap" w:sz="24" w:space="0" w:color="auto"/>
            </w:tcBorders>
            <w:vAlign w:val="center"/>
            <w:hideMark/>
          </w:tcPr>
          <w:p w14:paraId="1315D18F" w14:textId="77777777" w:rsidR="00ED72CF" w:rsidRPr="006C4055" w:rsidRDefault="00ED72CF" w:rsidP="008C2C42">
            <w:pPr>
              <w:spacing w:after="0" w:line="360" w:lineRule="auto"/>
              <w:rPr>
                <w:rFonts w:cs="Arial"/>
                <w:sz w:val="24"/>
                <w:szCs w:val="24"/>
                <w:lang w:val="en-GB"/>
              </w:rPr>
            </w:pPr>
            <w:r w:rsidRPr="006C4055">
              <w:rPr>
                <w:rFonts w:cs="Arial"/>
                <w:sz w:val="24"/>
                <w:szCs w:val="24"/>
                <w:lang w:val="en-GB"/>
              </w:rPr>
              <w:t>No separate material inventory line</w:t>
            </w:r>
          </w:p>
        </w:tc>
        <w:tc>
          <w:tcPr>
            <w:tcW w:w="0" w:type="auto"/>
            <w:tcBorders>
              <w:bottom w:val="thickThinSmallGap" w:sz="24" w:space="0" w:color="auto"/>
            </w:tcBorders>
            <w:vAlign w:val="center"/>
            <w:hideMark/>
          </w:tcPr>
          <w:p w14:paraId="47152218" w14:textId="77777777" w:rsidR="00ED72CF" w:rsidRPr="006C4055" w:rsidRDefault="00ED72CF" w:rsidP="008C2C42">
            <w:pPr>
              <w:spacing w:after="0" w:line="360" w:lineRule="auto"/>
              <w:rPr>
                <w:rFonts w:cs="Arial"/>
                <w:sz w:val="24"/>
                <w:szCs w:val="24"/>
                <w:lang w:val="en-GB"/>
              </w:rPr>
            </w:pPr>
            <w:r w:rsidRPr="006C4055">
              <w:rPr>
                <w:rFonts w:cs="Arial"/>
                <w:sz w:val="24"/>
                <w:szCs w:val="24"/>
                <w:lang w:val="en-GB"/>
              </w:rPr>
              <w:t>N/A</w:t>
            </w:r>
          </w:p>
        </w:tc>
      </w:tr>
    </w:tbl>
    <w:p w14:paraId="2889EDCB" w14:textId="77777777" w:rsidR="00ED72CF" w:rsidRPr="002C7A45" w:rsidRDefault="00ED72CF" w:rsidP="00ED72CF">
      <w:pPr>
        <w:spacing w:after="0" w:line="360" w:lineRule="auto"/>
        <w:rPr>
          <w:rFonts w:cs="Arial"/>
          <w:b/>
          <w:bCs/>
          <w:sz w:val="24"/>
          <w:szCs w:val="24"/>
          <w:lang w:val="en-GB"/>
        </w:rPr>
      </w:pPr>
    </w:p>
    <w:p w14:paraId="4E7458E4"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2. Days Sales Outstanding (DSO)</w:t>
      </w:r>
    </w:p>
    <w:p w14:paraId="6082FBFE"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1C0A1EF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DSO = Accounts Receivable ÷ Revenue × 365</w:t>
      </w:r>
    </w:p>
    <w:p w14:paraId="4B52751F"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Using year-end receivables for consistency:</w:t>
      </w:r>
    </w:p>
    <w:p w14:paraId="3563F11E"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5625D0F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Accounts receivable = Consolidated Balance Sheet</w:t>
      </w:r>
      <w:r>
        <w:rPr>
          <w:rFonts w:cs="Arial"/>
          <w:sz w:val="24"/>
          <w:szCs w:val="24"/>
          <w:lang w:val="en-GB"/>
        </w:rPr>
        <w:t>-</w:t>
      </w:r>
      <w:r w:rsidRPr="002C7A45">
        <w:rPr>
          <w:rFonts w:cs="Arial"/>
          <w:sz w:val="24"/>
          <w:szCs w:val="24"/>
          <w:lang w:val="en-GB"/>
        </w:rPr>
        <w:t>Accounts and notes receivable, ne</w:t>
      </w:r>
      <w:r>
        <w:rPr>
          <w:rFonts w:cs="Arial"/>
          <w:sz w:val="24"/>
          <w:szCs w:val="24"/>
        </w:rPr>
        <w:t>t</w:t>
      </w:r>
    </w:p>
    <w:p w14:paraId="03CF1929" w14:textId="77777777" w:rsidR="00ED72CF" w:rsidRPr="006C4055" w:rsidRDefault="00ED72CF" w:rsidP="00ED72CF">
      <w:pPr>
        <w:spacing w:after="0" w:line="360" w:lineRule="auto"/>
        <w:rPr>
          <w:rFonts w:cs="Arial"/>
          <w:b/>
          <w:bCs/>
          <w:sz w:val="24"/>
          <w:szCs w:val="24"/>
          <w:lang w:val="en-GB"/>
        </w:rPr>
      </w:pPr>
      <w:r w:rsidRPr="002C7A45">
        <w:rPr>
          <w:rFonts w:cs="Arial"/>
          <w:sz w:val="24"/>
          <w:szCs w:val="24"/>
          <w:lang w:val="en-GB"/>
        </w:rPr>
        <w:t>Revenue = Consolidated Statement of Income</w:t>
      </w:r>
      <w:r>
        <w:rPr>
          <w:rFonts w:cs="Arial"/>
          <w:sz w:val="24"/>
          <w:szCs w:val="24"/>
        </w:rPr>
        <w:t>-</w:t>
      </w:r>
      <w:r w:rsidRPr="002C7A45">
        <w:rPr>
          <w:rFonts w:cs="Arial"/>
          <w:sz w:val="24"/>
          <w:szCs w:val="24"/>
          <w:lang w:val="en-GB"/>
        </w:rPr>
        <w:t>Total revenue</w:t>
      </w:r>
    </w:p>
    <w:tbl>
      <w:tblPr>
        <w:tblW w:w="8155" w:type="dxa"/>
        <w:tblCellSpacing w:w="15" w:type="dxa"/>
        <w:tblCellMar>
          <w:top w:w="15" w:type="dxa"/>
          <w:left w:w="15" w:type="dxa"/>
          <w:bottom w:w="15" w:type="dxa"/>
          <w:right w:w="15" w:type="dxa"/>
        </w:tblCellMar>
        <w:tblLook w:val="04A0" w:firstRow="1" w:lastRow="0" w:firstColumn="1" w:lastColumn="0" w:noHBand="0" w:noVBand="1"/>
      </w:tblPr>
      <w:tblGrid>
        <w:gridCol w:w="807"/>
        <w:gridCol w:w="3730"/>
        <w:gridCol w:w="2126"/>
        <w:gridCol w:w="1492"/>
      </w:tblGrid>
      <w:tr w:rsidR="00ED72CF" w:rsidRPr="003515D6" w14:paraId="29ED1CEB" w14:textId="77777777" w:rsidTr="008C2C42">
        <w:trPr>
          <w:trHeight w:val="507"/>
          <w:tblHeader/>
          <w:tblCellSpacing w:w="15" w:type="dxa"/>
        </w:trPr>
        <w:tc>
          <w:tcPr>
            <w:tcW w:w="0" w:type="auto"/>
            <w:tcBorders>
              <w:top w:val="thinThickSmallGap" w:sz="24" w:space="0" w:color="auto"/>
              <w:bottom w:val="thickThinSmallGap" w:sz="24" w:space="0" w:color="auto"/>
            </w:tcBorders>
            <w:vAlign w:val="center"/>
            <w:hideMark/>
          </w:tcPr>
          <w:p w14:paraId="3B04E38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459A982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Accounts receivable ($m)</w:t>
            </w:r>
          </w:p>
        </w:tc>
        <w:tc>
          <w:tcPr>
            <w:tcW w:w="0" w:type="auto"/>
            <w:tcBorders>
              <w:top w:val="thinThickSmallGap" w:sz="24" w:space="0" w:color="auto"/>
              <w:bottom w:val="thickThinSmallGap" w:sz="24" w:space="0" w:color="auto"/>
            </w:tcBorders>
            <w:vAlign w:val="center"/>
            <w:hideMark/>
          </w:tcPr>
          <w:p w14:paraId="56CADFC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Revenue ($m)</w:t>
            </w:r>
          </w:p>
        </w:tc>
        <w:tc>
          <w:tcPr>
            <w:tcW w:w="0" w:type="auto"/>
            <w:tcBorders>
              <w:top w:val="thinThickSmallGap" w:sz="24" w:space="0" w:color="auto"/>
              <w:bottom w:val="thickThinSmallGap" w:sz="24" w:space="0" w:color="auto"/>
            </w:tcBorders>
            <w:vAlign w:val="center"/>
            <w:hideMark/>
          </w:tcPr>
          <w:p w14:paraId="3FF80BE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DSO</w:t>
            </w:r>
          </w:p>
        </w:tc>
      </w:tr>
      <w:tr w:rsidR="00ED72CF" w:rsidRPr="003515D6" w14:paraId="7454E1A7" w14:textId="77777777" w:rsidTr="008C2C42">
        <w:trPr>
          <w:trHeight w:val="517"/>
          <w:tblCellSpacing w:w="15" w:type="dxa"/>
        </w:trPr>
        <w:tc>
          <w:tcPr>
            <w:tcW w:w="0" w:type="auto"/>
            <w:vAlign w:val="center"/>
            <w:hideMark/>
          </w:tcPr>
          <w:p w14:paraId="087B3D3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7AE8124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1,982</w:t>
            </w:r>
          </w:p>
        </w:tc>
        <w:tc>
          <w:tcPr>
            <w:tcW w:w="0" w:type="auto"/>
            <w:vAlign w:val="center"/>
            <w:hideMark/>
          </w:tcPr>
          <w:p w14:paraId="34127A4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13,857</w:t>
            </w:r>
          </w:p>
        </w:tc>
        <w:tc>
          <w:tcPr>
            <w:tcW w:w="0" w:type="auto"/>
            <w:vAlign w:val="center"/>
            <w:hideMark/>
          </w:tcPr>
          <w:p w14:paraId="43E99DB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52.2 days</w:t>
            </w:r>
          </w:p>
        </w:tc>
      </w:tr>
      <w:tr w:rsidR="00ED72CF" w:rsidRPr="003515D6" w14:paraId="7B1FA229" w14:textId="77777777" w:rsidTr="008C2C42">
        <w:trPr>
          <w:trHeight w:val="517"/>
          <w:tblCellSpacing w:w="15" w:type="dxa"/>
        </w:trPr>
        <w:tc>
          <w:tcPr>
            <w:tcW w:w="0" w:type="auto"/>
            <w:vAlign w:val="center"/>
            <w:hideMark/>
          </w:tcPr>
          <w:p w14:paraId="7761B1E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79F232C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2,571</w:t>
            </w:r>
          </w:p>
        </w:tc>
        <w:tc>
          <w:tcPr>
            <w:tcW w:w="0" w:type="auto"/>
            <w:vAlign w:val="center"/>
            <w:hideMark/>
          </w:tcPr>
          <w:p w14:paraId="5B93942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20,773</w:t>
            </w:r>
          </w:p>
        </w:tc>
        <w:tc>
          <w:tcPr>
            <w:tcW w:w="0" w:type="auto"/>
            <w:vAlign w:val="center"/>
            <w:hideMark/>
          </w:tcPr>
          <w:p w14:paraId="47A7602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45.2 days</w:t>
            </w:r>
          </w:p>
        </w:tc>
      </w:tr>
      <w:tr w:rsidR="00ED72CF" w:rsidRPr="003515D6" w14:paraId="41BA518B" w14:textId="77777777" w:rsidTr="008C2C42">
        <w:trPr>
          <w:trHeight w:val="507"/>
          <w:tblCellSpacing w:w="15" w:type="dxa"/>
        </w:trPr>
        <w:tc>
          <w:tcPr>
            <w:tcW w:w="0" w:type="auto"/>
            <w:vAlign w:val="center"/>
            <w:hideMark/>
          </w:tcPr>
          <w:p w14:paraId="079CE66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293E9E8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2,712</w:t>
            </w:r>
          </w:p>
        </w:tc>
        <w:tc>
          <w:tcPr>
            <w:tcW w:w="0" w:type="auto"/>
            <w:vAlign w:val="center"/>
            <w:hideMark/>
          </w:tcPr>
          <w:p w14:paraId="6253AC7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23,713</w:t>
            </w:r>
          </w:p>
        </w:tc>
        <w:tc>
          <w:tcPr>
            <w:tcW w:w="0" w:type="auto"/>
            <w:vAlign w:val="center"/>
            <w:hideMark/>
          </w:tcPr>
          <w:p w14:paraId="3F0BC61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41.7 days</w:t>
            </w:r>
          </w:p>
        </w:tc>
      </w:tr>
      <w:tr w:rsidR="00ED72CF" w:rsidRPr="003515D6" w14:paraId="56180CCB" w14:textId="77777777" w:rsidTr="008C2C42">
        <w:trPr>
          <w:trHeight w:val="517"/>
          <w:tblCellSpacing w:w="15" w:type="dxa"/>
        </w:trPr>
        <w:tc>
          <w:tcPr>
            <w:tcW w:w="0" w:type="auto"/>
            <w:vAlign w:val="center"/>
            <w:hideMark/>
          </w:tcPr>
          <w:p w14:paraId="23D7136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0D0FD1A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2,795</w:t>
            </w:r>
          </w:p>
        </w:tc>
        <w:tc>
          <w:tcPr>
            <w:tcW w:w="0" w:type="auto"/>
            <w:vAlign w:val="center"/>
            <w:hideMark/>
          </w:tcPr>
          <w:p w14:paraId="32E9A8F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25,100</w:t>
            </w:r>
          </w:p>
        </w:tc>
        <w:tc>
          <w:tcPr>
            <w:tcW w:w="0" w:type="auto"/>
            <w:vAlign w:val="center"/>
            <w:hideMark/>
          </w:tcPr>
          <w:p w14:paraId="4904BEC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40.6 days</w:t>
            </w:r>
          </w:p>
        </w:tc>
      </w:tr>
      <w:tr w:rsidR="00ED72CF" w:rsidRPr="003515D6" w14:paraId="4ED77D2A" w14:textId="77777777" w:rsidTr="008C2C42">
        <w:trPr>
          <w:trHeight w:val="507"/>
          <w:tblCellSpacing w:w="15" w:type="dxa"/>
        </w:trPr>
        <w:tc>
          <w:tcPr>
            <w:tcW w:w="0" w:type="auto"/>
            <w:tcBorders>
              <w:bottom w:val="thickThinSmallGap" w:sz="24" w:space="0" w:color="auto"/>
            </w:tcBorders>
            <w:vAlign w:val="center"/>
            <w:hideMark/>
          </w:tcPr>
          <w:p w14:paraId="73AFB78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3721034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2,909</w:t>
            </w:r>
          </w:p>
        </w:tc>
        <w:tc>
          <w:tcPr>
            <w:tcW w:w="0" w:type="auto"/>
            <w:tcBorders>
              <w:bottom w:val="thickThinSmallGap" w:sz="24" w:space="0" w:color="auto"/>
            </w:tcBorders>
            <w:vAlign w:val="center"/>
            <w:hideMark/>
          </w:tcPr>
          <w:p w14:paraId="08875BB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26,186</w:t>
            </w:r>
          </w:p>
        </w:tc>
        <w:tc>
          <w:tcPr>
            <w:tcW w:w="0" w:type="auto"/>
            <w:tcBorders>
              <w:bottom w:val="thickThinSmallGap" w:sz="24" w:space="0" w:color="auto"/>
            </w:tcBorders>
            <w:vAlign w:val="center"/>
            <w:hideMark/>
          </w:tcPr>
          <w:p w14:paraId="4BD53ED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40.5 days</w:t>
            </w:r>
          </w:p>
        </w:tc>
      </w:tr>
    </w:tbl>
    <w:p w14:paraId="3BE998AA"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3. Days Payables Outstanding (DPO)</w:t>
      </w:r>
    </w:p>
    <w:p w14:paraId="0B92748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Marriott does not disclose a conventional manufacturing-style cost of sales. Therefore, the standardised cost-of-revenue series from Stock</w:t>
      </w:r>
      <w:r>
        <w:rPr>
          <w:rFonts w:cs="Arial"/>
          <w:sz w:val="24"/>
          <w:szCs w:val="24"/>
        </w:rPr>
        <w:t xml:space="preserve"> </w:t>
      </w:r>
      <w:r w:rsidRPr="002C7A45">
        <w:rPr>
          <w:rFonts w:cs="Arial"/>
          <w:sz w:val="24"/>
          <w:szCs w:val="24"/>
          <w:lang w:val="en-GB"/>
        </w:rPr>
        <w:t>Analysis is used as a proxy.</w:t>
      </w:r>
    </w:p>
    <w:p w14:paraId="0C8CE617"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lastRenderedPageBreak/>
        <w:t>Formula:</w:t>
      </w:r>
    </w:p>
    <w:p w14:paraId="1463B6AE" w14:textId="77777777" w:rsidR="00ED72CF" w:rsidRPr="000D2955" w:rsidRDefault="00ED72CF" w:rsidP="00ED72CF">
      <w:pPr>
        <w:spacing w:after="0" w:line="360" w:lineRule="auto"/>
        <w:rPr>
          <w:rFonts w:cs="Arial"/>
          <w:b/>
          <w:bCs/>
          <w:sz w:val="24"/>
          <w:szCs w:val="24"/>
          <w:lang w:val="en-GB"/>
        </w:rPr>
      </w:pPr>
      <w:r w:rsidRPr="002C7A45">
        <w:rPr>
          <w:rFonts w:cs="Arial"/>
          <w:sz w:val="24"/>
          <w:szCs w:val="24"/>
          <w:lang w:val="en-GB"/>
        </w:rPr>
        <w:t>DPO = Accounts Payable ÷ Cost of Revenue × 365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515"/>
        <w:gridCol w:w="3742"/>
        <w:gridCol w:w="1116"/>
      </w:tblGrid>
      <w:tr w:rsidR="00ED72CF" w:rsidRPr="003515D6" w14:paraId="04ADCBA5"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5063FF2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273FB7F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Accounts payable ($m)</w:t>
            </w:r>
          </w:p>
        </w:tc>
        <w:tc>
          <w:tcPr>
            <w:tcW w:w="0" w:type="auto"/>
            <w:tcBorders>
              <w:top w:val="thinThickSmallGap" w:sz="24" w:space="0" w:color="auto"/>
              <w:bottom w:val="thickThinSmallGap" w:sz="24" w:space="0" w:color="auto"/>
            </w:tcBorders>
            <w:vAlign w:val="center"/>
            <w:hideMark/>
          </w:tcPr>
          <w:p w14:paraId="52810E7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Standardised cost of revenue ($m)</w:t>
            </w:r>
          </w:p>
        </w:tc>
        <w:tc>
          <w:tcPr>
            <w:tcW w:w="0" w:type="auto"/>
            <w:tcBorders>
              <w:top w:val="thinThickSmallGap" w:sz="24" w:space="0" w:color="auto"/>
              <w:bottom w:val="thickThinSmallGap" w:sz="24" w:space="0" w:color="auto"/>
            </w:tcBorders>
            <w:vAlign w:val="center"/>
            <w:hideMark/>
          </w:tcPr>
          <w:p w14:paraId="3C14CA9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DPO</w:t>
            </w:r>
          </w:p>
        </w:tc>
      </w:tr>
      <w:tr w:rsidR="00ED72CF" w:rsidRPr="003515D6" w14:paraId="3855524E" w14:textId="77777777" w:rsidTr="008C2C42">
        <w:trPr>
          <w:tblCellSpacing w:w="15" w:type="dxa"/>
        </w:trPr>
        <w:tc>
          <w:tcPr>
            <w:tcW w:w="0" w:type="auto"/>
            <w:vAlign w:val="center"/>
            <w:hideMark/>
          </w:tcPr>
          <w:p w14:paraId="1A6A2DE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767053F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726</w:t>
            </w:r>
          </w:p>
        </w:tc>
        <w:tc>
          <w:tcPr>
            <w:tcW w:w="0" w:type="auto"/>
            <w:vAlign w:val="center"/>
            <w:hideMark/>
          </w:tcPr>
          <w:p w14:paraId="4E51B1B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Standardised series</w:t>
            </w:r>
          </w:p>
        </w:tc>
        <w:tc>
          <w:tcPr>
            <w:tcW w:w="0" w:type="auto"/>
            <w:vAlign w:val="center"/>
            <w:hideMark/>
          </w:tcPr>
          <w:p w14:paraId="2F1AF5D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24.0 days</w:t>
            </w:r>
          </w:p>
        </w:tc>
      </w:tr>
      <w:tr w:rsidR="00ED72CF" w:rsidRPr="003515D6" w14:paraId="72722674" w14:textId="77777777" w:rsidTr="008C2C42">
        <w:trPr>
          <w:tblCellSpacing w:w="15" w:type="dxa"/>
        </w:trPr>
        <w:tc>
          <w:tcPr>
            <w:tcW w:w="0" w:type="auto"/>
            <w:vAlign w:val="center"/>
            <w:hideMark/>
          </w:tcPr>
          <w:p w14:paraId="3C434C1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7CCAA1F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746</w:t>
            </w:r>
          </w:p>
        </w:tc>
        <w:tc>
          <w:tcPr>
            <w:tcW w:w="0" w:type="auto"/>
            <w:vAlign w:val="center"/>
            <w:hideMark/>
          </w:tcPr>
          <w:p w14:paraId="04B5310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Standardised series</w:t>
            </w:r>
          </w:p>
        </w:tc>
        <w:tc>
          <w:tcPr>
            <w:tcW w:w="0" w:type="auto"/>
            <w:vAlign w:val="center"/>
            <w:hideMark/>
          </w:tcPr>
          <w:p w14:paraId="362632A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16.8 days</w:t>
            </w:r>
          </w:p>
        </w:tc>
      </w:tr>
      <w:tr w:rsidR="00ED72CF" w:rsidRPr="003515D6" w14:paraId="3754B367" w14:textId="77777777" w:rsidTr="008C2C42">
        <w:trPr>
          <w:tblCellSpacing w:w="15" w:type="dxa"/>
        </w:trPr>
        <w:tc>
          <w:tcPr>
            <w:tcW w:w="0" w:type="auto"/>
            <w:vAlign w:val="center"/>
            <w:hideMark/>
          </w:tcPr>
          <w:p w14:paraId="203A1EA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70B7103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738</w:t>
            </w:r>
          </w:p>
        </w:tc>
        <w:tc>
          <w:tcPr>
            <w:tcW w:w="0" w:type="auto"/>
            <w:vAlign w:val="center"/>
            <w:hideMark/>
          </w:tcPr>
          <w:p w14:paraId="39F6BBA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Standardised series</w:t>
            </w:r>
          </w:p>
        </w:tc>
        <w:tc>
          <w:tcPr>
            <w:tcW w:w="0" w:type="auto"/>
            <w:vAlign w:val="center"/>
            <w:hideMark/>
          </w:tcPr>
          <w:p w14:paraId="4989678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14.4 days</w:t>
            </w:r>
          </w:p>
        </w:tc>
      </w:tr>
      <w:tr w:rsidR="00ED72CF" w:rsidRPr="003515D6" w14:paraId="64EA158D" w14:textId="77777777" w:rsidTr="008C2C42">
        <w:trPr>
          <w:tblCellSpacing w:w="15" w:type="dxa"/>
        </w:trPr>
        <w:tc>
          <w:tcPr>
            <w:tcW w:w="0" w:type="auto"/>
            <w:vAlign w:val="center"/>
            <w:hideMark/>
          </w:tcPr>
          <w:p w14:paraId="477353B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2E5EFFB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763</w:t>
            </w:r>
          </w:p>
        </w:tc>
        <w:tc>
          <w:tcPr>
            <w:tcW w:w="0" w:type="auto"/>
            <w:vAlign w:val="center"/>
            <w:hideMark/>
          </w:tcPr>
          <w:p w14:paraId="0D8451A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Standardised series</w:t>
            </w:r>
          </w:p>
        </w:tc>
        <w:tc>
          <w:tcPr>
            <w:tcW w:w="0" w:type="auto"/>
            <w:vAlign w:val="center"/>
            <w:hideMark/>
          </w:tcPr>
          <w:p w14:paraId="283DC63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13.8 days</w:t>
            </w:r>
          </w:p>
        </w:tc>
      </w:tr>
      <w:tr w:rsidR="00ED72CF" w:rsidRPr="003515D6" w14:paraId="545AEB11" w14:textId="77777777" w:rsidTr="008C2C42">
        <w:trPr>
          <w:tblCellSpacing w:w="15" w:type="dxa"/>
        </w:trPr>
        <w:tc>
          <w:tcPr>
            <w:tcW w:w="0" w:type="auto"/>
            <w:tcBorders>
              <w:bottom w:val="thickThinSmallGap" w:sz="24" w:space="0" w:color="auto"/>
            </w:tcBorders>
            <w:vAlign w:val="center"/>
            <w:hideMark/>
          </w:tcPr>
          <w:p w14:paraId="0349BFC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3F5005C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814</w:t>
            </w:r>
          </w:p>
        </w:tc>
        <w:tc>
          <w:tcPr>
            <w:tcW w:w="0" w:type="auto"/>
            <w:tcBorders>
              <w:bottom w:val="thickThinSmallGap" w:sz="24" w:space="0" w:color="auto"/>
            </w:tcBorders>
            <w:vAlign w:val="center"/>
            <w:hideMark/>
          </w:tcPr>
          <w:p w14:paraId="7BFB334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Standardised series</w:t>
            </w:r>
          </w:p>
        </w:tc>
        <w:tc>
          <w:tcPr>
            <w:tcW w:w="0" w:type="auto"/>
            <w:tcBorders>
              <w:bottom w:val="thickThinSmallGap" w:sz="24" w:space="0" w:color="auto"/>
            </w:tcBorders>
            <w:vAlign w:val="center"/>
            <w:hideMark/>
          </w:tcPr>
          <w:p w14:paraId="6EEB4FA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14.2 days</w:t>
            </w:r>
          </w:p>
        </w:tc>
      </w:tr>
    </w:tbl>
    <w:p w14:paraId="3EF8D6B3" w14:textId="77777777" w:rsidR="00ED72CF" w:rsidRDefault="00ED72CF" w:rsidP="00ED72CF">
      <w:pPr>
        <w:spacing w:after="0" w:line="360" w:lineRule="auto"/>
        <w:rPr>
          <w:rFonts w:cs="Arial"/>
          <w:sz w:val="24"/>
          <w:szCs w:val="24"/>
        </w:rPr>
      </w:pPr>
    </w:p>
    <w:p w14:paraId="6B515D9A" w14:textId="77777777" w:rsidR="00ED72CF" w:rsidRPr="00B71B93" w:rsidRDefault="00ED72CF" w:rsidP="00ED72CF">
      <w:pPr>
        <w:spacing w:after="0" w:line="360" w:lineRule="auto"/>
        <w:jc w:val="both"/>
        <w:rPr>
          <w:rFonts w:cs="Arial"/>
          <w:sz w:val="24"/>
          <w:szCs w:val="24"/>
          <w:lang w:val="en-GB"/>
        </w:rPr>
      </w:pPr>
      <w:r>
        <w:rPr>
          <w:rFonts w:cs="Arial"/>
          <w:b/>
          <w:bCs/>
          <w:sz w:val="24"/>
          <w:szCs w:val="24"/>
          <w:u w:val="single"/>
        </w:rPr>
        <w:t xml:space="preserve">Appendix </w:t>
      </w:r>
      <w:proofErr w:type="gramStart"/>
      <w:r>
        <w:rPr>
          <w:rFonts w:cs="Arial"/>
          <w:b/>
          <w:bCs/>
          <w:sz w:val="24"/>
          <w:szCs w:val="24"/>
          <w:u w:val="single"/>
        </w:rPr>
        <w:t xml:space="preserve">6 </w:t>
      </w:r>
      <w:r w:rsidRPr="00C236AD">
        <w:rPr>
          <w:rFonts w:cs="Arial"/>
          <w:b/>
          <w:bCs/>
          <w:sz w:val="24"/>
          <w:szCs w:val="24"/>
          <w:u w:val="single"/>
          <w:lang w:val="en-GB"/>
        </w:rPr>
        <w:t>:</w:t>
      </w:r>
      <w:proofErr w:type="gramEnd"/>
      <w:r w:rsidRPr="00C236AD">
        <w:rPr>
          <w:rFonts w:cs="Arial"/>
          <w:b/>
          <w:bCs/>
          <w:sz w:val="24"/>
          <w:szCs w:val="24"/>
          <w:lang w:val="en-GB"/>
        </w:rPr>
        <w:t xml:space="preserve"> </w:t>
      </w:r>
      <w:r>
        <w:rPr>
          <w:rFonts w:cs="Arial"/>
          <w:b/>
          <w:bCs/>
          <w:sz w:val="24"/>
          <w:szCs w:val="24"/>
        </w:rPr>
        <w:t xml:space="preserve">Autor’s calculations of </w:t>
      </w:r>
      <w:r w:rsidRPr="002C7A45">
        <w:rPr>
          <w:rFonts w:cs="Arial"/>
          <w:sz w:val="24"/>
          <w:szCs w:val="24"/>
          <w:lang w:val="en-GB"/>
        </w:rPr>
        <w:t>Gearing Ratios</w:t>
      </w:r>
      <w:r w:rsidRPr="00C236AD">
        <w:rPr>
          <w:rFonts w:cs="Arial"/>
          <w:sz w:val="24"/>
          <w:szCs w:val="24"/>
        </w:rPr>
        <w:t xml:space="preserve"> 2021-2025  </w:t>
      </w:r>
    </w:p>
    <w:p w14:paraId="2B80CF36"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1. Debt-to-Assets</w:t>
      </w:r>
    </w:p>
    <w:p w14:paraId="079A249C"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3F7B2DE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Debt-to-Assets = Total Interest-Bearing Debt ÷ Total Assets × 100</w:t>
      </w:r>
    </w:p>
    <w:p w14:paraId="739D6184" w14:textId="77777777" w:rsidR="00ED72CF" w:rsidRPr="000D2955" w:rsidRDefault="00ED72CF" w:rsidP="00ED72CF">
      <w:pPr>
        <w:spacing w:after="0" w:line="360" w:lineRule="auto"/>
        <w:rPr>
          <w:rFonts w:cs="Arial"/>
          <w:b/>
          <w:bCs/>
          <w:sz w:val="24"/>
          <w:szCs w:val="24"/>
          <w:lang w:val="en-GB"/>
        </w:rPr>
      </w:pPr>
      <w:r w:rsidRPr="002C7A45">
        <w:rPr>
          <w:rFonts w:cs="Arial"/>
          <w:sz w:val="24"/>
          <w:szCs w:val="24"/>
          <w:lang w:val="en-GB"/>
        </w:rPr>
        <w:t>Total debt = Current portion of long-term debt + Long-term debt.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1688"/>
        <w:gridCol w:w="1914"/>
        <w:gridCol w:w="2468"/>
        <w:gridCol w:w="1663"/>
      </w:tblGrid>
      <w:tr w:rsidR="00ED72CF" w:rsidRPr="003515D6" w14:paraId="5DB3348B"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7B2FA4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2838D41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Total debt ($m)</w:t>
            </w:r>
          </w:p>
        </w:tc>
        <w:tc>
          <w:tcPr>
            <w:tcW w:w="0" w:type="auto"/>
            <w:tcBorders>
              <w:top w:val="thinThickSmallGap" w:sz="24" w:space="0" w:color="auto"/>
              <w:bottom w:val="thickThinSmallGap" w:sz="24" w:space="0" w:color="auto"/>
            </w:tcBorders>
            <w:vAlign w:val="center"/>
            <w:hideMark/>
          </w:tcPr>
          <w:p w14:paraId="272DE6F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Total assets ($m)</w:t>
            </w:r>
          </w:p>
        </w:tc>
        <w:tc>
          <w:tcPr>
            <w:tcW w:w="0" w:type="auto"/>
            <w:tcBorders>
              <w:top w:val="thinThickSmallGap" w:sz="24" w:space="0" w:color="auto"/>
              <w:bottom w:val="thickThinSmallGap" w:sz="24" w:space="0" w:color="auto"/>
            </w:tcBorders>
            <w:vAlign w:val="center"/>
            <w:hideMark/>
          </w:tcPr>
          <w:p w14:paraId="2701DBA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0D53AA2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Debt-to-Assets</w:t>
            </w:r>
          </w:p>
        </w:tc>
      </w:tr>
      <w:tr w:rsidR="00ED72CF" w:rsidRPr="003515D6" w14:paraId="43FD399E" w14:textId="77777777" w:rsidTr="008C2C42">
        <w:trPr>
          <w:tblCellSpacing w:w="15" w:type="dxa"/>
        </w:trPr>
        <w:tc>
          <w:tcPr>
            <w:tcW w:w="0" w:type="auto"/>
            <w:vAlign w:val="center"/>
            <w:hideMark/>
          </w:tcPr>
          <w:p w14:paraId="3EF38FF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20E5C30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10,138</w:t>
            </w:r>
          </w:p>
        </w:tc>
        <w:tc>
          <w:tcPr>
            <w:tcW w:w="0" w:type="auto"/>
            <w:vAlign w:val="center"/>
            <w:hideMark/>
          </w:tcPr>
          <w:p w14:paraId="2978B3E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25,553</w:t>
            </w:r>
          </w:p>
        </w:tc>
        <w:tc>
          <w:tcPr>
            <w:tcW w:w="0" w:type="auto"/>
            <w:vAlign w:val="center"/>
            <w:hideMark/>
          </w:tcPr>
          <w:p w14:paraId="169A40C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10,138 ÷ 25,553 × 100</w:t>
            </w:r>
          </w:p>
        </w:tc>
        <w:tc>
          <w:tcPr>
            <w:tcW w:w="0" w:type="auto"/>
            <w:vAlign w:val="center"/>
            <w:hideMark/>
          </w:tcPr>
          <w:p w14:paraId="36B4751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39.7%</w:t>
            </w:r>
          </w:p>
        </w:tc>
      </w:tr>
      <w:tr w:rsidR="00ED72CF" w:rsidRPr="003515D6" w14:paraId="5B7FD1A0" w14:textId="77777777" w:rsidTr="008C2C42">
        <w:trPr>
          <w:tblCellSpacing w:w="15" w:type="dxa"/>
        </w:trPr>
        <w:tc>
          <w:tcPr>
            <w:tcW w:w="0" w:type="auto"/>
            <w:vAlign w:val="center"/>
            <w:hideMark/>
          </w:tcPr>
          <w:p w14:paraId="64982DB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3D1E1AE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10,064</w:t>
            </w:r>
          </w:p>
        </w:tc>
        <w:tc>
          <w:tcPr>
            <w:tcW w:w="0" w:type="auto"/>
            <w:vAlign w:val="center"/>
            <w:hideMark/>
          </w:tcPr>
          <w:p w14:paraId="46FBA2F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24,815</w:t>
            </w:r>
          </w:p>
        </w:tc>
        <w:tc>
          <w:tcPr>
            <w:tcW w:w="0" w:type="auto"/>
            <w:vAlign w:val="center"/>
            <w:hideMark/>
          </w:tcPr>
          <w:p w14:paraId="3EA8497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10,064 ÷ 24,815 × 100</w:t>
            </w:r>
          </w:p>
        </w:tc>
        <w:tc>
          <w:tcPr>
            <w:tcW w:w="0" w:type="auto"/>
            <w:vAlign w:val="center"/>
            <w:hideMark/>
          </w:tcPr>
          <w:p w14:paraId="5916D1E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40.6%</w:t>
            </w:r>
          </w:p>
        </w:tc>
      </w:tr>
      <w:tr w:rsidR="00ED72CF" w:rsidRPr="003515D6" w14:paraId="22B2369F" w14:textId="77777777" w:rsidTr="008C2C42">
        <w:trPr>
          <w:tblCellSpacing w:w="15" w:type="dxa"/>
        </w:trPr>
        <w:tc>
          <w:tcPr>
            <w:tcW w:w="0" w:type="auto"/>
            <w:vAlign w:val="center"/>
            <w:hideMark/>
          </w:tcPr>
          <w:p w14:paraId="5199DC3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16A2E65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11,873</w:t>
            </w:r>
          </w:p>
        </w:tc>
        <w:tc>
          <w:tcPr>
            <w:tcW w:w="0" w:type="auto"/>
            <w:vAlign w:val="center"/>
            <w:hideMark/>
          </w:tcPr>
          <w:p w14:paraId="026AFA0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25,674</w:t>
            </w:r>
          </w:p>
        </w:tc>
        <w:tc>
          <w:tcPr>
            <w:tcW w:w="0" w:type="auto"/>
            <w:vAlign w:val="center"/>
            <w:hideMark/>
          </w:tcPr>
          <w:p w14:paraId="5D06023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11,873 ÷ 25,674 × 100</w:t>
            </w:r>
          </w:p>
        </w:tc>
        <w:tc>
          <w:tcPr>
            <w:tcW w:w="0" w:type="auto"/>
            <w:vAlign w:val="center"/>
            <w:hideMark/>
          </w:tcPr>
          <w:p w14:paraId="4A9073A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46.2%</w:t>
            </w:r>
          </w:p>
        </w:tc>
      </w:tr>
      <w:tr w:rsidR="00ED72CF" w:rsidRPr="003515D6" w14:paraId="545AE710" w14:textId="77777777" w:rsidTr="008C2C42">
        <w:trPr>
          <w:tblCellSpacing w:w="15" w:type="dxa"/>
        </w:trPr>
        <w:tc>
          <w:tcPr>
            <w:tcW w:w="0" w:type="auto"/>
            <w:vAlign w:val="center"/>
            <w:hideMark/>
          </w:tcPr>
          <w:p w14:paraId="29E640E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0154171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14,447</w:t>
            </w:r>
          </w:p>
        </w:tc>
        <w:tc>
          <w:tcPr>
            <w:tcW w:w="0" w:type="auto"/>
            <w:vAlign w:val="center"/>
            <w:hideMark/>
          </w:tcPr>
          <w:p w14:paraId="1207746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26,182</w:t>
            </w:r>
          </w:p>
        </w:tc>
        <w:tc>
          <w:tcPr>
            <w:tcW w:w="0" w:type="auto"/>
            <w:vAlign w:val="center"/>
            <w:hideMark/>
          </w:tcPr>
          <w:p w14:paraId="430A389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14,447 ÷ 26,182 × 100</w:t>
            </w:r>
          </w:p>
        </w:tc>
        <w:tc>
          <w:tcPr>
            <w:tcW w:w="0" w:type="auto"/>
            <w:vAlign w:val="center"/>
            <w:hideMark/>
          </w:tcPr>
          <w:p w14:paraId="7A2ABB2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55.2%</w:t>
            </w:r>
          </w:p>
        </w:tc>
      </w:tr>
      <w:tr w:rsidR="00ED72CF" w:rsidRPr="003515D6" w14:paraId="631EB7AC" w14:textId="77777777" w:rsidTr="008C2C42">
        <w:trPr>
          <w:tblCellSpacing w:w="15" w:type="dxa"/>
        </w:trPr>
        <w:tc>
          <w:tcPr>
            <w:tcW w:w="0" w:type="auto"/>
            <w:tcBorders>
              <w:bottom w:val="thickThinSmallGap" w:sz="24" w:space="0" w:color="auto"/>
            </w:tcBorders>
            <w:vAlign w:val="center"/>
            <w:hideMark/>
          </w:tcPr>
          <w:p w14:paraId="3E5F42A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678BF0F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16,204</w:t>
            </w:r>
          </w:p>
        </w:tc>
        <w:tc>
          <w:tcPr>
            <w:tcW w:w="0" w:type="auto"/>
            <w:tcBorders>
              <w:bottom w:val="thickThinSmallGap" w:sz="24" w:space="0" w:color="auto"/>
            </w:tcBorders>
            <w:vAlign w:val="center"/>
            <w:hideMark/>
          </w:tcPr>
          <w:p w14:paraId="7EA7B20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27,540</w:t>
            </w:r>
          </w:p>
        </w:tc>
        <w:tc>
          <w:tcPr>
            <w:tcW w:w="0" w:type="auto"/>
            <w:tcBorders>
              <w:bottom w:val="thickThinSmallGap" w:sz="24" w:space="0" w:color="auto"/>
            </w:tcBorders>
            <w:vAlign w:val="center"/>
            <w:hideMark/>
          </w:tcPr>
          <w:p w14:paraId="0264C9C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16,204 ÷ 27,540 × 100</w:t>
            </w:r>
          </w:p>
        </w:tc>
        <w:tc>
          <w:tcPr>
            <w:tcW w:w="0" w:type="auto"/>
            <w:tcBorders>
              <w:bottom w:val="thickThinSmallGap" w:sz="24" w:space="0" w:color="auto"/>
            </w:tcBorders>
            <w:vAlign w:val="center"/>
            <w:hideMark/>
          </w:tcPr>
          <w:p w14:paraId="6F9C881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58.8%</w:t>
            </w:r>
          </w:p>
        </w:tc>
      </w:tr>
    </w:tbl>
    <w:p w14:paraId="2C792B0F" w14:textId="77777777" w:rsidR="00ED72CF" w:rsidRDefault="00ED72CF" w:rsidP="00ED72CF">
      <w:pPr>
        <w:spacing w:after="0" w:line="360" w:lineRule="auto"/>
        <w:rPr>
          <w:rFonts w:cs="Arial"/>
          <w:sz w:val="24"/>
          <w:szCs w:val="24"/>
        </w:rPr>
      </w:pPr>
    </w:p>
    <w:p w14:paraId="3F75B5AB"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2. Debt-to-Equity</w:t>
      </w:r>
    </w:p>
    <w:p w14:paraId="21C72515"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6FE666CD"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Debt-to-Equity = Total Debt ÷ Shareholders' Equity × 100</w:t>
      </w:r>
    </w:p>
    <w:p w14:paraId="7502ADF2" w14:textId="77777777" w:rsidR="00ED72CF" w:rsidRPr="00632F57" w:rsidRDefault="00ED72CF" w:rsidP="00ED72CF">
      <w:pPr>
        <w:spacing w:after="0" w:line="360" w:lineRule="auto"/>
        <w:rPr>
          <w:rFonts w:cs="Arial"/>
          <w:b/>
          <w:bCs/>
          <w:sz w:val="24"/>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1688"/>
        <w:gridCol w:w="2801"/>
        <w:gridCol w:w="1609"/>
      </w:tblGrid>
      <w:tr w:rsidR="00ED72CF" w:rsidRPr="003515D6" w14:paraId="6AF84FE8"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02D8174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3701A3B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Total debt ($m)</w:t>
            </w:r>
          </w:p>
        </w:tc>
        <w:tc>
          <w:tcPr>
            <w:tcW w:w="0" w:type="auto"/>
            <w:tcBorders>
              <w:top w:val="thinThickSmallGap" w:sz="24" w:space="0" w:color="auto"/>
              <w:bottom w:val="thickThinSmallGap" w:sz="24" w:space="0" w:color="auto"/>
            </w:tcBorders>
            <w:vAlign w:val="center"/>
            <w:hideMark/>
          </w:tcPr>
          <w:p w14:paraId="54F32BD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Shareholders' equity ($m)</w:t>
            </w:r>
          </w:p>
        </w:tc>
        <w:tc>
          <w:tcPr>
            <w:tcW w:w="0" w:type="auto"/>
            <w:tcBorders>
              <w:top w:val="thinThickSmallGap" w:sz="24" w:space="0" w:color="auto"/>
              <w:bottom w:val="thickThinSmallGap" w:sz="24" w:space="0" w:color="auto"/>
            </w:tcBorders>
            <w:vAlign w:val="center"/>
            <w:hideMark/>
          </w:tcPr>
          <w:p w14:paraId="0FE54E4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Debt-to-Equity</w:t>
            </w:r>
          </w:p>
        </w:tc>
      </w:tr>
      <w:tr w:rsidR="00ED72CF" w:rsidRPr="003515D6" w14:paraId="6CFF6475" w14:textId="77777777" w:rsidTr="008C2C42">
        <w:trPr>
          <w:tblCellSpacing w:w="15" w:type="dxa"/>
        </w:trPr>
        <w:tc>
          <w:tcPr>
            <w:tcW w:w="0" w:type="auto"/>
            <w:vAlign w:val="center"/>
            <w:hideMark/>
          </w:tcPr>
          <w:p w14:paraId="531E62E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4FC4254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10,138</w:t>
            </w:r>
          </w:p>
        </w:tc>
        <w:tc>
          <w:tcPr>
            <w:tcW w:w="0" w:type="auto"/>
            <w:vAlign w:val="center"/>
            <w:hideMark/>
          </w:tcPr>
          <w:p w14:paraId="32D7294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1,414</w:t>
            </w:r>
          </w:p>
        </w:tc>
        <w:tc>
          <w:tcPr>
            <w:tcW w:w="0" w:type="auto"/>
            <w:vAlign w:val="center"/>
            <w:hideMark/>
          </w:tcPr>
          <w:p w14:paraId="0358494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716.7%</w:t>
            </w:r>
          </w:p>
        </w:tc>
      </w:tr>
      <w:tr w:rsidR="00ED72CF" w:rsidRPr="003515D6" w14:paraId="3473F5B0" w14:textId="77777777" w:rsidTr="008C2C42">
        <w:trPr>
          <w:tblCellSpacing w:w="15" w:type="dxa"/>
        </w:trPr>
        <w:tc>
          <w:tcPr>
            <w:tcW w:w="0" w:type="auto"/>
            <w:vAlign w:val="center"/>
            <w:hideMark/>
          </w:tcPr>
          <w:p w14:paraId="1CBDC38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lastRenderedPageBreak/>
              <w:t>2022</w:t>
            </w:r>
          </w:p>
        </w:tc>
        <w:tc>
          <w:tcPr>
            <w:tcW w:w="0" w:type="auto"/>
            <w:vAlign w:val="center"/>
            <w:hideMark/>
          </w:tcPr>
          <w:p w14:paraId="370308F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10,064</w:t>
            </w:r>
          </w:p>
        </w:tc>
        <w:tc>
          <w:tcPr>
            <w:tcW w:w="0" w:type="auto"/>
            <w:vAlign w:val="center"/>
            <w:hideMark/>
          </w:tcPr>
          <w:p w14:paraId="0A7B5C9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568</w:t>
            </w:r>
          </w:p>
        </w:tc>
        <w:tc>
          <w:tcPr>
            <w:tcW w:w="0" w:type="auto"/>
            <w:vAlign w:val="center"/>
            <w:hideMark/>
          </w:tcPr>
          <w:p w14:paraId="399C18E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1,768.3%</w:t>
            </w:r>
          </w:p>
        </w:tc>
      </w:tr>
      <w:tr w:rsidR="00ED72CF" w:rsidRPr="003515D6" w14:paraId="4A46171D" w14:textId="77777777" w:rsidTr="008C2C42">
        <w:trPr>
          <w:tblCellSpacing w:w="15" w:type="dxa"/>
        </w:trPr>
        <w:tc>
          <w:tcPr>
            <w:tcW w:w="0" w:type="auto"/>
            <w:vAlign w:val="center"/>
            <w:hideMark/>
          </w:tcPr>
          <w:p w14:paraId="5FA53B6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60E3B4E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11,873</w:t>
            </w:r>
          </w:p>
        </w:tc>
        <w:tc>
          <w:tcPr>
            <w:tcW w:w="0" w:type="auto"/>
            <w:vAlign w:val="center"/>
            <w:hideMark/>
          </w:tcPr>
          <w:p w14:paraId="1AA0ED3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(682)</w:t>
            </w:r>
          </w:p>
        </w:tc>
        <w:tc>
          <w:tcPr>
            <w:tcW w:w="0" w:type="auto"/>
            <w:vAlign w:val="center"/>
            <w:hideMark/>
          </w:tcPr>
          <w:p w14:paraId="2ABA5B1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N/M</w:t>
            </w:r>
          </w:p>
        </w:tc>
      </w:tr>
      <w:tr w:rsidR="00ED72CF" w:rsidRPr="003515D6" w14:paraId="74A3FD89" w14:textId="77777777" w:rsidTr="008C2C42">
        <w:trPr>
          <w:tblCellSpacing w:w="15" w:type="dxa"/>
        </w:trPr>
        <w:tc>
          <w:tcPr>
            <w:tcW w:w="0" w:type="auto"/>
            <w:vAlign w:val="center"/>
            <w:hideMark/>
          </w:tcPr>
          <w:p w14:paraId="7DF19A7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38C076E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14,447</w:t>
            </w:r>
          </w:p>
        </w:tc>
        <w:tc>
          <w:tcPr>
            <w:tcW w:w="0" w:type="auto"/>
            <w:vAlign w:val="center"/>
            <w:hideMark/>
          </w:tcPr>
          <w:p w14:paraId="4A9ED03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(2,992)</w:t>
            </w:r>
          </w:p>
        </w:tc>
        <w:tc>
          <w:tcPr>
            <w:tcW w:w="0" w:type="auto"/>
            <w:vAlign w:val="center"/>
            <w:hideMark/>
          </w:tcPr>
          <w:p w14:paraId="49A5B1D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N/M</w:t>
            </w:r>
          </w:p>
        </w:tc>
      </w:tr>
      <w:tr w:rsidR="00ED72CF" w:rsidRPr="003515D6" w14:paraId="690A7113" w14:textId="77777777" w:rsidTr="008C2C42">
        <w:trPr>
          <w:tblCellSpacing w:w="15" w:type="dxa"/>
        </w:trPr>
        <w:tc>
          <w:tcPr>
            <w:tcW w:w="0" w:type="auto"/>
            <w:tcBorders>
              <w:bottom w:val="thickThinSmallGap" w:sz="24" w:space="0" w:color="auto"/>
            </w:tcBorders>
            <w:vAlign w:val="center"/>
            <w:hideMark/>
          </w:tcPr>
          <w:p w14:paraId="524263B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57F8092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16,204</w:t>
            </w:r>
          </w:p>
        </w:tc>
        <w:tc>
          <w:tcPr>
            <w:tcW w:w="0" w:type="auto"/>
            <w:tcBorders>
              <w:bottom w:val="thickThinSmallGap" w:sz="24" w:space="0" w:color="auto"/>
            </w:tcBorders>
            <w:vAlign w:val="center"/>
            <w:hideMark/>
          </w:tcPr>
          <w:p w14:paraId="61849E7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(3,771)</w:t>
            </w:r>
          </w:p>
        </w:tc>
        <w:tc>
          <w:tcPr>
            <w:tcW w:w="0" w:type="auto"/>
            <w:tcBorders>
              <w:bottom w:val="thickThinSmallGap" w:sz="24" w:space="0" w:color="auto"/>
            </w:tcBorders>
            <w:vAlign w:val="center"/>
            <w:hideMark/>
          </w:tcPr>
          <w:p w14:paraId="37C0585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N/M</w:t>
            </w:r>
          </w:p>
        </w:tc>
      </w:tr>
    </w:tbl>
    <w:p w14:paraId="50A0D3D2" w14:textId="77777777" w:rsidR="00ED72CF" w:rsidRPr="002C7A45" w:rsidRDefault="00ED72CF" w:rsidP="00ED72CF">
      <w:pPr>
        <w:spacing w:after="0" w:line="360" w:lineRule="auto"/>
        <w:rPr>
          <w:rFonts w:cs="Arial"/>
          <w:b/>
          <w:bCs/>
          <w:sz w:val="24"/>
          <w:szCs w:val="24"/>
          <w:lang w:val="en-GB"/>
        </w:rPr>
      </w:pPr>
    </w:p>
    <w:p w14:paraId="44EB0B09"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3. Interest Coverage</w:t>
      </w:r>
    </w:p>
    <w:p w14:paraId="081339C1"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649B60A7"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Interest Coverage = Operating Income ÷ Interest Expense</w:t>
      </w:r>
    </w:p>
    <w:p w14:paraId="37D7C1B5"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Line correspondence:</w:t>
      </w:r>
    </w:p>
    <w:p w14:paraId="6B2F0AD4"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Operating income = Consolidated Statement of Income</w:t>
      </w:r>
    </w:p>
    <w:p w14:paraId="06BF4B33" w14:textId="77777777" w:rsidR="00ED72CF" w:rsidRPr="00343EA2" w:rsidRDefault="00ED72CF" w:rsidP="00ED72CF">
      <w:pPr>
        <w:spacing w:after="0" w:line="360" w:lineRule="auto"/>
        <w:rPr>
          <w:rFonts w:cs="Arial"/>
          <w:b/>
          <w:bCs/>
          <w:sz w:val="24"/>
          <w:szCs w:val="24"/>
          <w:lang w:val="en-GB"/>
        </w:rPr>
      </w:pPr>
      <w:r w:rsidRPr="002C7A45">
        <w:rPr>
          <w:rFonts w:cs="Arial"/>
          <w:sz w:val="24"/>
          <w:szCs w:val="24"/>
          <w:lang w:val="en-GB"/>
        </w:rPr>
        <w:t>Interest expense = Consolidated Statement of Income</w:t>
      </w:r>
      <w:bookmarkStart w:id="4" w:name="_Hlk23725824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444"/>
        <w:gridCol w:w="2324"/>
        <w:gridCol w:w="1323"/>
        <w:gridCol w:w="1940"/>
      </w:tblGrid>
      <w:tr w:rsidR="00ED72CF" w:rsidRPr="003515D6" w14:paraId="7ED58FBE"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3B4917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713D1C9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Operating income ($m)</w:t>
            </w:r>
          </w:p>
        </w:tc>
        <w:tc>
          <w:tcPr>
            <w:tcW w:w="0" w:type="auto"/>
            <w:tcBorders>
              <w:top w:val="thinThickSmallGap" w:sz="24" w:space="0" w:color="auto"/>
              <w:bottom w:val="thickThinSmallGap" w:sz="24" w:space="0" w:color="auto"/>
            </w:tcBorders>
            <w:vAlign w:val="center"/>
            <w:hideMark/>
          </w:tcPr>
          <w:p w14:paraId="507F3DC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Interest expense ($m)</w:t>
            </w:r>
          </w:p>
        </w:tc>
        <w:tc>
          <w:tcPr>
            <w:tcW w:w="0" w:type="auto"/>
            <w:tcBorders>
              <w:top w:val="thinThickSmallGap" w:sz="24" w:space="0" w:color="auto"/>
              <w:bottom w:val="thickThinSmallGap" w:sz="24" w:space="0" w:color="auto"/>
            </w:tcBorders>
            <w:vAlign w:val="center"/>
            <w:hideMark/>
          </w:tcPr>
          <w:p w14:paraId="3C70C7B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4DA99C1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Interest Coverage</w:t>
            </w:r>
          </w:p>
        </w:tc>
      </w:tr>
      <w:tr w:rsidR="00ED72CF" w:rsidRPr="003515D6" w14:paraId="7B5F6DC2" w14:textId="77777777" w:rsidTr="008C2C42">
        <w:trPr>
          <w:tblCellSpacing w:w="15" w:type="dxa"/>
        </w:trPr>
        <w:tc>
          <w:tcPr>
            <w:tcW w:w="0" w:type="auto"/>
            <w:vAlign w:val="center"/>
            <w:hideMark/>
          </w:tcPr>
          <w:p w14:paraId="61F85C1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0FF2BA8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1,750</w:t>
            </w:r>
          </w:p>
        </w:tc>
        <w:tc>
          <w:tcPr>
            <w:tcW w:w="0" w:type="auto"/>
            <w:vAlign w:val="center"/>
            <w:hideMark/>
          </w:tcPr>
          <w:p w14:paraId="6DEB69E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420</w:t>
            </w:r>
          </w:p>
        </w:tc>
        <w:tc>
          <w:tcPr>
            <w:tcW w:w="0" w:type="auto"/>
            <w:vAlign w:val="center"/>
            <w:hideMark/>
          </w:tcPr>
          <w:p w14:paraId="7B4B4D2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1,750 ÷ 420</w:t>
            </w:r>
          </w:p>
        </w:tc>
        <w:tc>
          <w:tcPr>
            <w:tcW w:w="0" w:type="auto"/>
            <w:vAlign w:val="center"/>
            <w:hideMark/>
          </w:tcPr>
          <w:p w14:paraId="12DB1FC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4.17x</w:t>
            </w:r>
          </w:p>
        </w:tc>
      </w:tr>
      <w:tr w:rsidR="00ED72CF" w:rsidRPr="003515D6" w14:paraId="360A8799" w14:textId="77777777" w:rsidTr="008C2C42">
        <w:trPr>
          <w:tblCellSpacing w:w="15" w:type="dxa"/>
        </w:trPr>
        <w:tc>
          <w:tcPr>
            <w:tcW w:w="0" w:type="auto"/>
            <w:vAlign w:val="center"/>
            <w:hideMark/>
          </w:tcPr>
          <w:p w14:paraId="1702A27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5B1F73C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3,462</w:t>
            </w:r>
          </w:p>
        </w:tc>
        <w:tc>
          <w:tcPr>
            <w:tcW w:w="0" w:type="auto"/>
            <w:vAlign w:val="center"/>
            <w:hideMark/>
          </w:tcPr>
          <w:p w14:paraId="60A9EDF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403</w:t>
            </w:r>
          </w:p>
        </w:tc>
        <w:tc>
          <w:tcPr>
            <w:tcW w:w="0" w:type="auto"/>
            <w:vAlign w:val="center"/>
            <w:hideMark/>
          </w:tcPr>
          <w:p w14:paraId="7219FD0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3,462 ÷ 403</w:t>
            </w:r>
          </w:p>
        </w:tc>
        <w:tc>
          <w:tcPr>
            <w:tcW w:w="0" w:type="auto"/>
            <w:vAlign w:val="center"/>
            <w:hideMark/>
          </w:tcPr>
          <w:p w14:paraId="6A0DFF5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8.59x</w:t>
            </w:r>
          </w:p>
        </w:tc>
      </w:tr>
      <w:tr w:rsidR="00ED72CF" w:rsidRPr="003515D6" w14:paraId="6F67DB79" w14:textId="77777777" w:rsidTr="008C2C42">
        <w:trPr>
          <w:tblCellSpacing w:w="15" w:type="dxa"/>
        </w:trPr>
        <w:tc>
          <w:tcPr>
            <w:tcW w:w="0" w:type="auto"/>
            <w:vAlign w:val="center"/>
            <w:hideMark/>
          </w:tcPr>
          <w:p w14:paraId="4D00D93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349ADF2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3,864</w:t>
            </w:r>
          </w:p>
        </w:tc>
        <w:tc>
          <w:tcPr>
            <w:tcW w:w="0" w:type="auto"/>
            <w:vAlign w:val="center"/>
            <w:hideMark/>
          </w:tcPr>
          <w:p w14:paraId="346F23B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565</w:t>
            </w:r>
          </w:p>
        </w:tc>
        <w:tc>
          <w:tcPr>
            <w:tcW w:w="0" w:type="auto"/>
            <w:vAlign w:val="center"/>
            <w:hideMark/>
          </w:tcPr>
          <w:p w14:paraId="26BA3A2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3,864 ÷ 565</w:t>
            </w:r>
          </w:p>
        </w:tc>
        <w:tc>
          <w:tcPr>
            <w:tcW w:w="0" w:type="auto"/>
            <w:vAlign w:val="center"/>
            <w:hideMark/>
          </w:tcPr>
          <w:p w14:paraId="51561B7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6.84x</w:t>
            </w:r>
          </w:p>
        </w:tc>
      </w:tr>
      <w:tr w:rsidR="00ED72CF" w:rsidRPr="003515D6" w14:paraId="003D38DB" w14:textId="77777777" w:rsidTr="008C2C42">
        <w:trPr>
          <w:tblCellSpacing w:w="15" w:type="dxa"/>
        </w:trPr>
        <w:tc>
          <w:tcPr>
            <w:tcW w:w="0" w:type="auto"/>
            <w:vAlign w:val="center"/>
            <w:hideMark/>
          </w:tcPr>
          <w:p w14:paraId="7E5BA2D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1C833C4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3,767</w:t>
            </w:r>
          </w:p>
        </w:tc>
        <w:tc>
          <w:tcPr>
            <w:tcW w:w="0" w:type="auto"/>
            <w:vAlign w:val="center"/>
            <w:hideMark/>
          </w:tcPr>
          <w:p w14:paraId="71ABEA0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695</w:t>
            </w:r>
          </w:p>
        </w:tc>
        <w:tc>
          <w:tcPr>
            <w:tcW w:w="0" w:type="auto"/>
            <w:vAlign w:val="center"/>
            <w:hideMark/>
          </w:tcPr>
          <w:p w14:paraId="6B3DC28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3,767 ÷ 695</w:t>
            </w:r>
          </w:p>
        </w:tc>
        <w:tc>
          <w:tcPr>
            <w:tcW w:w="0" w:type="auto"/>
            <w:vAlign w:val="center"/>
            <w:hideMark/>
          </w:tcPr>
          <w:p w14:paraId="3B5D2AB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5.42x</w:t>
            </w:r>
          </w:p>
        </w:tc>
      </w:tr>
      <w:tr w:rsidR="00ED72CF" w:rsidRPr="003515D6" w14:paraId="3F4D8B16" w14:textId="77777777" w:rsidTr="008C2C42">
        <w:trPr>
          <w:tblCellSpacing w:w="15" w:type="dxa"/>
        </w:trPr>
        <w:tc>
          <w:tcPr>
            <w:tcW w:w="0" w:type="auto"/>
            <w:tcBorders>
              <w:bottom w:val="thickThinSmallGap" w:sz="24" w:space="0" w:color="auto"/>
            </w:tcBorders>
            <w:vAlign w:val="center"/>
            <w:hideMark/>
          </w:tcPr>
          <w:p w14:paraId="47BAD2C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6534A5A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4,141</w:t>
            </w:r>
          </w:p>
        </w:tc>
        <w:tc>
          <w:tcPr>
            <w:tcW w:w="0" w:type="auto"/>
            <w:tcBorders>
              <w:bottom w:val="thickThinSmallGap" w:sz="24" w:space="0" w:color="auto"/>
            </w:tcBorders>
            <w:vAlign w:val="center"/>
            <w:hideMark/>
          </w:tcPr>
          <w:p w14:paraId="2FC4214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809</w:t>
            </w:r>
          </w:p>
        </w:tc>
        <w:tc>
          <w:tcPr>
            <w:tcW w:w="0" w:type="auto"/>
            <w:tcBorders>
              <w:bottom w:val="thickThinSmallGap" w:sz="24" w:space="0" w:color="auto"/>
            </w:tcBorders>
            <w:vAlign w:val="center"/>
            <w:hideMark/>
          </w:tcPr>
          <w:p w14:paraId="123E902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4,141 ÷ 809</w:t>
            </w:r>
          </w:p>
        </w:tc>
        <w:tc>
          <w:tcPr>
            <w:tcW w:w="0" w:type="auto"/>
            <w:tcBorders>
              <w:bottom w:val="thickThinSmallGap" w:sz="24" w:space="0" w:color="auto"/>
            </w:tcBorders>
            <w:vAlign w:val="center"/>
            <w:hideMark/>
          </w:tcPr>
          <w:p w14:paraId="052D8B8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5.12x</w:t>
            </w:r>
          </w:p>
        </w:tc>
      </w:tr>
      <w:bookmarkEnd w:id="4"/>
    </w:tbl>
    <w:p w14:paraId="1CDD9FD0" w14:textId="77777777" w:rsidR="00ED72CF" w:rsidRDefault="00ED72CF" w:rsidP="00ED72CF">
      <w:pPr>
        <w:spacing w:after="0" w:line="360" w:lineRule="auto"/>
        <w:rPr>
          <w:rFonts w:cs="Arial"/>
          <w:sz w:val="24"/>
          <w:szCs w:val="24"/>
        </w:rPr>
      </w:pPr>
    </w:p>
    <w:p w14:paraId="7D48B9B6" w14:textId="77777777" w:rsidR="00ED72CF" w:rsidRPr="00B71B93" w:rsidRDefault="00ED72CF" w:rsidP="00ED72CF">
      <w:pPr>
        <w:spacing w:after="0" w:line="360" w:lineRule="auto"/>
        <w:jc w:val="both"/>
        <w:rPr>
          <w:rFonts w:cs="Arial"/>
          <w:sz w:val="24"/>
          <w:szCs w:val="24"/>
          <w:lang w:val="en-GB"/>
        </w:rPr>
      </w:pPr>
      <w:r>
        <w:rPr>
          <w:rFonts w:cs="Arial"/>
          <w:b/>
          <w:bCs/>
          <w:sz w:val="24"/>
          <w:szCs w:val="24"/>
          <w:u w:val="single"/>
        </w:rPr>
        <w:t xml:space="preserve">Appendix </w:t>
      </w:r>
      <w:proofErr w:type="gramStart"/>
      <w:r>
        <w:rPr>
          <w:rFonts w:cs="Arial"/>
          <w:b/>
          <w:bCs/>
          <w:sz w:val="24"/>
          <w:szCs w:val="24"/>
          <w:u w:val="single"/>
        </w:rPr>
        <w:t xml:space="preserve">7 </w:t>
      </w:r>
      <w:r w:rsidRPr="00C236AD">
        <w:rPr>
          <w:rFonts w:cs="Arial"/>
          <w:b/>
          <w:bCs/>
          <w:sz w:val="24"/>
          <w:szCs w:val="24"/>
          <w:u w:val="single"/>
          <w:lang w:val="en-GB"/>
        </w:rPr>
        <w:t>:</w:t>
      </w:r>
      <w:proofErr w:type="gramEnd"/>
      <w:r w:rsidRPr="00C236AD">
        <w:rPr>
          <w:rFonts w:cs="Arial"/>
          <w:b/>
          <w:bCs/>
          <w:sz w:val="24"/>
          <w:szCs w:val="24"/>
          <w:lang w:val="en-GB"/>
        </w:rPr>
        <w:t xml:space="preserve"> </w:t>
      </w:r>
      <w:r>
        <w:rPr>
          <w:rFonts w:cs="Arial"/>
          <w:b/>
          <w:bCs/>
          <w:sz w:val="24"/>
          <w:szCs w:val="24"/>
        </w:rPr>
        <w:t xml:space="preserve">Autor’s calculations of </w:t>
      </w:r>
      <w:r w:rsidRPr="002C7A45">
        <w:rPr>
          <w:rFonts w:cs="Arial"/>
          <w:sz w:val="24"/>
          <w:szCs w:val="24"/>
          <w:lang w:val="en-GB"/>
        </w:rPr>
        <w:t>Investment Ratios</w:t>
      </w:r>
      <w:r>
        <w:rPr>
          <w:rFonts w:cs="Arial"/>
          <w:b/>
          <w:bCs/>
          <w:sz w:val="24"/>
          <w:szCs w:val="24"/>
        </w:rPr>
        <w:t xml:space="preserve"> </w:t>
      </w:r>
      <w:r w:rsidRPr="00C236AD">
        <w:rPr>
          <w:rFonts w:cs="Arial"/>
          <w:sz w:val="24"/>
          <w:szCs w:val="24"/>
        </w:rPr>
        <w:t xml:space="preserve">2021-2025  </w:t>
      </w:r>
    </w:p>
    <w:p w14:paraId="6A09826F"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1. Earnings Per Share (EPS)</w:t>
      </w:r>
    </w:p>
    <w:p w14:paraId="09DDDE54"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EPS is reported directly by Marriott in its Consolidated Statements of Income.</w:t>
      </w:r>
    </w:p>
    <w:p w14:paraId="1FA6F59D"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lastRenderedPageBreak/>
        <w:t>Formula:</w:t>
      </w:r>
    </w:p>
    <w:p w14:paraId="63294B3E"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Diluted EPS = Net Income Available to Common Shareholders ÷ Diluted Weighted Average Shares</w:t>
      </w:r>
    </w:p>
    <w:p w14:paraId="4238871A" w14:textId="77777777" w:rsidR="00ED72CF" w:rsidRPr="00632F57" w:rsidRDefault="00ED72CF" w:rsidP="00ED72CF">
      <w:pPr>
        <w:spacing w:after="0" w:line="360" w:lineRule="auto"/>
        <w:rPr>
          <w:rFonts w:cs="Arial"/>
          <w:b/>
          <w:bCs/>
          <w:sz w:val="24"/>
          <w:szCs w:val="24"/>
          <w:lang w:val="en-GB"/>
        </w:rPr>
      </w:pPr>
      <w:r w:rsidRPr="002C7A45">
        <w:rPr>
          <w:rFonts w:cs="Arial"/>
          <w:sz w:val="24"/>
          <w:szCs w:val="24"/>
          <w:lang w:val="en-GB"/>
        </w:rPr>
        <w:t>For this analysis, the reported diluted EPS is used rather than recalculating it</w:t>
      </w:r>
      <w:bookmarkStart w:id="5" w:name="_Hlk237258337"/>
    </w:p>
    <w:tbl>
      <w:tblPr>
        <w:tblW w:w="6192" w:type="dxa"/>
        <w:tblCellSpacing w:w="15" w:type="dxa"/>
        <w:tblCellMar>
          <w:top w:w="15" w:type="dxa"/>
          <w:left w:w="15" w:type="dxa"/>
          <w:bottom w:w="15" w:type="dxa"/>
          <w:right w:w="15" w:type="dxa"/>
        </w:tblCellMar>
        <w:tblLook w:val="04A0" w:firstRow="1" w:lastRow="0" w:firstColumn="1" w:lastColumn="0" w:noHBand="0" w:noVBand="1"/>
      </w:tblPr>
      <w:tblGrid>
        <w:gridCol w:w="1868"/>
        <w:gridCol w:w="4324"/>
      </w:tblGrid>
      <w:tr w:rsidR="00ED72CF" w:rsidRPr="003515D6" w14:paraId="15C04524" w14:textId="77777777" w:rsidTr="008C2C42">
        <w:trPr>
          <w:trHeight w:val="401"/>
          <w:tblHeader/>
          <w:tblCellSpacing w:w="15" w:type="dxa"/>
        </w:trPr>
        <w:tc>
          <w:tcPr>
            <w:tcW w:w="0" w:type="auto"/>
            <w:tcBorders>
              <w:top w:val="thinThickSmallGap" w:sz="24" w:space="0" w:color="auto"/>
              <w:bottom w:val="thickThinSmallGap" w:sz="24" w:space="0" w:color="auto"/>
            </w:tcBorders>
            <w:vAlign w:val="center"/>
            <w:hideMark/>
          </w:tcPr>
          <w:p w14:paraId="0DA3DAC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620C87B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Diluted EPS</w:t>
            </w:r>
          </w:p>
        </w:tc>
      </w:tr>
      <w:tr w:rsidR="00ED72CF" w:rsidRPr="003515D6" w14:paraId="050B5602" w14:textId="77777777" w:rsidTr="008C2C42">
        <w:trPr>
          <w:trHeight w:val="409"/>
          <w:tblCellSpacing w:w="15" w:type="dxa"/>
        </w:trPr>
        <w:tc>
          <w:tcPr>
            <w:tcW w:w="0" w:type="auto"/>
            <w:vAlign w:val="center"/>
            <w:hideMark/>
          </w:tcPr>
          <w:p w14:paraId="0C2923A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2148E87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$3.34</w:t>
            </w:r>
          </w:p>
        </w:tc>
      </w:tr>
      <w:tr w:rsidR="00ED72CF" w:rsidRPr="003515D6" w14:paraId="4EF10FDB" w14:textId="77777777" w:rsidTr="008C2C42">
        <w:trPr>
          <w:trHeight w:val="409"/>
          <w:tblCellSpacing w:w="15" w:type="dxa"/>
        </w:trPr>
        <w:tc>
          <w:tcPr>
            <w:tcW w:w="0" w:type="auto"/>
            <w:vAlign w:val="center"/>
            <w:hideMark/>
          </w:tcPr>
          <w:p w14:paraId="1EEF3B5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5AC4E77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$7.24</w:t>
            </w:r>
          </w:p>
        </w:tc>
      </w:tr>
      <w:tr w:rsidR="00ED72CF" w:rsidRPr="003515D6" w14:paraId="6EB0CCB3" w14:textId="77777777" w:rsidTr="008C2C42">
        <w:trPr>
          <w:trHeight w:val="401"/>
          <w:tblCellSpacing w:w="15" w:type="dxa"/>
        </w:trPr>
        <w:tc>
          <w:tcPr>
            <w:tcW w:w="0" w:type="auto"/>
            <w:vAlign w:val="center"/>
            <w:hideMark/>
          </w:tcPr>
          <w:p w14:paraId="10FA2AE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684D0B2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$10.18</w:t>
            </w:r>
          </w:p>
        </w:tc>
      </w:tr>
      <w:tr w:rsidR="00ED72CF" w:rsidRPr="003515D6" w14:paraId="0D4986AF" w14:textId="77777777" w:rsidTr="008C2C42">
        <w:trPr>
          <w:trHeight w:val="409"/>
          <w:tblCellSpacing w:w="15" w:type="dxa"/>
        </w:trPr>
        <w:tc>
          <w:tcPr>
            <w:tcW w:w="0" w:type="auto"/>
            <w:vAlign w:val="center"/>
            <w:hideMark/>
          </w:tcPr>
          <w:p w14:paraId="0FA9D57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016EA8A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$8.33</w:t>
            </w:r>
          </w:p>
        </w:tc>
      </w:tr>
      <w:tr w:rsidR="00ED72CF" w:rsidRPr="003515D6" w14:paraId="7D67EE49" w14:textId="77777777" w:rsidTr="008C2C42">
        <w:trPr>
          <w:trHeight w:val="401"/>
          <w:tblCellSpacing w:w="15" w:type="dxa"/>
        </w:trPr>
        <w:tc>
          <w:tcPr>
            <w:tcW w:w="0" w:type="auto"/>
            <w:tcBorders>
              <w:bottom w:val="thickThinSmallGap" w:sz="24" w:space="0" w:color="auto"/>
            </w:tcBorders>
            <w:vAlign w:val="center"/>
            <w:hideMark/>
          </w:tcPr>
          <w:p w14:paraId="58C0A3E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715C4FA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$9.51</w:t>
            </w:r>
          </w:p>
        </w:tc>
      </w:tr>
      <w:bookmarkEnd w:id="5"/>
    </w:tbl>
    <w:p w14:paraId="172D7137" w14:textId="77777777" w:rsidR="00ED72CF" w:rsidRDefault="00ED72CF" w:rsidP="00ED72CF">
      <w:pPr>
        <w:spacing w:after="0" w:line="360" w:lineRule="auto"/>
        <w:rPr>
          <w:rFonts w:cs="Arial"/>
          <w:b/>
          <w:bCs/>
          <w:sz w:val="24"/>
          <w:szCs w:val="24"/>
          <w:u w:val="single"/>
        </w:rPr>
      </w:pPr>
    </w:p>
    <w:p w14:paraId="455D06D9"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2. Price-to-Earnings Ratio (P/E)</w:t>
      </w:r>
    </w:p>
    <w:p w14:paraId="1CDC91B2"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54CE0B7E"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P/E = Year-end Share Price ÷ Diluted EPS</w:t>
      </w:r>
    </w:p>
    <w:p w14:paraId="7F9BB297" w14:textId="77777777" w:rsidR="00ED72CF" w:rsidRPr="00343EA2" w:rsidRDefault="00ED72CF" w:rsidP="00ED72CF">
      <w:pPr>
        <w:spacing w:after="0" w:line="360" w:lineRule="auto"/>
        <w:rPr>
          <w:rFonts w:cs="Arial"/>
          <w:b/>
          <w:bCs/>
          <w:sz w:val="24"/>
          <w:szCs w:val="24"/>
          <w:lang w:val="en-GB"/>
        </w:rPr>
      </w:pPr>
      <w:r w:rsidRPr="002C7A45">
        <w:rPr>
          <w:rFonts w:cs="Arial"/>
          <w:sz w:val="24"/>
          <w:szCs w:val="24"/>
          <w:lang w:val="en-GB"/>
        </w:rPr>
        <w:t>The year-end share prices and historical P/E series are obtained from Stock</w:t>
      </w:r>
      <w:r>
        <w:rPr>
          <w:rFonts w:cs="Arial"/>
          <w:sz w:val="24"/>
          <w:szCs w:val="24"/>
          <w:lang w:val="en-GB"/>
        </w:rPr>
        <w:t xml:space="preserve"> </w:t>
      </w:r>
      <w:r w:rsidRPr="002C7A45">
        <w:rPr>
          <w:rFonts w:cs="Arial"/>
          <w:sz w:val="24"/>
          <w:szCs w:val="24"/>
          <w:lang w:val="en-GB"/>
        </w:rPr>
        <w:t>Analysis.</w:t>
      </w:r>
      <w:bookmarkStart w:id="6" w:name="_Hlk23725839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662"/>
        <w:gridCol w:w="1714"/>
        <w:gridCol w:w="796"/>
      </w:tblGrid>
      <w:tr w:rsidR="00ED72CF" w:rsidRPr="003515D6" w14:paraId="51D75D91"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131F588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w:t>
            </w:r>
          </w:p>
        </w:tc>
        <w:tc>
          <w:tcPr>
            <w:tcW w:w="0" w:type="auto"/>
            <w:tcBorders>
              <w:top w:val="thinThickSmallGap" w:sz="24" w:space="0" w:color="auto"/>
              <w:bottom w:val="thickThinSmallGap" w:sz="24" w:space="0" w:color="auto"/>
            </w:tcBorders>
            <w:vAlign w:val="center"/>
            <w:hideMark/>
          </w:tcPr>
          <w:p w14:paraId="3494B8E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Year-end share price ($)</w:t>
            </w:r>
          </w:p>
        </w:tc>
        <w:tc>
          <w:tcPr>
            <w:tcW w:w="0" w:type="auto"/>
            <w:tcBorders>
              <w:top w:val="thinThickSmallGap" w:sz="24" w:space="0" w:color="auto"/>
              <w:bottom w:val="thickThinSmallGap" w:sz="24" w:space="0" w:color="auto"/>
            </w:tcBorders>
            <w:vAlign w:val="center"/>
            <w:hideMark/>
          </w:tcPr>
          <w:p w14:paraId="4886E2D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Diluted EPS ($)</w:t>
            </w:r>
          </w:p>
        </w:tc>
        <w:tc>
          <w:tcPr>
            <w:tcW w:w="0" w:type="auto"/>
            <w:tcBorders>
              <w:top w:val="thinThickSmallGap" w:sz="24" w:space="0" w:color="auto"/>
              <w:bottom w:val="thickThinSmallGap" w:sz="24" w:space="0" w:color="auto"/>
            </w:tcBorders>
            <w:vAlign w:val="center"/>
            <w:hideMark/>
          </w:tcPr>
          <w:p w14:paraId="79B93947" w14:textId="77777777" w:rsidR="00ED72CF" w:rsidRPr="00B71B93" w:rsidRDefault="00ED72CF" w:rsidP="008C2C42">
            <w:pPr>
              <w:spacing w:after="0" w:line="360" w:lineRule="auto"/>
              <w:rPr>
                <w:rFonts w:cs="Arial"/>
                <w:b/>
                <w:bCs/>
                <w:sz w:val="24"/>
                <w:szCs w:val="24"/>
                <w:highlight w:val="yellow"/>
                <w:lang w:val="en-GB"/>
              </w:rPr>
            </w:pPr>
            <w:r w:rsidRPr="00B71B93">
              <w:rPr>
                <w:rFonts w:cs="Arial"/>
                <w:sz w:val="24"/>
                <w:szCs w:val="24"/>
                <w:highlight w:val="yellow"/>
                <w:lang w:val="en-GB"/>
              </w:rPr>
              <w:t>P/E</w:t>
            </w:r>
          </w:p>
        </w:tc>
      </w:tr>
      <w:tr w:rsidR="00ED72CF" w:rsidRPr="003515D6" w14:paraId="43C48E5F" w14:textId="77777777" w:rsidTr="008C2C42">
        <w:trPr>
          <w:tblCellSpacing w:w="15" w:type="dxa"/>
        </w:trPr>
        <w:tc>
          <w:tcPr>
            <w:tcW w:w="0" w:type="auto"/>
            <w:vAlign w:val="center"/>
            <w:hideMark/>
          </w:tcPr>
          <w:p w14:paraId="4E2D586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3CA5EB6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165.24</w:t>
            </w:r>
          </w:p>
        </w:tc>
        <w:tc>
          <w:tcPr>
            <w:tcW w:w="0" w:type="auto"/>
            <w:vAlign w:val="center"/>
            <w:hideMark/>
          </w:tcPr>
          <w:p w14:paraId="44454CF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3.34</w:t>
            </w:r>
          </w:p>
        </w:tc>
        <w:tc>
          <w:tcPr>
            <w:tcW w:w="0" w:type="auto"/>
            <w:vAlign w:val="center"/>
            <w:hideMark/>
          </w:tcPr>
          <w:p w14:paraId="31A5E164" w14:textId="77777777" w:rsidR="00ED72CF" w:rsidRPr="00B71B93" w:rsidRDefault="00ED72CF" w:rsidP="008C2C42">
            <w:pPr>
              <w:spacing w:after="0" w:line="360" w:lineRule="auto"/>
              <w:rPr>
                <w:rFonts w:cs="Arial"/>
                <w:b/>
                <w:bCs/>
                <w:sz w:val="24"/>
                <w:szCs w:val="24"/>
                <w:highlight w:val="yellow"/>
                <w:lang w:val="en-GB"/>
              </w:rPr>
            </w:pPr>
            <w:r w:rsidRPr="00B71B93">
              <w:rPr>
                <w:rFonts w:cs="Arial"/>
                <w:sz w:val="24"/>
                <w:szCs w:val="24"/>
                <w:highlight w:val="yellow"/>
                <w:lang w:val="en-GB"/>
              </w:rPr>
              <w:t>49.47x</w:t>
            </w:r>
          </w:p>
        </w:tc>
      </w:tr>
      <w:tr w:rsidR="00ED72CF" w:rsidRPr="003515D6" w14:paraId="4F150DCD" w14:textId="77777777" w:rsidTr="008C2C42">
        <w:trPr>
          <w:tblCellSpacing w:w="15" w:type="dxa"/>
        </w:trPr>
        <w:tc>
          <w:tcPr>
            <w:tcW w:w="0" w:type="auto"/>
            <w:vAlign w:val="center"/>
            <w:hideMark/>
          </w:tcPr>
          <w:p w14:paraId="6696B29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3E4D5FA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148.89</w:t>
            </w:r>
          </w:p>
        </w:tc>
        <w:tc>
          <w:tcPr>
            <w:tcW w:w="0" w:type="auto"/>
            <w:vAlign w:val="center"/>
            <w:hideMark/>
          </w:tcPr>
          <w:p w14:paraId="395AA677"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7.24</w:t>
            </w:r>
          </w:p>
        </w:tc>
        <w:tc>
          <w:tcPr>
            <w:tcW w:w="0" w:type="auto"/>
            <w:vAlign w:val="center"/>
            <w:hideMark/>
          </w:tcPr>
          <w:p w14:paraId="65B0EA30" w14:textId="77777777" w:rsidR="00ED72CF" w:rsidRPr="00B71B93" w:rsidRDefault="00ED72CF" w:rsidP="008C2C42">
            <w:pPr>
              <w:spacing w:after="0" w:line="360" w:lineRule="auto"/>
              <w:rPr>
                <w:rFonts w:cs="Arial"/>
                <w:b/>
                <w:bCs/>
                <w:sz w:val="24"/>
                <w:szCs w:val="24"/>
                <w:highlight w:val="yellow"/>
                <w:lang w:val="en-GB"/>
              </w:rPr>
            </w:pPr>
            <w:r w:rsidRPr="00B71B93">
              <w:rPr>
                <w:rFonts w:cs="Arial"/>
                <w:sz w:val="24"/>
                <w:szCs w:val="24"/>
                <w:highlight w:val="yellow"/>
                <w:lang w:val="en-GB"/>
              </w:rPr>
              <w:t>20.56x</w:t>
            </w:r>
          </w:p>
        </w:tc>
      </w:tr>
      <w:tr w:rsidR="00ED72CF" w:rsidRPr="003515D6" w14:paraId="11A73815" w14:textId="77777777" w:rsidTr="008C2C42">
        <w:trPr>
          <w:tblCellSpacing w:w="15" w:type="dxa"/>
        </w:trPr>
        <w:tc>
          <w:tcPr>
            <w:tcW w:w="0" w:type="auto"/>
            <w:vAlign w:val="center"/>
            <w:hideMark/>
          </w:tcPr>
          <w:p w14:paraId="75BF4D8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470F49D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225.51</w:t>
            </w:r>
          </w:p>
        </w:tc>
        <w:tc>
          <w:tcPr>
            <w:tcW w:w="0" w:type="auto"/>
            <w:vAlign w:val="center"/>
            <w:hideMark/>
          </w:tcPr>
          <w:p w14:paraId="30912768"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10.18</w:t>
            </w:r>
          </w:p>
        </w:tc>
        <w:tc>
          <w:tcPr>
            <w:tcW w:w="0" w:type="auto"/>
            <w:vAlign w:val="center"/>
            <w:hideMark/>
          </w:tcPr>
          <w:p w14:paraId="4BA19A3F" w14:textId="77777777" w:rsidR="00ED72CF" w:rsidRPr="00B71B93" w:rsidRDefault="00ED72CF" w:rsidP="008C2C42">
            <w:pPr>
              <w:spacing w:after="0" w:line="360" w:lineRule="auto"/>
              <w:rPr>
                <w:rFonts w:cs="Arial"/>
                <w:b/>
                <w:bCs/>
                <w:sz w:val="24"/>
                <w:szCs w:val="24"/>
                <w:highlight w:val="yellow"/>
                <w:lang w:val="en-GB"/>
              </w:rPr>
            </w:pPr>
            <w:r w:rsidRPr="00B71B93">
              <w:rPr>
                <w:rFonts w:cs="Arial"/>
                <w:sz w:val="24"/>
                <w:szCs w:val="24"/>
                <w:highlight w:val="yellow"/>
                <w:lang w:val="en-GB"/>
              </w:rPr>
              <w:t>22.15x</w:t>
            </w:r>
          </w:p>
        </w:tc>
      </w:tr>
      <w:tr w:rsidR="00ED72CF" w:rsidRPr="003515D6" w14:paraId="7D6F90FF" w14:textId="77777777" w:rsidTr="008C2C42">
        <w:trPr>
          <w:tblCellSpacing w:w="15" w:type="dxa"/>
        </w:trPr>
        <w:tc>
          <w:tcPr>
            <w:tcW w:w="0" w:type="auto"/>
            <w:vAlign w:val="center"/>
            <w:hideMark/>
          </w:tcPr>
          <w:p w14:paraId="571F454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65B0E7B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278.94</w:t>
            </w:r>
          </w:p>
        </w:tc>
        <w:tc>
          <w:tcPr>
            <w:tcW w:w="0" w:type="auto"/>
            <w:vAlign w:val="center"/>
            <w:hideMark/>
          </w:tcPr>
          <w:p w14:paraId="4EB54EA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8.33</w:t>
            </w:r>
          </w:p>
        </w:tc>
        <w:tc>
          <w:tcPr>
            <w:tcW w:w="0" w:type="auto"/>
            <w:vAlign w:val="center"/>
            <w:hideMark/>
          </w:tcPr>
          <w:p w14:paraId="1C978FAD" w14:textId="77777777" w:rsidR="00ED72CF" w:rsidRPr="00B71B93" w:rsidRDefault="00ED72CF" w:rsidP="008C2C42">
            <w:pPr>
              <w:spacing w:after="0" w:line="360" w:lineRule="auto"/>
              <w:rPr>
                <w:rFonts w:cs="Arial"/>
                <w:b/>
                <w:bCs/>
                <w:sz w:val="24"/>
                <w:szCs w:val="24"/>
                <w:highlight w:val="yellow"/>
                <w:lang w:val="en-GB"/>
              </w:rPr>
            </w:pPr>
            <w:r w:rsidRPr="00B71B93">
              <w:rPr>
                <w:rFonts w:cs="Arial"/>
                <w:sz w:val="24"/>
                <w:szCs w:val="24"/>
                <w:highlight w:val="yellow"/>
                <w:lang w:val="en-GB"/>
              </w:rPr>
              <w:t>33.49x</w:t>
            </w:r>
          </w:p>
        </w:tc>
      </w:tr>
      <w:tr w:rsidR="00ED72CF" w:rsidRPr="003515D6" w14:paraId="622C82F2" w14:textId="77777777" w:rsidTr="008C2C42">
        <w:trPr>
          <w:tblCellSpacing w:w="15" w:type="dxa"/>
        </w:trPr>
        <w:tc>
          <w:tcPr>
            <w:tcW w:w="0" w:type="auto"/>
            <w:tcBorders>
              <w:bottom w:val="thickThinSmallGap" w:sz="24" w:space="0" w:color="auto"/>
            </w:tcBorders>
            <w:vAlign w:val="center"/>
            <w:hideMark/>
          </w:tcPr>
          <w:p w14:paraId="3C1A8CD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6199AD8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310.24</w:t>
            </w:r>
          </w:p>
        </w:tc>
        <w:tc>
          <w:tcPr>
            <w:tcW w:w="0" w:type="auto"/>
            <w:tcBorders>
              <w:bottom w:val="thickThinSmallGap" w:sz="24" w:space="0" w:color="auto"/>
            </w:tcBorders>
            <w:vAlign w:val="center"/>
            <w:hideMark/>
          </w:tcPr>
          <w:p w14:paraId="5FA21DC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9.51</w:t>
            </w:r>
          </w:p>
        </w:tc>
        <w:tc>
          <w:tcPr>
            <w:tcW w:w="0" w:type="auto"/>
            <w:tcBorders>
              <w:bottom w:val="thickThinSmallGap" w:sz="24" w:space="0" w:color="auto"/>
            </w:tcBorders>
            <w:vAlign w:val="center"/>
            <w:hideMark/>
          </w:tcPr>
          <w:p w14:paraId="695E4FE9" w14:textId="77777777" w:rsidR="00ED72CF" w:rsidRPr="00B71B93" w:rsidRDefault="00ED72CF" w:rsidP="008C2C42">
            <w:pPr>
              <w:spacing w:after="0" w:line="360" w:lineRule="auto"/>
              <w:rPr>
                <w:rFonts w:cs="Arial"/>
                <w:b/>
                <w:bCs/>
                <w:sz w:val="24"/>
                <w:szCs w:val="24"/>
                <w:highlight w:val="yellow"/>
                <w:lang w:val="en-GB"/>
              </w:rPr>
            </w:pPr>
            <w:r w:rsidRPr="00B71B93">
              <w:rPr>
                <w:rFonts w:cs="Arial"/>
                <w:sz w:val="24"/>
                <w:szCs w:val="24"/>
                <w:highlight w:val="yellow"/>
                <w:lang w:val="en-GB"/>
              </w:rPr>
              <w:t>32.62x</w:t>
            </w:r>
          </w:p>
        </w:tc>
      </w:tr>
      <w:bookmarkEnd w:id="6"/>
    </w:tbl>
    <w:p w14:paraId="60A86DEE" w14:textId="77777777" w:rsidR="00ED72CF" w:rsidRDefault="00ED72CF" w:rsidP="00ED72CF">
      <w:pPr>
        <w:spacing w:after="0" w:line="360" w:lineRule="auto"/>
        <w:rPr>
          <w:rFonts w:cs="Arial"/>
          <w:b/>
          <w:bCs/>
          <w:sz w:val="24"/>
          <w:szCs w:val="24"/>
          <w:u w:val="single"/>
        </w:rPr>
      </w:pPr>
    </w:p>
    <w:p w14:paraId="388E3281"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3. Dividend Yield</w:t>
      </w:r>
    </w:p>
    <w:p w14:paraId="4234600C"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Formula:</w:t>
      </w:r>
    </w:p>
    <w:p w14:paraId="6E557663" w14:textId="77777777" w:rsidR="00ED72CF" w:rsidRPr="002C7A45" w:rsidRDefault="00ED72CF" w:rsidP="00ED72CF">
      <w:pPr>
        <w:spacing w:after="0" w:line="360" w:lineRule="auto"/>
        <w:rPr>
          <w:rFonts w:cs="Arial"/>
          <w:b/>
          <w:bCs/>
          <w:sz w:val="24"/>
          <w:szCs w:val="24"/>
          <w:lang w:val="en-GB"/>
        </w:rPr>
      </w:pPr>
      <w:r w:rsidRPr="002C7A45">
        <w:rPr>
          <w:rFonts w:cs="Arial"/>
          <w:sz w:val="24"/>
          <w:szCs w:val="24"/>
          <w:lang w:val="en-GB"/>
        </w:rPr>
        <w:t>Dividend Yield = Annual Dividend per Share ÷ Year-end Share Price × 100</w:t>
      </w:r>
    </w:p>
    <w:p w14:paraId="5FAB9F7C" w14:textId="77777777" w:rsidR="00ED72CF" w:rsidRPr="00632F57" w:rsidRDefault="00ED72CF" w:rsidP="00ED72CF">
      <w:pPr>
        <w:spacing w:after="0" w:line="360" w:lineRule="auto"/>
        <w:rPr>
          <w:rFonts w:cs="Arial"/>
          <w:b/>
          <w:bCs/>
          <w:sz w:val="24"/>
          <w:szCs w:val="24"/>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553"/>
        <w:gridCol w:w="2119"/>
        <w:gridCol w:w="1924"/>
        <w:gridCol w:w="1435"/>
      </w:tblGrid>
      <w:tr w:rsidR="00ED72CF" w:rsidRPr="003515D6" w14:paraId="7A58A8B8"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56124B1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lastRenderedPageBreak/>
              <w:t>Year</w:t>
            </w:r>
          </w:p>
        </w:tc>
        <w:tc>
          <w:tcPr>
            <w:tcW w:w="0" w:type="auto"/>
            <w:tcBorders>
              <w:top w:val="thinThickSmallGap" w:sz="24" w:space="0" w:color="auto"/>
              <w:bottom w:val="thickThinSmallGap" w:sz="24" w:space="0" w:color="auto"/>
            </w:tcBorders>
            <w:vAlign w:val="center"/>
            <w:hideMark/>
          </w:tcPr>
          <w:p w14:paraId="16D677B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Annual dividend per share ($)</w:t>
            </w:r>
          </w:p>
        </w:tc>
        <w:tc>
          <w:tcPr>
            <w:tcW w:w="0" w:type="auto"/>
            <w:tcBorders>
              <w:top w:val="thinThickSmallGap" w:sz="24" w:space="0" w:color="auto"/>
              <w:bottom w:val="thickThinSmallGap" w:sz="24" w:space="0" w:color="auto"/>
            </w:tcBorders>
            <w:vAlign w:val="center"/>
            <w:hideMark/>
          </w:tcPr>
          <w:p w14:paraId="3CBA4A5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Year-end share price ($)</w:t>
            </w:r>
          </w:p>
        </w:tc>
        <w:tc>
          <w:tcPr>
            <w:tcW w:w="0" w:type="auto"/>
            <w:tcBorders>
              <w:top w:val="thinThickSmallGap" w:sz="24" w:space="0" w:color="auto"/>
              <w:bottom w:val="thickThinSmallGap" w:sz="24" w:space="0" w:color="auto"/>
            </w:tcBorders>
            <w:vAlign w:val="center"/>
            <w:hideMark/>
          </w:tcPr>
          <w:p w14:paraId="51C3D12A"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603C0A0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Dividend Yield</w:t>
            </w:r>
          </w:p>
        </w:tc>
      </w:tr>
      <w:tr w:rsidR="00ED72CF" w:rsidRPr="003515D6" w14:paraId="31F74422" w14:textId="77777777" w:rsidTr="008C2C42">
        <w:trPr>
          <w:tblCellSpacing w:w="15" w:type="dxa"/>
        </w:trPr>
        <w:tc>
          <w:tcPr>
            <w:tcW w:w="0" w:type="auto"/>
            <w:vAlign w:val="center"/>
            <w:hideMark/>
          </w:tcPr>
          <w:p w14:paraId="364D8B50"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2021</w:t>
            </w:r>
          </w:p>
        </w:tc>
        <w:tc>
          <w:tcPr>
            <w:tcW w:w="0" w:type="auto"/>
            <w:vAlign w:val="center"/>
            <w:hideMark/>
          </w:tcPr>
          <w:p w14:paraId="57E6484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0.00</w:t>
            </w:r>
          </w:p>
        </w:tc>
        <w:tc>
          <w:tcPr>
            <w:tcW w:w="0" w:type="auto"/>
            <w:vAlign w:val="center"/>
            <w:hideMark/>
          </w:tcPr>
          <w:p w14:paraId="386F2821"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165.24</w:t>
            </w:r>
          </w:p>
        </w:tc>
        <w:tc>
          <w:tcPr>
            <w:tcW w:w="0" w:type="auto"/>
            <w:vAlign w:val="center"/>
            <w:hideMark/>
          </w:tcPr>
          <w:p w14:paraId="1B634226"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0.00 ÷ 165.24 × 100</w:t>
            </w:r>
          </w:p>
        </w:tc>
        <w:tc>
          <w:tcPr>
            <w:tcW w:w="0" w:type="auto"/>
            <w:vAlign w:val="center"/>
            <w:hideMark/>
          </w:tcPr>
          <w:p w14:paraId="49ED5C3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0.00%</w:t>
            </w:r>
          </w:p>
        </w:tc>
      </w:tr>
      <w:tr w:rsidR="00ED72CF" w:rsidRPr="003515D6" w14:paraId="5499D4AB" w14:textId="77777777" w:rsidTr="008C2C42">
        <w:trPr>
          <w:tblCellSpacing w:w="15" w:type="dxa"/>
        </w:trPr>
        <w:tc>
          <w:tcPr>
            <w:tcW w:w="0" w:type="auto"/>
            <w:vAlign w:val="center"/>
            <w:hideMark/>
          </w:tcPr>
          <w:p w14:paraId="75FD8EE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2022</w:t>
            </w:r>
          </w:p>
        </w:tc>
        <w:tc>
          <w:tcPr>
            <w:tcW w:w="0" w:type="auto"/>
            <w:vAlign w:val="center"/>
            <w:hideMark/>
          </w:tcPr>
          <w:p w14:paraId="1B5F7FB2"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1.00</w:t>
            </w:r>
          </w:p>
        </w:tc>
        <w:tc>
          <w:tcPr>
            <w:tcW w:w="0" w:type="auto"/>
            <w:vAlign w:val="center"/>
            <w:hideMark/>
          </w:tcPr>
          <w:p w14:paraId="39B2926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148.89</w:t>
            </w:r>
          </w:p>
        </w:tc>
        <w:tc>
          <w:tcPr>
            <w:tcW w:w="0" w:type="auto"/>
            <w:vAlign w:val="center"/>
            <w:hideMark/>
          </w:tcPr>
          <w:p w14:paraId="12A8335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1.00 ÷ 148.89 × 100</w:t>
            </w:r>
          </w:p>
        </w:tc>
        <w:tc>
          <w:tcPr>
            <w:tcW w:w="0" w:type="auto"/>
            <w:vAlign w:val="center"/>
            <w:hideMark/>
          </w:tcPr>
          <w:p w14:paraId="59C779D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0.67%</w:t>
            </w:r>
          </w:p>
        </w:tc>
      </w:tr>
      <w:tr w:rsidR="00ED72CF" w:rsidRPr="003515D6" w14:paraId="6CD8AE3C" w14:textId="77777777" w:rsidTr="008C2C42">
        <w:trPr>
          <w:tblCellSpacing w:w="15" w:type="dxa"/>
        </w:trPr>
        <w:tc>
          <w:tcPr>
            <w:tcW w:w="0" w:type="auto"/>
            <w:vAlign w:val="center"/>
            <w:hideMark/>
          </w:tcPr>
          <w:p w14:paraId="2C807A5D"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2023</w:t>
            </w:r>
          </w:p>
        </w:tc>
        <w:tc>
          <w:tcPr>
            <w:tcW w:w="0" w:type="auto"/>
            <w:vAlign w:val="center"/>
            <w:hideMark/>
          </w:tcPr>
          <w:p w14:paraId="57E31E3F"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1.96</w:t>
            </w:r>
          </w:p>
        </w:tc>
        <w:tc>
          <w:tcPr>
            <w:tcW w:w="0" w:type="auto"/>
            <w:vAlign w:val="center"/>
            <w:hideMark/>
          </w:tcPr>
          <w:p w14:paraId="3F0C364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225.51</w:t>
            </w:r>
          </w:p>
        </w:tc>
        <w:tc>
          <w:tcPr>
            <w:tcW w:w="0" w:type="auto"/>
            <w:vAlign w:val="center"/>
            <w:hideMark/>
          </w:tcPr>
          <w:p w14:paraId="528AD7A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1.96 ÷ 225.51 × 100</w:t>
            </w:r>
          </w:p>
        </w:tc>
        <w:tc>
          <w:tcPr>
            <w:tcW w:w="0" w:type="auto"/>
            <w:vAlign w:val="center"/>
            <w:hideMark/>
          </w:tcPr>
          <w:p w14:paraId="3380BCD3"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0.87%</w:t>
            </w:r>
          </w:p>
        </w:tc>
      </w:tr>
      <w:tr w:rsidR="00ED72CF" w:rsidRPr="003515D6" w14:paraId="25A8820C" w14:textId="77777777" w:rsidTr="008C2C42">
        <w:trPr>
          <w:tblCellSpacing w:w="15" w:type="dxa"/>
        </w:trPr>
        <w:tc>
          <w:tcPr>
            <w:tcW w:w="0" w:type="auto"/>
            <w:vAlign w:val="center"/>
            <w:hideMark/>
          </w:tcPr>
          <w:p w14:paraId="4FA12DDB"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2024</w:t>
            </w:r>
          </w:p>
        </w:tc>
        <w:tc>
          <w:tcPr>
            <w:tcW w:w="0" w:type="auto"/>
            <w:vAlign w:val="center"/>
            <w:hideMark/>
          </w:tcPr>
          <w:p w14:paraId="75690059"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2.41</w:t>
            </w:r>
          </w:p>
        </w:tc>
        <w:tc>
          <w:tcPr>
            <w:tcW w:w="0" w:type="auto"/>
            <w:vAlign w:val="center"/>
            <w:hideMark/>
          </w:tcPr>
          <w:p w14:paraId="583F55B5"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278.94</w:t>
            </w:r>
          </w:p>
        </w:tc>
        <w:tc>
          <w:tcPr>
            <w:tcW w:w="0" w:type="auto"/>
            <w:vAlign w:val="center"/>
            <w:hideMark/>
          </w:tcPr>
          <w:p w14:paraId="10C7F8D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2.41 ÷ 278.94 × 100</w:t>
            </w:r>
          </w:p>
        </w:tc>
        <w:tc>
          <w:tcPr>
            <w:tcW w:w="0" w:type="auto"/>
            <w:vAlign w:val="center"/>
            <w:hideMark/>
          </w:tcPr>
          <w:p w14:paraId="62A316A4"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0.86%</w:t>
            </w:r>
          </w:p>
        </w:tc>
      </w:tr>
      <w:tr w:rsidR="00ED72CF" w:rsidRPr="003515D6" w14:paraId="759E2456" w14:textId="77777777" w:rsidTr="008C2C42">
        <w:trPr>
          <w:tblCellSpacing w:w="15" w:type="dxa"/>
        </w:trPr>
        <w:tc>
          <w:tcPr>
            <w:tcW w:w="0" w:type="auto"/>
            <w:tcBorders>
              <w:bottom w:val="thickThinSmallGap" w:sz="24" w:space="0" w:color="auto"/>
            </w:tcBorders>
            <w:vAlign w:val="center"/>
            <w:hideMark/>
          </w:tcPr>
          <w:p w14:paraId="4C91D27C"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2025</w:t>
            </w:r>
          </w:p>
        </w:tc>
        <w:tc>
          <w:tcPr>
            <w:tcW w:w="0" w:type="auto"/>
            <w:tcBorders>
              <w:bottom w:val="thickThinSmallGap" w:sz="24" w:space="0" w:color="auto"/>
            </w:tcBorders>
            <w:vAlign w:val="center"/>
            <w:hideMark/>
          </w:tcPr>
          <w:p w14:paraId="1144CDD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2.64</w:t>
            </w:r>
          </w:p>
        </w:tc>
        <w:tc>
          <w:tcPr>
            <w:tcW w:w="0" w:type="auto"/>
            <w:tcBorders>
              <w:bottom w:val="thickThinSmallGap" w:sz="24" w:space="0" w:color="auto"/>
            </w:tcBorders>
            <w:vAlign w:val="center"/>
            <w:hideMark/>
          </w:tcPr>
          <w:p w14:paraId="179A89E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310.24</w:t>
            </w:r>
          </w:p>
        </w:tc>
        <w:tc>
          <w:tcPr>
            <w:tcW w:w="0" w:type="auto"/>
            <w:tcBorders>
              <w:bottom w:val="thickThinSmallGap" w:sz="24" w:space="0" w:color="auto"/>
            </w:tcBorders>
            <w:vAlign w:val="center"/>
            <w:hideMark/>
          </w:tcPr>
          <w:p w14:paraId="1EAA1F7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2.64 ÷ 310.24 × 100</w:t>
            </w:r>
          </w:p>
        </w:tc>
        <w:tc>
          <w:tcPr>
            <w:tcW w:w="0" w:type="auto"/>
            <w:tcBorders>
              <w:bottom w:val="thickThinSmallGap" w:sz="24" w:space="0" w:color="auto"/>
            </w:tcBorders>
            <w:vAlign w:val="center"/>
            <w:hideMark/>
          </w:tcPr>
          <w:p w14:paraId="7F86E8CE" w14:textId="77777777" w:rsidR="00ED72CF" w:rsidRPr="002C7A45" w:rsidRDefault="00ED72CF" w:rsidP="008C2C42">
            <w:pPr>
              <w:spacing w:after="0" w:line="360" w:lineRule="auto"/>
              <w:rPr>
                <w:rFonts w:cs="Arial"/>
                <w:b/>
                <w:bCs/>
                <w:sz w:val="24"/>
                <w:szCs w:val="24"/>
                <w:lang w:val="en-GB"/>
              </w:rPr>
            </w:pPr>
            <w:r w:rsidRPr="002C7A45">
              <w:rPr>
                <w:rFonts w:cs="Arial"/>
                <w:sz w:val="24"/>
                <w:szCs w:val="24"/>
                <w:lang w:val="en-GB"/>
              </w:rPr>
              <w:t>0.85%</w:t>
            </w:r>
          </w:p>
        </w:tc>
      </w:tr>
    </w:tbl>
    <w:p w14:paraId="4EE50109" w14:textId="77777777" w:rsidR="00ED72CF" w:rsidRDefault="00ED72CF" w:rsidP="00ED72CF">
      <w:pPr>
        <w:spacing w:after="0" w:line="360" w:lineRule="auto"/>
        <w:rPr>
          <w:rFonts w:cs="Arial"/>
          <w:b/>
          <w:bCs/>
          <w:sz w:val="24"/>
          <w:szCs w:val="24"/>
          <w:u w:val="single"/>
        </w:rPr>
      </w:pPr>
    </w:p>
    <w:p w14:paraId="4265919B" w14:textId="77777777" w:rsidR="00ED72CF" w:rsidRDefault="00ED72CF" w:rsidP="00ED72CF">
      <w:pPr>
        <w:spacing w:after="0" w:line="360" w:lineRule="auto"/>
        <w:rPr>
          <w:rFonts w:cs="Arial"/>
          <w:b/>
          <w:bCs/>
          <w:sz w:val="24"/>
          <w:szCs w:val="24"/>
          <w:u w:val="single"/>
        </w:rPr>
      </w:pPr>
    </w:p>
    <w:p w14:paraId="4D8FD142" w14:textId="77777777" w:rsidR="00ED72CF" w:rsidRDefault="00ED72CF" w:rsidP="00ED72CF">
      <w:pPr>
        <w:spacing w:after="0" w:line="360" w:lineRule="auto"/>
        <w:rPr>
          <w:rFonts w:cs="Arial"/>
          <w:b/>
          <w:bCs/>
          <w:sz w:val="24"/>
          <w:szCs w:val="24"/>
          <w:u w:val="single"/>
        </w:rPr>
      </w:pPr>
    </w:p>
    <w:p w14:paraId="215BA4AC" w14:textId="77777777" w:rsidR="00ED72CF" w:rsidRDefault="00ED72CF" w:rsidP="00ED72CF">
      <w:pPr>
        <w:spacing w:after="0" w:line="360" w:lineRule="auto"/>
        <w:rPr>
          <w:rFonts w:cs="Arial"/>
          <w:b/>
          <w:bCs/>
          <w:sz w:val="24"/>
          <w:szCs w:val="24"/>
          <w:u w:val="single"/>
        </w:rPr>
      </w:pPr>
    </w:p>
    <w:p w14:paraId="53C93034" w14:textId="77777777" w:rsidR="00ED72CF" w:rsidRDefault="00ED72CF" w:rsidP="00ED72CF">
      <w:pPr>
        <w:spacing w:after="0" w:line="360" w:lineRule="auto"/>
        <w:rPr>
          <w:rFonts w:cs="Arial"/>
          <w:b/>
          <w:bCs/>
          <w:sz w:val="24"/>
          <w:szCs w:val="24"/>
          <w:u w:val="single"/>
        </w:rPr>
      </w:pPr>
    </w:p>
    <w:p w14:paraId="684B0CEF" w14:textId="77777777" w:rsidR="00ED72CF" w:rsidRDefault="00ED72CF" w:rsidP="00ED72CF">
      <w:pPr>
        <w:spacing w:after="0" w:line="360" w:lineRule="auto"/>
        <w:rPr>
          <w:rFonts w:cs="Arial"/>
          <w:b/>
          <w:bCs/>
          <w:sz w:val="24"/>
          <w:szCs w:val="24"/>
          <w:u w:val="single"/>
        </w:rPr>
      </w:pPr>
    </w:p>
    <w:p w14:paraId="223C290F" w14:textId="77777777" w:rsidR="00ED72CF" w:rsidRDefault="00ED72CF" w:rsidP="00ED72CF">
      <w:pPr>
        <w:spacing w:after="0" w:line="360" w:lineRule="auto"/>
        <w:rPr>
          <w:rFonts w:cs="Arial"/>
          <w:b/>
          <w:bCs/>
          <w:sz w:val="24"/>
          <w:szCs w:val="24"/>
          <w:u w:val="single"/>
        </w:rPr>
      </w:pPr>
    </w:p>
    <w:p w14:paraId="78FFDE11" w14:textId="77777777" w:rsidR="00ED72CF" w:rsidRDefault="00ED72CF" w:rsidP="00ED72CF">
      <w:pPr>
        <w:spacing w:after="0" w:line="360" w:lineRule="auto"/>
        <w:rPr>
          <w:rFonts w:cs="Arial"/>
          <w:b/>
          <w:bCs/>
          <w:sz w:val="24"/>
          <w:szCs w:val="24"/>
          <w:u w:val="single"/>
        </w:rPr>
      </w:pPr>
    </w:p>
    <w:p w14:paraId="0AF7262B" w14:textId="77777777" w:rsidR="00ED72CF" w:rsidRDefault="00ED72CF" w:rsidP="00ED72CF">
      <w:pPr>
        <w:spacing w:after="0" w:line="360" w:lineRule="auto"/>
        <w:rPr>
          <w:rFonts w:cs="Arial"/>
          <w:b/>
          <w:bCs/>
          <w:sz w:val="24"/>
          <w:szCs w:val="24"/>
          <w:u w:val="single"/>
        </w:rPr>
      </w:pPr>
    </w:p>
    <w:p w14:paraId="467FF9FD" w14:textId="77777777" w:rsidR="00ED72CF" w:rsidRDefault="00ED72CF" w:rsidP="00ED72CF">
      <w:pPr>
        <w:spacing w:after="0" w:line="360" w:lineRule="auto"/>
        <w:rPr>
          <w:rFonts w:cs="Arial"/>
          <w:b/>
          <w:bCs/>
          <w:sz w:val="24"/>
          <w:szCs w:val="24"/>
          <w:u w:val="single"/>
        </w:rPr>
      </w:pPr>
    </w:p>
    <w:p w14:paraId="36A64BDB" w14:textId="77777777" w:rsidR="00ED72CF" w:rsidRDefault="00ED72CF" w:rsidP="00ED72CF">
      <w:pPr>
        <w:spacing w:after="0" w:line="360" w:lineRule="auto"/>
        <w:rPr>
          <w:rFonts w:cs="Arial"/>
          <w:b/>
          <w:bCs/>
          <w:sz w:val="24"/>
          <w:szCs w:val="24"/>
          <w:u w:val="single"/>
        </w:rPr>
      </w:pPr>
    </w:p>
    <w:p w14:paraId="24B8EE72" w14:textId="77777777" w:rsidR="00ED72CF" w:rsidRDefault="00ED72CF" w:rsidP="00ED72CF">
      <w:pPr>
        <w:spacing w:after="0" w:line="360" w:lineRule="auto"/>
        <w:rPr>
          <w:rFonts w:cs="Arial"/>
          <w:b/>
          <w:bCs/>
          <w:sz w:val="24"/>
          <w:szCs w:val="24"/>
          <w:u w:val="single"/>
        </w:rPr>
      </w:pPr>
    </w:p>
    <w:p w14:paraId="65A055BE" w14:textId="77777777" w:rsidR="00ED72CF" w:rsidRDefault="00ED72CF" w:rsidP="00ED72CF">
      <w:pPr>
        <w:spacing w:after="0" w:line="360" w:lineRule="auto"/>
        <w:rPr>
          <w:rFonts w:cs="Arial"/>
          <w:b/>
          <w:bCs/>
          <w:sz w:val="24"/>
          <w:szCs w:val="24"/>
          <w:u w:val="single"/>
        </w:rPr>
      </w:pPr>
    </w:p>
    <w:p w14:paraId="53063B0E" w14:textId="77777777" w:rsidR="00ED72CF" w:rsidRDefault="00ED72CF" w:rsidP="00ED72CF">
      <w:pPr>
        <w:spacing w:after="0" w:line="360" w:lineRule="auto"/>
        <w:rPr>
          <w:rFonts w:cs="Arial"/>
          <w:b/>
          <w:bCs/>
          <w:sz w:val="24"/>
          <w:szCs w:val="24"/>
          <w:u w:val="single"/>
        </w:rPr>
      </w:pPr>
    </w:p>
    <w:p w14:paraId="31146A8B" w14:textId="77777777" w:rsidR="00ED72CF" w:rsidRDefault="00ED72CF" w:rsidP="00ED72CF">
      <w:pPr>
        <w:spacing w:after="0" w:line="360" w:lineRule="auto"/>
        <w:rPr>
          <w:rFonts w:cs="Arial"/>
          <w:b/>
          <w:bCs/>
          <w:sz w:val="24"/>
          <w:szCs w:val="24"/>
          <w:u w:val="single"/>
        </w:rPr>
      </w:pPr>
    </w:p>
    <w:p w14:paraId="774823E5" w14:textId="77777777" w:rsidR="00ED72CF" w:rsidRDefault="00ED72CF" w:rsidP="00ED72CF">
      <w:pPr>
        <w:spacing w:after="0" w:line="360" w:lineRule="auto"/>
        <w:rPr>
          <w:rFonts w:cs="Arial"/>
          <w:b/>
          <w:bCs/>
          <w:sz w:val="24"/>
          <w:szCs w:val="24"/>
          <w:u w:val="single"/>
        </w:rPr>
      </w:pPr>
    </w:p>
    <w:p w14:paraId="2595FA62" w14:textId="77777777" w:rsidR="00ED72CF" w:rsidRDefault="00ED72CF" w:rsidP="00ED72CF">
      <w:pPr>
        <w:spacing w:after="0" w:line="360" w:lineRule="auto"/>
        <w:rPr>
          <w:rFonts w:cs="Arial"/>
          <w:b/>
          <w:bCs/>
          <w:sz w:val="24"/>
          <w:szCs w:val="24"/>
          <w:u w:val="single"/>
        </w:rPr>
      </w:pPr>
    </w:p>
    <w:p w14:paraId="05B3548D" w14:textId="77777777" w:rsidR="00ED72CF" w:rsidRDefault="00ED72CF" w:rsidP="00ED72CF">
      <w:pPr>
        <w:spacing w:after="0" w:line="360" w:lineRule="auto"/>
        <w:rPr>
          <w:rFonts w:cs="Arial"/>
          <w:b/>
          <w:bCs/>
          <w:sz w:val="24"/>
          <w:szCs w:val="24"/>
          <w:u w:val="single"/>
        </w:rPr>
      </w:pPr>
    </w:p>
    <w:p w14:paraId="4BBF5B9F" w14:textId="77777777" w:rsidR="00ED72CF" w:rsidRDefault="00ED72CF" w:rsidP="00ED72CF">
      <w:pPr>
        <w:spacing w:after="0" w:line="360" w:lineRule="auto"/>
        <w:rPr>
          <w:rFonts w:cs="Arial"/>
          <w:b/>
          <w:bCs/>
          <w:sz w:val="24"/>
          <w:szCs w:val="24"/>
          <w:u w:val="single"/>
        </w:rPr>
      </w:pPr>
    </w:p>
    <w:p w14:paraId="072AB7A9" w14:textId="77777777" w:rsidR="00ED72CF" w:rsidRDefault="00ED72CF" w:rsidP="00ED72CF">
      <w:pPr>
        <w:spacing w:after="0" w:line="360" w:lineRule="auto"/>
        <w:rPr>
          <w:rFonts w:cs="Arial"/>
          <w:b/>
          <w:bCs/>
          <w:sz w:val="24"/>
          <w:szCs w:val="24"/>
          <w:u w:val="single"/>
        </w:rPr>
      </w:pPr>
    </w:p>
    <w:p w14:paraId="0CD47A28" w14:textId="77777777" w:rsidR="00ED72CF" w:rsidRPr="002E4378" w:rsidRDefault="00ED72CF" w:rsidP="00ED72CF">
      <w:pPr>
        <w:spacing w:after="0" w:line="360" w:lineRule="auto"/>
        <w:rPr>
          <w:rFonts w:cs="Arial"/>
          <w:b/>
          <w:bCs/>
          <w:sz w:val="24"/>
          <w:szCs w:val="24"/>
        </w:rPr>
      </w:pPr>
      <w:r>
        <w:rPr>
          <w:rFonts w:cs="Arial"/>
          <w:b/>
          <w:bCs/>
          <w:sz w:val="24"/>
          <w:szCs w:val="24"/>
          <w:u w:val="single"/>
        </w:rPr>
        <w:t xml:space="preserve">Appendix 8: </w:t>
      </w:r>
      <w:r w:rsidRPr="002E4378">
        <w:rPr>
          <w:rFonts w:cs="Arial"/>
          <w:b/>
          <w:bCs/>
          <w:sz w:val="24"/>
          <w:szCs w:val="24"/>
        </w:rPr>
        <w:t>HILTON WORLDWIDE HOLDINGS INC. CONSOLIDATED BALANCE SHEETS (in millions, except share data)</w:t>
      </w:r>
      <w:r>
        <w:rPr>
          <w:rFonts w:cs="Arial"/>
          <w:b/>
          <w:bCs/>
          <w:sz w:val="24"/>
          <w:szCs w:val="24"/>
        </w:rPr>
        <w:t>-2025</w:t>
      </w:r>
    </w:p>
    <w:p w14:paraId="4E5F0701" w14:textId="77777777" w:rsidR="00ED72CF" w:rsidRDefault="00ED72CF" w:rsidP="00ED72CF">
      <w:pPr>
        <w:spacing w:after="0" w:line="360" w:lineRule="auto"/>
        <w:rPr>
          <w:rFonts w:cs="Arial"/>
          <w:b/>
          <w:bCs/>
          <w:sz w:val="24"/>
          <w:szCs w:val="24"/>
          <w:u w:val="single"/>
        </w:rPr>
      </w:pPr>
      <w:r>
        <w:rPr>
          <w:noProof/>
        </w:rPr>
        <w:drawing>
          <wp:inline distT="0" distB="0" distL="0" distR="0" wp14:anchorId="6F0F6D55" wp14:editId="3DE246F2">
            <wp:extent cx="5731510" cy="7026910"/>
            <wp:effectExtent l="0" t="0" r="2540" b="2540"/>
            <wp:docPr id="1762387726"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87726" name=""/>
                    <pic:cNvPicPr/>
                  </pic:nvPicPr>
                  <pic:blipFill>
                    <a:blip r:embed="rId43"/>
                    <a:stretch>
                      <a:fillRect/>
                    </a:stretch>
                  </pic:blipFill>
                  <pic:spPr>
                    <a:xfrm>
                      <a:off x="0" y="0"/>
                      <a:ext cx="5731510" cy="7026910"/>
                    </a:xfrm>
                    <a:prstGeom prst="rect">
                      <a:avLst/>
                    </a:prstGeom>
                  </pic:spPr>
                </pic:pic>
              </a:graphicData>
            </a:graphic>
          </wp:inline>
        </w:drawing>
      </w:r>
    </w:p>
    <w:p w14:paraId="2E9C8D3A" w14:textId="77777777" w:rsidR="00ED72CF" w:rsidRDefault="00ED72CF" w:rsidP="00ED72CF">
      <w:pPr>
        <w:spacing w:after="0" w:line="360" w:lineRule="auto"/>
        <w:rPr>
          <w:rFonts w:cs="Arial"/>
          <w:b/>
          <w:bCs/>
          <w:sz w:val="24"/>
          <w:szCs w:val="24"/>
          <w:u w:val="single"/>
        </w:rPr>
      </w:pPr>
    </w:p>
    <w:p w14:paraId="46E2B812" w14:textId="77777777" w:rsidR="00ED72CF" w:rsidRDefault="00ED72CF" w:rsidP="00ED72CF">
      <w:pPr>
        <w:spacing w:after="0" w:line="360" w:lineRule="auto"/>
        <w:rPr>
          <w:rFonts w:cs="Arial"/>
          <w:b/>
          <w:bCs/>
          <w:sz w:val="24"/>
          <w:szCs w:val="24"/>
          <w:u w:val="single"/>
        </w:rPr>
      </w:pPr>
    </w:p>
    <w:p w14:paraId="02BC67C1" w14:textId="77777777" w:rsidR="00ED72CF" w:rsidRDefault="00ED72CF" w:rsidP="00ED72CF">
      <w:pPr>
        <w:spacing w:after="0" w:line="360" w:lineRule="auto"/>
        <w:rPr>
          <w:rFonts w:cs="Arial"/>
          <w:b/>
          <w:bCs/>
          <w:sz w:val="24"/>
          <w:szCs w:val="24"/>
          <w:u w:val="single"/>
        </w:rPr>
      </w:pPr>
    </w:p>
    <w:p w14:paraId="10E50918" w14:textId="77777777" w:rsidR="00ED72CF" w:rsidRDefault="00ED72CF" w:rsidP="00ED72CF">
      <w:pPr>
        <w:spacing w:after="0" w:line="360" w:lineRule="auto"/>
        <w:rPr>
          <w:rFonts w:cs="Arial"/>
          <w:b/>
          <w:bCs/>
          <w:sz w:val="24"/>
          <w:szCs w:val="24"/>
          <w:u w:val="single"/>
        </w:rPr>
      </w:pPr>
    </w:p>
    <w:p w14:paraId="3D9A971E" w14:textId="77777777" w:rsidR="00ED72CF" w:rsidRPr="002E4378" w:rsidRDefault="00ED72CF" w:rsidP="00ED72CF">
      <w:pPr>
        <w:spacing w:after="0" w:line="360" w:lineRule="auto"/>
        <w:rPr>
          <w:rFonts w:cs="Arial"/>
          <w:b/>
          <w:bCs/>
          <w:sz w:val="24"/>
          <w:szCs w:val="24"/>
          <w:lang w:val="en-GB"/>
        </w:rPr>
      </w:pPr>
      <w:r w:rsidRPr="002E4378">
        <w:rPr>
          <w:rFonts w:cs="Arial"/>
          <w:b/>
          <w:bCs/>
          <w:sz w:val="24"/>
          <w:szCs w:val="24"/>
        </w:rPr>
        <w:t>Appendix 9: Autor’s calculation of W</w:t>
      </w:r>
      <w:proofErr w:type="spellStart"/>
      <w:r w:rsidRPr="002E4378">
        <w:rPr>
          <w:rFonts w:cs="Arial"/>
          <w:b/>
          <w:bCs/>
          <w:sz w:val="24"/>
          <w:szCs w:val="24"/>
          <w:lang w:val="en-GB"/>
        </w:rPr>
        <w:t>orking</w:t>
      </w:r>
      <w:proofErr w:type="spellEnd"/>
      <w:r w:rsidRPr="002E4378">
        <w:rPr>
          <w:rFonts w:cs="Arial"/>
          <w:b/>
          <w:bCs/>
          <w:sz w:val="24"/>
          <w:szCs w:val="24"/>
          <w:lang w:val="en-GB"/>
        </w:rPr>
        <w:t xml:space="preserve"> Capital Position</w:t>
      </w:r>
    </w:p>
    <w:p w14:paraId="6EA4299F" w14:textId="77777777" w:rsidR="00ED72CF" w:rsidRPr="00B87EFB" w:rsidRDefault="00ED72CF" w:rsidP="00ED72CF">
      <w:pPr>
        <w:spacing w:after="0" w:line="360" w:lineRule="auto"/>
        <w:rPr>
          <w:rFonts w:cs="Arial"/>
          <w:b/>
          <w:bCs/>
          <w:sz w:val="24"/>
          <w:szCs w:val="24"/>
          <w:lang w:val="en-GB"/>
        </w:rPr>
      </w:pPr>
      <w:r w:rsidRPr="00B87EFB">
        <w:rPr>
          <w:rFonts w:cs="Arial"/>
          <w:sz w:val="24"/>
          <w:szCs w:val="24"/>
          <w:lang w:val="en-GB"/>
        </w:rPr>
        <w:t>Formula:</w:t>
      </w:r>
    </w:p>
    <w:p w14:paraId="2ADD9CCB" w14:textId="77777777" w:rsidR="00ED72CF" w:rsidRPr="00B87EFB" w:rsidRDefault="00ED72CF" w:rsidP="00ED72CF">
      <w:pPr>
        <w:spacing w:after="0" w:line="360" w:lineRule="auto"/>
        <w:rPr>
          <w:rFonts w:cs="Arial"/>
          <w:b/>
          <w:bCs/>
          <w:sz w:val="24"/>
          <w:szCs w:val="24"/>
          <w:lang w:val="en-GB"/>
        </w:rPr>
      </w:pPr>
      <w:r w:rsidRPr="00B87EFB">
        <w:rPr>
          <w:rFonts w:cs="Arial"/>
          <w:sz w:val="24"/>
          <w:szCs w:val="24"/>
          <w:lang w:val="en-GB"/>
        </w:rPr>
        <w:t xml:space="preserve">Net Working Capital = Current Assets </w:t>
      </w:r>
      <w:r>
        <w:rPr>
          <w:rFonts w:cs="Arial"/>
          <w:sz w:val="24"/>
          <w:szCs w:val="24"/>
          <w:lang w:val="en-GB"/>
        </w:rPr>
        <w:t>-</w:t>
      </w:r>
      <w:r w:rsidRPr="00B87EFB">
        <w:rPr>
          <w:rFonts w:cs="Arial"/>
          <w:sz w:val="24"/>
          <w:szCs w:val="24"/>
          <w:lang w:val="en-GB"/>
        </w:rPr>
        <w:t xml:space="preserve"> Current Liabilities</w:t>
      </w:r>
    </w:p>
    <w:p w14:paraId="12D4DE1B" w14:textId="77777777" w:rsidR="00ED72CF" w:rsidRPr="00C1724D" w:rsidRDefault="00ED72CF" w:rsidP="00ED72CF">
      <w:pPr>
        <w:spacing w:after="0" w:line="360" w:lineRule="auto"/>
        <w:rPr>
          <w:rFonts w:cs="Arial"/>
          <w:b/>
          <w:bCs/>
          <w:sz w:val="24"/>
          <w:szCs w:val="24"/>
          <w:lang w:val="en-GB"/>
        </w:rPr>
      </w:pPr>
    </w:p>
    <w:tbl>
      <w:tblPr>
        <w:tblW w:w="9853" w:type="dxa"/>
        <w:tblCellSpacing w:w="15" w:type="dxa"/>
        <w:tblCellMar>
          <w:top w:w="15" w:type="dxa"/>
          <w:left w:w="15" w:type="dxa"/>
          <w:bottom w:w="15" w:type="dxa"/>
          <w:right w:w="15" w:type="dxa"/>
        </w:tblCellMar>
        <w:tblLook w:val="04A0" w:firstRow="1" w:lastRow="0" w:firstColumn="1" w:lastColumn="0" w:noHBand="0" w:noVBand="1"/>
      </w:tblPr>
      <w:tblGrid>
        <w:gridCol w:w="1123"/>
        <w:gridCol w:w="1764"/>
        <w:gridCol w:w="2566"/>
        <w:gridCol w:w="1529"/>
        <w:gridCol w:w="2871"/>
      </w:tblGrid>
      <w:tr w:rsidR="00ED72CF" w:rsidRPr="003515D6" w14:paraId="1435D01C" w14:textId="77777777" w:rsidTr="008C2C42">
        <w:trPr>
          <w:trHeight w:val="907"/>
          <w:tblHeader/>
          <w:tblCellSpacing w:w="15" w:type="dxa"/>
        </w:trPr>
        <w:tc>
          <w:tcPr>
            <w:tcW w:w="1079" w:type="dxa"/>
            <w:tcBorders>
              <w:top w:val="thinThickSmallGap" w:sz="24" w:space="0" w:color="auto"/>
              <w:bottom w:val="thickThinSmallGap" w:sz="24" w:space="0" w:color="auto"/>
            </w:tcBorders>
            <w:vAlign w:val="center"/>
            <w:hideMark/>
          </w:tcPr>
          <w:p w14:paraId="0B597ACB"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Year</w:t>
            </w:r>
          </w:p>
        </w:tc>
        <w:tc>
          <w:tcPr>
            <w:tcW w:w="1734" w:type="dxa"/>
            <w:tcBorders>
              <w:top w:val="thinThickSmallGap" w:sz="24" w:space="0" w:color="auto"/>
              <w:bottom w:val="thickThinSmallGap" w:sz="24" w:space="0" w:color="auto"/>
            </w:tcBorders>
            <w:vAlign w:val="center"/>
            <w:hideMark/>
          </w:tcPr>
          <w:p w14:paraId="02C86E14"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Current Assets ($m)</w:t>
            </w:r>
          </w:p>
        </w:tc>
        <w:tc>
          <w:tcPr>
            <w:tcW w:w="0" w:type="auto"/>
            <w:tcBorders>
              <w:top w:val="thinThickSmallGap" w:sz="24" w:space="0" w:color="auto"/>
              <w:bottom w:val="thickThinSmallGap" w:sz="24" w:space="0" w:color="auto"/>
            </w:tcBorders>
            <w:vAlign w:val="center"/>
            <w:hideMark/>
          </w:tcPr>
          <w:p w14:paraId="5E33AECF"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Current Liabilities ($m)</w:t>
            </w:r>
          </w:p>
        </w:tc>
        <w:tc>
          <w:tcPr>
            <w:tcW w:w="0" w:type="auto"/>
            <w:tcBorders>
              <w:top w:val="thinThickSmallGap" w:sz="24" w:space="0" w:color="auto"/>
              <w:bottom w:val="thickThinSmallGap" w:sz="24" w:space="0" w:color="auto"/>
            </w:tcBorders>
            <w:vAlign w:val="center"/>
            <w:hideMark/>
          </w:tcPr>
          <w:p w14:paraId="7FC62838"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Calculation</w:t>
            </w:r>
          </w:p>
        </w:tc>
        <w:tc>
          <w:tcPr>
            <w:tcW w:w="0" w:type="auto"/>
            <w:tcBorders>
              <w:top w:val="thinThickSmallGap" w:sz="24" w:space="0" w:color="auto"/>
              <w:bottom w:val="thickThinSmallGap" w:sz="24" w:space="0" w:color="auto"/>
            </w:tcBorders>
            <w:vAlign w:val="center"/>
            <w:hideMark/>
          </w:tcPr>
          <w:p w14:paraId="7001E833"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Net Working Capital ($m)</w:t>
            </w:r>
          </w:p>
        </w:tc>
      </w:tr>
      <w:tr w:rsidR="00ED72CF" w:rsidRPr="003515D6" w14:paraId="16059E7D" w14:textId="77777777" w:rsidTr="008C2C42">
        <w:trPr>
          <w:trHeight w:val="458"/>
          <w:tblCellSpacing w:w="15" w:type="dxa"/>
        </w:trPr>
        <w:tc>
          <w:tcPr>
            <w:tcW w:w="1079" w:type="dxa"/>
            <w:vAlign w:val="center"/>
            <w:hideMark/>
          </w:tcPr>
          <w:p w14:paraId="6F7D8515"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2021</w:t>
            </w:r>
          </w:p>
        </w:tc>
        <w:tc>
          <w:tcPr>
            <w:tcW w:w="1734" w:type="dxa"/>
            <w:vAlign w:val="center"/>
            <w:hideMark/>
          </w:tcPr>
          <w:p w14:paraId="3D675856"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3,626</w:t>
            </w:r>
          </w:p>
        </w:tc>
        <w:tc>
          <w:tcPr>
            <w:tcW w:w="0" w:type="auto"/>
            <w:vAlign w:val="center"/>
            <w:hideMark/>
          </w:tcPr>
          <w:p w14:paraId="40B4AFB0"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6,407</w:t>
            </w:r>
          </w:p>
        </w:tc>
        <w:tc>
          <w:tcPr>
            <w:tcW w:w="0" w:type="auto"/>
            <w:vAlign w:val="center"/>
            <w:hideMark/>
          </w:tcPr>
          <w:p w14:paraId="6EC4C19C"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 xml:space="preserve">3,626 </w:t>
            </w:r>
            <w:r>
              <w:rPr>
                <w:rFonts w:cs="Arial"/>
                <w:sz w:val="24"/>
                <w:szCs w:val="24"/>
                <w:lang w:val="en-GB"/>
              </w:rPr>
              <w:t>-</w:t>
            </w:r>
            <w:r w:rsidRPr="00B87EFB">
              <w:rPr>
                <w:rFonts w:cs="Arial"/>
                <w:sz w:val="24"/>
                <w:szCs w:val="24"/>
                <w:lang w:val="en-GB"/>
              </w:rPr>
              <w:t xml:space="preserve"> 6,407</w:t>
            </w:r>
          </w:p>
        </w:tc>
        <w:tc>
          <w:tcPr>
            <w:tcW w:w="0" w:type="auto"/>
            <w:vAlign w:val="center"/>
            <w:hideMark/>
          </w:tcPr>
          <w:p w14:paraId="0D44733D"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(2,781)</w:t>
            </w:r>
          </w:p>
        </w:tc>
      </w:tr>
      <w:tr w:rsidR="00ED72CF" w:rsidRPr="003515D6" w14:paraId="2D5C2FF3" w14:textId="77777777" w:rsidTr="008C2C42">
        <w:trPr>
          <w:trHeight w:val="458"/>
          <w:tblCellSpacing w:w="15" w:type="dxa"/>
        </w:trPr>
        <w:tc>
          <w:tcPr>
            <w:tcW w:w="1079" w:type="dxa"/>
            <w:vAlign w:val="center"/>
            <w:hideMark/>
          </w:tcPr>
          <w:p w14:paraId="709DE525"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2022</w:t>
            </w:r>
          </w:p>
        </w:tc>
        <w:tc>
          <w:tcPr>
            <w:tcW w:w="1734" w:type="dxa"/>
            <w:vAlign w:val="center"/>
            <w:hideMark/>
          </w:tcPr>
          <w:p w14:paraId="746C9E12"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3,313</w:t>
            </w:r>
          </w:p>
        </w:tc>
        <w:tc>
          <w:tcPr>
            <w:tcW w:w="0" w:type="auto"/>
            <w:vAlign w:val="center"/>
            <w:hideMark/>
          </w:tcPr>
          <w:p w14:paraId="05F90C75"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7,339</w:t>
            </w:r>
          </w:p>
        </w:tc>
        <w:tc>
          <w:tcPr>
            <w:tcW w:w="0" w:type="auto"/>
            <w:vAlign w:val="center"/>
            <w:hideMark/>
          </w:tcPr>
          <w:p w14:paraId="3E5F97FB"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 xml:space="preserve">3,313 </w:t>
            </w:r>
            <w:r>
              <w:rPr>
                <w:rFonts w:cs="Arial"/>
                <w:sz w:val="24"/>
                <w:szCs w:val="24"/>
                <w:lang w:val="en-GB"/>
              </w:rPr>
              <w:t>-</w:t>
            </w:r>
            <w:r w:rsidRPr="00B87EFB">
              <w:rPr>
                <w:rFonts w:cs="Arial"/>
                <w:sz w:val="24"/>
                <w:szCs w:val="24"/>
                <w:lang w:val="en-GB"/>
              </w:rPr>
              <w:t xml:space="preserve"> 7,339</w:t>
            </w:r>
          </w:p>
        </w:tc>
        <w:tc>
          <w:tcPr>
            <w:tcW w:w="0" w:type="auto"/>
            <w:vAlign w:val="center"/>
            <w:hideMark/>
          </w:tcPr>
          <w:p w14:paraId="745649DA"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(4,026)</w:t>
            </w:r>
          </w:p>
        </w:tc>
      </w:tr>
      <w:tr w:rsidR="00ED72CF" w:rsidRPr="003515D6" w14:paraId="540E6443" w14:textId="77777777" w:rsidTr="008C2C42">
        <w:trPr>
          <w:trHeight w:val="458"/>
          <w:tblCellSpacing w:w="15" w:type="dxa"/>
        </w:trPr>
        <w:tc>
          <w:tcPr>
            <w:tcW w:w="1079" w:type="dxa"/>
            <w:vAlign w:val="center"/>
            <w:hideMark/>
          </w:tcPr>
          <w:p w14:paraId="44A84B94"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2023</w:t>
            </w:r>
          </w:p>
        </w:tc>
        <w:tc>
          <w:tcPr>
            <w:tcW w:w="1734" w:type="dxa"/>
            <w:vAlign w:val="center"/>
            <w:hideMark/>
          </w:tcPr>
          <w:p w14:paraId="07683F7E"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3,311</w:t>
            </w:r>
          </w:p>
        </w:tc>
        <w:tc>
          <w:tcPr>
            <w:tcW w:w="0" w:type="auto"/>
            <w:vAlign w:val="center"/>
            <w:hideMark/>
          </w:tcPr>
          <w:p w14:paraId="45586644"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7,762</w:t>
            </w:r>
          </w:p>
        </w:tc>
        <w:tc>
          <w:tcPr>
            <w:tcW w:w="0" w:type="auto"/>
            <w:vAlign w:val="center"/>
            <w:hideMark/>
          </w:tcPr>
          <w:p w14:paraId="6B581FF5"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 xml:space="preserve">3,311 </w:t>
            </w:r>
            <w:r>
              <w:rPr>
                <w:rFonts w:cs="Arial"/>
                <w:sz w:val="24"/>
                <w:szCs w:val="24"/>
                <w:lang w:val="en-GB"/>
              </w:rPr>
              <w:t>-</w:t>
            </w:r>
            <w:r w:rsidRPr="00B87EFB">
              <w:rPr>
                <w:rFonts w:cs="Arial"/>
                <w:sz w:val="24"/>
                <w:szCs w:val="24"/>
                <w:lang w:val="en-GB"/>
              </w:rPr>
              <w:t xml:space="preserve"> 7,762</w:t>
            </w:r>
          </w:p>
        </w:tc>
        <w:tc>
          <w:tcPr>
            <w:tcW w:w="0" w:type="auto"/>
            <w:vAlign w:val="center"/>
            <w:hideMark/>
          </w:tcPr>
          <w:p w14:paraId="2ECEF15E"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(4,451)</w:t>
            </w:r>
          </w:p>
        </w:tc>
      </w:tr>
      <w:tr w:rsidR="00ED72CF" w:rsidRPr="003515D6" w14:paraId="097EF9DB" w14:textId="77777777" w:rsidTr="008C2C42">
        <w:trPr>
          <w:trHeight w:val="458"/>
          <w:tblCellSpacing w:w="15" w:type="dxa"/>
        </w:trPr>
        <w:tc>
          <w:tcPr>
            <w:tcW w:w="1079" w:type="dxa"/>
            <w:vAlign w:val="center"/>
            <w:hideMark/>
          </w:tcPr>
          <w:p w14:paraId="47293242"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2024</w:t>
            </w:r>
          </w:p>
        </w:tc>
        <w:tc>
          <w:tcPr>
            <w:tcW w:w="1734" w:type="dxa"/>
            <w:vAlign w:val="center"/>
            <w:hideMark/>
          </w:tcPr>
          <w:p w14:paraId="1279F89A"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3,485</w:t>
            </w:r>
          </w:p>
        </w:tc>
        <w:tc>
          <w:tcPr>
            <w:tcW w:w="0" w:type="auto"/>
            <w:vAlign w:val="center"/>
            <w:hideMark/>
          </w:tcPr>
          <w:p w14:paraId="6C42F1A0"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8,649</w:t>
            </w:r>
          </w:p>
        </w:tc>
        <w:tc>
          <w:tcPr>
            <w:tcW w:w="0" w:type="auto"/>
            <w:vAlign w:val="center"/>
            <w:hideMark/>
          </w:tcPr>
          <w:p w14:paraId="5F3C847A"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 xml:space="preserve">3,485 </w:t>
            </w:r>
            <w:r>
              <w:rPr>
                <w:rFonts w:cs="Arial"/>
                <w:sz w:val="24"/>
                <w:szCs w:val="24"/>
                <w:lang w:val="en-GB"/>
              </w:rPr>
              <w:t>-</w:t>
            </w:r>
            <w:r w:rsidRPr="00B87EFB">
              <w:rPr>
                <w:rFonts w:cs="Arial"/>
                <w:sz w:val="24"/>
                <w:szCs w:val="24"/>
                <w:lang w:val="en-GB"/>
              </w:rPr>
              <w:t xml:space="preserve"> 8,649</w:t>
            </w:r>
          </w:p>
        </w:tc>
        <w:tc>
          <w:tcPr>
            <w:tcW w:w="0" w:type="auto"/>
            <w:vAlign w:val="center"/>
            <w:hideMark/>
          </w:tcPr>
          <w:p w14:paraId="2FB3382E"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(5,164)</w:t>
            </w:r>
          </w:p>
        </w:tc>
      </w:tr>
      <w:tr w:rsidR="00ED72CF" w:rsidRPr="003515D6" w14:paraId="4AC450DC" w14:textId="77777777" w:rsidTr="008C2C42">
        <w:trPr>
          <w:trHeight w:val="458"/>
          <w:tblCellSpacing w:w="15" w:type="dxa"/>
        </w:trPr>
        <w:tc>
          <w:tcPr>
            <w:tcW w:w="1079" w:type="dxa"/>
            <w:tcBorders>
              <w:bottom w:val="thickThinSmallGap" w:sz="24" w:space="0" w:color="auto"/>
            </w:tcBorders>
            <w:vAlign w:val="center"/>
            <w:hideMark/>
          </w:tcPr>
          <w:p w14:paraId="6744026D"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2025</w:t>
            </w:r>
          </w:p>
        </w:tc>
        <w:tc>
          <w:tcPr>
            <w:tcW w:w="1734" w:type="dxa"/>
            <w:tcBorders>
              <w:bottom w:val="thickThinSmallGap" w:sz="24" w:space="0" w:color="auto"/>
            </w:tcBorders>
            <w:vAlign w:val="center"/>
            <w:hideMark/>
          </w:tcPr>
          <w:p w14:paraId="371DEE75"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3,584</w:t>
            </w:r>
          </w:p>
        </w:tc>
        <w:tc>
          <w:tcPr>
            <w:tcW w:w="0" w:type="auto"/>
            <w:tcBorders>
              <w:bottom w:val="thickThinSmallGap" w:sz="24" w:space="0" w:color="auto"/>
            </w:tcBorders>
            <w:vAlign w:val="center"/>
            <w:hideMark/>
          </w:tcPr>
          <w:p w14:paraId="1251D6B3"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8,398</w:t>
            </w:r>
          </w:p>
        </w:tc>
        <w:tc>
          <w:tcPr>
            <w:tcW w:w="0" w:type="auto"/>
            <w:tcBorders>
              <w:bottom w:val="thickThinSmallGap" w:sz="24" w:space="0" w:color="auto"/>
            </w:tcBorders>
            <w:vAlign w:val="center"/>
            <w:hideMark/>
          </w:tcPr>
          <w:p w14:paraId="68A63C7C"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 xml:space="preserve">3,584 </w:t>
            </w:r>
            <w:r>
              <w:rPr>
                <w:rFonts w:cs="Arial"/>
                <w:sz w:val="24"/>
                <w:szCs w:val="24"/>
                <w:lang w:val="en-GB"/>
              </w:rPr>
              <w:t>-</w:t>
            </w:r>
            <w:r w:rsidRPr="00B87EFB">
              <w:rPr>
                <w:rFonts w:cs="Arial"/>
                <w:sz w:val="24"/>
                <w:szCs w:val="24"/>
                <w:lang w:val="en-GB"/>
              </w:rPr>
              <w:t xml:space="preserve"> 8,398</w:t>
            </w:r>
          </w:p>
        </w:tc>
        <w:tc>
          <w:tcPr>
            <w:tcW w:w="0" w:type="auto"/>
            <w:tcBorders>
              <w:bottom w:val="thickThinSmallGap" w:sz="24" w:space="0" w:color="auto"/>
            </w:tcBorders>
            <w:vAlign w:val="center"/>
            <w:hideMark/>
          </w:tcPr>
          <w:p w14:paraId="4C6B485F"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(4,814)</w:t>
            </w:r>
          </w:p>
        </w:tc>
      </w:tr>
    </w:tbl>
    <w:p w14:paraId="685ED46C" w14:textId="77777777" w:rsidR="00ED72CF" w:rsidRDefault="00ED72CF" w:rsidP="00ED72CF">
      <w:pPr>
        <w:spacing w:after="0" w:line="360" w:lineRule="auto"/>
        <w:rPr>
          <w:rFonts w:cs="Arial"/>
          <w:b/>
          <w:bCs/>
          <w:sz w:val="24"/>
          <w:szCs w:val="24"/>
          <w:u w:val="single"/>
        </w:rPr>
      </w:pPr>
    </w:p>
    <w:p w14:paraId="19081E89" w14:textId="77777777" w:rsidR="00ED72CF" w:rsidRPr="0056482C" w:rsidRDefault="00ED72CF" w:rsidP="00ED72CF">
      <w:pPr>
        <w:spacing w:after="0" w:line="360" w:lineRule="auto"/>
        <w:rPr>
          <w:rFonts w:cs="Arial"/>
          <w:b/>
          <w:bCs/>
          <w:sz w:val="24"/>
          <w:szCs w:val="24"/>
          <w:lang w:val="en-GB"/>
        </w:rPr>
      </w:pPr>
      <w:bookmarkStart w:id="7" w:name="_Hlk237259450"/>
      <w:r>
        <w:rPr>
          <w:rFonts w:cs="Arial"/>
          <w:b/>
          <w:bCs/>
          <w:sz w:val="24"/>
          <w:szCs w:val="24"/>
          <w:u w:val="single"/>
        </w:rPr>
        <w:t>Appendix 10</w:t>
      </w:r>
      <w:r w:rsidRPr="0056482C">
        <w:rPr>
          <w:rFonts w:cs="Arial"/>
          <w:b/>
          <w:bCs/>
          <w:sz w:val="24"/>
          <w:szCs w:val="24"/>
          <w:u w:val="single"/>
          <w:lang w:val="en-GB"/>
        </w:rPr>
        <w:t>:</w:t>
      </w:r>
      <w:r w:rsidRPr="0056482C">
        <w:rPr>
          <w:rFonts w:cs="Arial"/>
          <w:b/>
          <w:bCs/>
          <w:sz w:val="24"/>
          <w:szCs w:val="24"/>
          <w:lang w:val="en-GB"/>
        </w:rPr>
        <w:t xml:space="preserve"> Recommended working-capital priorities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45"/>
        <w:gridCol w:w="3266"/>
        <w:gridCol w:w="929"/>
      </w:tblGrid>
      <w:tr w:rsidR="00ED72CF" w:rsidRPr="003515D6" w14:paraId="496DA543"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67882570"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Reform</w:t>
            </w:r>
          </w:p>
        </w:tc>
        <w:tc>
          <w:tcPr>
            <w:tcW w:w="0" w:type="auto"/>
            <w:tcBorders>
              <w:top w:val="thinThickSmallGap" w:sz="24" w:space="0" w:color="auto"/>
              <w:bottom w:val="thickThinSmallGap" w:sz="24" w:space="0" w:color="auto"/>
            </w:tcBorders>
            <w:vAlign w:val="center"/>
            <w:hideMark/>
          </w:tcPr>
          <w:p w14:paraId="6D113850"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Expected effect on liquidity</w:t>
            </w:r>
          </w:p>
        </w:tc>
        <w:tc>
          <w:tcPr>
            <w:tcW w:w="0" w:type="auto"/>
            <w:tcBorders>
              <w:top w:val="thinThickSmallGap" w:sz="24" w:space="0" w:color="auto"/>
              <w:bottom w:val="thickThinSmallGap" w:sz="24" w:space="0" w:color="auto"/>
            </w:tcBorders>
            <w:vAlign w:val="center"/>
            <w:hideMark/>
          </w:tcPr>
          <w:p w14:paraId="48AA5437"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Priority</w:t>
            </w:r>
          </w:p>
        </w:tc>
      </w:tr>
      <w:tr w:rsidR="00ED72CF" w:rsidRPr="003515D6" w14:paraId="02EC03A4" w14:textId="77777777" w:rsidTr="008C2C42">
        <w:trPr>
          <w:tblCellSpacing w:w="15" w:type="dxa"/>
        </w:trPr>
        <w:tc>
          <w:tcPr>
            <w:tcW w:w="0" w:type="auto"/>
            <w:vAlign w:val="center"/>
            <w:hideMark/>
          </w:tcPr>
          <w:p w14:paraId="0E69C8AB"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Reduce DSO further</w:t>
            </w:r>
          </w:p>
        </w:tc>
        <w:tc>
          <w:tcPr>
            <w:tcW w:w="0" w:type="auto"/>
            <w:vAlign w:val="center"/>
            <w:hideMark/>
          </w:tcPr>
          <w:p w14:paraId="0B440CFC"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Faster conversion of receivables into cash</w:t>
            </w:r>
          </w:p>
        </w:tc>
        <w:tc>
          <w:tcPr>
            <w:tcW w:w="0" w:type="auto"/>
            <w:vAlign w:val="center"/>
            <w:hideMark/>
          </w:tcPr>
          <w:p w14:paraId="4CB2D040"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High</w:t>
            </w:r>
          </w:p>
        </w:tc>
      </w:tr>
      <w:tr w:rsidR="00ED72CF" w:rsidRPr="003515D6" w14:paraId="32A08652" w14:textId="77777777" w:rsidTr="008C2C42">
        <w:trPr>
          <w:tblCellSpacing w:w="15" w:type="dxa"/>
        </w:trPr>
        <w:tc>
          <w:tcPr>
            <w:tcW w:w="0" w:type="auto"/>
            <w:vAlign w:val="center"/>
            <w:hideMark/>
          </w:tcPr>
          <w:p w14:paraId="33545CA2"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Improve electronic collections</w:t>
            </w:r>
          </w:p>
        </w:tc>
        <w:tc>
          <w:tcPr>
            <w:tcW w:w="0" w:type="auto"/>
            <w:vAlign w:val="center"/>
            <w:hideMark/>
          </w:tcPr>
          <w:p w14:paraId="46727338"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Faster and more predictable cash inflows</w:t>
            </w:r>
          </w:p>
        </w:tc>
        <w:tc>
          <w:tcPr>
            <w:tcW w:w="0" w:type="auto"/>
            <w:vAlign w:val="center"/>
            <w:hideMark/>
          </w:tcPr>
          <w:p w14:paraId="2FBAF6F3"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High</w:t>
            </w:r>
          </w:p>
        </w:tc>
      </w:tr>
      <w:tr w:rsidR="00ED72CF" w:rsidRPr="003515D6" w14:paraId="1E5A9D4C" w14:textId="77777777" w:rsidTr="008C2C42">
        <w:trPr>
          <w:tblCellSpacing w:w="15" w:type="dxa"/>
        </w:trPr>
        <w:tc>
          <w:tcPr>
            <w:tcW w:w="0" w:type="auto"/>
            <w:vAlign w:val="center"/>
            <w:hideMark/>
          </w:tcPr>
          <w:p w14:paraId="534DBA8D"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Negotiate appropriate supplier terms</w:t>
            </w:r>
          </w:p>
        </w:tc>
        <w:tc>
          <w:tcPr>
            <w:tcW w:w="0" w:type="auto"/>
            <w:vAlign w:val="center"/>
            <w:hideMark/>
          </w:tcPr>
          <w:p w14:paraId="67FA86FE"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Retains cash for longer</w:t>
            </w:r>
          </w:p>
        </w:tc>
        <w:tc>
          <w:tcPr>
            <w:tcW w:w="0" w:type="auto"/>
            <w:vAlign w:val="center"/>
            <w:hideMark/>
          </w:tcPr>
          <w:p w14:paraId="11199AF7"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Medium</w:t>
            </w:r>
          </w:p>
        </w:tc>
      </w:tr>
      <w:tr w:rsidR="00ED72CF" w:rsidRPr="003515D6" w14:paraId="7DA7024B" w14:textId="77777777" w:rsidTr="008C2C42">
        <w:trPr>
          <w:tblCellSpacing w:w="15" w:type="dxa"/>
        </w:trPr>
        <w:tc>
          <w:tcPr>
            <w:tcW w:w="0" w:type="auto"/>
            <w:vAlign w:val="center"/>
            <w:hideMark/>
          </w:tcPr>
          <w:p w14:paraId="15511C7E"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Tighten credit monitoring</w:t>
            </w:r>
          </w:p>
        </w:tc>
        <w:tc>
          <w:tcPr>
            <w:tcW w:w="0" w:type="auto"/>
            <w:vAlign w:val="center"/>
            <w:hideMark/>
          </w:tcPr>
          <w:p w14:paraId="63BEC3DF"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Reduces collection risk</w:t>
            </w:r>
          </w:p>
        </w:tc>
        <w:tc>
          <w:tcPr>
            <w:tcW w:w="0" w:type="auto"/>
            <w:vAlign w:val="center"/>
            <w:hideMark/>
          </w:tcPr>
          <w:p w14:paraId="286D2166"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High</w:t>
            </w:r>
          </w:p>
        </w:tc>
      </w:tr>
      <w:tr w:rsidR="00ED72CF" w:rsidRPr="003515D6" w14:paraId="0ED496F2" w14:textId="77777777" w:rsidTr="008C2C42">
        <w:trPr>
          <w:tblCellSpacing w:w="15" w:type="dxa"/>
        </w:trPr>
        <w:tc>
          <w:tcPr>
            <w:tcW w:w="0" w:type="auto"/>
            <w:vAlign w:val="center"/>
            <w:hideMark/>
          </w:tcPr>
          <w:p w14:paraId="0B0FF8F3"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Moderate discretionary share repurchases when necessary</w:t>
            </w:r>
          </w:p>
        </w:tc>
        <w:tc>
          <w:tcPr>
            <w:tcW w:w="0" w:type="auto"/>
            <w:vAlign w:val="center"/>
            <w:hideMark/>
          </w:tcPr>
          <w:p w14:paraId="7ECE45EF"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Preserves cash</w:t>
            </w:r>
          </w:p>
        </w:tc>
        <w:tc>
          <w:tcPr>
            <w:tcW w:w="0" w:type="auto"/>
            <w:vAlign w:val="center"/>
            <w:hideMark/>
          </w:tcPr>
          <w:p w14:paraId="4A5DE2DA"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High</w:t>
            </w:r>
          </w:p>
        </w:tc>
      </w:tr>
      <w:tr w:rsidR="00ED72CF" w:rsidRPr="003515D6" w14:paraId="39ABE832" w14:textId="77777777" w:rsidTr="008C2C42">
        <w:trPr>
          <w:tblCellSpacing w:w="15" w:type="dxa"/>
        </w:trPr>
        <w:tc>
          <w:tcPr>
            <w:tcW w:w="0" w:type="auto"/>
            <w:tcBorders>
              <w:bottom w:val="thickThinSmallGap" w:sz="24" w:space="0" w:color="auto"/>
            </w:tcBorders>
            <w:vAlign w:val="center"/>
            <w:hideMark/>
          </w:tcPr>
          <w:p w14:paraId="0CAF7BE9"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Maintain committed credit facilities</w:t>
            </w:r>
          </w:p>
        </w:tc>
        <w:tc>
          <w:tcPr>
            <w:tcW w:w="0" w:type="auto"/>
            <w:tcBorders>
              <w:bottom w:val="thickThinSmallGap" w:sz="24" w:space="0" w:color="auto"/>
            </w:tcBorders>
            <w:vAlign w:val="center"/>
            <w:hideMark/>
          </w:tcPr>
          <w:p w14:paraId="433163C0"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Provides liquidity protection</w:t>
            </w:r>
          </w:p>
        </w:tc>
        <w:tc>
          <w:tcPr>
            <w:tcW w:w="0" w:type="auto"/>
            <w:tcBorders>
              <w:bottom w:val="thickThinSmallGap" w:sz="24" w:space="0" w:color="auto"/>
            </w:tcBorders>
            <w:vAlign w:val="center"/>
            <w:hideMark/>
          </w:tcPr>
          <w:p w14:paraId="58CC88E0"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High</w:t>
            </w:r>
          </w:p>
        </w:tc>
      </w:tr>
    </w:tbl>
    <w:p w14:paraId="12F79272" w14:textId="77777777" w:rsidR="00ED72CF" w:rsidRDefault="00ED72CF" w:rsidP="00ED72CF">
      <w:pPr>
        <w:spacing w:after="0" w:line="360" w:lineRule="auto"/>
        <w:rPr>
          <w:rFonts w:cs="Arial"/>
          <w:sz w:val="24"/>
          <w:szCs w:val="24"/>
          <w:lang w:val="en-GB"/>
        </w:rPr>
      </w:pPr>
      <w:r>
        <w:rPr>
          <w:rFonts w:cs="Arial"/>
          <w:sz w:val="24"/>
          <w:szCs w:val="24"/>
          <w:lang w:val="en-GB"/>
        </w:rPr>
        <w:lastRenderedPageBreak/>
        <w:t xml:space="preserve">Source: Autor </w:t>
      </w:r>
    </w:p>
    <w:bookmarkEnd w:id="7"/>
    <w:p w14:paraId="3EB9CF72" w14:textId="77777777" w:rsidR="00ED72CF" w:rsidRPr="009023D6" w:rsidRDefault="00ED72CF" w:rsidP="00ED72CF">
      <w:pPr>
        <w:spacing w:after="0" w:line="360" w:lineRule="auto"/>
        <w:rPr>
          <w:rFonts w:cs="Arial"/>
          <w:b/>
          <w:bCs/>
          <w:sz w:val="24"/>
          <w:szCs w:val="24"/>
          <w:lang w:val="en-GB"/>
        </w:rPr>
      </w:pPr>
      <w:r>
        <w:rPr>
          <w:rFonts w:cs="Arial"/>
          <w:b/>
          <w:bCs/>
          <w:sz w:val="24"/>
          <w:szCs w:val="24"/>
          <w:u w:val="single"/>
        </w:rPr>
        <w:t>Appendix 10</w:t>
      </w:r>
      <w:r w:rsidRPr="009023D6">
        <w:rPr>
          <w:rFonts w:cs="Arial"/>
          <w:b/>
          <w:bCs/>
          <w:sz w:val="24"/>
          <w:szCs w:val="24"/>
          <w:u w:val="single"/>
          <w:lang w:val="en-GB"/>
        </w:rPr>
        <w:t>:</w:t>
      </w:r>
      <w:r w:rsidRPr="009023D6">
        <w:rPr>
          <w:rFonts w:cs="Arial"/>
          <w:b/>
          <w:bCs/>
          <w:sz w:val="24"/>
          <w:szCs w:val="24"/>
          <w:lang w:val="en-GB"/>
        </w:rPr>
        <w:t xml:space="preserve"> Recommended capital allocation priority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2"/>
        <w:gridCol w:w="4389"/>
        <w:gridCol w:w="3429"/>
      </w:tblGrid>
      <w:tr w:rsidR="00ED72CF" w:rsidRPr="003515D6" w14:paraId="177F63BD" w14:textId="77777777" w:rsidTr="008C2C42">
        <w:trPr>
          <w:tblHeader/>
          <w:tblCellSpacing w:w="15" w:type="dxa"/>
        </w:trPr>
        <w:tc>
          <w:tcPr>
            <w:tcW w:w="0" w:type="auto"/>
            <w:tcBorders>
              <w:top w:val="thinThickSmallGap" w:sz="24" w:space="0" w:color="auto"/>
              <w:bottom w:val="thickThinSmallGap" w:sz="24" w:space="0" w:color="auto"/>
            </w:tcBorders>
            <w:vAlign w:val="center"/>
            <w:hideMark/>
          </w:tcPr>
          <w:p w14:paraId="79580C72"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Priority</w:t>
            </w:r>
          </w:p>
        </w:tc>
        <w:tc>
          <w:tcPr>
            <w:tcW w:w="0" w:type="auto"/>
            <w:tcBorders>
              <w:top w:val="thinThickSmallGap" w:sz="24" w:space="0" w:color="auto"/>
              <w:bottom w:val="thickThinSmallGap" w:sz="24" w:space="0" w:color="auto"/>
            </w:tcBorders>
            <w:vAlign w:val="center"/>
            <w:hideMark/>
          </w:tcPr>
          <w:p w14:paraId="41E26EEB"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Recommended use of cash</w:t>
            </w:r>
          </w:p>
        </w:tc>
        <w:tc>
          <w:tcPr>
            <w:tcW w:w="0" w:type="auto"/>
            <w:tcBorders>
              <w:top w:val="thinThickSmallGap" w:sz="24" w:space="0" w:color="auto"/>
              <w:bottom w:val="thickThinSmallGap" w:sz="24" w:space="0" w:color="auto"/>
            </w:tcBorders>
            <w:vAlign w:val="center"/>
            <w:hideMark/>
          </w:tcPr>
          <w:p w14:paraId="26C610CE"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Strategic objective</w:t>
            </w:r>
          </w:p>
        </w:tc>
      </w:tr>
      <w:tr w:rsidR="00ED72CF" w:rsidRPr="003515D6" w14:paraId="7FD1BE18" w14:textId="77777777" w:rsidTr="008C2C42">
        <w:trPr>
          <w:tblCellSpacing w:w="15" w:type="dxa"/>
        </w:trPr>
        <w:tc>
          <w:tcPr>
            <w:tcW w:w="0" w:type="auto"/>
            <w:vAlign w:val="center"/>
            <w:hideMark/>
          </w:tcPr>
          <w:p w14:paraId="0D220648"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1</w:t>
            </w:r>
          </w:p>
        </w:tc>
        <w:tc>
          <w:tcPr>
            <w:tcW w:w="0" w:type="auto"/>
            <w:vAlign w:val="center"/>
            <w:hideMark/>
          </w:tcPr>
          <w:p w14:paraId="6D57A99B"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Operating requirements</w:t>
            </w:r>
          </w:p>
        </w:tc>
        <w:tc>
          <w:tcPr>
            <w:tcW w:w="0" w:type="auto"/>
            <w:vAlign w:val="center"/>
            <w:hideMark/>
          </w:tcPr>
          <w:p w14:paraId="57129B04"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Protect liquidity</w:t>
            </w:r>
          </w:p>
        </w:tc>
      </w:tr>
      <w:tr w:rsidR="00ED72CF" w:rsidRPr="003515D6" w14:paraId="3FFDD20C" w14:textId="77777777" w:rsidTr="008C2C42">
        <w:trPr>
          <w:tblCellSpacing w:w="15" w:type="dxa"/>
        </w:trPr>
        <w:tc>
          <w:tcPr>
            <w:tcW w:w="0" w:type="auto"/>
            <w:vAlign w:val="center"/>
            <w:hideMark/>
          </w:tcPr>
          <w:p w14:paraId="2C769029"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2</w:t>
            </w:r>
          </w:p>
        </w:tc>
        <w:tc>
          <w:tcPr>
            <w:tcW w:w="0" w:type="auto"/>
            <w:vAlign w:val="center"/>
            <w:hideMark/>
          </w:tcPr>
          <w:p w14:paraId="5B854F08"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Debt service and selective debt reduction</w:t>
            </w:r>
          </w:p>
        </w:tc>
        <w:tc>
          <w:tcPr>
            <w:tcW w:w="0" w:type="auto"/>
            <w:vAlign w:val="center"/>
            <w:hideMark/>
          </w:tcPr>
          <w:p w14:paraId="2435D374"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Reduce financial risk</w:t>
            </w:r>
          </w:p>
        </w:tc>
      </w:tr>
      <w:tr w:rsidR="00ED72CF" w:rsidRPr="003515D6" w14:paraId="0FCF7960" w14:textId="77777777" w:rsidTr="008C2C42">
        <w:trPr>
          <w:tblCellSpacing w:w="15" w:type="dxa"/>
        </w:trPr>
        <w:tc>
          <w:tcPr>
            <w:tcW w:w="0" w:type="auto"/>
            <w:vAlign w:val="center"/>
            <w:hideMark/>
          </w:tcPr>
          <w:p w14:paraId="076FE616"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3</w:t>
            </w:r>
          </w:p>
        </w:tc>
        <w:tc>
          <w:tcPr>
            <w:tcW w:w="0" w:type="auto"/>
            <w:vAlign w:val="center"/>
            <w:hideMark/>
          </w:tcPr>
          <w:p w14:paraId="6ADA97A8"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Strategic investment</w:t>
            </w:r>
          </w:p>
        </w:tc>
        <w:tc>
          <w:tcPr>
            <w:tcW w:w="0" w:type="auto"/>
            <w:vAlign w:val="center"/>
            <w:hideMark/>
          </w:tcPr>
          <w:p w14:paraId="5EF8F4AD"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Support long-term growth</w:t>
            </w:r>
          </w:p>
        </w:tc>
      </w:tr>
      <w:tr w:rsidR="00ED72CF" w:rsidRPr="003515D6" w14:paraId="3DBC1CB5" w14:textId="77777777" w:rsidTr="008C2C42">
        <w:trPr>
          <w:tblCellSpacing w:w="15" w:type="dxa"/>
        </w:trPr>
        <w:tc>
          <w:tcPr>
            <w:tcW w:w="0" w:type="auto"/>
            <w:vAlign w:val="center"/>
            <w:hideMark/>
          </w:tcPr>
          <w:p w14:paraId="25701A43"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4</w:t>
            </w:r>
          </w:p>
        </w:tc>
        <w:tc>
          <w:tcPr>
            <w:tcW w:w="0" w:type="auto"/>
            <w:vAlign w:val="center"/>
            <w:hideMark/>
          </w:tcPr>
          <w:p w14:paraId="58AC53A1"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Dividends</w:t>
            </w:r>
          </w:p>
        </w:tc>
        <w:tc>
          <w:tcPr>
            <w:tcW w:w="0" w:type="auto"/>
            <w:vAlign w:val="center"/>
            <w:hideMark/>
          </w:tcPr>
          <w:p w14:paraId="661138C7"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Maintain shareholder return</w:t>
            </w:r>
          </w:p>
        </w:tc>
      </w:tr>
      <w:tr w:rsidR="00ED72CF" w:rsidRPr="003515D6" w14:paraId="6FD42D5B" w14:textId="77777777" w:rsidTr="008C2C42">
        <w:trPr>
          <w:tblCellSpacing w:w="15" w:type="dxa"/>
        </w:trPr>
        <w:tc>
          <w:tcPr>
            <w:tcW w:w="0" w:type="auto"/>
            <w:tcBorders>
              <w:bottom w:val="thickThinSmallGap" w:sz="24" w:space="0" w:color="auto"/>
            </w:tcBorders>
            <w:vAlign w:val="center"/>
            <w:hideMark/>
          </w:tcPr>
          <w:p w14:paraId="74A6339A"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5</w:t>
            </w:r>
          </w:p>
        </w:tc>
        <w:tc>
          <w:tcPr>
            <w:tcW w:w="0" w:type="auto"/>
            <w:tcBorders>
              <w:bottom w:val="thickThinSmallGap" w:sz="24" w:space="0" w:color="auto"/>
            </w:tcBorders>
            <w:vAlign w:val="center"/>
            <w:hideMark/>
          </w:tcPr>
          <w:p w14:paraId="271691B5"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Share repurchases</w:t>
            </w:r>
          </w:p>
        </w:tc>
        <w:tc>
          <w:tcPr>
            <w:tcW w:w="0" w:type="auto"/>
            <w:tcBorders>
              <w:bottom w:val="thickThinSmallGap" w:sz="24" w:space="0" w:color="auto"/>
            </w:tcBorders>
            <w:vAlign w:val="center"/>
            <w:hideMark/>
          </w:tcPr>
          <w:p w14:paraId="27E0A2D9" w14:textId="77777777" w:rsidR="00ED72CF" w:rsidRPr="00B87EFB" w:rsidRDefault="00ED72CF" w:rsidP="008C2C42">
            <w:pPr>
              <w:spacing w:after="0" w:line="360" w:lineRule="auto"/>
              <w:rPr>
                <w:rFonts w:cs="Arial"/>
                <w:b/>
                <w:bCs/>
                <w:sz w:val="24"/>
                <w:szCs w:val="24"/>
                <w:lang w:val="en-GB"/>
              </w:rPr>
            </w:pPr>
            <w:r w:rsidRPr="00B87EFB">
              <w:rPr>
                <w:rFonts w:cs="Arial"/>
                <w:sz w:val="24"/>
                <w:szCs w:val="24"/>
                <w:lang w:val="en-GB"/>
              </w:rPr>
              <w:t>Increase when leverage permits</w:t>
            </w:r>
          </w:p>
        </w:tc>
      </w:tr>
    </w:tbl>
    <w:p w14:paraId="39DCE3AF" w14:textId="77777777" w:rsidR="00ED72CF" w:rsidRDefault="00ED72CF" w:rsidP="00ED72CF">
      <w:pPr>
        <w:spacing w:after="0" w:line="360" w:lineRule="auto"/>
        <w:rPr>
          <w:rFonts w:cs="Arial"/>
          <w:b/>
          <w:bCs/>
          <w:sz w:val="24"/>
          <w:szCs w:val="24"/>
          <w:u w:val="single"/>
        </w:rPr>
      </w:pPr>
    </w:p>
    <w:p w14:paraId="6A179281" w14:textId="77777777" w:rsidR="00ED72CF" w:rsidRDefault="00ED72CF" w:rsidP="00ED72CF">
      <w:pPr>
        <w:spacing w:after="0" w:line="360" w:lineRule="auto"/>
        <w:rPr>
          <w:rFonts w:cs="Arial"/>
          <w:b/>
          <w:bCs/>
          <w:sz w:val="24"/>
          <w:szCs w:val="24"/>
          <w:u w:val="single"/>
        </w:rPr>
      </w:pPr>
    </w:p>
    <w:p w14:paraId="255C4837" w14:textId="77777777" w:rsidR="00ED72CF" w:rsidRDefault="00ED72CF" w:rsidP="00ED72CF">
      <w:pPr>
        <w:spacing w:after="0" w:line="360" w:lineRule="auto"/>
        <w:rPr>
          <w:rFonts w:cs="Arial"/>
          <w:sz w:val="24"/>
          <w:szCs w:val="24"/>
        </w:rPr>
      </w:pPr>
      <w:proofErr w:type="spellStart"/>
      <w:r>
        <w:rPr>
          <w:rFonts w:cs="Arial"/>
          <w:b/>
          <w:bCs/>
          <w:sz w:val="24"/>
          <w:szCs w:val="24"/>
          <w:u w:val="single"/>
        </w:rPr>
        <w:t>Apendix</w:t>
      </w:r>
      <w:proofErr w:type="spellEnd"/>
      <w:r>
        <w:rPr>
          <w:rFonts w:cs="Arial"/>
          <w:b/>
          <w:bCs/>
          <w:sz w:val="24"/>
          <w:szCs w:val="24"/>
          <w:u w:val="single"/>
        </w:rPr>
        <w:t xml:space="preserve"> 11:</w:t>
      </w:r>
      <w:r w:rsidRPr="00216DE6">
        <w:rPr>
          <w:rFonts w:cs="Arial"/>
          <w:b/>
          <w:bCs/>
          <w:sz w:val="24"/>
          <w:szCs w:val="24"/>
        </w:rPr>
        <w:t xml:space="preserve"> Autor’s</w:t>
      </w:r>
      <w:r>
        <w:rPr>
          <w:rFonts w:cs="Arial"/>
          <w:b/>
          <w:bCs/>
          <w:sz w:val="24"/>
          <w:szCs w:val="24"/>
          <w:u w:val="single"/>
        </w:rPr>
        <w:t xml:space="preserve"> </w:t>
      </w:r>
      <w:r>
        <w:rPr>
          <w:rFonts w:cs="Arial"/>
          <w:sz w:val="24"/>
          <w:szCs w:val="24"/>
        </w:rPr>
        <w:t xml:space="preserve">calculation of </w:t>
      </w:r>
      <w:r w:rsidRPr="0003016E">
        <w:rPr>
          <w:rFonts w:cs="Arial"/>
          <w:b/>
          <w:bCs/>
          <w:sz w:val="24"/>
          <w:szCs w:val="24"/>
        </w:rPr>
        <w:t xml:space="preserve">PBP, ARR, NPV, PI, </w:t>
      </w:r>
      <w:r w:rsidRPr="0003016E">
        <w:rPr>
          <w:rFonts w:cs="Arial"/>
          <w:sz w:val="24"/>
          <w:szCs w:val="24"/>
        </w:rPr>
        <w:t xml:space="preserve">and </w:t>
      </w:r>
      <w:r w:rsidRPr="0003016E">
        <w:rPr>
          <w:rFonts w:cs="Arial"/>
          <w:b/>
          <w:bCs/>
          <w:sz w:val="24"/>
          <w:szCs w:val="24"/>
        </w:rPr>
        <w:t>IRR</w:t>
      </w:r>
      <w:r w:rsidRPr="0003016E">
        <w:rPr>
          <w:rFonts w:cs="Arial"/>
          <w:sz w:val="24"/>
          <w:szCs w:val="24"/>
        </w:rPr>
        <w:t>.</w:t>
      </w:r>
    </w:p>
    <w:p w14:paraId="604B284A" w14:textId="77777777" w:rsidR="00ED72CF" w:rsidRPr="00216DE6" w:rsidRDefault="00ED72CF" w:rsidP="00ED72CF">
      <w:pPr>
        <w:spacing w:after="0" w:line="360" w:lineRule="auto"/>
        <w:rPr>
          <w:rFonts w:cs="Arial"/>
          <w:b/>
          <w:bCs/>
          <w:sz w:val="24"/>
          <w:szCs w:val="24"/>
        </w:rPr>
      </w:pPr>
      <w:r w:rsidRPr="00216DE6">
        <w:rPr>
          <w:rFonts w:cs="Arial"/>
          <w:b/>
          <w:bCs/>
          <w:sz w:val="24"/>
          <w:szCs w:val="24"/>
        </w:rPr>
        <w:t>a-Project information</w:t>
      </w:r>
    </w:p>
    <w:p w14:paraId="3E559592" w14:textId="77777777" w:rsidR="00ED72CF" w:rsidRPr="003515D6" w:rsidRDefault="00ED72CF" w:rsidP="00ED72CF">
      <w:pPr>
        <w:spacing w:after="0" w:line="360" w:lineRule="auto"/>
        <w:rPr>
          <w:rFonts w:cs="Arial"/>
          <w:sz w:val="24"/>
          <w:szCs w:val="24"/>
        </w:rPr>
      </w:pPr>
      <w:bookmarkStart w:id="8" w:name="_Hlk237259950"/>
      <w:r w:rsidRPr="003515D6">
        <w:rPr>
          <w:rFonts w:cs="Arial"/>
          <w:sz w:val="24"/>
          <w:szCs w:val="24"/>
        </w:rPr>
        <w:t>All projects require an initial investment of £50m and have a five-year life.</w:t>
      </w:r>
    </w:p>
    <w:tbl>
      <w:tblPr>
        <w:tblW w:w="0" w:type="auto"/>
        <w:tblLook w:val="04A0" w:firstRow="1" w:lastRow="0" w:firstColumn="1" w:lastColumn="0" w:noHBand="0" w:noVBand="1"/>
      </w:tblPr>
      <w:tblGrid>
        <w:gridCol w:w="1440"/>
        <w:gridCol w:w="1440"/>
        <w:gridCol w:w="1440"/>
        <w:gridCol w:w="1440"/>
        <w:gridCol w:w="1440"/>
        <w:gridCol w:w="1440"/>
      </w:tblGrid>
      <w:tr w:rsidR="00ED72CF" w:rsidRPr="003515D6" w14:paraId="2115BD7F" w14:textId="77777777" w:rsidTr="008C2C42">
        <w:tc>
          <w:tcPr>
            <w:tcW w:w="1440" w:type="dxa"/>
            <w:tcBorders>
              <w:top w:val="thinThickSmallGap" w:sz="24" w:space="0" w:color="auto"/>
              <w:bottom w:val="thickThinSmallGap" w:sz="24" w:space="0" w:color="auto"/>
            </w:tcBorders>
          </w:tcPr>
          <w:p w14:paraId="7457D116" w14:textId="77777777" w:rsidR="00ED72CF" w:rsidRPr="003515D6" w:rsidRDefault="00ED72CF" w:rsidP="008C2C42">
            <w:pPr>
              <w:spacing w:after="0" w:line="360" w:lineRule="auto"/>
              <w:rPr>
                <w:rFonts w:cs="Arial"/>
                <w:sz w:val="24"/>
                <w:szCs w:val="24"/>
              </w:rPr>
            </w:pPr>
            <w:r>
              <w:rPr>
                <w:rFonts w:cs="Arial"/>
                <w:sz w:val="24"/>
                <w:szCs w:val="24"/>
              </w:rPr>
              <w:t>Project (</w:t>
            </w:r>
            <w:r w:rsidRPr="003515D6">
              <w:rPr>
                <w:rFonts w:cs="Arial"/>
                <w:sz w:val="24"/>
                <w:szCs w:val="24"/>
              </w:rPr>
              <w:t>£m</w:t>
            </w:r>
            <w:r>
              <w:rPr>
                <w:rFonts w:cs="Arial"/>
                <w:sz w:val="24"/>
                <w:szCs w:val="24"/>
              </w:rPr>
              <w:t xml:space="preserve">) </w:t>
            </w:r>
          </w:p>
        </w:tc>
        <w:tc>
          <w:tcPr>
            <w:tcW w:w="1440" w:type="dxa"/>
            <w:tcBorders>
              <w:top w:val="thinThickSmallGap" w:sz="24" w:space="0" w:color="auto"/>
              <w:bottom w:val="thickThinSmallGap" w:sz="24" w:space="0" w:color="auto"/>
            </w:tcBorders>
          </w:tcPr>
          <w:p w14:paraId="67FD2B08" w14:textId="77777777" w:rsidR="00ED72CF" w:rsidRPr="003515D6" w:rsidRDefault="00ED72CF" w:rsidP="008C2C42">
            <w:pPr>
              <w:spacing w:after="0" w:line="360" w:lineRule="auto"/>
              <w:rPr>
                <w:rFonts w:cs="Arial"/>
                <w:sz w:val="24"/>
                <w:szCs w:val="24"/>
              </w:rPr>
            </w:pPr>
            <w:r w:rsidRPr="003515D6">
              <w:rPr>
                <w:rFonts w:cs="Arial"/>
                <w:sz w:val="24"/>
                <w:szCs w:val="24"/>
              </w:rPr>
              <w:t>Year</w:t>
            </w:r>
            <w:r>
              <w:rPr>
                <w:rFonts w:cs="Arial"/>
                <w:sz w:val="24"/>
                <w:szCs w:val="24"/>
              </w:rPr>
              <w:t xml:space="preserve"> 1</w:t>
            </w:r>
          </w:p>
        </w:tc>
        <w:tc>
          <w:tcPr>
            <w:tcW w:w="1440" w:type="dxa"/>
            <w:tcBorders>
              <w:top w:val="thinThickSmallGap" w:sz="24" w:space="0" w:color="auto"/>
              <w:bottom w:val="thickThinSmallGap" w:sz="24" w:space="0" w:color="auto"/>
            </w:tcBorders>
          </w:tcPr>
          <w:p w14:paraId="7668BD6D" w14:textId="77777777" w:rsidR="00ED72CF" w:rsidRPr="003515D6" w:rsidRDefault="00ED72CF" w:rsidP="008C2C42">
            <w:pPr>
              <w:spacing w:after="0" w:line="360" w:lineRule="auto"/>
              <w:rPr>
                <w:rFonts w:cs="Arial"/>
                <w:sz w:val="24"/>
                <w:szCs w:val="24"/>
              </w:rPr>
            </w:pPr>
            <w:r w:rsidRPr="003515D6">
              <w:rPr>
                <w:rFonts w:cs="Arial"/>
                <w:sz w:val="24"/>
                <w:szCs w:val="24"/>
              </w:rPr>
              <w:t>Year</w:t>
            </w:r>
            <w:r>
              <w:rPr>
                <w:rFonts w:cs="Arial"/>
                <w:sz w:val="24"/>
                <w:szCs w:val="24"/>
              </w:rPr>
              <w:t xml:space="preserve"> 2</w:t>
            </w:r>
          </w:p>
        </w:tc>
        <w:tc>
          <w:tcPr>
            <w:tcW w:w="1440" w:type="dxa"/>
            <w:tcBorders>
              <w:top w:val="thinThickSmallGap" w:sz="24" w:space="0" w:color="auto"/>
              <w:bottom w:val="thickThinSmallGap" w:sz="24" w:space="0" w:color="auto"/>
            </w:tcBorders>
          </w:tcPr>
          <w:p w14:paraId="2B37F18A" w14:textId="77777777" w:rsidR="00ED72CF" w:rsidRPr="003515D6" w:rsidRDefault="00ED72CF" w:rsidP="008C2C42">
            <w:pPr>
              <w:spacing w:after="0" w:line="360" w:lineRule="auto"/>
              <w:rPr>
                <w:rFonts w:cs="Arial"/>
                <w:sz w:val="24"/>
                <w:szCs w:val="24"/>
              </w:rPr>
            </w:pPr>
            <w:r w:rsidRPr="003515D6">
              <w:rPr>
                <w:rFonts w:cs="Arial"/>
                <w:sz w:val="24"/>
                <w:szCs w:val="24"/>
              </w:rPr>
              <w:t>Year</w:t>
            </w:r>
            <w:r>
              <w:rPr>
                <w:rFonts w:cs="Arial"/>
                <w:sz w:val="24"/>
                <w:szCs w:val="24"/>
              </w:rPr>
              <w:t xml:space="preserve"> 3</w:t>
            </w:r>
          </w:p>
        </w:tc>
        <w:tc>
          <w:tcPr>
            <w:tcW w:w="1440" w:type="dxa"/>
            <w:tcBorders>
              <w:top w:val="thinThickSmallGap" w:sz="24" w:space="0" w:color="auto"/>
              <w:bottom w:val="thickThinSmallGap" w:sz="24" w:space="0" w:color="auto"/>
            </w:tcBorders>
          </w:tcPr>
          <w:p w14:paraId="1C3A0730" w14:textId="77777777" w:rsidR="00ED72CF" w:rsidRPr="003515D6" w:rsidRDefault="00ED72CF" w:rsidP="008C2C42">
            <w:pPr>
              <w:spacing w:after="0" w:line="360" w:lineRule="auto"/>
              <w:rPr>
                <w:rFonts w:cs="Arial"/>
                <w:sz w:val="24"/>
                <w:szCs w:val="24"/>
              </w:rPr>
            </w:pPr>
            <w:r w:rsidRPr="003515D6">
              <w:rPr>
                <w:rFonts w:cs="Arial"/>
                <w:sz w:val="24"/>
                <w:szCs w:val="24"/>
              </w:rPr>
              <w:t>Year   4</w:t>
            </w:r>
          </w:p>
        </w:tc>
        <w:tc>
          <w:tcPr>
            <w:tcW w:w="1440" w:type="dxa"/>
            <w:tcBorders>
              <w:top w:val="thinThickSmallGap" w:sz="24" w:space="0" w:color="auto"/>
              <w:bottom w:val="thickThinSmallGap" w:sz="24" w:space="0" w:color="auto"/>
            </w:tcBorders>
          </w:tcPr>
          <w:p w14:paraId="79327DEC" w14:textId="77777777" w:rsidR="00ED72CF" w:rsidRPr="003515D6" w:rsidRDefault="00ED72CF" w:rsidP="008C2C42">
            <w:pPr>
              <w:spacing w:after="0" w:line="360" w:lineRule="auto"/>
              <w:rPr>
                <w:rFonts w:cs="Arial"/>
                <w:sz w:val="24"/>
                <w:szCs w:val="24"/>
              </w:rPr>
            </w:pPr>
            <w:r w:rsidRPr="003515D6">
              <w:rPr>
                <w:rFonts w:cs="Arial"/>
                <w:sz w:val="24"/>
                <w:szCs w:val="24"/>
              </w:rPr>
              <w:t>Year 5</w:t>
            </w:r>
          </w:p>
        </w:tc>
      </w:tr>
      <w:tr w:rsidR="00ED72CF" w:rsidRPr="003515D6" w14:paraId="3A7E12CF" w14:textId="77777777" w:rsidTr="008C2C42">
        <w:tc>
          <w:tcPr>
            <w:tcW w:w="1440" w:type="dxa"/>
            <w:tcBorders>
              <w:top w:val="thickThinSmallGap" w:sz="24" w:space="0" w:color="auto"/>
            </w:tcBorders>
          </w:tcPr>
          <w:p w14:paraId="5A13873A" w14:textId="77777777" w:rsidR="00ED72CF" w:rsidRPr="003515D6" w:rsidRDefault="00ED72CF" w:rsidP="008C2C42">
            <w:pPr>
              <w:spacing w:after="0" w:line="360" w:lineRule="auto"/>
              <w:rPr>
                <w:rFonts w:cs="Arial"/>
                <w:sz w:val="24"/>
                <w:szCs w:val="24"/>
              </w:rPr>
            </w:pPr>
            <w:r w:rsidRPr="003515D6">
              <w:rPr>
                <w:rFonts w:cs="Arial"/>
                <w:sz w:val="24"/>
                <w:szCs w:val="24"/>
              </w:rPr>
              <w:t>Project A</w:t>
            </w:r>
          </w:p>
        </w:tc>
        <w:tc>
          <w:tcPr>
            <w:tcW w:w="1440" w:type="dxa"/>
            <w:tcBorders>
              <w:top w:val="thickThinSmallGap" w:sz="24" w:space="0" w:color="auto"/>
            </w:tcBorders>
          </w:tcPr>
          <w:p w14:paraId="3A37B0F6" w14:textId="77777777" w:rsidR="00ED72CF" w:rsidRPr="003515D6" w:rsidRDefault="00ED72CF" w:rsidP="008C2C42">
            <w:pPr>
              <w:spacing w:after="0" w:line="360" w:lineRule="auto"/>
              <w:rPr>
                <w:rFonts w:cs="Arial"/>
                <w:sz w:val="24"/>
                <w:szCs w:val="24"/>
              </w:rPr>
            </w:pPr>
            <w:r w:rsidRPr="003515D6">
              <w:rPr>
                <w:rFonts w:cs="Arial"/>
                <w:sz w:val="24"/>
                <w:szCs w:val="24"/>
              </w:rPr>
              <w:t>10</w:t>
            </w:r>
          </w:p>
        </w:tc>
        <w:tc>
          <w:tcPr>
            <w:tcW w:w="1440" w:type="dxa"/>
            <w:tcBorders>
              <w:top w:val="thickThinSmallGap" w:sz="24" w:space="0" w:color="auto"/>
            </w:tcBorders>
          </w:tcPr>
          <w:p w14:paraId="058C8EA2" w14:textId="77777777" w:rsidR="00ED72CF" w:rsidRPr="003515D6" w:rsidRDefault="00ED72CF" w:rsidP="008C2C42">
            <w:pPr>
              <w:spacing w:after="0" w:line="360" w:lineRule="auto"/>
              <w:rPr>
                <w:rFonts w:cs="Arial"/>
                <w:sz w:val="24"/>
                <w:szCs w:val="24"/>
              </w:rPr>
            </w:pPr>
            <w:r w:rsidRPr="003515D6">
              <w:rPr>
                <w:rFonts w:cs="Arial"/>
                <w:sz w:val="24"/>
                <w:szCs w:val="24"/>
              </w:rPr>
              <w:t>12</w:t>
            </w:r>
          </w:p>
        </w:tc>
        <w:tc>
          <w:tcPr>
            <w:tcW w:w="1440" w:type="dxa"/>
            <w:tcBorders>
              <w:top w:val="thickThinSmallGap" w:sz="24" w:space="0" w:color="auto"/>
            </w:tcBorders>
          </w:tcPr>
          <w:p w14:paraId="7C489857" w14:textId="77777777" w:rsidR="00ED72CF" w:rsidRPr="003515D6" w:rsidRDefault="00ED72CF" w:rsidP="008C2C42">
            <w:pPr>
              <w:spacing w:after="0" w:line="360" w:lineRule="auto"/>
              <w:rPr>
                <w:rFonts w:cs="Arial"/>
                <w:sz w:val="24"/>
                <w:szCs w:val="24"/>
              </w:rPr>
            </w:pPr>
            <w:r w:rsidRPr="003515D6">
              <w:rPr>
                <w:rFonts w:cs="Arial"/>
                <w:sz w:val="24"/>
                <w:szCs w:val="24"/>
              </w:rPr>
              <w:t>14</w:t>
            </w:r>
          </w:p>
        </w:tc>
        <w:tc>
          <w:tcPr>
            <w:tcW w:w="1440" w:type="dxa"/>
            <w:tcBorders>
              <w:top w:val="thickThinSmallGap" w:sz="24" w:space="0" w:color="auto"/>
            </w:tcBorders>
          </w:tcPr>
          <w:p w14:paraId="08094A5A" w14:textId="77777777" w:rsidR="00ED72CF" w:rsidRPr="003515D6" w:rsidRDefault="00ED72CF" w:rsidP="008C2C42">
            <w:pPr>
              <w:spacing w:after="0" w:line="360" w:lineRule="auto"/>
              <w:rPr>
                <w:rFonts w:cs="Arial"/>
                <w:sz w:val="24"/>
                <w:szCs w:val="24"/>
              </w:rPr>
            </w:pPr>
            <w:r w:rsidRPr="003515D6">
              <w:rPr>
                <w:rFonts w:cs="Arial"/>
                <w:sz w:val="24"/>
                <w:szCs w:val="24"/>
              </w:rPr>
              <w:t>10</w:t>
            </w:r>
          </w:p>
        </w:tc>
        <w:tc>
          <w:tcPr>
            <w:tcW w:w="1440" w:type="dxa"/>
            <w:tcBorders>
              <w:top w:val="thickThinSmallGap" w:sz="24" w:space="0" w:color="auto"/>
            </w:tcBorders>
          </w:tcPr>
          <w:p w14:paraId="67762533" w14:textId="77777777" w:rsidR="00ED72CF" w:rsidRPr="003515D6" w:rsidRDefault="00ED72CF" w:rsidP="008C2C42">
            <w:pPr>
              <w:spacing w:after="0" w:line="360" w:lineRule="auto"/>
              <w:rPr>
                <w:rFonts w:cs="Arial"/>
                <w:sz w:val="24"/>
                <w:szCs w:val="24"/>
              </w:rPr>
            </w:pPr>
            <w:r w:rsidRPr="003515D6">
              <w:rPr>
                <w:rFonts w:cs="Arial"/>
                <w:sz w:val="24"/>
                <w:szCs w:val="24"/>
              </w:rPr>
              <w:t>8</w:t>
            </w:r>
          </w:p>
        </w:tc>
      </w:tr>
      <w:tr w:rsidR="00ED72CF" w:rsidRPr="003515D6" w14:paraId="701952BE" w14:textId="77777777" w:rsidTr="008C2C42">
        <w:tc>
          <w:tcPr>
            <w:tcW w:w="1440" w:type="dxa"/>
          </w:tcPr>
          <w:p w14:paraId="11A45DA7" w14:textId="77777777" w:rsidR="00ED72CF" w:rsidRPr="003515D6" w:rsidRDefault="00ED72CF" w:rsidP="008C2C42">
            <w:pPr>
              <w:spacing w:after="0" w:line="360" w:lineRule="auto"/>
              <w:rPr>
                <w:rFonts w:cs="Arial"/>
                <w:sz w:val="24"/>
                <w:szCs w:val="24"/>
              </w:rPr>
            </w:pPr>
            <w:r w:rsidRPr="003515D6">
              <w:rPr>
                <w:rFonts w:cs="Arial"/>
                <w:sz w:val="24"/>
                <w:szCs w:val="24"/>
              </w:rPr>
              <w:t>Project B</w:t>
            </w:r>
          </w:p>
        </w:tc>
        <w:tc>
          <w:tcPr>
            <w:tcW w:w="1440" w:type="dxa"/>
          </w:tcPr>
          <w:p w14:paraId="69A989F6" w14:textId="77777777" w:rsidR="00ED72CF" w:rsidRPr="003515D6" w:rsidRDefault="00ED72CF" w:rsidP="008C2C42">
            <w:pPr>
              <w:spacing w:after="0" w:line="360" w:lineRule="auto"/>
              <w:rPr>
                <w:rFonts w:cs="Arial"/>
                <w:sz w:val="24"/>
                <w:szCs w:val="24"/>
              </w:rPr>
            </w:pPr>
            <w:r w:rsidRPr="003515D6">
              <w:rPr>
                <w:rFonts w:cs="Arial"/>
                <w:sz w:val="24"/>
                <w:szCs w:val="24"/>
              </w:rPr>
              <w:t>11</w:t>
            </w:r>
          </w:p>
        </w:tc>
        <w:tc>
          <w:tcPr>
            <w:tcW w:w="1440" w:type="dxa"/>
          </w:tcPr>
          <w:p w14:paraId="281E8859" w14:textId="77777777" w:rsidR="00ED72CF" w:rsidRPr="003515D6" w:rsidRDefault="00ED72CF" w:rsidP="008C2C42">
            <w:pPr>
              <w:spacing w:after="0" w:line="360" w:lineRule="auto"/>
              <w:rPr>
                <w:rFonts w:cs="Arial"/>
                <w:sz w:val="24"/>
                <w:szCs w:val="24"/>
              </w:rPr>
            </w:pPr>
            <w:r w:rsidRPr="003515D6">
              <w:rPr>
                <w:rFonts w:cs="Arial"/>
                <w:sz w:val="24"/>
                <w:szCs w:val="24"/>
              </w:rPr>
              <w:t>11</w:t>
            </w:r>
          </w:p>
        </w:tc>
        <w:tc>
          <w:tcPr>
            <w:tcW w:w="1440" w:type="dxa"/>
          </w:tcPr>
          <w:p w14:paraId="366179FA" w14:textId="77777777" w:rsidR="00ED72CF" w:rsidRPr="003515D6" w:rsidRDefault="00ED72CF" w:rsidP="008C2C42">
            <w:pPr>
              <w:spacing w:after="0" w:line="360" w:lineRule="auto"/>
              <w:rPr>
                <w:rFonts w:cs="Arial"/>
                <w:sz w:val="24"/>
                <w:szCs w:val="24"/>
              </w:rPr>
            </w:pPr>
            <w:r w:rsidRPr="003515D6">
              <w:rPr>
                <w:rFonts w:cs="Arial"/>
                <w:sz w:val="24"/>
                <w:szCs w:val="24"/>
              </w:rPr>
              <w:t>11</w:t>
            </w:r>
          </w:p>
        </w:tc>
        <w:tc>
          <w:tcPr>
            <w:tcW w:w="1440" w:type="dxa"/>
          </w:tcPr>
          <w:p w14:paraId="549135C6" w14:textId="77777777" w:rsidR="00ED72CF" w:rsidRPr="003515D6" w:rsidRDefault="00ED72CF" w:rsidP="008C2C42">
            <w:pPr>
              <w:spacing w:after="0" w:line="360" w:lineRule="auto"/>
              <w:rPr>
                <w:rFonts w:cs="Arial"/>
                <w:sz w:val="24"/>
                <w:szCs w:val="24"/>
              </w:rPr>
            </w:pPr>
            <w:r w:rsidRPr="003515D6">
              <w:rPr>
                <w:rFonts w:cs="Arial"/>
                <w:sz w:val="24"/>
                <w:szCs w:val="24"/>
              </w:rPr>
              <w:t>11</w:t>
            </w:r>
          </w:p>
        </w:tc>
        <w:tc>
          <w:tcPr>
            <w:tcW w:w="1440" w:type="dxa"/>
          </w:tcPr>
          <w:p w14:paraId="61C8D17B" w14:textId="77777777" w:rsidR="00ED72CF" w:rsidRPr="003515D6" w:rsidRDefault="00ED72CF" w:rsidP="008C2C42">
            <w:pPr>
              <w:spacing w:after="0" w:line="360" w:lineRule="auto"/>
              <w:rPr>
                <w:rFonts w:cs="Arial"/>
                <w:sz w:val="24"/>
                <w:szCs w:val="24"/>
              </w:rPr>
            </w:pPr>
            <w:r w:rsidRPr="003515D6">
              <w:rPr>
                <w:rFonts w:cs="Arial"/>
                <w:sz w:val="24"/>
                <w:szCs w:val="24"/>
              </w:rPr>
              <w:t>11</w:t>
            </w:r>
          </w:p>
        </w:tc>
      </w:tr>
      <w:tr w:rsidR="00ED72CF" w:rsidRPr="003515D6" w14:paraId="24D857D8" w14:textId="77777777" w:rsidTr="008C2C42">
        <w:tc>
          <w:tcPr>
            <w:tcW w:w="1440" w:type="dxa"/>
            <w:tcBorders>
              <w:bottom w:val="thickThinSmallGap" w:sz="24" w:space="0" w:color="auto"/>
            </w:tcBorders>
          </w:tcPr>
          <w:p w14:paraId="168834EB" w14:textId="77777777" w:rsidR="00ED72CF" w:rsidRPr="003515D6" w:rsidRDefault="00ED72CF" w:rsidP="008C2C42">
            <w:pPr>
              <w:spacing w:after="0" w:line="360" w:lineRule="auto"/>
              <w:rPr>
                <w:rFonts w:cs="Arial"/>
                <w:sz w:val="24"/>
                <w:szCs w:val="24"/>
              </w:rPr>
            </w:pPr>
            <w:r w:rsidRPr="003515D6">
              <w:rPr>
                <w:rFonts w:cs="Arial"/>
                <w:sz w:val="24"/>
                <w:szCs w:val="24"/>
              </w:rPr>
              <w:t>Project C</w:t>
            </w:r>
          </w:p>
        </w:tc>
        <w:tc>
          <w:tcPr>
            <w:tcW w:w="1440" w:type="dxa"/>
            <w:tcBorders>
              <w:bottom w:val="thickThinSmallGap" w:sz="24" w:space="0" w:color="auto"/>
            </w:tcBorders>
          </w:tcPr>
          <w:p w14:paraId="0262D273" w14:textId="77777777" w:rsidR="00ED72CF" w:rsidRPr="003515D6" w:rsidRDefault="00ED72CF" w:rsidP="008C2C42">
            <w:pPr>
              <w:spacing w:after="0" w:line="360" w:lineRule="auto"/>
              <w:rPr>
                <w:rFonts w:cs="Arial"/>
                <w:sz w:val="24"/>
                <w:szCs w:val="24"/>
              </w:rPr>
            </w:pPr>
            <w:r w:rsidRPr="003515D6">
              <w:rPr>
                <w:rFonts w:cs="Arial"/>
                <w:sz w:val="24"/>
                <w:szCs w:val="24"/>
              </w:rPr>
              <w:t>5</w:t>
            </w:r>
          </w:p>
        </w:tc>
        <w:tc>
          <w:tcPr>
            <w:tcW w:w="1440" w:type="dxa"/>
            <w:tcBorders>
              <w:bottom w:val="thickThinSmallGap" w:sz="24" w:space="0" w:color="auto"/>
            </w:tcBorders>
          </w:tcPr>
          <w:p w14:paraId="2430264C" w14:textId="77777777" w:rsidR="00ED72CF" w:rsidRPr="003515D6" w:rsidRDefault="00ED72CF" w:rsidP="008C2C42">
            <w:pPr>
              <w:spacing w:after="0" w:line="360" w:lineRule="auto"/>
              <w:rPr>
                <w:rFonts w:cs="Arial"/>
                <w:sz w:val="24"/>
                <w:szCs w:val="24"/>
              </w:rPr>
            </w:pPr>
            <w:r w:rsidRPr="003515D6">
              <w:rPr>
                <w:rFonts w:cs="Arial"/>
                <w:sz w:val="24"/>
                <w:szCs w:val="24"/>
              </w:rPr>
              <w:t>10</w:t>
            </w:r>
          </w:p>
        </w:tc>
        <w:tc>
          <w:tcPr>
            <w:tcW w:w="1440" w:type="dxa"/>
            <w:tcBorders>
              <w:bottom w:val="thickThinSmallGap" w:sz="24" w:space="0" w:color="auto"/>
            </w:tcBorders>
          </w:tcPr>
          <w:p w14:paraId="663A0501" w14:textId="77777777" w:rsidR="00ED72CF" w:rsidRPr="003515D6" w:rsidRDefault="00ED72CF" w:rsidP="008C2C42">
            <w:pPr>
              <w:spacing w:after="0" w:line="360" w:lineRule="auto"/>
              <w:rPr>
                <w:rFonts w:cs="Arial"/>
                <w:sz w:val="24"/>
                <w:szCs w:val="24"/>
              </w:rPr>
            </w:pPr>
            <w:r w:rsidRPr="003515D6">
              <w:rPr>
                <w:rFonts w:cs="Arial"/>
                <w:sz w:val="24"/>
                <w:szCs w:val="24"/>
              </w:rPr>
              <w:t>20</w:t>
            </w:r>
          </w:p>
        </w:tc>
        <w:tc>
          <w:tcPr>
            <w:tcW w:w="1440" w:type="dxa"/>
            <w:tcBorders>
              <w:bottom w:val="thickThinSmallGap" w:sz="24" w:space="0" w:color="auto"/>
            </w:tcBorders>
          </w:tcPr>
          <w:p w14:paraId="5ADEEE93" w14:textId="77777777" w:rsidR="00ED72CF" w:rsidRPr="003515D6" w:rsidRDefault="00ED72CF" w:rsidP="008C2C42">
            <w:pPr>
              <w:spacing w:after="0" w:line="360" w:lineRule="auto"/>
              <w:rPr>
                <w:rFonts w:cs="Arial"/>
                <w:sz w:val="24"/>
                <w:szCs w:val="24"/>
              </w:rPr>
            </w:pPr>
            <w:r w:rsidRPr="003515D6">
              <w:rPr>
                <w:rFonts w:cs="Arial"/>
                <w:sz w:val="24"/>
                <w:szCs w:val="24"/>
              </w:rPr>
              <w:t>25</w:t>
            </w:r>
          </w:p>
        </w:tc>
        <w:tc>
          <w:tcPr>
            <w:tcW w:w="1440" w:type="dxa"/>
            <w:tcBorders>
              <w:bottom w:val="thickThinSmallGap" w:sz="24" w:space="0" w:color="auto"/>
            </w:tcBorders>
          </w:tcPr>
          <w:p w14:paraId="357356DE" w14:textId="77777777" w:rsidR="00ED72CF" w:rsidRPr="003515D6" w:rsidRDefault="00ED72CF" w:rsidP="008C2C42">
            <w:pPr>
              <w:spacing w:after="0" w:line="360" w:lineRule="auto"/>
              <w:rPr>
                <w:rFonts w:cs="Arial"/>
                <w:sz w:val="24"/>
                <w:szCs w:val="24"/>
              </w:rPr>
            </w:pPr>
            <w:r w:rsidRPr="003515D6">
              <w:rPr>
                <w:rFonts w:cs="Arial"/>
                <w:sz w:val="24"/>
                <w:szCs w:val="24"/>
              </w:rPr>
              <w:t>5</w:t>
            </w:r>
          </w:p>
        </w:tc>
      </w:tr>
    </w:tbl>
    <w:bookmarkEnd w:id="8"/>
    <w:p w14:paraId="1AAEC11A" w14:textId="77777777" w:rsidR="00ED72CF" w:rsidRPr="003515D6" w:rsidRDefault="00ED72CF" w:rsidP="00ED72CF">
      <w:pPr>
        <w:spacing w:after="0" w:line="360" w:lineRule="auto"/>
        <w:rPr>
          <w:rFonts w:cs="Arial"/>
          <w:sz w:val="24"/>
          <w:szCs w:val="24"/>
        </w:rPr>
      </w:pPr>
      <w:r w:rsidRPr="003515D6">
        <w:rPr>
          <w:rFonts w:cs="Arial"/>
          <w:sz w:val="24"/>
          <w:szCs w:val="24"/>
        </w:rPr>
        <w:t>Discount rate = 8%</w:t>
      </w:r>
    </w:p>
    <w:p w14:paraId="3D32CECC" w14:textId="77777777" w:rsidR="00ED72CF" w:rsidRPr="003515D6" w:rsidRDefault="00ED72CF" w:rsidP="00ED72CF">
      <w:pPr>
        <w:spacing w:after="0" w:line="360" w:lineRule="auto"/>
        <w:rPr>
          <w:rFonts w:cs="Arial"/>
          <w:sz w:val="24"/>
          <w:szCs w:val="24"/>
        </w:rPr>
      </w:pPr>
      <w:r w:rsidRPr="003515D6">
        <w:rPr>
          <w:rFonts w:cs="Arial"/>
          <w:sz w:val="24"/>
          <w:szCs w:val="24"/>
        </w:rPr>
        <w:t>Initial investment = £50m</w:t>
      </w:r>
    </w:p>
    <w:p w14:paraId="61344578" w14:textId="77777777" w:rsidR="00ED72CF" w:rsidRDefault="00ED72CF" w:rsidP="00ED72CF">
      <w:pPr>
        <w:spacing w:after="0" w:line="360" w:lineRule="auto"/>
        <w:rPr>
          <w:rFonts w:cs="Arial"/>
          <w:sz w:val="24"/>
          <w:szCs w:val="24"/>
        </w:rPr>
      </w:pPr>
      <w:r w:rsidRPr="003515D6">
        <w:rPr>
          <w:rFonts w:cs="Arial"/>
          <w:sz w:val="24"/>
          <w:szCs w:val="24"/>
        </w:rPr>
        <w:t>Straight-line depreciation:</w:t>
      </w:r>
    </w:p>
    <w:p w14:paraId="2D59F2DF" w14:textId="77777777" w:rsidR="00ED72CF" w:rsidRPr="003515D6" w:rsidRDefault="00ED72CF" w:rsidP="00ED72CF">
      <w:pPr>
        <w:spacing w:after="0" w:line="360" w:lineRule="auto"/>
        <w:rPr>
          <w:rFonts w:cs="Arial"/>
          <w:sz w:val="24"/>
          <w:szCs w:val="24"/>
        </w:rPr>
      </w:pPr>
      <w:r w:rsidRPr="003515D6">
        <w:rPr>
          <w:rFonts w:cs="Arial"/>
          <w:sz w:val="24"/>
          <w:szCs w:val="24"/>
        </w:rPr>
        <w:t xml:space="preserve"> £50m ÷ 5 years = £10m per year</w:t>
      </w:r>
    </w:p>
    <w:p w14:paraId="6EC72C87" w14:textId="77777777" w:rsidR="00ED72CF" w:rsidRPr="003515D6" w:rsidRDefault="00ED72CF" w:rsidP="00ED72CF">
      <w:pPr>
        <w:spacing w:after="0" w:line="360" w:lineRule="auto"/>
        <w:rPr>
          <w:rFonts w:cs="Arial"/>
          <w:sz w:val="24"/>
          <w:szCs w:val="24"/>
        </w:rPr>
      </w:pPr>
    </w:p>
    <w:p w14:paraId="6A0416E0" w14:textId="77777777" w:rsidR="00ED72CF" w:rsidRPr="00454DB8" w:rsidRDefault="00ED72CF" w:rsidP="00ED72CF">
      <w:pPr>
        <w:spacing w:after="0" w:line="360" w:lineRule="auto"/>
        <w:rPr>
          <w:rFonts w:cs="Arial"/>
          <w:b/>
          <w:bCs/>
          <w:sz w:val="24"/>
          <w:szCs w:val="24"/>
        </w:rPr>
      </w:pPr>
      <w:r w:rsidRPr="00454DB8">
        <w:rPr>
          <w:rFonts w:cs="Arial"/>
          <w:b/>
          <w:bCs/>
          <w:sz w:val="24"/>
          <w:szCs w:val="24"/>
        </w:rPr>
        <w:t>b-Payback Period</w:t>
      </w:r>
    </w:p>
    <w:p w14:paraId="39EE7581" w14:textId="77777777" w:rsidR="00ED72CF" w:rsidRPr="003515D6" w:rsidRDefault="00ED72CF" w:rsidP="00ED72CF">
      <w:pPr>
        <w:spacing w:after="0" w:line="360" w:lineRule="auto"/>
        <w:rPr>
          <w:rFonts w:cs="Arial"/>
          <w:b/>
          <w:bCs/>
          <w:sz w:val="24"/>
          <w:szCs w:val="24"/>
        </w:rPr>
      </w:pPr>
      <w:r w:rsidRPr="003515D6">
        <w:rPr>
          <w:rFonts w:cs="Arial"/>
          <w:sz w:val="24"/>
          <w:szCs w:val="24"/>
        </w:rPr>
        <w:t>Project A</w:t>
      </w:r>
    </w:p>
    <w:p w14:paraId="0C1E9F72" w14:textId="77777777" w:rsidR="00ED72CF" w:rsidRPr="003515D6" w:rsidRDefault="00ED72CF" w:rsidP="00ED72CF">
      <w:pPr>
        <w:spacing w:after="0" w:line="360" w:lineRule="auto"/>
        <w:rPr>
          <w:rFonts w:cs="Arial"/>
          <w:sz w:val="24"/>
          <w:szCs w:val="24"/>
        </w:rPr>
      </w:pPr>
      <w:r w:rsidRPr="003515D6">
        <w:rPr>
          <w:rFonts w:cs="Arial"/>
          <w:sz w:val="24"/>
          <w:szCs w:val="24"/>
        </w:rPr>
        <w:t>Cumulative cash flow:</w:t>
      </w:r>
    </w:p>
    <w:p w14:paraId="0DD79A21" w14:textId="77777777" w:rsidR="00ED72CF" w:rsidRPr="003515D6" w:rsidRDefault="00ED72CF" w:rsidP="00ED72CF">
      <w:pPr>
        <w:spacing w:after="0" w:line="360" w:lineRule="auto"/>
        <w:rPr>
          <w:rFonts w:cs="Arial"/>
          <w:sz w:val="24"/>
          <w:szCs w:val="24"/>
        </w:rPr>
      </w:pPr>
      <w:r w:rsidRPr="003515D6">
        <w:rPr>
          <w:rFonts w:cs="Arial"/>
          <w:sz w:val="24"/>
          <w:szCs w:val="24"/>
        </w:rPr>
        <w:t>Year 1 = 10</w:t>
      </w:r>
    </w:p>
    <w:p w14:paraId="2340A2EE" w14:textId="77777777" w:rsidR="00ED72CF" w:rsidRPr="003515D6" w:rsidRDefault="00ED72CF" w:rsidP="00ED72CF">
      <w:pPr>
        <w:spacing w:after="0" w:line="360" w:lineRule="auto"/>
        <w:rPr>
          <w:rFonts w:cs="Arial"/>
          <w:sz w:val="24"/>
          <w:szCs w:val="24"/>
        </w:rPr>
      </w:pPr>
      <w:r w:rsidRPr="003515D6">
        <w:rPr>
          <w:rFonts w:cs="Arial"/>
          <w:sz w:val="24"/>
          <w:szCs w:val="24"/>
        </w:rPr>
        <w:lastRenderedPageBreak/>
        <w:t>Year 2 = 22</w:t>
      </w:r>
    </w:p>
    <w:p w14:paraId="01B74E1F" w14:textId="77777777" w:rsidR="00ED72CF" w:rsidRPr="003515D6" w:rsidRDefault="00ED72CF" w:rsidP="00ED72CF">
      <w:pPr>
        <w:spacing w:after="0" w:line="360" w:lineRule="auto"/>
        <w:rPr>
          <w:rFonts w:cs="Arial"/>
          <w:sz w:val="24"/>
          <w:szCs w:val="24"/>
        </w:rPr>
      </w:pPr>
      <w:r w:rsidRPr="003515D6">
        <w:rPr>
          <w:rFonts w:cs="Arial"/>
          <w:sz w:val="24"/>
          <w:szCs w:val="24"/>
        </w:rPr>
        <w:t>Year 3 = 36</w:t>
      </w:r>
    </w:p>
    <w:p w14:paraId="703C9D94" w14:textId="77777777" w:rsidR="00ED72CF" w:rsidRPr="003515D6" w:rsidRDefault="00ED72CF" w:rsidP="00ED72CF">
      <w:pPr>
        <w:spacing w:after="0" w:line="360" w:lineRule="auto"/>
        <w:rPr>
          <w:rFonts w:cs="Arial"/>
          <w:sz w:val="24"/>
          <w:szCs w:val="24"/>
        </w:rPr>
      </w:pPr>
      <w:r w:rsidRPr="003515D6">
        <w:rPr>
          <w:rFonts w:cs="Arial"/>
          <w:sz w:val="24"/>
          <w:szCs w:val="24"/>
        </w:rPr>
        <w:t>Year 4 = 46</w:t>
      </w:r>
    </w:p>
    <w:p w14:paraId="607617F3" w14:textId="77777777" w:rsidR="00ED72CF" w:rsidRPr="003515D6" w:rsidRDefault="00ED72CF" w:rsidP="00ED72CF">
      <w:pPr>
        <w:spacing w:after="0" w:line="360" w:lineRule="auto"/>
        <w:rPr>
          <w:rFonts w:cs="Arial"/>
          <w:sz w:val="24"/>
          <w:szCs w:val="24"/>
        </w:rPr>
      </w:pPr>
      <w:r w:rsidRPr="003515D6">
        <w:rPr>
          <w:rFonts w:cs="Arial"/>
          <w:sz w:val="24"/>
          <w:szCs w:val="24"/>
        </w:rPr>
        <w:t>Year 5 = 54</w:t>
      </w:r>
    </w:p>
    <w:p w14:paraId="2D81A650" w14:textId="77777777" w:rsidR="00ED72CF" w:rsidRPr="003515D6" w:rsidRDefault="00ED72CF" w:rsidP="00ED72CF">
      <w:pPr>
        <w:spacing w:after="0" w:line="360" w:lineRule="auto"/>
        <w:rPr>
          <w:rFonts w:cs="Arial"/>
          <w:sz w:val="24"/>
          <w:szCs w:val="24"/>
        </w:rPr>
      </w:pPr>
      <w:r w:rsidRPr="003515D6">
        <w:rPr>
          <w:rFonts w:cs="Arial"/>
          <w:sz w:val="24"/>
          <w:szCs w:val="24"/>
        </w:rPr>
        <w:t>The project has recovered £46m after Year 4.</w:t>
      </w:r>
    </w:p>
    <w:p w14:paraId="61D60727" w14:textId="77777777" w:rsidR="00ED72CF" w:rsidRDefault="00ED72CF" w:rsidP="00ED72CF">
      <w:pPr>
        <w:spacing w:after="0" w:line="360" w:lineRule="auto"/>
        <w:rPr>
          <w:rFonts w:cs="Arial"/>
          <w:sz w:val="24"/>
          <w:szCs w:val="24"/>
        </w:rPr>
      </w:pPr>
      <w:r w:rsidRPr="003515D6">
        <w:rPr>
          <w:rFonts w:cs="Arial"/>
          <w:sz w:val="24"/>
          <w:szCs w:val="24"/>
        </w:rPr>
        <w:t>PBP = 4 + (50</w:t>
      </w:r>
      <w:r>
        <w:rPr>
          <w:rFonts w:cs="Arial"/>
          <w:sz w:val="24"/>
          <w:szCs w:val="24"/>
        </w:rPr>
        <w:t>-</w:t>
      </w:r>
      <w:r w:rsidRPr="003515D6">
        <w:rPr>
          <w:rFonts w:cs="Arial"/>
          <w:sz w:val="24"/>
          <w:szCs w:val="24"/>
        </w:rPr>
        <w:t>46) ÷ 8</w:t>
      </w:r>
    </w:p>
    <w:p w14:paraId="6ADD56EE" w14:textId="77777777" w:rsidR="00ED72CF" w:rsidRPr="003515D6" w:rsidRDefault="00ED72CF" w:rsidP="00ED72CF">
      <w:pPr>
        <w:spacing w:after="0" w:line="360" w:lineRule="auto"/>
        <w:rPr>
          <w:rFonts w:cs="Arial"/>
          <w:sz w:val="24"/>
          <w:szCs w:val="24"/>
        </w:rPr>
      </w:pPr>
      <w:r w:rsidRPr="003515D6">
        <w:rPr>
          <w:rFonts w:cs="Arial"/>
          <w:sz w:val="24"/>
          <w:szCs w:val="24"/>
        </w:rPr>
        <w:t>PBP = 4.50 years</w:t>
      </w:r>
    </w:p>
    <w:p w14:paraId="485CDAA7" w14:textId="77777777" w:rsidR="00ED72CF" w:rsidRPr="003515D6" w:rsidRDefault="00ED72CF" w:rsidP="00ED72CF">
      <w:pPr>
        <w:spacing w:after="0" w:line="360" w:lineRule="auto"/>
        <w:rPr>
          <w:rFonts w:cs="Arial"/>
          <w:b/>
          <w:bCs/>
          <w:sz w:val="24"/>
          <w:szCs w:val="24"/>
        </w:rPr>
      </w:pPr>
      <w:r w:rsidRPr="003515D6">
        <w:rPr>
          <w:rFonts w:cs="Arial"/>
          <w:sz w:val="24"/>
          <w:szCs w:val="24"/>
        </w:rPr>
        <w:t>Project B</w:t>
      </w:r>
    </w:p>
    <w:p w14:paraId="2D3D0B9D" w14:textId="77777777" w:rsidR="00ED72CF" w:rsidRPr="003515D6" w:rsidRDefault="00ED72CF" w:rsidP="00ED72CF">
      <w:pPr>
        <w:spacing w:after="0" w:line="360" w:lineRule="auto"/>
        <w:rPr>
          <w:rFonts w:cs="Arial"/>
          <w:sz w:val="24"/>
          <w:szCs w:val="24"/>
        </w:rPr>
      </w:pPr>
      <w:r w:rsidRPr="003515D6">
        <w:rPr>
          <w:rFonts w:cs="Arial"/>
          <w:sz w:val="24"/>
          <w:szCs w:val="24"/>
        </w:rPr>
        <w:t>Cumulative cash flow:</w:t>
      </w:r>
    </w:p>
    <w:p w14:paraId="19F362CD" w14:textId="77777777" w:rsidR="00ED72CF" w:rsidRPr="003515D6" w:rsidRDefault="00ED72CF" w:rsidP="00ED72CF">
      <w:pPr>
        <w:spacing w:after="0" w:line="360" w:lineRule="auto"/>
        <w:rPr>
          <w:rFonts w:cs="Arial"/>
          <w:sz w:val="24"/>
          <w:szCs w:val="24"/>
        </w:rPr>
      </w:pPr>
      <w:r w:rsidRPr="003515D6">
        <w:rPr>
          <w:rFonts w:cs="Arial"/>
          <w:sz w:val="24"/>
          <w:szCs w:val="24"/>
        </w:rPr>
        <w:t>11, 22, 33, 44, 55</w:t>
      </w:r>
    </w:p>
    <w:p w14:paraId="29220101" w14:textId="77777777" w:rsidR="00ED72CF" w:rsidRPr="003515D6" w:rsidRDefault="00ED72CF" w:rsidP="00ED72CF">
      <w:pPr>
        <w:spacing w:after="0" w:line="360" w:lineRule="auto"/>
        <w:rPr>
          <w:rFonts w:cs="Arial"/>
          <w:sz w:val="24"/>
          <w:szCs w:val="24"/>
        </w:rPr>
      </w:pPr>
      <w:r w:rsidRPr="003515D6">
        <w:rPr>
          <w:rFonts w:cs="Arial"/>
          <w:sz w:val="24"/>
          <w:szCs w:val="24"/>
        </w:rPr>
        <w:t>PBP = 4 + (50</w:t>
      </w:r>
      <w:r>
        <w:rPr>
          <w:rFonts w:cs="Arial"/>
          <w:sz w:val="24"/>
          <w:szCs w:val="24"/>
        </w:rPr>
        <w:t>-</w:t>
      </w:r>
      <w:r w:rsidRPr="003515D6">
        <w:rPr>
          <w:rFonts w:cs="Arial"/>
          <w:sz w:val="24"/>
          <w:szCs w:val="24"/>
        </w:rPr>
        <w:t>44) ÷ 11</w:t>
      </w:r>
    </w:p>
    <w:p w14:paraId="188D557D" w14:textId="77777777" w:rsidR="00ED72CF" w:rsidRPr="003515D6" w:rsidRDefault="00ED72CF" w:rsidP="00ED72CF">
      <w:pPr>
        <w:spacing w:after="0" w:line="360" w:lineRule="auto"/>
        <w:rPr>
          <w:rFonts w:cs="Arial"/>
          <w:sz w:val="24"/>
          <w:szCs w:val="24"/>
        </w:rPr>
      </w:pPr>
      <w:r w:rsidRPr="003515D6">
        <w:rPr>
          <w:rFonts w:cs="Arial"/>
          <w:sz w:val="24"/>
          <w:szCs w:val="24"/>
        </w:rPr>
        <w:t>PBP = 4.55 years</w:t>
      </w:r>
    </w:p>
    <w:p w14:paraId="011552E3" w14:textId="77777777" w:rsidR="00ED72CF" w:rsidRPr="003515D6" w:rsidRDefault="00ED72CF" w:rsidP="00ED72CF">
      <w:pPr>
        <w:spacing w:after="0" w:line="360" w:lineRule="auto"/>
        <w:rPr>
          <w:rFonts w:cs="Arial"/>
          <w:b/>
          <w:bCs/>
          <w:sz w:val="24"/>
          <w:szCs w:val="24"/>
        </w:rPr>
      </w:pPr>
      <w:r w:rsidRPr="003515D6">
        <w:rPr>
          <w:rFonts w:cs="Arial"/>
          <w:sz w:val="24"/>
          <w:szCs w:val="24"/>
        </w:rPr>
        <w:t>Project C</w:t>
      </w:r>
    </w:p>
    <w:p w14:paraId="2A1983F7" w14:textId="77777777" w:rsidR="00ED72CF" w:rsidRPr="003515D6" w:rsidRDefault="00ED72CF" w:rsidP="00ED72CF">
      <w:pPr>
        <w:spacing w:after="0" w:line="360" w:lineRule="auto"/>
        <w:rPr>
          <w:rFonts w:cs="Arial"/>
          <w:sz w:val="24"/>
          <w:szCs w:val="24"/>
        </w:rPr>
      </w:pPr>
      <w:r w:rsidRPr="003515D6">
        <w:rPr>
          <w:rFonts w:cs="Arial"/>
          <w:sz w:val="24"/>
          <w:szCs w:val="24"/>
        </w:rPr>
        <w:t>Cumulative cash flow:</w:t>
      </w:r>
    </w:p>
    <w:p w14:paraId="2FE868BC" w14:textId="77777777" w:rsidR="00ED72CF" w:rsidRPr="003515D6" w:rsidRDefault="00ED72CF" w:rsidP="00ED72CF">
      <w:pPr>
        <w:spacing w:after="0" w:line="360" w:lineRule="auto"/>
        <w:rPr>
          <w:rFonts w:cs="Arial"/>
          <w:sz w:val="24"/>
          <w:szCs w:val="24"/>
        </w:rPr>
      </w:pPr>
      <w:r w:rsidRPr="003515D6">
        <w:rPr>
          <w:rFonts w:cs="Arial"/>
          <w:sz w:val="24"/>
          <w:szCs w:val="24"/>
        </w:rPr>
        <w:t>5, 15, 35, 60, 65</w:t>
      </w:r>
    </w:p>
    <w:p w14:paraId="0206B6A6" w14:textId="77777777" w:rsidR="00ED72CF" w:rsidRPr="003515D6" w:rsidRDefault="00ED72CF" w:rsidP="00ED72CF">
      <w:pPr>
        <w:spacing w:after="0" w:line="360" w:lineRule="auto"/>
        <w:rPr>
          <w:rFonts w:cs="Arial"/>
          <w:sz w:val="24"/>
          <w:szCs w:val="24"/>
        </w:rPr>
      </w:pPr>
      <w:r w:rsidRPr="003515D6">
        <w:rPr>
          <w:rFonts w:cs="Arial"/>
          <w:sz w:val="24"/>
          <w:szCs w:val="24"/>
        </w:rPr>
        <w:t>PBP = 3 + (50</w:t>
      </w:r>
      <w:r>
        <w:rPr>
          <w:rFonts w:cs="Arial"/>
          <w:sz w:val="24"/>
          <w:szCs w:val="24"/>
        </w:rPr>
        <w:t>-</w:t>
      </w:r>
      <w:r w:rsidRPr="003515D6">
        <w:rPr>
          <w:rFonts w:cs="Arial"/>
          <w:sz w:val="24"/>
          <w:szCs w:val="24"/>
        </w:rPr>
        <w:t>35) ÷ 25</w:t>
      </w:r>
    </w:p>
    <w:p w14:paraId="5699BEEE" w14:textId="77777777" w:rsidR="00ED72CF" w:rsidRPr="003515D6" w:rsidRDefault="00ED72CF" w:rsidP="00ED72CF">
      <w:pPr>
        <w:spacing w:after="0" w:line="360" w:lineRule="auto"/>
        <w:rPr>
          <w:rFonts w:cs="Arial"/>
          <w:sz w:val="24"/>
          <w:szCs w:val="24"/>
        </w:rPr>
      </w:pPr>
      <w:r w:rsidRPr="003515D6">
        <w:rPr>
          <w:rFonts w:cs="Arial"/>
          <w:sz w:val="24"/>
          <w:szCs w:val="24"/>
        </w:rPr>
        <w:t>PBP = 3.60 years</w:t>
      </w:r>
    </w:p>
    <w:p w14:paraId="633E90A2" w14:textId="77777777" w:rsidR="00ED72CF" w:rsidRDefault="00ED72CF" w:rsidP="00ED72CF">
      <w:pPr>
        <w:spacing w:after="0" w:line="360" w:lineRule="auto"/>
        <w:rPr>
          <w:rFonts w:cs="Arial"/>
          <w:sz w:val="24"/>
          <w:szCs w:val="24"/>
        </w:rPr>
      </w:pPr>
      <w:r w:rsidRPr="003515D6">
        <w:rPr>
          <w:rFonts w:cs="Arial"/>
          <w:sz w:val="24"/>
          <w:szCs w:val="24"/>
        </w:rPr>
        <w:t>Ranking: C &gt; A &gt; B</w:t>
      </w:r>
    </w:p>
    <w:p w14:paraId="723F79AE" w14:textId="77777777" w:rsidR="00ED72CF" w:rsidRPr="003515D6" w:rsidRDefault="00ED72CF" w:rsidP="00ED72CF">
      <w:pPr>
        <w:spacing w:after="0" w:line="360" w:lineRule="auto"/>
        <w:rPr>
          <w:rFonts w:cs="Arial"/>
          <w:sz w:val="24"/>
          <w:szCs w:val="24"/>
        </w:rPr>
      </w:pPr>
    </w:p>
    <w:p w14:paraId="082BF875" w14:textId="77777777" w:rsidR="00ED72CF" w:rsidRPr="00454DB8" w:rsidRDefault="00ED72CF" w:rsidP="00ED72CF">
      <w:pPr>
        <w:spacing w:after="0" w:line="360" w:lineRule="auto"/>
        <w:rPr>
          <w:rFonts w:cs="Arial"/>
          <w:b/>
          <w:bCs/>
          <w:sz w:val="24"/>
          <w:szCs w:val="24"/>
        </w:rPr>
      </w:pPr>
      <w:r w:rsidRPr="00454DB8">
        <w:rPr>
          <w:rFonts w:cs="Arial"/>
          <w:b/>
          <w:bCs/>
          <w:sz w:val="24"/>
          <w:szCs w:val="24"/>
        </w:rPr>
        <w:t>c-Accounting Rate of Return</w:t>
      </w:r>
    </w:p>
    <w:p w14:paraId="19E757E1" w14:textId="77777777" w:rsidR="00ED72CF" w:rsidRPr="003515D6" w:rsidRDefault="00ED72CF" w:rsidP="00ED72CF">
      <w:pPr>
        <w:spacing w:after="0" w:line="360" w:lineRule="auto"/>
        <w:rPr>
          <w:rFonts w:cs="Arial"/>
          <w:sz w:val="24"/>
          <w:szCs w:val="24"/>
        </w:rPr>
      </w:pPr>
      <w:r w:rsidRPr="003515D6">
        <w:rPr>
          <w:rFonts w:cs="Arial"/>
          <w:sz w:val="24"/>
          <w:szCs w:val="24"/>
        </w:rPr>
        <w:t>The correct ARR calculation must use accounting profit, not cash flow.</w:t>
      </w:r>
    </w:p>
    <w:p w14:paraId="5B230F21" w14:textId="77777777" w:rsidR="00ED72CF" w:rsidRPr="003515D6" w:rsidRDefault="00ED72CF" w:rsidP="00ED72CF">
      <w:pPr>
        <w:spacing w:after="0" w:line="360" w:lineRule="auto"/>
        <w:rPr>
          <w:rFonts w:cs="Arial"/>
          <w:sz w:val="24"/>
          <w:szCs w:val="24"/>
        </w:rPr>
      </w:pPr>
      <w:r w:rsidRPr="003515D6">
        <w:rPr>
          <w:rFonts w:cs="Arial"/>
          <w:sz w:val="24"/>
          <w:szCs w:val="24"/>
        </w:rPr>
        <w:t>Annual depreciation = £10m</w:t>
      </w:r>
    </w:p>
    <w:p w14:paraId="6B084E43" w14:textId="77777777" w:rsidR="00ED72CF" w:rsidRPr="003515D6" w:rsidRDefault="00ED72CF" w:rsidP="00ED72CF">
      <w:pPr>
        <w:spacing w:after="0" w:line="360" w:lineRule="auto"/>
        <w:rPr>
          <w:rFonts w:cs="Arial"/>
          <w:b/>
          <w:bCs/>
          <w:sz w:val="24"/>
          <w:szCs w:val="24"/>
        </w:rPr>
      </w:pPr>
      <w:r w:rsidRPr="003515D6">
        <w:rPr>
          <w:rFonts w:cs="Arial"/>
          <w:sz w:val="24"/>
          <w:szCs w:val="24"/>
        </w:rPr>
        <w:t>Project A</w:t>
      </w:r>
    </w:p>
    <w:p w14:paraId="38AF420C" w14:textId="77777777" w:rsidR="00ED72CF" w:rsidRPr="003515D6" w:rsidRDefault="00ED72CF" w:rsidP="00ED72CF">
      <w:pPr>
        <w:spacing w:after="0" w:line="360" w:lineRule="auto"/>
        <w:rPr>
          <w:rFonts w:cs="Arial"/>
          <w:sz w:val="24"/>
          <w:szCs w:val="24"/>
        </w:rPr>
      </w:pPr>
      <w:r w:rsidRPr="003515D6">
        <w:rPr>
          <w:rFonts w:cs="Arial"/>
          <w:sz w:val="24"/>
          <w:szCs w:val="24"/>
        </w:rPr>
        <w:t>Accounting profits:</w:t>
      </w:r>
    </w:p>
    <w:p w14:paraId="36859ACE" w14:textId="77777777" w:rsidR="00ED72CF" w:rsidRPr="003515D6" w:rsidRDefault="00ED72CF" w:rsidP="00ED72CF">
      <w:pPr>
        <w:spacing w:after="0" w:line="360" w:lineRule="auto"/>
        <w:rPr>
          <w:rFonts w:cs="Arial"/>
          <w:sz w:val="24"/>
          <w:szCs w:val="24"/>
        </w:rPr>
      </w:pPr>
      <w:r w:rsidRPr="003515D6">
        <w:rPr>
          <w:rFonts w:cs="Arial"/>
          <w:sz w:val="24"/>
          <w:szCs w:val="24"/>
        </w:rPr>
        <w:t>- Year 1: 10</w:t>
      </w:r>
      <w:r>
        <w:rPr>
          <w:rFonts w:cs="Arial"/>
          <w:sz w:val="24"/>
          <w:szCs w:val="24"/>
        </w:rPr>
        <w:t>-</w:t>
      </w:r>
      <w:r w:rsidRPr="003515D6">
        <w:rPr>
          <w:rFonts w:cs="Arial"/>
          <w:sz w:val="24"/>
          <w:szCs w:val="24"/>
        </w:rPr>
        <w:t>10 = 0</w:t>
      </w:r>
    </w:p>
    <w:p w14:paraId="3E909F83" w14:textId="77777777" w:rsidR="00ED72CF" w:rsidRPr="003515D6" w:rsidRDefault="00ED72CF" w:rsidP="00ED72CF">
      <w:pPr>
        <w:spacing w:after="0" w:line="360" w:lineRule="auto"/>
        <w:rPr>
          <w:rFonts w:cs="Arial"/>
          <w:sz w:val="24"/>
          <w:szCs w:val="24"/>
        </w:rPr>
      </w:pPr>
      <w:r w:rsidRPr="003515D6">
        <w:rPr>
          <w:rFonts w:cs="Arial"/>
          <w:sz w:val="24"/>
          <w:szCs w:val="24"/>
        </w:rPr>
        <w:t>- Year 2: 12</w:t>
      </w:r>
      <w:r>
        <w:rPr>
          <w:rFonts w:cs="Arial"/>
          <w:sz w:val="24"/>
          <w:szCs w:val="24"/>
        </w:rPr>
        <w:t>-</w:t>
      </w:r>
      <w:r w:rsidRPr="003515D6">
        <w:rPr>
          <w:rFonts w:cs="Arial"/>
          <w:sz w:val="24"/>
          <w:szCs w:val="24"/>
        </w:rPr>
        <w:t>10 = 2</w:t>
      </w:r>
    </w:p>
    <w:p w14:paraId="4D4433CA" w14:textId="77777777" w:rsidR="00ED72CF" w:rsidRPr="003515D6" w:rsidRDefault="00ED72CF" w:rsidP="00ED72CF">
      <w:pPr>
        <w:spacing w:after="0" w:line="360" w:lineRule="auto"/>
        <w:rPr>
          <w:rFonts w:cs="Arial"/>
          <w:sz w:val="24"/>
          <w:szCs w:val="24"/>
        </w:rPr>
      </w:pPr>
      <w:r w:rsidRPr="003515D6">
        <w:rPr>
          <w:rFonts w:cs="Arial"/>
          <w:sz w:val="24"/>
          <w:szCs w:val="24"/>
        </w:rPr>
        <w:t>- Year 3: 14</w:t>
      </w:r>
      <w:r>
        <w:rPr>
          <w:rFonts w:cs="Arial"/>
          <w:sz w:val="24"/>
          <w:szCs w:val="24"/>
        </w:rPr>
        <w:t>-</w:t>
      </w:r>
      <w:r w:rsidRPr="003515D6">
        <w:rPr>
          <w:rFonts w:cs="Arial"/>
          <w:sz w:val="24"/>
          <w:szCs w:val="24"/>
        </w:rPr>
        <w:t>10 = 4</w:t>
      </w:r>
    </w:p>
    <w:p w14:paraId="4C83A5FF" w14:textId="77777777" w:rsidR="00ED72CF" w:rsidRPr="003515D6" w:rsidRDefault="00ED72CF" w:rsidP="00ED72CF">
      <w:pPr>
        <w:spacing w:after="0" w:line="360" w:lineRule="auto"/>
        <w:rPr>
          <w:rFonts w:cs="Arial"/>
          <w:sz w:val="24"/>
          <w:szCs w:val="24"/>
        </w:rPr>
      </w:pPr>
      <w:r w:rsidRPr="003515D6">
        <w:rPr>
          <w:rFonts w:cs="Arial"/>
          <w:sz w:val="24"/>
          <w:szCs w:val="24"/>
        </w:rPr>
        <w:t>- Year 4: 10</w:t>
      </w:r>
      <w:r>
        <w:rPr>
          <w:rFonts w:cs="Arial"/>
          <w:sz w:val="24"/>
          <w:szCs w:val="24"/>
        </w:rPr>
        <w:t>-</w:t>
      </w:r>
      <w:r w:rsidRPr="003515D6">
        <w:rPr>
          <w:rFonts w:cs="Arial"/>
          <w:sz w:val="24"/>
          <w:szCs w:val="24"/>
        </w:rPr>
        <w:t>10 = 0</w:t>
      </w:r>
    </w:p>
    <w:p w14:paraId="71840AC4" w14:textId="77777777" w:rsidR="00ED72CF" w:rsidRPr="003515D6" w:rsidRDefault="00ED72CF" w:rsidP="00ED72CF">
      <w:pPr>
        <w:spacing w:after="0" w:line="360" w:lineRule="auto"/>
        <w:rPr>
          <w:rFonts w:cs="Arial"/>
          <w:sz w:val="24"/>
          <w:szCs w:val="24"/>
        </w:rPr>
      </w:pPr>
      <w:r w:rsidRPr="003515D6">
        <w:rPr>
          <w:rFonts w:cs="Arial"/>
          <w:sz w:val="24"/>
          <w:szCs w:val="24"/>
        </w:rPr>
        <w:t>- Year 5: 8</w:t>
      </w:r>
      <w:r>
        <w:rPr>
          <w:rFonts w:cs="Arial"/>
          <w:sz w:val="24"/>
          <w:szCs w:val="24"/>
        </w:rPr>
        <w:t>-</w:t>
      </w:r>
      <w:r w:rsidRPr="003515D6">
        <w:rPr>
          <w:rFonts w:cs="Arial"/>
          <w:sz w:val="24"/>
          <w:szCs w:val="24"/>
        </w:rPr>
        <w:t>10 =</w:t>
      </w:r>
      <w:r>
        <w:rPr>
          <w:rFonts w:cs="Arial"/>
          <w:sz w:val="24"/>
          <w:szCs w:val="24"/>
        </w:rPr>
        <w:t>-</w:t>
      </w:r>
      <w:r w:rsidRPr="003515D6">
        <w:rPr>
          <w:rFonts w:cs="Arial"/>
          <w:sz w:val="24"/>
          <w:szCs w:val="24"/>
        </w:rPr>
        <w:t>2</w:t>
      </w:r>
    </w:p>
    <w:p w14:paraId="719DE6F4" w14:textId="77777777" w:rsidR="00ED72CF" w:rsidRPr="003515D6" w:rsidRDefault="00ED72CF" w:rsidP="00ED72CF">
      <w:pPr>
        <w:spacing w:after="0" w:line="360" w:lineRule="auto"/>
        <w:rPr>
          <w:rFonts w:cs="Arial"/>
          <w:sz w:val="24"/>
          <w:szCs w:val="24"/>
        </w:rPr>
      </w:pPr>
      <w:r w:rsidRPr="003515D6">
        <w:rPr>
          <w:rFonts w:cs="Arial"/>
          <w:sz w:val="24"/>
          <w:szCs w:val="24"/>
        </w:rPr>
        <w:t>Average profit:</w:t>
      </w:r>
    </w:p>
    <w:p w14:paraId="51B21241" w14:textId="77777777" w:rsidR="00ED72CF" w:rsidRPr="003515D6" w:rsidRDefault="00ED72CF" w:rsidP="00ED72CF">
      <w:pPr>
        <w:spacing w:after="0" w:line="360" w:lineRule="auto"/>
        <w:rPr>
          <w:rFonts w:cs="Arial"/>
          <w:sz w:val="24"/>
          <w:szCs w:val="24"/>
        </w:rPr>
      </w:pPr>
      <w:r w:rsidRPr="003515D6">
        <w:rPr>
          <w:rFonts w:cs="Arial"/>
          <w:sz w:val="24"/>
          <w:szCs w:val="24"/>
        </w:rPr>
        <w:t>(0 + 2 + 4 + 0</w:t>
      </w:r>
      <w:r>
        <w:rPr>
          <w:rFonts w:cs="Arial"/>
          <w:sz w:val="24"/>
          <w:szCs w:val="24"/>
        </w:rPr>
        <w:t>-</w:t>
      </w:r>
      <w:r w:rsidRPr="003515D6">
        <w:rPr>
          <w:rFonts w:cs="Arial"/>
          <w:sz w:val="24"/>
          <w:szCs w:val="24"/>
        </w:rPr>
        <w:t>2) ÷ 5 = £0.8m</w:t>
      </w:r>
    </w:p>
    <w:p w14:paraId="37732BF1" w14:textId="77777777" w:rsidR="00ED72CF" w:rsidRPr="003515D6" w:rsidRDefault="00ED72CF" w:rsidP="00ED72CF">
      <w:pPr>
        <w:spacing w:after="0" w:line="360" w:lineRule="auto"/>
        <w:rPr>
          <w:rFonts w:cs="Arial"/>
          <w:sz w:val="24"/>
          <w:szCs w:val="24"/>
        </w:rPr>
      </w:pPr>
      <w:r w:rsidRPr="003515D6">
        <w:rPr>
          <w:rFonts w:cs="Arial"/>
          <w:sz w:val="24"/>
          <w:szCs w:val="24"/>
        </w:rPr>
        <w:lastRenderedPageBreak/>
        <w:t>Using average investment of £25m:</w:t>
      </w:r>
    </w:p>
    <w:p w14:paraId="58699EB5" w14:textId="77777777" w:rsidR="00ED72CF" w:rsidRPr="003515D6" w:rsidRDefault="00ED72CF" w:rsidP="00ED72CF">
      <w:pPr>
        <w:spacing w:after="0" w:line="360" w:lineRule="auto"/>
        <w:rPr>
          <w:rFonts w:cs="Arial"/>
          <w:sz w:val="24"/>
          <w:szCs w:val="24"/>
        </w:rPr>
      </w:pPr>
      <w:r w:rsidRPr="003515D6">
        <w:rPr>
          <w:rFonts w:cs="Arial"/>
          <w:sz w:val="24"/>
          <w:szCs w:val="24"/>
        </w:rPr>
        <w:t>ARR = 0.8 ÷ 25 × 100 = 3.2%</w:t>
      </w:r>
    </w:p>
    <w:p w14:paraId="66FA5DA5" w14:textId="77777777" w:rsidR="00ED72CF" w:rsidRDefault="00ED72CF" w:rsidP="00ED72CF">
      <w:pPr>
        <w:spacing w:after="0" w:line="360" w:lineRule="auto"/>
        <w:rPr>
          <w:rFonts w:cs="Arial"/>
          <w:sz w:val="24"/>
          <w:szCs w:val="24"/>
        </w:rPr>
      </w:pPr>
      <w:r w:rsidRPr="003515D6">
        <w:rPr>
          <w:rFonts w:cs="Arial"/>
          <w:sz w:val="24"/>
          <w:szCs w:val="24"/>
        </w:rPr>
        <w:t>Project B</w:t>
      </w:r>
    </w:p>
    <w:p w14:paraId="2DE75F41" w14:textId="77777777" w:rsidR="00ED72CF" w:rsidRPr="003515D6" w:rsidRDefault="00ED72CF" w:rsidP="00ED72CF">
      <w:pPr>
        <w:spacing w:after="0" w:line="360" w:lineRule="auto"/>
        <w:rPr>
          <w:rFonts w:cs="Arial"/>
          <w:b/>
          <w:bCs/>
          <w:sz w:val="24"/>
          <w:szCs w:val="24"/>
        </w:rPr>
      </w:pPr>
      <w:r w:rsidRPr="003515D6">
        <w:rPr>
          <w:rFonts w:cs="Arial"/>
          <w:sz w:val="24"/>
          <w:szCs w:val="24"/>
        </w:rPr>
        <w:t>Average profit</w:t>
      </w:r>
      <w:r>
        <w:rPr>
          <w:rFonts w:cs="Arial"/>
          <w:sz w:val="24"/>
          <w:szCs w:val="24"/>
        </w:rPr>
        <w:t xml:space="preserve"> = 11m</w:t>
      </w:r>
    </w:p>
    <w:p w14:paraId="203E1210" w14:textId="77777777" w:rsidR="00ED72CF" w:rsidRPr="003515D6" w:rsidRDefault="00ED72CF" w:rsidP="00ED72CF">
      <w:pPr>
        <w:spacing w:after="0" w:line="360" w:lineRule="auto"/>
        <w:rPr>
          <w:rFonts w:cs="Arial"/>
          <w:sz w:val="24"/>
          <w:szCs w:val="24"/>
        </w:rPr>
      </w:pPr>
      <w:r w:rsidRPr="003515D6">
        <w:rPr>
          <w:rFonts w:cs="Arial"/>
          <w:sz w:val="24"/>
          <w:szCs w:val="24"/>
        </w:rPr>
        <w:t xml:space="preserve">Average accounting profit = </w:t>
      </w:r>
      <w:r>
        <w:rPr>
          <w:rFonts w:cs="Arial"/>
          <w:sz w:val="24"/>
          <w:szCs w:val="24"/>
        </w:rPr>
        <w:t xml:space="preserve">11-10= </w:t>
      </w:r>
      <w:r w:rsidRPr="003515D6">
        <w:rPr>
          <w:rFonts w:cs="Arial"/>
          <w:sz w:val="24"/>
          <w:szCs w:val="24"/>
        </w:rPr>
        <w:t>£1m.</w:t>
      </w:r>
    </w:p>
    <w:p w14:paraId="0847B44D" w14:textId="77777777" w:rsidR="00ED72CF" w:rsidRPr="003515D6" w:rsidRDefault="00ED72CF" w:rsidP="00ED72CF">
      <w:pPr>
        <w:spacing w:after="0" w:line="360" w:lineRule="auto"/>
        <w:rPr>
          <w:rFonts w:cs="Arial"/>
          <w:sz w:val="24"/>
          <w:szCs w:val="24"/>
        </w:rPr>
      </w:pPr>
      <w:r w:rsidRPr="003515D6">
        <w:rPr>
          <w:rFonts w:cs="Arial"/>
          <w:sz w:val="24"/>
          <w:szCs w:val="24"/>
        </w:rPr>
        <w:t>ARR = 1 ÷ 25 × 100 = 4.0%</w:t>
      </w:r>
    </w:p>
    <w:p w14:paraId="41DCA233" w14:textId="77777777" w:rsidR="00ED72CF" w:rsidRPr="003515D6" w:rsidRDefault="00ED72CF" w:rsidP="00ED72CF">
      <w:pPr>
        <w:spacing w:after="0" w:line="360" w:lineRule="auto"/>
        <w:rPr>
          <w:rFonts w:cs="Arial"/>
          <w:b/>
          <w:bCs/>
          <w:sz w:val="24"/>
          <w:szCs w:val="24"/>
        </w:rPr>
      </w:pPr>
      <w:r w:rsidRPr="003515D6">
        <w:rPr>
          <w:rFonts w:cs="Arial"/>
          <w:sz w:val="24"/>
          <w:szCs w:val="24"/>
        </w:rPr>
        <w:t>Project C</w:t>
      </w:r>
    </w:p>
    <w:p w14:paraId="48474928" w14:textId="77777777" w:rsidR="00ED72CF" w:rsidRPr="003515D6" w:rsidRDefault="00ED72CF" w:rsidP="00ED72CF">
      <w:pPr>
        <w:spacing w:after="0" w:line="360" w:lineRule="auto"/>
        <w:rPr>
          <w:rFonts w:cs="Arial"/>
          <w:sz w:val="24"/>
          <w:szCs w:val="24"/>
        </w:rPr>
      </w:pPr>
      <w:r w:rsidRPr="003515D6">
        <w:rPr>
          <w:rFonts w:cs="Arial"/>
          <w:sz w:val="24"/>
          <w:szCs w:val="24"/>
        </w:rPr>
        <w:t>Accounting profits:</w:t>
      </w:r>
    </w:p>
    <w:p w14:paraId="71CE5A12" w14:textId="77777777" w:rsidR="00ED72CF" w:rsidRPr="003515D6" w:rsidRDefault="00ED72CF" w:rsidP="00ED72CF">
      <w:pPr>
        <w:spacing w:after="0" w:line="360" w:lineRule="auto"/>
        <w:rPr>
          <w:rFonts w:cs="Arial"/>
          <w:sz w:val="24"/>
          <w:szCs w:val="24"/>
        </w:rPr>
      </w:pPr>
      <w:r w:rsidRPr="003515D6">
        <w:rPr>
          <w:rFonts w:cs="Arial"/>
          <w:sz w:val="24"/>
          <w:szCs w:val="24"/>
        </w:rPr>
        <w:t>-Year 1:</w:t>
      </w:r>
      <w:r>
        <w:rPr>
          <w:rFonts w:cs="Arial"/>
          <w:sz w:val="24"/>
          <w:szCs w:val="24"/>
        </w:rPr>
        <w:t xml:space="preserve"> -</w:t>
      </w:r>
      <w:r w:rsidRPr="003515D6">
        <w:rPr>
          <w:rFonts w:cs="Arial"/>
          <w:sz w:val="24"/>
          <w:szCs w:val="24"/>
        </w:rPr>
        <w:t>5</w:t>
      </w:r>
    </w:p>
    <w:p w14:paraId="14625CE0" w14:textId="77777777" w:rsidR="00ED72CF" w:rsidRPr="003515D6" w:rsidRDefault="00ED72CF" w:rsidP="00ED72CF">
      <w:pPr>
        <w:spacing w:after="0" w:line="360" w:lineRule="auto"/>
        <w:rPr>
          <w:rFonts w:cs="Arial"/>
          <w:sz w:val="24"/>
          <w:szCs w:val="24"/>
        </w:rPr>
      </w:pPr>
      <w:r w:rsidRPr="003515D6">
        <w:rPr>
          <w:rFonts w:cs="Arial"/>
          <w:sz w:val="24"/>
          <w:szCs w:val="24"/>
        </w:rPr>
        <w:t>- Year 2: 0</w:t>
      </w:r>
    </w:p>
    <w:p w14:paraId="1C91CC6D" w14:textId="77777777" w:rsidR="00ED72CF" w:rsidRPr="003515D6" w:rsidRDefault="00ED72CF" w:rsidP="00ED72CF">
      <w:pPr>
        <w:spacing w:after="0" w:line="360" w:lineRule="auto"/>
        <w:rPr>
          <w:rFonts w:cs="Arial"/>
          <w:sz w:val="24"/>
          <w:szCs w:val="24"/>
        </w:rPr>
      </w:pPr>
      <w:r w:rsidRPr="003515D6">
        <w:rPr>
          <w:rFonts w:cs="Arial"/>
          <w:sz w:val="24"/>
          <w:szCs w:val="24"/>
        </w:rPr>
        <w:t>- Year 3: 10</w:t>
      </w:r>
    </w:p>
    <w:p w14:paraId="205C3D47" w14:textId="77777777" w:rsidR="00ED72CF" w:rsidRPr="003515D6" w:rsidRDefault="00ED72CF" w:rsidP="00ED72CF">
      <w:pPr>
        <w:spacing w:after="0" w:line="360" w:lineRule="auto"/>
        <w:rPr>
          <w:rFonts w:cs="Arial"/>
          <w:sz w:val="24"/>
          <w:szCs w:val="24"/>
        </w:rPr>
      </w:pPr>
      <w:r w:rsidRPr="003515D6">
        <w:rPr>
          <w:rFonts w:cs="Arial"/>
          <w:sz w:val="24"/>
          <w:szCs w:val="24"/>
        </w:rPr>
        <w:t>- Year 4: 15</w:t>
      </w:r>
    </w:p>
    <w:p w14:paraId="0DA791CE" w14:textId="77777777" w:rsidR="00ED72CF" w:rsidRPr="003515D6" w:rsidRDefault="00ED72CF" w:rsidP="00ED72CF">
      <w:pPr>
        <w:spacing w:after="0" w:line="360" w:lineRule="auto"/>
        <w:rPr>
          <w:rFonts w:cs="Arial"/>
          <w:sz w:val="24"/>
          <w:szCs w:val="24"/>
        </w:rPr>
      </w:pPr>
      <w:r w:rsidRPr="003515D6">
        <w:rPr>
          <w:rFonts w:cs="Arial"/>
          <w:sz w:val="24"/>
          <w:szCs w:val="24"/>
        </w:rPr>
        <w:t xml:space="preserve">- Year </w:t>
      </w:r>
      <w:proofErr w:type="gramStart"/>
      <w:r w:rsidRPr="003515D6">
        <w:rPr>
          <w:rFonts w:cs="Arial"/>
          <w:sz w:val="24"/>
          <w:szCs w:val="24"/>
        </w:rPr>
        <w:t>5:</w:t>
      </w:r>
      <w:r>
        <w:rPr>
          <w:rFonts w:cs="Arial"/>
          <w:sz w:val="24"/>
          <w:szCs w:val="24"/>
        </w:rPr>
        <w:t>-</w:t>
      </w:r>
      <w:proofErr w:type="gramEnd"/>
      <w:r w:rsidRPr="003515D6">
        <w:rPr>
          <w:rFonts w:cs="Arial"/>
          <w:sz w:val="24"/>
          <w:szCs w:val="24"/>
        </w:rPr>
        <w:t>5</w:t>
      </w:r>
    </w:p>
    <w:p w14:paraId="70914A79" w14:textId="77777777" w:rsidR="00ED72CF" w:rsidRPr="003515D6" w:rsidRDefault="00ED72CF" w:rsidP="00ED72CF">
      <w:pPr>
        <w:spacing w:after="0" w:line="360" w:lineRule="auto"/>
        <w:rPr>
          <w:rFonts w:cs="Arial"/>
          <w:sz w:val="24"/>
          <w:szCs w:val="24"/>
        </w:rPr>
      </w:pPr>
      <w:r w:rsidRPr="003515D6">
        <w:rPr>
          <w:rFonts w:cs="Arial"/>
          <w:sz w:val="24"/>
          <w:szCs w:val="24"/>
        </w:rPr>
        <w:t>Average profit:</w:t>
      </w:r>
    </w:p>
    <w:p w14:paraId="10E2FE78" w14:textId="77777777" w:rsidR="00ED72CF" w:rsidRPr="003515D6" w:rsidRDefault="00ED72CF" w:rsidP="00ED72CF">
      <w:pPr>
        <w:spacing w:after="0" w:line="360" w:lineRule="auto"/>
        <w:rPr>
          <w:rFonts w:cs="Arial"/>
          <w:sz w:val="24"/>
          <w:szCs w:val="24"/>
        </w:rPr>
      </w:pPr>
      <w:r w:rsidRPr="003515D6">
        <w:rPr>
          <w:rFonts w:cs="Arial"/>
          <w:sz w:val="24"/>
          <w:szCs w:val="24"/>
        </w:rPr>
        <w:t>15 ÷ 5 = £3m</w:t>
      </w:r>
    </w:p>
    <w:p w14:paraId="6F48F478" w14:textId="77777777" w:rsidR="00ED72CF" w:rsidRPr="003515D6" w:rsidRDefault="00ED72CF" w:rsidP="00ED72CF">
      <w:pPr>
        <w:spacing w:after="0" w:line="360" w:lineRule="auto"/>
        <w:rPr>
          <w:rFonts w:cs="Arial"/>
          <w:sz w:val="24"/>
          <w:szCs w:val="24"/>
        </w:rPr>
      </w:pPr>
      <w:r w:rsidRPr="003515D6">
        <w:rPr>
          <w:rFonts w:cs="Arial"/>
          <w:sz w:val="24"/>
          <w:szCs w:val="24"/>
        </w:rPr>
        <w:t>ARR = 3 ÷ 25 × 100 = 12.0%</w:t>
      </w:r>
    </w:p>
    <w:p w14:paraId="5CD7863E" w14:textId="77777777" w:rsidR="00ED72CF" w:rsidRPr="003515D6" w:rsidRDefault="00ED72CF" w:rsidP="00ED72CF">
      <w:pPr>
        <w:spacing w:after="0" w:line="360" w:lineRule="auto"/>
        <w:rPr>
          <w:rFonts w:cs="Arial"/>
          <w:sz w:val="24"/>
          <w:szCs w:val="24"/>
        </w:rPr>
      </w:pPr>
      <w:r w:rsidRPr="003515D6">
        <w:rPr>
          <w:rFonts w:cs="Arial"/>
          <w:sz w:val="24"/>
          <w:szCs w:val="24"/>
        </w:rPr>
        <w:t>Ranking: C &gt; B &gt; A</w:t>
      </w:r>
    </w:p>
    <w:p w14:paraId="5345F308" w14:textId="77777777" w:rsidR="00ED72CF" w:rsidRPr="00454DB8" w:rsidRDefault="00ED72CF" w:rsidP="00ED72CF">
      <w:pPr>
        <w:spacing w:after="0" w:line="360" w:lineRule="auto"/>
        <w:rPr>
          <w:rFonts w:cs="Arial"/>
          <w:b/>
          <w:bCs/>
          <w:sz w:val="24"/>
          <w:szCs w:val="24"/>
        </w:rPr>
      </w:pPr>
      <w:r w:rsidRPr="00454DB8">
        <w:rPr>
          <w:rFonts w:cs="Arial"/>
          <w:b/>
          <w:bCs/>
          <w:sz w:val="24"/>
          <w:szCs w:val="24"/>
        </w:rPr>
        <w:t>d-Net Present Value</w:t>
      </w:r>
    </w:p>
    <w:p w14:paraId="3D895312" w14:textId="77777777" w:rsidR="00ED72CF" w:rsidRPr="003515D6" w:rsidRDefault="00ED72CF" w:rsidP="00ED72CF">
      <w:pPr>
        <w:spacing w:after="0" w:line="360" w:lineRule="auto"/>
        <w:rPr>
          <w:rFonts w:cs="Arial"/>
          <w:b/>
          <w:bCs/>
          <w:sz w:val="24"/>
          <w:szCs w:val="24"/>
        </w:rPr>
      </w:pPr>
      <w:r w:rsidRPr="003515D6">
        <w:rPr>
          <w:rFonts w:cs="Arial"/>
          <w:sz w:val="24"/>
          <w:szCs w:val="24"/>
        </w:rPr>
        <w:t>Project A</w:t>
      </w:r>
    </w:p>
    <w:p w14:paraId="5844B939" w14:textId="77777777" w:rsidR="00ED72CF" w:rsidRPr="003515D6" w:rsidRDefault="00ED72CF" w:rsidP="00ED72CF">
      <w:pPr>
        <w:spacing w:after="0" w:line="360" w:lineRule="auto"/>
        <w:rPr>
          <w:rFonts w:cs="Arial"/>
          <w:sz w:val="24"/>
          <w:szCs w:val="24"/>
        </w:rPr>
      </w:pPr>
      <w:r w:rsidRPr="003515D6">
        <w:rPr>
          <w:rFonts w:cs="Arial"/>
          <w:sz w:val="24"/>
          <w:szCs w:val="24"/>
        </w:rPr>
        <w:t>NPV =</w:t>
      </w:r>
      <w:r>
        <w:rPr>
          <w:rFonts w:cs="Arial"/>
          <w:sz w:val="24"/>
          <w:szCs w:val="24"/>
        </w:rPr>
        <w:t>-</w:t>
      </w:r>
      <w:r w:rsidRPr="003515D6">
        <w:rPr>
          <w:rFonts w:cs="Arial"/>
          <w:sz w:val="24"/>
          <w:szCs w:val="24"/>
        </w:rPr>
        <w:t>50 + 10/1.08 + 12/1.08² + 14/1.08³ + 10/1.08⁴ + 8/1.08⁵</w:t>
      </w:r>
    </w:p>
    <w:p w14:paraId="5F8297D2" w14:textId="77777777" w:rsidR="00ED72CF" w:rsidRPr="003515D6" w:rsidRDefault="00ED72CF" w:rsidP="00ED72CF">
      <w:pPr>
        <w:spacing w:after="0" w:line="360" w:lineRule="auto"/>
        <w:rPr>
          <w:rFonts w:cs="Arial"/>
          <w:sz w:val="24"/>
          <w:szCs w:val="24"/>
        </w:rPr>
      </w:pPr>
      <w:r w:rsidRPr="003515D6">
        <w:rPr>
          <w:rFonts w:cs="Arial"/>
          <w:sz w:val="24"/>
          <w:szCs w:val="24"/>
        </w:rPr>
        <w:t>NPV ≈ –£6.54m</w:t>
      </w:r>
    </w:p>
    <w:p w14:paraId="30074482" w14:textId="77777777" w:rsidR="00ED72CF" w:rsidRPr="003515D6" w:rsidRDefault="00ED72CF" w:rsidP="00ED72CF">
      <w:pPr>
        <w:spacing w:after="0" w:line="360" w:lineRule="auto"/>
        <w:rPr>
          <w:rFonts w:cs="Arial"/>
          <w:b/>
          <w:bCs/>
          <w:sz w:val="24"/>
          <w:szCs w:val="24"/>
        </w:rPr>
      </w:pPr>
      <w:r w:rsidRPr="003515D6">
        <w:rPr>
          <w:rFonts w:cs="Arial"/>
          <w:sz w:val="24"/>
          <w:szCs w:val="24"/>
        </w:rPr>
        <w:t>Project B</w:t>
      </w:r>
    </w:p>
    <w:p w14:paraId="21DBF450" w14:textId="77777777" w:rsidR="00ED72CF" w:rsidRPr="003515D6" w:rsidRDefault="00ED72CF" w:rsidP="00ED72CF">
      <w:pPr>
        <w:spacing w:after="0" w:line="360" w:lineRule="auto"/>
        <w:rPr>
          <w:rFonts w:cs="Arial"/>
          <w:sz w:val="24"/>
          <w:szCs w:val="24"/>
        </w:rPr>
      </w:pPr>
      <w:r w:rsidRPr="003515D6">
        <w:rPr>
          <w:rFonts w:cs="Arial"/>
          <w:sz w:val="24"/>
          <w:szCs w:val="24"/>
        </w:rPr>
        <w:t>NPV =</w:t>
      </w:r>
      <w:r>
        <w:rPr>
          <w:rFonts w:cs="Arial"/>
          <w:sz w:val="24"/>
          <w:szCs w:val="24"/>
        </w:rPr>
        <w:t>-</w:t>
      </w:r>
      <w:r w:rsidRPr="003515D6">
        <w:rPr>
          <w:rFonts w:cs="Arial"/>
          <w:sz w:val="24"/>
          <w:szCs w:val="24"/>
        </w:rPr>
        <w:t>50 + 11/1.08 + 11/1.08² + 11/1.08³ + 11/1.08⁴ + 11/1.08⁵</w:t>
      </w:r>
    </w:p>
    <w:p w14:paraId="0E3866AD" w14:textId="77777777" w:rsidR="00ED72CF" w:rsidRPr="003515D6" w:rsidRDefault="00ED72CF" w:rsidP="00ED72CF">
      <w:pPr>
        <w:spacing w:after="0" w:line="360" w:lineRule="auto"/>
        <w:rPr>
          <w:rFonts w:cs="Arial"/>
          <w:sz w:val="24"/>
          <w:szCs w:val="24"/>
        </w:rPr>
      </w:pPr>
      <w:r w:rsidRPr="003515D6">
        <w:rPr>
          <w:rFonts w:cs="Arial"/>
          <w:sz w:val="24"/>
          <w:szCs w:val="24"/>
        </w:rPr>
        <w:t>NPV ≈ –£6.08m</w:t>
      </w:r>
    </w:p>
    <w:p w14:paraId="24C7A483" w14:textId="77777777" w:rsidR="00ED72CF" w:rsidRPr="003515D6" w:rsidRDefault="00ED72CF" w:rsidP="00ED72CF">
      <w:pPr>
        <w:spacing w:after="0" w:line="360" w:lineRule="auto"/>
        <w:rPr>
          <w:rFonts w:cs="Arial"/>
          <w:b/>
          <w:bCs/>
          <w:sz w:val="24"/>
          <w:szCs w:val="24"/>
        </w:rPr>
      </w:pPr>
      <w:r w:rsidRPr="003515D6">
        <w:rPr>
          <w:rFonts w:cs="Arial"/>
          <w:sz w:val="24"/>
          <w:szCs w:val="24"/>
        </w:rPr>
        <w:t>Project C</w:t>
      </w:r>
    </w:p>
    <w:p w14:paraId="19FEE8C5" w14:textId="77777777" w:rsidR="00ED72CF" w:rsidRPr="003515D6" w:rsidRDefault="00ED72CF" w:rsidP="00ED72CF">
      <w:pPr>
        <w:spacing w:after="0" w:line="360" w:lineRule="auto"/>
        <w:rPr>
          <w:rFonts w:cs="Arial"/>
          <w:sz w:val="24"/>
          <w:szCs w:val="24"/>
        </w:rPr>
      </w:pPr>
      <w:r w:rsidRPr="003515D6">
        <w:rPr>
          <w:rFonts w:cs="Arial"/>
          <w:sz w:val="24"/>
          <w:szCs w:val="24"/>
        </w:rPr>
        <w:t>NPV =</w:t>
      </w:r>
      <w:r>
        <w:rPr>
          <w:rFonts w:cs="Arial"/>
          <w:sz w:val="24"/>
          <w:szCs w:val="24"/>
        </w:rPr>
        <w:t>-</w:t>
      </w:r>
      <w:r w:rsidRPr="003515D6">
        <w:rPr>
          <w:rFonts w:cs="Arial"/>
          <w:sz w:val="24"/>
          <w:szCs w:val="24"/>
        </w:rPr>
        <w:t>50 + 5/1.08 + 10/1.08² + 20/1.08³ + 25/1.08⁴ + 5/1.08⁵</w:t>
      </w:r>
    </w:p>
    <w:p w14:paraId="6334835D" w14:textId="77777777" w:rsidR="00ED72CF" w:rsidRPr="003515D6" w:rsidRDefault="00ED72CF" w:rsidP="00ED72CF">
      <w:pPr>
        <w:spacing w:after="0" w:line="360" w:lineRule="auto"/>
        <w:rPr>
          <w:rFonts w:cs="Arial"/>
          <w:sz w:val="24"/>
          <w:szCs w:val="24"/>
        </w:rPr>
      </w:pPr>
      <w:r w:rsidRPr="003515D6">
        <w:rPr>
          <w:rFonts w:cs="Arial"/>
          <w:sz w:val="24"/>
          <w:szCs w:val="24"/>
        </w:rPr>
        <w:t>Present values:</w:t>
      </w:r>
    </w:p>
    <w:tbl>
      <w:tblPr>
        <w:tblW w:w="0" w:type="auto"/>
        <w:tblLook w:val="04A0" w:firstRow="1" w:lastRow="0" w:firstColumn="1" w:lastColumn="0" w:noHBand="0" w:noVBand="1"/>
      </w:tblPr>
      <w:tblGrid>
        <w:gridCol w:w="4320"/>
        <w:gridCol w:w="4320"/>
      </w:tblGrid>
      <w:tr w:rsidR="00ED72CF" w:rsidRPr="003515D6" w14:paraId="11530F1B" w14:textId="77777777" w:rsidTr="008C2C42">
        <w:tc>
          <w:tcPr>
            <w:tcW w:w="4320" w:type="dxa"/>
            <w:tcBorders>
              <w:top w:val="thinThickSmallGap" w:sz="24" w:space="0" w:color="auto"/>
              <w:bottom w:val="thickThinSmallGap" w:sz="24" w:space="0" w:color="auto"/>
            </w:tcBorders>
          </w:tcPr>
          <w:p w14:paraId="70A070A8" w14:textId="77777777" w:rsidR="00ED72CF" w:rsidRPr="003515D6" w:rsidRDefault="00ED72CF" w:rsidP="008C2C42">
            <w:pPr>
              <w:spacing w:after="0" w:line="360" w:lineRule="auto"/>
              <w:rPr>
                <w:rFonts w:cs="Arial"/>
                <w:sz w:val="24"/>
                <w:szCs w:val="24"/>
              </w:rPr>
            </w:pPr>
            <w:r w:rsidRPr="003515D6">
              <w:rPr>
                <w:rFonts w:cs="Arial"/>
                <w:sz w:val="24"/>
                <w:szCs w:val="24"/>
              </w:rPr>
              <w:t>Year</w:t>
            </w:r>
            <w:r>
              <w:rPr>
                <w:rFonts w:cs="Arial"/>
                <w:sz w:val="24"/>
                <w:szCs w:val="24"/>
              </w:rPr>
              <w:t xml:space="preserve"> </w:t>
            </w:r>
          </w:p>
        </w:tc>
        <w:tc>
          <w:tcPr>
            <w:tcW w:w="4320" w:type="dxa"/>
            <w:tcBorders>
              <w:top w:val="thinThickSmallGap" w:sz="24" w:space="0" w:color="auto"/>
              <w:bottom w:val="thickThinSmallGap" w:sz="24" w:space="0" w:color="auto"/>
            </w:tcBorders>
          </w:tcPr>
          <w:p w14:paraId="560ED01F" w14:textId="77777777" w:rsidR="00ED72CF" w:rsidRPr="003515D6" w:rsidRDefault="00ED72CF" w:rsidP="008C2C42">
            <w:pPr>
              <w:spacing w:after="0" w:line="360" w:lineRule="auto"/>
              <w:rPr>
                <w:rFonts w:cs="Arial"/>
                <w:sz w:val="24"/>
                <w:szCs w:val="24"/>
              </w:rPr>
            </w:pPr>
            <w:r w:rsidRPr="003515D6">
              <w:rPr>
                <w:rFonts w:cs="Arial"/>
                <w:sz w:val="24"/>
                <w:szCs w:val="24"/>
              </w:rPr>
              <w:t>PV (£m)</w:t>
            </w:r>
          </w:p>
        </w:tc>
      </w:tr>
      <w:tr w:rsidR="00ED72CF" w:rsidRPr="003515D6" w14:paraId="3B06D71C" w14:textId="77777777" w:rsidTr="008C2C42">
        <w:tc>
          <w:tcPr>
            <w:tcW w:w="4320" w:type="dxa"/>
            <w:tcBorders>
              <w:top w:val="thickThinSmallGap" w:sz="24" w:space="0" w:color="auto"/>
            </w:tcBorders>
          </w:tcPr>
          <w:p w14:paraId="3A772A1E" w14:textId="77777777" w:rsidR="00ED72CF" w:rsidRPr="003515D6" w:rsidRDefault="00ED72CF" w:rsidP="008C2C42">
            <w:pPr>
              <w:spacing w:after="0" w:line="360" w:lineRule="auto"/>
              <w:rPr>
                <w:rFonts w:cs="Arial"/>
                <w:sz w:val="24"/>
                <w:szCs w:val="24"/>
              </w:rPr>
            </w:pPr>
            <w:r w:rsidRPr="003515D6">
              <w:rPr>
                <w:rFonts w:cs="Arial"/>
                <w:sz w:val="24"/>
                <w:szCs w:val="24"/>
              </w:rPr>
              <w:t>1</w:t>
            </w:r>
          </w:p>
        </w:tc>
        <w:tc>
          <w:tcPr>
            <w:tcW w:w="4320" w:type="dxa"/>
            <w:tcBorders>
              <w:top w:val="thickThinSmallGap" w:sz="24" w:space="0" w:color="auto"/>
            </w:tcBorders>
          </w:tcPr>
          <w:p w14:paraId="08979A4B" w14:textId="77777777" w:rsidR="00ED72CF" w:rsidRPr="003515D6" w:rsidRDefault="00ED72CF" w:rsidP="008C2C42">
            <w:pPr>
              <w:spacing w:after="0" w:line="360" w:lineRule="auto"/>
              <w:rPr>
                <w:rFonts w:cs="Arial"/>
                <w:sz w:val="24"/>
                <w:szCs w:val="24"/>
              </w:rPr>
            </w:pPr>
            <w:r w:rsidRPr="003515D6">
              <w:rPr>
                <w:rFonts w:cs="Arial"/>
                <w:sz w:val="24"/>
                <w:szCs w:val="24"/>
              </w:rPr>
              <w:t xml:space="preserve">4.63 </w:t>
            </w:r>
          </w:p>
        </w:tc>
      </w:tr>
      <w:tr w:rsidR="00ED72CF" w:rsidRPr="003515D6" w14:paraId="69B6A1C8" w14:textId="77777777" w:rsidTr="008C2C42">
        <w:tc>
          <w:tcPr>
            <w:tcW w:w="4320" w:type="dxa"/>
          </w:tcPr>
          <w:p w14:paraId="107718ED" w14:textId="77777777" w:rsidR="00ED72CF" w:rsidRPr="003515D6" w:rsidRDefault="00ED72CF" w:rsidP="008C2C42">
            <w:pPr>
              <w:spacing w:after="0" w:line="360" w:lineRule="auto"/>
              <w:rPr>
                <w:rFonts w:cs="Arial"/>
                <w:sz w:val="24"/>
                <w:szCs w:val="24"/>
              </w:rPr>
            </w:pPr>
            <w:r w:rsidRPr="003515D6">
              <w:rPr>
                <w:rFonts w:cs="Arial"/>
                <w:sz w:val="24"/>
                <w:szCs w:val="24"/>
              </w:rPr>
              <w:t>2</w:t>
            </w:r>
          </w:p>
        </w:tc>
        <w:tc>
          <w:tcPr>
            <w:tcW w:w="4320" w:type="dxa"/>
          </w:tcPr>
          <w:p w14:paraId="44040813" w14:textId="77777777" w:rsidR="00ED72CF" w:rsidRPr="003515D6" w:rsidRDefault="00ED72CF" w:rsidP="008C2C42">
            <w:pPr>
              <w:spacing w:after="0" w:line="360" w:lineRule="auto"/>
              <w:rPr>
                <w:rFonts w:cs="Arial"/>
                <w:sz w:val="24"/>
                <w:szCs w:val="24"/>
              </w:rPr>
            </w:pPr>
            <w:r w:rsidRPr="003515D6">
              <w:rPr>
                <w:rFonts w:cs="Arial"/>
                <w:sz w:val="24"/>
                <w:szCs w:val="24"/>
              </w:rPr>
              <w:t>8.57</w:t>
            </w:r>
          </w:p>
        </w:tc>
      </w:tr>
      <w:tr w:rsidR="00ED72CF" w:rsidRPr="003515D6" w14:paraId="3842245F" w14:textId="77777777" w:rsidTr="008C2C42">
        <w:tc>
          <w:tcPr>
            <w:tcW w:w="4320" w:type="dxa"/>
          </w:tcPr>
          <w:p w14:paraId="1E69708B" w14:textId="77777777" w:rsidR="00ED72CF" w:rsidRPr="003515D6" w:rsidRDefault="00ED72CF" w:rsidP="008C2C42">
            <w:pPr>
              <w:spacing w:after="0" w:line="360" w:lineRule="auto"/>
              <w:rPr>
                <w:rFonts w:cs="Arial"/>
                <w:sz w:val="24"/>
                <w:szCs w:val="24"/>
              </w:rPr>
            </w:pPr>
            <w:r w:rsidRPr="003515D6">
              <w:rPr>
                <w:rFonts w:cs="Arial"/>
                <w:sz w:val="24"/>
                <w:szCs w:val="24"/>
              </w:rPr>
              <w:lastRenderedPageBreak/>
              <w:t>3</w:t>
            </w:r>
          </w:p>
        </w:tc>
        <w:tc>
          <w:tcPr>
            <w:tcW w:w="4320" w:type="dxa"/>
          </w:tcPr>
          <w:p w14:paraId="4E0F33C6" w14:textId="77777777" w:rsidR="00ED72CF" w:rsidRPr="003515D6" w:rsidRDefault="00ED72CF" w:rsidP="008C2C42">
            <w:pPr>
              <w:spacing w:after="0" w:line="360" w:lineRule="auto"/>
              <w:rPr>
                <w:rFonts w:cs="Arial"/>
                <w:sz w:val="24"/>
                <w:szCs w:val="24"/>
              </w:rPr>
            </w:pPr>
            <w:r w:rsidRPr="003515D6">
              <w:rPr>
                <w:rFonts w:cs="Arial"/>
                <w:sz w:val="24"/>
                <w:szCs w:val="24"/>
              </w:rPr>
              <w:t>15.88</w:t>
            </w:r>
          </w:p>
        </w:tc>
      </w:tr>
      <w:tr w:rsidR="00ED72CF" w:rsidRPr="003515D6" w14:paraId="5AB71351" w14:textId="77777777" w:rsidTr="008C2C42">
        <w:tc>
          <w:tcPr>
            <w:tcW w:w="4320" w:type="dxa"/>
          </w:tcPr>
          <w:p w14:paraId="5C7A2A80" w14:textId="77777777" w:rsidR="00ED72CF" w:rsidRPr="003515D6" w:rsidRDefault="00ED72CF" w:rsidP="008C2C42">
            <w:pPr>
              <w:spacing w:after="0" w:line="360" w:lineRule="auto"/>
              <w:rPr>
                <w:rFonts w:cs="Arial"/>
                <w:sz w:val="24"/>
                <w:szCs w:val="24"/>
              </w:rPr>
            </w:pPr>
            <w:r w:rsidRPr="003515D6">
              <w:rPr>
                <w:rFonts w:cs="Arial"/>
                <w:sz w:val="24"/>
                <w:szCs w:val="24"/>
              </w:rPr>
              <w:t>4</w:t>
            </w:r>
          </w:p>
        </w:tc>
        <w:tc>
          <w:tcPr>
            <w:tcW w:w="4320" w:type="dxa"/>
          </w:tcPr>
          <w:p w14:paraId="55BD501C" w14:textId="77777777" w:rsidR="00ED72CF" w:rsidRPr="003515D6" w:rsidRDefault="00ED72CF" w:rsidP="008C2C42">
            <w:pPr>
              <w:spacing w:after="0" w:line="360" w:lineRule="auto"/>
              <w:rPr>
                <w:rFonts w:cs="Arial"/>
                <w:sz w:val="24"/>
                <w:szCs w:val="24"/>
              </w:rPr>
            </w:pPr>
            <w:r w:rsidRPr="003515D6">
              <w:rPr>
                <w:rFonts w:cs="Arial"/>
                <w:sz w:val="24"/>
                <w:szCs w:val="24"/>
              </w:rPr>
              <w:t>18.38</w:t>
            </w:r>
          </w:p>
        </w:tc>
      </w:tr>
      <w:tr w:rsidR="00ED72CF" w:rsidRPr="003515D6" w14:paraId="6587C823" w14:textId="77777777" w:rsidTr="008C2C42">
        <w:tc>
          <w:tcPr>
            <w:tcW w:w="4320" w:type="dxa"/>
          </w:tcPr>
          <w:p w14:paraId="3C6CFFC4" w14:textId="77777777" w:rsidR="00ED72CF" w:rsidRPr="003515D6" w:rsidRDefault="00ED72CF" w:rsidP="008C2C42">
            <w:pPr>
              <w:spacing w:after="0" w:line="360" w:lineRule="auto"/>
              <w:rPr>
                <w:rFonts w:cs="Arial"/>
                <w:sz w:val="24"/>
                <w:szCs w:val="24"/>
              </w:rPr>
            </w:pPr>
            <w:r w:rsidRPr="003515D6">
              <w:rPr>
                <w:rFonts w:cs="Arial"/>
                <w:sz w:val="24"/>
                <w:szCs w:val="24"/>
              </w:rPr>
              <w:t>5</w:t>
            </w:r>
          </w:p>
        </w:tc>
        <w:tc>
          <w:tcPr>
            <w:tcW w:w="4320" w:type="dxa"/>
          </w:tcPr>
          <w:p w14:paraId="3C9CC6EA" w14:textId="77777777" w:rsidR="00ED72CF" w:rsidRPr="003515D6" w:rsidRDefault="00ED72CF" w:rsidP="008C2C42">
            <w:pPr>
              <w:spacing w:after="0" w:line="360" w:lineRule="auto"/>
              <w:rPr>
                <w:rFonts w:cs="Arial"/>
                <w:sz w:val="24"/>
                <w:szCs w:val="24"/>
              </w:rPr>
            </w:pPr>
            <w:r w:rsidRPr="003515D6">
              <w:rPr>
                <w:rFonts w:cs="Arial"/>
                <w:sz w:val="24"/>
                <w:szCs w:val="24"/>
              </w:rPr>
              <w:t>3.40</w:t>
            </w:r>
          </w:p>
        </w:tc>
      </w:tr>
      <w:tr w:rsidR="00ED72CF" w:rsidRPr="003515D6" w14:paraId="7A9F229E" w14:textId="77777777" w:rsidTr="008C2C42">
        <w:tc>
          <w:tcPr>
            <w:tcW w:w="4320" w:type="dxa"/>
            <w:tcBorders>
              <w:bottom w:val="thickThinSmallGap" w:sz="24" w:space="0" w:color="auto"/>
            </w:tcBorders>
          </w:tcPr>
          <w:p w14:paraId="2515CB58" w14:textId="77777777" w:rsidR="00ED72CF" w:rsidRPr="003515D6" w:rsidRDefault="00ED72CF" w:rsidP="008C2C42">
            <w:pPr>
              <w:spacing w:after="0" w:line="360" w:lineRule="auto"/>
              <w:rPr>
                <w:rFonts w:cs="Arial"/>
                <w:sz w:val="24"/>
                <w:szCs w:val="24"/>
              </w:rPr>
            </w:pPr>
            <w:r w:rsidRPr="003515D6">
              <w:rPr>
                <w:rFonts w:cs="Arial"/>
                <w:sz w:val="24"/>
                <w:szCs w:val="24"/>
              </w:rPr>
              <w:t>Total PV</w:t>
            </w:r>
          </w:p>
        </w:tc>
        <w:tc>
          <w:tcPr>
            <w:tcW w:w="4320" w:type="dxa"/>
            <w:tcBorders>
              <w:bottom w:val="thickThinSmallGap" w:sz="24" w:space="0" w:color="auto"/>
            </w:tcBorders>
          </w:tcPr>
          <w:p w14:paraId="5026C6A2" w14:textId="77777777" w:rsidR="00ED72CF" w:rsidRPr="003515D6" w:rsidRDefault="00ED72CF" w:rsidP="008C2C42">
            <w:pPr>
              <w:spacing w:after="0" w:line="360" w:lineRule="auto"/>
              <w:rPr>
                <w:rFonts w:cs="Arial"/>
                <w:sz w:val="24"/>
                <w:szCs w:val="24"/>
              </w:rPr>
            </w:pPr>
            <w:r w:rsidRPr="003515D6">
              <w:rPr>
                <w:rFonts w:cs="Arial"/>
                <w:sz w:val="24"/>
                <w:szCs w:val="24"/>
              </w:rPr>
              <w:t>50.86</w:t>
            </w:r>
          </w:p>
        </w:tc>
      </w:tr>
    </w:tbl>
    <w:p w14:paraId="46000B92" w14:textId="77777777" w:rsidR="00ED72CF" w:rsidRPr="003515D6" w:rsidRDefault="00ED72CF" w:rsidP="00ED72CF">
      <w:pPr>
        <w:spacing w:after="0" w:line="360" w:lineRule="auto"/>
        <w:rPr>
          <w:rFonts w:cs="Arial"/>
          <w:sz w:val="24"/>
          <w:szCs w:val="24"/>
        </w:rPr>
      </w:pPr>
      <w:r w:rsidRPr="003515D6">
        <w:rPr>
          <w:rFonts w:cs="Arial"/>
          <w:sz w:val="24"/>
          <w:szCs w:val="24"/>
        </w:rPr>
        <w:t>NPV = 50.86</w:t>
      </w:r>
      <w:r>
        <w:rPr>
          <w:rFonts w:cs="Arial"/>
          <w:sz w:val="24"/>
          <w:szCs w:val="24"/>
        </w:rPr>
        <w:t>-</w:t>
      </w:r>
      <w:r w:rsidRPr="003515D6">
        <w:rPr>
          <w:rFonts w:cs="Arial"/>
          <w:sz w:val="24"/>
          <w:szCs w:val="24"/>
        </w:rPr>
        <w:t>50</w:t>
      </w:r>
    </w:p>
    <w:p w14:paraId="0AC8C9C4" w14:textId="77777777" w:rsidR="00ED72CF" w:rsidRPr="003515D6" w:rsidRDefault="00ED72CF" w:rsidP="00ED72CF">
      <w:pPr>
        <w:spacing w:after="0" w:line="360" w:lineRule="auto"/>
        <w:rPr>
          <w:rFonts w:cs="Arial"/>
          <w:sz w:val="24"/>
          <w:szCs w:val="24"/>
        </w:rPr>
      </w:pPr>
      <w:r w:rsidRPr="003515D6">
        <w:rPr>
          <w:rFonts w:cs="Arial"/>
          <w:sz w:val="24"/>
          <w:szCs w:val="24"/>
        </w:rPr>
        <w:t>NPV = +£0.86m</w:t>
      </w:r>
    </w:p>
    <w:p w14:paraId="53F122FE" w14:textId="77777777" w:rsidR="00ED72CF" w:rsidRPr="003515D6" w:rsidRDefault="00ED72CF" w:rsidP="00ED72CF">
      <w:pPr>
        <w:spacing w:after="0" w:line="360" w:lineRule="auto"/>
        <w:rPr>
          <w:rFonts w:cs="Arial"/>
          <w:sz w:val="24"/>
          <w:szCs w:val="24"/>
        </w:rPr>
      </w:pPr>
      <w:r w:rsidRPr="003515D6">
        <w:rPr>
          <w:rFonts w:cs="Arial"/>
          <w:sz w:val="24"/>
          <w:szCs w:val="24"/>
        </w:rPr>
        <w:t>This correction is important: Project C is not value-destructive at an 8% discount rate. It produces a small positive NPV.</w:t>
      </w:r>
    </w:p>
    <w:p w14:paraId="64D84C5A" w14:textId="77777777" w:rsidR="00ED72CF" w:rsidRDefault="00ED72CF" w:rsidP="00ED72CF">
      <w:pPr>
        <w:spacing w:after="0" w:line="360" w:lineRule="auto"/>
        <w:rPr>
          <w:rFonts w:cs="Arial"/>
          <w:b/>
          <w:bCs/>
          <w:sz w:val="24"/>
          <w:szCs w:val="24"/>
        </w:rPr>
      </w:pPr>
      <w:r w:rsidRPr="00454DB8">
        <w:rPr>
          <w:rFonts w:cs="Arial"/>
          <w:b/>
          <w:bCs/>
          <w:sz w:val="24"/>
          <w:szCs w:val="24"/>
        </w:rPr>
        <w:t>e-Profitability Index</w:t>
      </w:r>
    </w:p>
    <w:p w14:paraId="58F60FFB" w14:textId="77777777" w:rsidR="00ED72CF" w:rsidRPr="00454DB8" w:rsidRDefault="00ED72CF" w:rsidP="00ED72CF">
      <w:pPr>
        <w:spacing w:after="0" w:line="360" w:lineRule="auto"/>
        <w:rPr>
          <w:rFonts w:cs="Arial"/>
          <w:b/>
          <w:bCs/>
          <w:sz w:val="24"/>
          <w:szCs w:val="24"/>
        </w:rPr>
      </w:pPr>
      <w:r w:rsidRPr="003515D6">
        <w:rPr>
          <w:rFonts w:cs="Arial"/>
          <w:sz w:val="24"/>
          <w:szCs w:val="24"/>
        </w:rPr>
        <w:t xml:space="preserve"> PI = PV of future cash flows ÷ Initial investment</w:t>
      </w:r>
    </w:p>
    <w:tbl>
      <w:tblPr>
        <w:tblW w:w="0" w:type="auto"/>
        <w:tblLook w:val="04A0" w:firstRow="1" w:lastRow="0" w:firstColumn="1" w:lastColumn="0" w:noHBand="0" w:noVBand="1"/>
      </w:tblPr>
      <w:tblGrid>
        <w:gridCol w:w="2880"/>
        <w:gridCol w:w="2880"/>
        <w:gridCol w:w="2880"/>
      </w:tblGrid>
      <w:tr w:rsidR="00ED72CF" w:rsidRPr="003515D6" w14:paraId="5044CF4D" w14:textId="77777777" w:rsidTr="008C2C42">
        <w:tc>
          <w:tcPr>
            <w:tcW w:w="2880" w:type="dxa"/>
            <w:tcBorders>
              <w:top w:val="thinThickSmallGap" w:sz="24" w:space="0" w:color="auto"/>
              <w:bottom w:val="thickThinSmallGap" w:sz="24" w:space="0" w:color="auto"/>
            </w:tcBorders>
          </w:tcPr>
          <w:p w14:paraId="72CFF09D" w14:textId="77777777" w:rsidR="00ED72CF" w:rsidRPr="003515D6" w:rsidRDefault="00ED72CF" w:rsidP="008C2C42">
            <w:pPr>
              <w:spacing w:after="0" w:line="360" w:lineRule="auto"/>
              <w:rPr>
                <w:rFonts w:cs="Arial"/>
                <w:sz w:val="24"/>
                <w:szCs w:val="24"/>
              </w:rPr>
            </w:pPr>
            <w:bookmarkStart w:id="9" w:name="_Hlk237260616"/>
            <w:r w:rsidRPr="003515D6">
              <w:rPr>
                <w:rFonts w:cs="Arial"/>
                <w:sz w:val="24"/>
                <w:szCs w:val="24"/>
              </w:rPr>
              <w:t>Project</w:t>
            </w:r>
            <w:r>
              <w:rPr>
                <w:rFonts w:cs="Arial"/>
                <w:sz w:val="24"/>
                <w:szCs w:val="24"/>
              </w:rPr>
              <w:t xml:space="preserve"> </w:t>
            </w:r>
          </w:p>
        </w:tc>
        <w:tc>
          <w:tcPr>
            <w:tcW w:w="2880" w:type="dxa"/>
            <w:tcBorders>
              <w:top w:val="thinThickSmallGap" w:sz="24" w:space="0" w:color="auto"/>
              <w:bottom w:val="thickThinSmallGap" w:sz="24" w:space="0" w:color="auto"/>
            </w:tcBorders>
          </w:tcPr>
          <w:p w14:paraId="2E4EAE79" w14:textId="77777777" w:rsidR="00ED72CF" w:rsidRPr="003515D6" w:rsidRDefault="00ED72CF" w:rsidP="008C2C42">
            <w:pPr>
              <w:spacing w:after="0" w:line="360" w:lineRule="auto"/>
              <w:rPr>
                <w:rFonts w:cs="Arial"/>
                <w:sz w:val="24"/>
                <w:szCs w:val="24"/>
              </w:rPr>
            </w:pPr>
            <w:r w:rsidRPr="003515D6">
              <w:rPr>
                <w:rFonts w:cs="Arial"/>
                <w:sz w:val="24"/>
                <w:szCs w:val="24"/>
              </w:rPr>
              <w:t>PV of inflows</w:t>
            </w:r>
          </w:p>
        </w:tc>
        <w:tc>
          <w:tcPr>
            <w:tcW w:w="2880" w:type="dxa"/>
            <w:tcBorders>
              <w:top w:val="thinThickSmallGap" w:sz="24" w:space="0" w:color="auto"/>
              <w:bottom w:val="thickThinSmallGap" w:sz="24" w:space="0" w:color="auto"/>
            </w:tcBorders>
          </w:tcPr>
          <w:p w14:paraId="1B88201E" w14:textId="77777777" w:rsidR="00ED72CF" w:rsidRPr="003515D6" w:rsidRDefault="00ED72CF" w:rsidP="008C2C42">
            <w:pPr>
              <w:spacing w:after="0" w:line="360" w:lineRule="auto"/>
              <w:rPr>
                <w:rFonts w:cs="Arial"/>
                <w:sz w:val="24"/>
                <w:szCs w:val="24"/>
              </w:rPr>
            </w:pPr>
            <w:r w:rsidRPr="003515D6">
              <w:rPr>
                <w:rFonts w:cs="Arial"/>
                <w:sz w:val="24"/>
                <w:szCs w:val="24"/>
              </w:rPr>
              <w:t>PI</w:t>
            </w:r>
          </w:p>
        </w:tc>
      </w:tr>
      <w:tr w:rsidR="00ED72CF" w:rsidRPr="003515D6" w14:paraId="456630F2" w14:textId="77777777" w:rsidTr="008C2C42">
        <w:tc>
          <w:tcPr>
            <w:tcW w:w="2880" w:type="dxa"/>
            <w:tcBorders>
              <w:top w:val="thickThinSmallGap" w:sz="24" w:space="0" w:color="auto"/>
            </w:tcBorders>
          </w:tcPr>
          <w:p w14:paraId="7AD1A3D9" w14:textId="77777777" w:rsidR="00ED72CF" w:rsidRPr="003515D6" w:rsidRDefault="00ED72CF" w:rsidP="008C2C42">
            <w:pPr>
              <w:spacing w:after="0" w:line="360" w:lineRule="auto"/>
              <w:rPr>
                <w:rFonts w:cs="Arial"/>
                <w:sz w:val="24"/>
                <w:szCs w:val="24"/>
              </w:rPr>
            </w:pPr>
            <w:r w:rsidRPr="003515D6">
              <w:rPr>
                <w:rFonts w:cs="Arial"/>
                <w:sz w:val="24"/>
                <w:szCs w:val="24"/>
              </w:rPr>
              <w:t>A</w:t>
            </w:r>
          </w:p>
        </w:tc>
        <w:tc>
          <w:tcPr>
            <w:tcW w:w="2880" w:type="dxa"/>
            <w:tcBorders>
              <w:top w:val="thickThinSmallGap" w:sz="24" w:space="0" w:color="auto"/>
            </w:tcBorders>
          </w:tcPr>
          <w:p w14:paraId="5787A4BB" w14:textId="77777777" w:rsidR="00ED72CF" w:rsidRPr="003515D6" w:rsidRDefault="00ED72CF" w:rsidP="008C2C42">
            <w:pPr>
              <w:spacing w:after="0" w:line="360" w:lineRule="auto"/>
              <w:rPr>
                <w:rFonts w:cs="Arial"/>
                <w:sz w:val="24"/>
                <w:szCs w:val="24"/>
              </w:rPr>
            </w:pPr>
            <w:r w:rsidRPr="003515D6">
              <w:rPr>
                <w:rFonts w:cs="Arial"/>
                <w:sz w:val="24"/>
                <w:szCs w:val="24"/>
              </w:rPr>
              <w:t>43.46</w:t>
            </w:r>
          </w:p>
        </w:tc>
        <w:tc>
          <w:tcPr>
            <w:tcW w:w="2880" w:type="dxa"/>
            <w:tcBorders>
              <w:top w:val="thickThinSmallGap" w:sz="24" w:space="0" w:color="auto"/>
            </w:tcBorders>
          </w:tcPr>
          <w:p w14:paraId="09C77F2A" w14:textId="77777777" w:rsidR="00ED72CF" w:rsidRPr="003515D6" w:rsidRDefault="00ED72CF" w:rsidP="008C2C42">
            <w:pPr>
              <w:spacing w:after="0" w:line="360" w:lineRule="auto"/>
              <w:rPr>
                <w:rFonts w:cs="Arial"/>
                <w:sz w:val="24"/>
                <w:szCs w:val="24"/>
              </w:rPr>
            </w:pPr>
            <w:r w:rsidRPr="003515D6">
              <w:rPr>
                <w:rFonts w:cs="Arial"/>
                <w:sz w:val="24"/>
                <w:szCs w:val="24"/>
              </w:rPr>
              <w:t>0.87</w:t>
            </w:r>
          </w:p>
        </w:tc>
      </w:tr>
      <w:tr w:rsidR="00ED72CF" w:rsidRPr="003515D6" w14:paraId="57534517" w14:textId="77777777" w:rsidTr="008C2C42">
        <w:tc>
          <w:tcPr>
            <w:tcW w:w="2880" w:type="dxa"/>
          </w:tcPr>
          <w:p w14:paraId="7C7080B6" w14:textId="77777777" w:rsidR="00ED72CF" w:rsidRPr="003515D6" w:rsidRDefault="00ED72CF" w:rsidP="008C2C42">
            <w:pPr>
              <w:spacing w:after="0" w:line="360" w:lineRule="auto"/>
              <w:rPr>
                <w:rFonts w:cs="Arial"/>
                <w:sz w:val="24"/>
                <w:szCs w:val="24"/>
              </w:rPr>
            </w:pPr>
            <w:r w:rsidRPr="003515D6">
              <w:rPr>
                <w:rFonts w:cs="Arial"/>
                <w:sz w:val="24"/>
                <w:szCs w:val="24"/>
              </w:rPr>
              <w:t>B</w:t>
            </w:r>
          </w:p>
        </w:tc>
        <w:tc>
          <w:tcPr>
            <w:tcW w:w="2880" w:type="dxa"/>
          </w:tcPr>
          <w:p w14:paraId="0306CD4B" w14:textId="77777777" w:rsidR="00ED72CF" w:rsidRPr="003515D6" w:rsidRDefault="00ED72CF" w:rsidP="008C2C42">
            <w:pPr>
              <w:spacing w:after="0" w:line="360" w:lineRule="auto"/>
              <w:rPr>
                <w:rFonts w:cs="Arial"/>
                <w:sz w:val="24"/>
                <w:szCs w:val="24"/>
              </w:rPr>
            </w:pPr>
            <w:r w:rsidRPr="003515D6">
              <w:rPr>
                <w:rFonts w:cs="Arial"/>
                <w:sz w:val="24"/>
                <w:szCs w:val="24"/>
              </w:rPr>
              <w:t>43.92</w:t>
            </w:r>
          </w:p>
        </w:tc>
        <w:tc>
          <w:tcPr>
            <w:tcW w:w="2880" w:type="dxa"/>
          </w:tcPr>
          <w:p w14:paraId="36FE5D6F" w14:textId="77777777" w:rsidR="00ED72CF" w:rsidRPr="003515D6" w:rsidRDefault="00ED72CF" w:rsidP="008C2C42">
            <w:pPr>
              <w:spacing w:after="0" w:line="360" w:lineRule="auto"/>
              <w:rPr>
                <w:rFonts w:cs="Arial"/>
                <w:sz w:val="24"/>
                <w:szCs w:val="24"/>
              </w:rPr>
            </w:pPr>
            <w:r w:rsidRPr="003515D6">
              <w:rPr>
                <w:rFonts w:cs="Arial"/>
                <w:sz w:val="24"/>
                <w:szCs w:val="24"/>
              </w:rPr>
              <w:t>0.88</w:t>
            </w:r>
          </w:p>
        </w:tc>
      </w:tr>
      <w:tr w:rsidR="00ED72CF" w:rsidRPr="003515D6" w14:paraId="044702DF" w14:textId="77777777" w:rsidTr="008C2C42">
        <w:tc>
          <w:tcPr>
            <w:tcW w:w="2880" w:type="dxa"/>
            <w:tcBorders>
              <w:bottom w:val="thickThinSmallGap" w:sz="24" w:space="0" w:color="auto"/>
            </w:tcBorders>
          </w:tcPr>
          <w:p w14:paraId="308E6510" w14:textId="77777777" w:rsidR="00ED72CF" w:rsidRPr="003515D6" w:rsidRDefault="00ED72CF" w:rsidP="008C2C42">
            <w:pPr>
              <w:spacing w:after="0" w:line="360" w:lineRule="auto"/>
              <w:rPr>
                <w:rFonts w:cs="Arial"/>
                <w:sz w:val="24"/>
                <w:szCs w:val="24"/>
              </w:rPr>
            </w:pPr>
            <w:r w:rsidRPr="003515D6">
              <w:rPr>
                <w:rFonts w:cs="Arial"/>
                <w:sz w:val="24"/>
                <w:szCs w:val="24"/>
              </w:rPr>
              <w:t>C</w:t>
            </w:r>
          </w:p>
        </w:tc>
        <w:tc>
          <w:tcPr>
            <w:tcW w:w="2880" w:type="dxa"/>
            <w:tcBorders>
              <w:bottom w:val="thickThinSmallGap" w:sz="24" w:space="0" w:color="auto"/>
            </w:tcBorders>
          </w:tcPr>
          <w:p w14:paraId="61C7EB41" w14:textId="77777777" w:rsidR="00ED72CF" w:rsidRPr="003515D6" w:rsidRDefault="00ED72CF" w:rsidP="008C2C42">
            <w:pPr>
              <w:spacing w:after="0" w:line="360" w:lineRule="auto"/>
              <w:rPr>
                <w:rFonts w:cs="Arial"/>
                <w:sz w:val="24"/>
                <w:szCs w:val="24"/>
              </w:rPr>
            </w:pPr>
            <w:r w:rsidRPr="003515D6">
              <w:rPr>
                <w:rFonts w:cs="Arial"/>
                <w:sz w:val="24"/>
                <w:szCs w:val="24"/>
              </w:rPr>
              <w:t>50.86</w:t>
            </w:r>
          </w:p>
        </w:tc>
        <w:tc>
          <w:tcPr>
            <w:tcW w:w="2880" w:type="dxa"/>
            <w:tcBorders>
              <w:bottom w:val="thickThinSmallGap" w:sz="24" w:space="0" w:color="auto"/>
            </w:tcBorders>
          </w:tcPr>
          <w:p w14:paraId="4D9911A7" w14:textId="77777777" w:rsidR="00ED72CF" w:rsidRPr="003515D6" w:rsidRDefault="00ED72CF" w:rsidP="008C2C42">
            <w:pPr>
              <w:spacing w:after="0" w:line="360" w:lineRule="auto"/>
              <w:rPr>
                <w:rFonts w:cs="Arial"/>
                <w:sz w:val="24"/>
                <w:szCs w:val="24"/>
              </w:rPr>
            </w:pPr>
            <w:r w:rsidRPr="003515D6">
              <w:rPr>
                <w:rFonts w:cs="Arial"/>
                <w:sz w:val="24"/>
                <w:szCs w:val="24"/>
              </w:rPr>
              <w:t>1.02</w:t>
            </w:r>
          </w:p>
        </w:tc>
      </w:tr>
      <w:bookmarkEnd w:id="9"/>
    </w:tbl>
    <w:p w14:paraId="3345D844" w14:textId="77777777" w:rsidR="00ED72CF" w:rsidRDefault="00ED72CF" w:rsidP="00ED72CF">
      <w:pPr>
        <w:spacing w:after="0" w:line="360" w:lineRule="auto"/>
        <w:rPr>
          <w:rFonts w:cs="Arial"/>
          <w:sz w:val="24"/>
          <w:szCs w:val="24"/>
        </w:rPr>
      </w:pPr>
    </w:p>
    <w:p w14:paraId="19866579" w14:textId="77777777" w:rsidR="00ED72CF" w:rsidRPr="003515D6" w:rsidRDefault="00ED72CF" w:rsidP="00ED72CF">
      <w:pPr>
        <w:spacing w:after="0" w:line="360" w:lineRule="auto"/>
        <w:rPr>
          <w:rFonts w:cs="Arial"/>
          <w:b/>
          <w:bCs/>
          <w:sz w:val="24"/>
          <w:szCs w:val="24"/>
        </w:rPr>
      </w:pPr>
      <w:r w:rsidRPr="003515D6">
        <w:rPr>
          <w:rFonts w:cs="Arial"/>
          <w:sz w:val="24"/>
          <w:szCs w:val="24"/>
        </w:rPr>
        <w:t>4.f Internal Rate of Return</w:t>
      </w:r>
    </w:p>
    <w:p w14:paraId="53EF9258" w14:textId="77777777" w:rsidR="00ED72CF" w:rsidRPr="003515D6" w:rsidRDefault="00ED72CF" w:rsidP="00ED72CF">
      <w:pPr>
        <w:spacing w:after="0" w:line="360" w:lineRule="auto"/>
        <w:rPr>
          <w:rFonts w:cs="Arial"/>
          <w:sz w:val="24"/>
          <w:szCs w:val="24"/>
        </w:rPr>
      </w:pPr>
      <w:r w:rsidRPr="003515D6">
        <w:rPr>
          <w:rFonts w:cs="Arial"/>
          <w:sz w:val="24"/>
          <w:szCs w:val="24"/>
        </w:rPr>
        <w:t>The IRR is the discount rate at which NPV = 0.</w:t>
      </w:r>
    </w:p>
    <w:p w14:paraId="28CE2D6F" w14:textId="77777777" w:rsidR="00ED72CF" w:rsidRPr="003515D6" w:rsidRDefault="00ED72CF" w:rsidP="00ED72CF">
      <w:pPr>
        <w:spacing w:after="0" w:line="360" w:lineRule="auto"/>
        <w:rPr>
          <w:rFonts w:cs="Arial"/>
          <w:sz w:val="24"/>
          <w:szCs w:val="24"/>
        </w:rPr>
      </w:pPr>
      <w:r w:rsidRPr="003515D6">
        <w:rPr>
          <w:rFonts w:cs="Arial"/>
          <w:sz w:val="24"/>
          <w:szCs w:val="24"/>
        </w:rPr>
        <w:t>Approximate results:</w:t>
      </w:r>
    </w:p>
    <w:tbl>
      <w:tblPr>
        <w:tblW w:w="0" w:type="auto"/>
        <w:tblLook w:val="04A0" w:firstRow="1" w:lastRow="0" w:firstColumn="1" w:lastColumn="0" w:noHBand="0" w:noVBand="1"/>
      </w:tblPr>
      <w:tblGrid>
        <w:gridCol w:w="4320"/>
        <w:gridCol w:w="4320"/>
      </w:tblGrid>
      <w:tr w:rsidR="00ED72CF" w:rsidRPr="003515D6" w14:paraId="113D7BFE" w14:textId="77777777" w:rsidTr="008C2C42">
        <w:tc>
          <w:tcPr>
            <w:tcW w:w="4320" w:type="dxa"/>
            <w:tcBorders>
              <w:top w:val="thinThickSmallGap" w:sz="24" w:space="0" w:color="auto"/>
              <w:bottom w:val="thickThinSmallGap" w:sz="24" w:space="0" w:color="auto"/>
            </w:tcBorders>
          </w:tcPr>
          <w:p w14:paraId="08B1D1A5" w14:textId="77777777" w:rsidR="00ED72CF" w:rsidRPr="003515D6" w:rsidRDefault="00ED72CF" w:rsidP="008C2C42">
            <w:pPr>
              <w:spacing w:after="0" w:line="360" w:lineRule="auto"/>
              <w:rPr>
                <w:rFonts w:cs="Arial"/>
                <w:sz w:val="24"/>
                <w:szCs w:val="24"/>
              </w:rPr>
            </w:pPr>
            <w:bookmarkStart w:id="10" w:name="_Hlk237260738"/>
            <w:r w:rsidRPr="003515D6">
              <w:rPr>
                <w:rFonts w:cs="Arial"/>
                <w:sz w:val="24"/>
                <w:szCs w:val="24"/>
              </w:rPr>
              <w:t>Project</w:t>
            </w:r>
          </w:p>
        </w:tc>
        <w:tc>
          <w:tcPr>
            <w:tcW w:w="4320" w:type="dxa"/>
            <w:tcBorders>
              <w:top w:val="thinThickSmallGap" w:sz="24" w:space="0" w:color="auto"/>
              <w:bottom w:val="thickThinSmallGap" w:sz="24" w:space="0" w:color="auto"/>
            </w:tcBorders>
          </w:tcPr>
          <w:p w14:paraId="28C46402" w14:textId="77777777" w:rsidR="00ED72CF" w:rsidRPr="003515D6" w:rsidRDefault="00ED72CF" w:rsidP="008C2C42">
            <w:pPr>
              <w:spacing w:after="0" w:line="360" w:lineRule="auto"/>
              <w:rPr>
                <w:rFonts w:cs="Arial"/>
                <w:sz w:val="24"/>
                <w:szCs w:val="24"/>
              </w:rPr>
            </w:pPr>
            <w:r w:rsidRPr="003515D6">
              <w:rPr>
                <w:rFonts w:cs="Arial"/>
                <w:sz w:val="24"/>
                <w:szCs w:val="24"/>
              </w:rPr>
              <w:t>IRR</w:t>
            </w:r>
          </w:p>
        </w:tc>
      </w:tr>
      <w:tr w:rsidR="00ED72CF" w:rsidRPr="003515D6" w14:paraId="444EDC49" w14:textId="77777777" w:rsidTr="008C2C42">
        <w:tc>
          <w:tcPr>
            <w:tcW w:w="4320" w:type="dxa"/>
            <w:tcBorders>
              <w:top w:val="thickThinSmallGap" w:sz="24" w:space="0" w:color="auto"/>
            </w:tcBorders>
          </w:tcPr>
          <w:p w14:paraId="7ECA7BE3" w14:textId="77777777" w:rsidR="00ED72CF" w:rsidRPr="003515D6" w:rsidRDefault="00ED72CF" w:rsidP="008C2C42">
            <w:pPr>
              <w:spacing w:after="0" w:line="360" w:lineRule="auto"/>
              <w:rPr>
                <w:rFonts w:cs="Arial"/>
                <w:sz w:val="24"/>
                <w:szCs w:val="24"/>
              </w:rPr>
            </w:pPr>
            <w:r w:rsidRPr="003515D6">
              <w:rPr>
                <w:rFonts w:cs="Arial"/>
                <w:sz w:val="24"/>
                <w:szCs w:val="24"/>
              </w:rPr>
              <w:t>A</w:t>
            </w:r>
          </w:p>
        </w:tc>
        <w:tc>
          <w:tcPr>
            <w:tcW w:w="4320" w:type="dxa"/>
            <w:tcBorders>
              <w:top w:val="thickThinSmallGap" w:sz="24" w:space="0" w:color="auto"/>
            </w:tcBorders>
          </w:tcPr>
          <w:p w14:paraId="38FFB1A5" w14:textId="77777777" w:rsidR="00ED72CF" w:rsidRPr="003515D6" w:rsidRDefault="00ED72CF" w:rsidP="008C2C42">
            <w:pPr>
              <w:spacing w:after="0" w:line="360" w:lineRule="auto"/>
              <w:rPr>
                <w:rFonts w:cs="Arial"/>
                <w:sz w:val="24"/>
                <w:szCs w:val="24"/>
              </w:rPr>
            </w:pPr>
            <w:r w:rsidRPr="003515D6">
              <w:rPr>
                <w:rFonts w:cs="Arial"/>
                <w:sz w:val="24"/>
                <w:szCs w:val="24"/>
              </w:rPr>
              <w:t>~2.9%</w:t>
            </w:r>
          </w:p>
        </w:tc>
      </w:tr>
      <w:tr w:rsidR="00ED72CF" w:rsidRPr="003515D6" w14:paraId="2A491358" w14:textId="77777777" w:rsidTr="008C2C42">
        <w:tc>
          <w:tcPr>
            <w:tcW w:w="4320" w:type="dxa"/>
          </w:tcPr>
          <w:p w14:paraId="2065B217" w14:textId="77777777" w:rsidR="00ED72CF" w:rsidRPr="003515D6" w:rsidRDefault="00ED72CF" w:rsidP="008C2C42">
            <w:pPr>
              <w:spacing w:after="0" w:line="360" w:lineRule="auto"/>
              <w:rPr>
                <w:rFonts w:cs="Arial"/>
                <w:sz w:val="24"/>
                <w:szCs w:val="24"/>
              </w:rPr>
            </w:pPr>
            <w:r w:rsidRPr="003515D6">
              <w:rPr>
                <w:rFonts w:cs="Arial"/>
                <w:sz w:val="24"/>
                <w:szCs w:val="24"/>
              </w:rPr>
              <w:t>B</w:t>
            </w:r>
          </w:p>
        </w:tc>
        <w:tc>
          <w:tcPr>
            <w:tcW w:w="4320" w:type="dxa"/>
          </w:tcPr>
          <w:p w14:paraId="786DE076" w14:textId="77777777" w:rsidR="00ED72CF" w:rsidRPr="003515D6" w:rsidRDefault="00ED72CF" w:rsidP="008C2C42">
            <w:pPr>
              <w:spacing w:after="0" w:line="360" w:lineRule="auto"/>
              <w:rPr>
                <w:rFonts w:cs="Arial"/>
                <w:sz w:val="24"/>
                <w:szCs w:val="24"/>
              </w:rPr>
            </w:pPr>
            <w:r w:rsidRPr="003515D6">
              <w:rPr>
                <w:rFonts w:cs="Arial"/>
                <w:sz w:val="24"/>
                <w:szCs w:val="24"/>
              </w:rPr>
              <w:t>~1.9%</w:t>
            </w:r>
          </w:p>
        </w:tc>
      </w:tr>
      <w:tr w:rsidR="00ED72CF" w:rsidRPr="003515D6" w14:paraId="3D347283" w14:textId="77777777" w:rsidTr="008C2C42">
        <w:tc>
          <w:tcPr>
            <w:tcW w:w="4320" w:type="dxa"/>
            <w:tcBorders>
              <w:bottom w:val="thickThinSmallGap" w:sz="24" w:space="0" w:color="auto"/>
            </w:tcBorders>
          </w:tcPr>
          <w:p w14:paraId="5077CFD7" w14:textId="77777777" w:rsidR="00ED72CF" w:rsidRPr="003515D6" w:rsidRDefault="00ED72CF" w:rsidP="008C2C42">
            <w:pPr>
              <w:spacing w:after="0" w:line="360" w:lineRule="auto"/>
              <w:rPr>
                <w:rFonts w:cs="Arial"/>
                <w:sz w:val="24"/>
                <w:szCs w:val="24"/>
              </w:rPr>
            </w:pPr>
            <w:r w:rsidRPr="003515D6">
              <w:rPr>
                <w:rFonts w:cs="Arial"/>
                <w:sz w:val="24"/>
                <w:szCs w:val="24"/>
              </w:rPr>
              <w:t>C</w:t>
            </w:r>
          </w:p>
        </w:tc>
        <w:tc>
          <w:tcPr>
            <w:tcW w:w="4320" w:type="dxa"/>
            <w:tcBorders>
              <w:bottom w:val="thickThinSmallGap" w:sz="24" w:space="0" w:color="auto"/>
            </w:tcBorders>
          </w:tcPr>
          <w:p w14:paraId="1F6D3FC7" w14:textId="77777777" w:rsidR="00ED72CF" w:rsidRPr="003515D6" w:rsidRDefault="00ED72CF" w:rsidP="008C2C42">
            <w:pPr>
              <w:spacing w:after="0" w:line="360" w:lineRule="auto"/>
              <w:rPr>
                <w:rFonts w:cs="Arial"/>
                <w:sz w:val="24"/>
                <w:szCs w:val="24"/>
              </w:rPr>
            </w:pPr>
            <w:r w:rsidRPr="003515D6">
              <w:rPr>
                <w:rFonts w:cs="Arial"/>
                <w:sz w:val="24"/>
                <w:szCs w:val="24"/>
              </w:rPr>
              <w:t>~8.6%</w:t>
            </w:r>
          </w:p>
        </w:tc>
      </w:tr>
      <w:bookmarkEnd w:id="10"/>
    </w:tbl>
    <w:p w14:paraId="2019CE6E" w14:textId="77777777" w:rsidR="00ED72CF" w:rsidRDefault="00ED72CF" w:rsidP="00ED72CF">
      <w:pPr>
        <w:spacing w:after="0" w:line="360" w:lineRule="auto"/>
        <w:rPr>
          <w:rFonts w:cs="Arial"/>
          <w:b/>
          <w:bCs/>
          <w:sz w:val="24"/>
          <w:szCs w:val="24"/>
          <w:u w:val="single"/>
        </w:rPr>
      </w:pPr>
    </w:p>
    <w:p w14:paraId="2DDB3CD0" w14:textId="77777777" w:rsidR="00ED72CF" w:rsidRPr="00C236AD" w:rsidRDefault="00ED72CF" w:rsidP="00C236AD">
      <w:pPr>
        <w:spacing w:after="0" w:line="360" w:lineRule="auto"/>
        <w:jc w:val="both"/>
        <w:rPr>
          <w:rFonts w:cs="Arial"/>
          <w:sz w:val="24"/>
          <w:szCs w:val="24"/>
          <w:lang w:val="en-GB"/>
        </w:rPr>
      </w:pPr>
    </w:p>
    <w:sectPr w:rsidR="00ED72CF" w:rsidRPr="00C236A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enumros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enumros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epuces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epuces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enumros"/>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epuces"/>
      <w:lvlText w:val=""/>
      <w:lvlJc w:val="left"/>
      <w:pPr>
        <w:tabs>
          <w:tab w:val="num" w:pos="360"/>
        </w:tabs>
        <w:ind w:left="360" w:hanging="360"/>
      </w:pPr>
      <w:rPr>
        <w:rFonts w:ascii="Symbol" w:hAnsi="Symbol" w:hint="default"/>
      </w:rPr>
    </w:lvl>
  </w:abstractNum>
  <w:abstractNum w:abstractNumId="9" w15:restartNumberingAfterBreak="0">
    <w:nsid w:val="07184A8D"/>
    <w:multiLevelType w:val="multilevel"/>
    <w:tmpl w:val="7C4C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DA4B6A"/>
    <w:multiLevelType w:val="multilevel"/>
    <w:tmpl w:val="DBA6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1753AE"/>
    <w:multiLevelType w:val="multilevel"/>
    <w:tmpl w:val="E17AC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F542C6D"/>
    <w:multiLevelType w:val="multilevel"/>
    <w:tmpl w:val="FD147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5C01BF"/>
    <w:multiLevelType w:val="multilevel"/>
    <w:tmpl w:val="34A2A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C81BEC"/>
    <w:multiLevelType w:val="multilevel"/>
    <w:tmpl w:val="B2107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356E0F"/>
    <w:multiLevelType w:val="multilevel"/>
    <w:tmpl w:val="1A384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1B7B8B"/>
    <w:multiLevelType w:val="multilevel"/>
    <w:tmpl w:val="980A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1035DD"/>
    <w:multiLevelType w:val="multilevel"/>
    <w:tmpl w:val="5564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E60050"/>
    <w:multiLevelType w:val="multilevel"/>
    <w:tmpl w:val="6458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664738"/>
    <w:multiLevelType w:val="multilevel"/>
    <w:tmpl w:val="EE4A2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B57054"/>
    <w:multiLevelType w:val="multilevel"/>
    <w:tmpl w:val="4EA8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360106"/>
    <w:multiLevelType w:val="multilevel"/>
    <w:tmpl w:val="D30C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2F1106"/>
    <w:multiLevelType w:val="multilevel"/>
    <w:tmpl w:val="8D206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2D438F"/>
    <w:multiLevelType w:val="multilevel"/>
    <w:tmpl w:val="EED0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C27A17"/>
    <w:multiLevelType w:val="multilevel"/>
    <w:tmpl w:val="22E05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A1748F"/>
    <w:multiLevelType w:val="multilevel"/>
    <w:tmpl w:val="D2803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7C33EF"/>
    <w:multiLevelType w:val="multilevel"/>
    <w:tmpl w:val="3D36B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47224A"/>
    <w:multiLevelType w:val="multilevel"/>
    <w:tmpl w:val="5FFC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9A1DBA"/>
    <w:multiLevelType w:val="multilevel"/>
    <w:tmpl w:val="201AC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B71870"/>
    <w:multiLevelType w:val="multilevel"/>
    <w:tmpl w:val="8AE2A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9B1EDA"/>
    <w:multiLevelType w:val="multilevel"/>
    <w:tmpl w:val="7D349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34731A"/>
    <w:multiLevelType w:val="multilevel"/>
    <w:tmpl w:val="F46A0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FD2EE1"/>
    <w:multiLevelType w:val="multilevel"/>
    <w:tmpl w:val="3030F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E372FE"/>
    <w:multiLevelType w:val="multilevel"/>
    <w:tmpl w:val="9D761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9A0C1D"/>
    <w:multiLevelType w:val="multilevel"/>
    <w:tmpl w:val="B5A4E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4572729">
    <w:abstractNumId w:val="8"/>
  </w:num>
  <w:num w:numId="2" w16cid:durableId="1329745000">
    <w:abstractNumId w:val="6"/>
  </w:num>
  <w:num w:numId="3" w16cid:durableId="310015710">
    <w:abstractNumId w:val="5"/>
  </w:num>
  <w:num w:numId="4" w16cid:durableId="1978144194">
    <w:abstractNumId w:val="4"/>
  </w:num>
  <w:num w:numId="5" w16cid:durableId="1554660046">
    <w:abstractNumId w:val="7"/>
  </w:num>
  <w:num w:numId="6" w16cid:durableId="275329685">
    <w:abstractNumId w:val="3"/>
  </w:num>
  <w:num w:numId="7" w16cid:durableId="535704238">
    <w:abstractNumId w:val="2"/>
  </w:num>
  <w:num w:numId="8" w16cid:durableId="1187909744">
    <w:abstractNumId w:val="1"/>
  </w:num>
  <w:num w:numId="9" w16cid:durableId="518197356">
    <w:abstractNumId w:val="0"/>
  </w:num>
  <w:num w:numId="10" w16cid:durableId="1005667273">
    <w:abstractNumId w:val="33"/>
  </w:num>
  <w:num w:numId="11" w16cid:durableId="521553952">
    <w:abstractNumId w:val="25"/>
  </w:num>
  <w:num w:numId="12" w16cid:durableId="1511215435">
    <w:abstractNumId w:val="31"/>
  </w:num>
  <w:num w:numId="13" w16cid:durableId="384986319">
    <w:abstractNumId w:val="23"/>
  </w:num>
  <w:num w:numId="14" w16cid:durableId="1531869746">
    <w:abstractNumId w:val="30"/>
  </w:num>
  <w:num w:numId="15" w16cid:durableId="1912620716">
    <w:abstractNumId w:val="27"/>
  </w:num>
  <w:num w:numId="16" w16cid:durableId="504170847">
    <w:abstractNumId w:val="12"/>
  </w:num>
  <w:num w:numId="17" w16cid:durableId="1025406673">
    <w:abstractNumId w:val="22"/>
  </w:num>
  <w:num w:numId="18" w16cid:durableId="1539778330">
    <w:abstractNumId w:val="26"/>
  </w:num>
  <w:num w:numId="19" w16cid:durableId="1190266892">
    <w:abstractNumId w:val="15"/>
  </w:num>
  <w:num w:numId="20" w16cid:durableId="147327184">
    <w:abstractNumId w:val="21"/>
  </w:num>
  <w:num w:numId="21" w16cid:durableId="1154762830">
    <w:abstractNumId w:val="19"/>
  </w:num>
  <w:num w:numId="22" w16cid:durableId="1933590350">
    <w:abstractNumId w:val="11"/>
  </w:num>
  <w:num w:numId="23" w16cid:durableId="823862020">
    <w:abstractNumId w:val="17"/>
  </w:num>
  <w:num w:numId="24" w16cid:durableId="187836976">
    <w:abstractNumId w:val="28"/>
  </w:num>
  <w:num w:numId="25" w16cid:durableId="1820269996">
    <w:abstractNumId w:val="34"/>
  </w:num>
  <w:num w:numId="26" w16cid:durableId="447360434">
    <w:abstractNumId w:val="9"/>
  </w:num>
  <w:num w:numId="27" w16cid:durableId="933244083">
    <w:abstractNumId w:val="24"/>
  </w:num>
  <w:num w:numId="28" w16cid:durableId="252711880">
    <w:abstractNumId w:val="10"/>
  </w:num>
  <w:num w:numId="29" w16cid:durableId="653219465">
    <w:abstractNumId w:val="14"/>
  </w:num>
  <w:num w:numId="30" w16cid:durableId="1031031969">
    <w:abstractNumId w:val="16"/>
  </w:num>
  <w:num w:numId="31" w16cid:durableId="1879009533">
    <w:abstractNumId w:val="20"/>
  </w:num>
  <w:num w:numId="32" w16cid:durableId="1853638929">
    <w:abstractNumId w:val="29"/>
  </w:num>
  <w:num w:numId="33" w16cid:durableId="504054112">
    <w:abstractNumId w:val="13"/>
  </w:num>
  <w:num w:numId="34" w16cid:durableId="1872836561">
    <w:abstractNumId w:val="18"/>
  </w:num>
  <w:num w:numId="35" w16cid:durableId="164025738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6117"/>
    <w:rsid w:val="0003016E"/>
    <w:rsid w:val="00034616"/>
    <w:rsid w:val="000410EA"/>
    <w:rsid w:val="0004661A"/>
    <w:rsid w:val="00057D9C"/>
    <w:rsid w:val="0006063C"/>
    <w:rsid w:val="000A1193"/>
    <w:rsid w:val="000A235B"/>
    <w:rsid w:val="000A5C29"/>
    <w:rsid w:val="000D13C8"/>
    <w:rsid w:val="0011236F"/>
    <w:rsid w:val="0013798C"/>
    <w:rsid w:val="00146F44"/>
    <w:rsid w:val="0014716F"/>
    <w:rsid w:val="0015074B"/>
    <w:rsid w:val="001A2755"/>
    <w:rsid w:val="00247F27"/>
    <w:rsid w:val="00256533"/>
    <w:rsid w:val="0029639D"/>
    <w:rsid w:val="002A7575"/>
    <w:rsid w:val="002B09F5"/>
    <w:rsid w:val="002C7A45"/>
    <w:rsid w:val="003050A6"/>
    <w:rsid w:val="00326F90"/>
    <w:rsid w:val="003515D6"/>
    <w:rsid w:val="003645A6"/>
    <w:rsid w:val="00386400"/>
    <w:rsid w:val="00386588"/>
    <w:rsid w:val="003E59E5"/>
    <w:rsid w:val="00404BAB"/>
    <w:rsid w:val="00411E55"/>
    <w:rsid w:val="004264CC"/>
    <w:rsid w:val="00434CE2"/>
    <w:rsid w:val="00455722"/>
    <w:rsid w:val="00473CFA"/>
    <w:rsid w:val="00484D33"/>
    <w:rsid w:val="004A4D3E"/>
    <w:rsid w:val="004B1CB3"/>
    <w:rsid w:val="004B6D9E"/>
    <w:rsid w:val="004F2951"/>
    <w:rsid w:val="004F5F19"/>
    <w:rsid w:val="00506BBB"/>
    <w:rsid w:val="00511F12"/>
    <w:rsid w:val="00533B71"/>
    <w:rsid w:val="005816E8"/>
    <w:rsid w:val="005A6E2C"/>
    <w:rsid w:val="005C72E4"/>
    <w:rsid w:val="005F375F"/>
    <w:rsid w:val="006073AE"/>
    <w:rsid w:val="00636E9B"/>
    <w:rsid w:val="00674BAF"/>
    <w:rsid w:val="006C417D"/>
    <w:rsid w:val="00710F26"/>
    <w:rsid w:val="0072128D"/>
    <w:rsid w:val="00733373"/>
    <w:rsid w:val="007369F2"/>
    <w:rsid w:val="007A01C8"/>
    <w:rsid w:val="008322A1"/>
    <w:rsid w:val="00861346"/>
    <w:rsid w:val="008719B4"/>
    <w:rsid w:val="008B27CF"/>
    <w:rsid w:val="008C5408"/>
    <w:rsid w:val="008F42DF"/>
    <w:rsid w:val="00944AE4"/>
    <w:rsid w:val="00951357"/>
    <w:rsid w:val="00967C62"/>
    <w:rsid w:val="009A0B65"/>
    <w:rsid w:val="009B1055"/>
    <w:rsid w:val="009E3A96"/>
    <w:rsid w:val="009E4F4D"/>
    <w:rsid w:val="00A25752"/>
    <w:rsid w:val="00A26AB5"/>
    <w:rsid w:val="00AA1D8D"/>
    <w:rsid w:val="00AE27C2"/>
    <w:rsid w:val="00B36458"/>
    <w:rsid w:val="00B42BA8"/>
    <w:rsid w:val="00B47730"/>
    <w:rsid w:val="00B87EFB"/>
    <w:rsid w:val="00BC2EE0"/>
    <w:rsid w:val="00BC323F"/>
    <w:rsid w:val="00C236AD"/>
    <w:rsid w:val="00C52884"/>
    <w:rsid w:val="00C76711"/>
    <w:rsid w:val="00CB0664"/>
    <w:rsid w:val="00CD7E93"/>
    <w:rsid w:val="00D27D58"/>
    <w:rsid w:val="00D5132E"/>
    <w:rsid w:val="00D5494A"/>
    <w:rsid w:val="00D862BB"/>
    <w:rsid w:val="00DC16E4"/>
    <w:rsid w:val="00E051F9"/>
    <w:rsid w:val="00E22B2C"/>
    <w:rsid w:val="00E241C5"/>
    <w:rsid w:val="00E328F7"/>
    <w:rsid w:val="00E35811"/>
    <w:rsid w:val="00E51DFA"/>
    <w:rsid w:val="00E51EFF"/>
    <w:rsid w:val="00E67A6B"/>
    <w:rsid w:val="00EB716E"/>
    <w:rsid w:val="00ED72CF"/>
    <w:rsid w:val="00EE06A0"/>
    <w:rsid w:val="00EE0E63"/>
    <w:rsid w:val="00F02EE4"/>
    <w:rsid w:val="00F10A93"/>
    <w:rsid w:val="00F147C3"/>
    <w:rsid w:val="00F62996"/>
    <w:rsid w:val="00F9461B"/>
    <w:rsid w:val="00FA793B"/>
    <w:rsid w:val="00FB132B"/>
    <w:rsid w:val="00FC693F"/>
    <w:rsid w:val="00FD5F4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80BB87"/>
  <w14:defaultImageDpi w14:val="300"/>
  <w15:docId w15:val="{04AC3D8B-707A-4769-BFD4-B615AE11F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Titre1">
    <w:name w:val="heading 1"/>
    <w:basedOn w:val="Normal"/>
    <w:next w:val="Normal"/>
    <w:link w:val="Titre1C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re3">
    <w:name w:val="heading 3"/>
    <w:basedOn w:val="Normal"/>
    <w:next w:val="Normal"/>
    <w:link w:val="Titre3C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re4">
    <w:name w:val="heading 4"/>
    <w:basedOn w:val="Normal"/>
    <w:next w:val="Normal"/>
    <w:link w:val="Titre4C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re5">
    <w:name w:val="heading 5"/>
    <w:basedOn w:val="Normal"/>
    <w:next w:val="Normal"/>
    <w:link w:val="Titre5C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re6">
    <w:name w:val="heading 6"/>
    <w:basedOn w:val="Normal"/>
    <w:next w:val="Normal"/>
    <w:link w:val="Titre6C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re7">
    <w:name w:val="heading 7"/>
    <w:basedOn w:val="Normal"/>
    <w:next w:val="Normal"/>
    <w:link w:val="Titre7C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re8">
    <w:name w:val="heading 8"/>
    <w:basedOn w:val="Normal"/>
    <w:next w:val="Normal"/>
    <w:link w:val="Titre8C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re9">
    <w:name w:val="heading 9"/>
    <w:basedOn w:val="Normal"/>
    <w:next w:val="Normal"/>
    <w:link w:val="Titre9C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E618BF"/>
    <w:pPr>
      <w:tabs>
        <w:tab w:val="center" w:pos="4680"/>
        <w:tab w:val="right" w:pos="9360"/>
      </w:tabs>
      <w:spacing w:after="0" w:line="240" w:lineRule="auto"/>
    </w:pPr>
  </w:style>
  <w:style w:type="character" w:customStyle="1" w:styleId="En-tteCar">
    <w:name w:val="En-tête Car"/>
    <w:basedOn w:val="Policepardfaut"/>
    <w:link w:val="En-tte"/>
    <w:uiPriority w:val="99"/>
    <w:rsid w:val="00E618BF"/>
  </w:style>
  <w:style w:type="paragraph" w:styleId="Pieddepage">
    <w:name w:val="footer"/>
    <w:basedOn w:val="Normal"/>
    <w:link w:val="PieddepageCar"/>
    <w:uiPriority w:val="99"/>
    <w:unhideWhenUsed/>
    <w:rsid w:val="00E618BF"/>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E618BF"/>
  </w:style>
  <w:style w:type="paragraph" w:styleId="Sansinterligne">
    <w:name w:val="No Spacing"/>
    <w:uiPriority w:val="1"/>
    <w:qFormat/>
    <w:rsid w:val="00FC693F"/>
    <w:pPr>
      <w:spacing w:after="0" w:line="240" w:lineRule="auto"/>
    </w:pPr>
  </w:style>
  <w:style w:type="character" w:customStyle="1" w:styleId="Titre1Car">
    <w:name w:val="Titre 1 Car"/>
    <w:basedOn w:val="Policepardfaut"/>
    <w:link w:val="Titre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re2Car">
    <w:name w:val="Titre 2 Car"/>
    <w:basedOn w:val="Policepardfaut"/>
    <w:link w:val="Titre2"/>
    <w:uiPriority w:val="9"/>
    <w:rsid w:val="00FC693F"/>
    <w:rPr>
      <w:rFonts w:asciiTheme="majorHAnsi" w:eastAsiaTheme="majorEastAsia" w:hAnsiTheme="majorHAnsi" w:cstheme="majorBidi"/>
      <w:b/>
      <w:bCs/>
      <w:color w:val="4F81BD" w:themeColor="accent1"/>
      <w:sz w:val="26"/>
      <w:szCs w:val="26"/>
    </w:rPr>
  </w:style>
  <w:style w:type="character" w:customStyle="1" w:styleId="Titre3Car">
    <w:name w:val="Titre 3 Car"/>
    <w:basedOn w:val="Policepardfaut"/>
    <w:link w:val="Titre3"/>
    <w:uiPriority w:val="9"/>
    <w:rsid w:val="00FC693F"/>
    <w:rPr>
      <w:rFonts w:asciiTheme="majorHAnsi" w:eastAsiaTheme="majorEastAsia" w:hAnsiTheme="majorHAnsi" w:cstheme="majorBidi"/>
      <w:b/>
      <w:bCs/>
      <w:color w:val="4F81BD" w:themeColor="accent1"/>
    </w:rPr>
  </w:style>
  <w:style w:type="paragraph" w:styleId="Titre">
    <w:name w:val="Title"/>
    <w:basedOn w:val="Normal"/>
    <w:next w:val="Normal"/>
    <w:link w:val="TitreC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reCar">
    <w:name w:val="Titre Car"/>
    <w:basedOn w:val="Policepardfaut"/>
    <w:link w:val="Titr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ous-titre">
    <w:name w:val="Subtitle"/>
    <w:basedOn w:val="Normal"/>
    <w:next w:val="Normal"/>
    <w:link w:val="Sous-titreC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ous-titreCar">
    <w:name w:val="Sous-titre Car"/>
    <w:basedOn w:val="Policepardfaut"/>
    <w:link w:val="Sous-titre"/>
    <w:uiPriority w:val="11"/>
    <w:rsid w:val="00FC693F"/>
    <w:rPr>
      <w:rFonts w:asciiTheme="majorHAnsi" w:eastAsiaTheme="majorEastAsia" w:hAnsiTheme="majorHAnsi" w:cstheme="majorBidi"/>
      <w:i/>
      <w:iCs/>
      <w:color w:val="4F81BD" w:themeColor="accent1"/>
      <w:spacing w:val="15"/>
      <w:sz w:val="24"/>
      <w:szCs w:val="24"/>
    </w:rPr>
  </w:style>
  <w:style w:type="paragraph" w:styleId="Paragraphedeliste">
    <w:name w:val="List Paragraph"/>
    <w:basedOn w:val="Normal"/>
    <w:uiPriority w:val="34"/>
    <w:qFormat/>
    <w:rsid w:val="00FC693F"/>
    <w:pPr>
      <w:ind w:left="720"/>
      <w:contextualSpacing/>
    </w:pPr>
  </w:style>
  <w:style w:type="paragraph" w:styleId="Corpsdetexte">
    <w:name w:val="Body Text"/>
    <w:basedOn w:val="Normal"/>
    <w:link w:val="CorpsdetexteCar"/>
    <w:uiPriority w:val="99"/>
    <w:unhideWhenUsed/>
    <w:rsid w:val="00AA1D8D"/>
    <w:pPr>
      <w:spacing w:after="120"/>
    </w:pPr>
  </w:style>
  <w:style w:type="character" w:customStyle="1" w:styleId="CorpsdetexteCar">
    <w:name w:val="Corps de texte Car"/>
    <w:basedOn w:val="Policepardfaut"/>
    <w:link w:val="Corpsdetexte"/>
    <w:uiPriority w:val="99"/>
    <w:rsid w:val="00AA1D8D"/>
  </w:style>
  <w:style w:type="paragraph" w:styleId="Corpsdetexte2">
    <w:name w:val="Body Text 2"/>
    <w:basedOn w:val="Normal"/>
    <w:link w:val="Corpsdetexte2Car"/>
    <w:uiPriority w:val="99"/>
    <w:unhideWhenUsed/>
    <w:rsid w:val="00AA1D8D"/>
    <w:pPr>
      <w:spacing w:after="120" w:line="480" w:lineRule="auto"/>
    </w:pPr>
  </w:style>
  <w:style w:type="character" w:customStyle="1" w:styleId="Corpsdetexte2Car">
    <w:name w:val="Corps de texte 2 Car"/>
    <w:basedOn w:val="Policepardfaut"/>
    <w:link w:val="Corpsdetexte2"/>
    <w:uiPriority w:val="99"/>
    <w:rsid w:val="00AA1D8D"/>
  </w:style>
  <w:style w:type="paragraph" w:styleId="Corpsdetexte3">
    <w:name w:val="Body Text 3"/>
    <w:basedOn w:val="Normal"/>
    <w:link w:val="Corpsdetexte3Car"/>
    <w:uiPriority w:val="99"/>
    <w:unhideWhenUsed/>
    <w:rsid w:val="00AA1D8D"/>
    <w:pPr>
      <w:spacing w:after="120"/>
    </w:pPr>
    <w:rPr>
      <w:sz w:val="16"/>
      <w:szCs w:val="16"/>
    </w:rPr>
  </w:style>
  <w:style w:type="character" w:customStyle="1" w:styleId="Corpsdetexte3Car">
    <w:name w:val="Corps de texte 3 Car"/>
    <w:basedOn w:val="Policepardfaut"/>
    <w:link w:val="Corpsdetexte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puces">
    <w:name w:val="List Bullet"/>
    <w:basedOn w:val="Normal"/>
    <w:uiPriority w:val="99"/>
    <w:unhideWhenUsed/>
    <w:rsid w:val="00326F90"/>
    <w:pPr>
      <w:numPr>
        <w:numId w:val="1"/>
      </w:numPr>
      <w:contextualSpacing/>
    </w:pPr>
  </w:style>
  <w:style w:type="paragraph" w:styleId="Listepuces2">
    <w:name w:val="List Bullet 2"/>
    <w:basedOn w:val="Normal"/>
    <w:uiPriority w:val="99"/>
    <w:unhideWhenUsed/>
    <w:rsid w:val="00326F90"/>
    <w:pPr>
      <w:numPr>
        <w:numId w:val="2"/>
      </w:numPr>
      <w:contextualSpacing/>
    </w:pPr>
  </w:style>
  <w:style w:type="paragraph" w:styleId="Listepuces3">
    <w:name w:val="List Bullet 3"/>
    <w:basedOn w:val="Normal"/>
    <w:uiPriority w:val="99"/>
    <w:unhideWhenUsed/>
    <w:rsid w:val="00326F90"/>
    <w:pPr>
      <w:numPr>
        <w:numId w:val="3"/>
      </w:numPr>
      <w:contextualSpacing/>
    </w:pPr>
  </w:style>
  <w:style w:type="paragraph" w:styleId="Listenumros">
    <w:name w:val="List Number"/>
    <w:basedOn w:val="Normal"/>
    <w:uiPriority w:val="99"/>
    <w:unhideWhenUsed/>
    <w:rsid w:val="00326F90"/>
    <w:pPr>
      <w:numPr>
        <w:numId w:val="5"/>
      </w:numPr>
      <w:contextualSpacing/>
    </w:pPr>
  </w:style>
  <w:style w:type="paragraph" w:styleId="Listenumros2">
    <w:name w:val="List Number 2"/>
    <w:basedOn w:val="Normal"/>
    <w:uiPriority w:val="99"/>
    <w:unhideWhenUsed/>
    <w:rsid w:val="0029639D"/>
    <w:pPr>
      <w:numPr>
        <w:numId w:val="6"/>
      </w:numPr>
      <w:contextualSpacing/>
    </w:pPr>
  </w:style>
  <w:style w:type="paragraph" w:styleId="Listenumros3">
    <w:name w:val="List Number 3"/>
    <w:basedOn w:val="Normal"/>
    <w:uiPriority w:val="99"/>
    <w:unhideWhenUsed/>
    <w:rsid w:val="0029639D"/>
    <w:pPr>
      <w:numPr>
        <w:numId w:val="7"/>
      </w:numPr>
      <w:contextualSpacing/>
    </w:pPr>
  </w:style>
  <w:style w:type="paragraph" w:styleId="Listecontinue">
    <w:name w:val="List Continue"/>
    <w:basedOn w:val="Normal"/>
    <w:uiPriority w:val="99"/>
    <w:unhideWhenUsed/>
    <w:rsid w:val="0029639D"/>
    <w:pPr>
      <w:spacing w:after="120"/>
      <w:ind w:left="360"/>
      <w:contextualSpacing/>
    </w:pPr>
  </w:style>
  <w:style w:type="paragraph" w:styleId="Listecontinue2">
    <w:name w:val="List Continue 2"/>
    <w:basedOn w:val="Normal"/>
    <w:uiPriority w:val="99"/>
    <w:unhideWhenUsed/>
    <w:rsid w:val="0029639D"/>
    <w:pPr>
      <w:spacing w:after="120"/>
      <w:ind w:left="720"/>
      <w:contextualSpacing/>
    </w:pPr>
  </w:style>
  <w:style w:type="paragraph" w:styleId="Listecontinue3">
    <w:name w:val="List Continue 3"/>
    <w:basedOn w:val="Normal"/>
    <w:uiPriority w:val="99"/>
    <w:unhideWhenUsed/>
    <w:rsid w:val="0029639D"/>
    <w:pPr>
      <w:spacing w:after="120"/>
      <w:ind w:left="1080"/>
      <w:contextualSpacing/>
    </w:pPr>
  </w:style>
  <w:style w:type="paragraph" w:styleId="Textedemacro">
    <w:name w:val="macro"/>
    <w:link w:val="TextedemacroC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edemacroCar">
    <w:name w:val="Texte de macro Car"/>
    <w:basedOn w:val="Policepardfaut"/>
    <w:link w:val="Textedemacro"/>
    <w:uiPriority w:val="99"/>
    <w:rsid w:val="0029639D"/>
    <w:rPr>
      <w:rFonts w:ascii="Courier" w:hAnsi="Courier"/>
      <w:sz w:val="20"/>
      <w:szCs w:val="20"/>
    </w:rPr>
  </w:style>
  <w:style w:type="paragraph" w:styleId="Citation">
    <w:name w:val="Quote"/>
    <w:basedOn w:val="Normal"/>
    <w:next w:val="Normal"/>
    <w:link w:val="CitationCar"/>
    <w:uiPriority w:val="29"/>
    <w:qFormat/>
    <w:rsid w:val="00FC693F"/>
    <w:rPr>
      <w:i/>
      <w:iCs/>
      <w:color w:val="000000" w:themeColor="text1"/>
    </w:rPr>
  </w:style>
  <w:style w:type="character" w:customStyle="1" w:styleId="CitationCar">
    <w:name w:val="Citation Car"/>
    <w:basedOn w:val="Policepardfaut"/>
    <w:link w:val="Citation"/>
    <w:uiPriority w:val="29"/>
    <w:rsid w:val="00FC693F"/>
    <w:rPr>
      <w:i/>
      <w:iCs/>
      <w:color w:val="000000" w:themeColor="text1"/>
    </w:rPr>
  </w:style>
  <w:style w:type="character" w:customStyle="1" w:styleId="Titre4Car">
    <w:name w:val="Titre 4 Car"/>
    <w:basedOn w:val="Policepardfaut"/>
    <w:link w:val="Titre4"/>
    <w:uiPriority w:val="9"/>
    <w:rsid w:val="00FC693F"/>
    <w:rPr>
      <w:rFonts w:asciiTheme="majorHAnsi" w:eastAsiaTheme="majorEastAsia" w:hAnsiTheme="majorHAnsi" w:cstheme="majorBidi"/>
      <w:b/>
      <w:bCs/>
      <w:i/>
      <w:iCs/>
      <w:color w:val="4F81BD" w:themeColor="accent1"/>
    </w:rPr>
  </w:style>
  <w:style w:type="character" w:customStyle="1" w:styleId="Titre5Car">
    <w:name w:val="Titre 5 Car"/>
    <w:basedOn w:val="Policepardfaut"/>
    <w:link w:val="Titre5"/>
    <w:uiPriority w:val="9"/>
    <w:semiHidden/>
    <w:rsid w:val="00FC693F"/>
    <w:rPr>
      <w:rFonts w:asciiTheme="majorHAnsi" w:eastAsiaTheme="majorEastAsia" w:hAnsiTheme="majorHAnsi" w:cstheme="majorBidi"/>
      <w:color w:val="243F60" w:themeColor="accent1" w:themeShade="7F"/>
    </w:rPr>
  </w:style>
  <w:style w:type="character" w:customStyle="1" w:styleId="Titre6Car">
    <w:name w:val="Titre 6 Car"/>
    <w:basedOn w:val="Policepardfaut"/>
    <w:link w:val="Titre6"/>
    <w:uiPriority w:val="9"/>
    <w:semiHidden/>
    <w:rsid w:val="00FC693F"/>
    <w:rPr>
      <w:rFonts w:asciiTheme="majorHAnsi" w:eastAsiaTheme="majorEastAsia" w:hAnsiTheme="majorHAnsi" w:cstheme="majorBidi"/>
      <w:i/>
      <w:iCs/>
      <w:color w:val="243F60" w:themeColor="accent1" w:themeShade="7F"/>
    </w:rPr>
  </w:style>
  <w:style w:type="character" w:customStyle="1" w:styleId="Titre7Car">
    <w:name w:val="Titre 7 Car"/>
    <w:basedOn w:val="Policepardfaut"/>
    <w:link w:val="Titre7"/>
    <w:uiPriority w:val="9"/>
    <w:semiHidden/>
    <w:rsid w:val="00FC693F"/>
    <w:rPr>
      <w:rFonts w:asciiTheme="majorHAnsi" w:eastAsiaTheme="majorEastAsia" w:hAnsiTheme="majorHAnsi" w:cstheme="majorBidi"/>
      <w:i/>
      <w:iCs/>
      <w:color w:val="404040" w:themeColor="text1" w:themeTint="BF"/>
    </w:rPr>
  </w:style>
  <w:style w:type="character" w:customStyle="1" w:styleId="Titre8Car">
    <w:name w:val="Titre 8 Car"/>
    <w:basedOn w:val="Policepardfaut"/>
    <w:link w:val="Titre8"/>
    <w:uiPriority w:val="9"/>
    <w:semiHidden/>
    <w:rsid w:val="00FC693F"/>
    <w:rPr>
      <w:rFonts w:asciiTheme="majorHAnsi" w:eastAsiaTheme="majorEastAsia" w:hAnsiTheme="majorHAnsi" w:cstheme="majorBidi"/>
      <w:color w:val="4F81BD" w:themeColor="accent1"/>
      <w:sz w:val="20"/>
      <w:szCs w:val="20"/>
    </w:rPr>
  </w:style>
  <w:style w:type="character" w:customStyle="1" w:styleId="Titre9Car">
    <w:name w:val="Titre 9 Car"/>
    <w:basedOn w:val="Policepardfaut"/>
    <w:link w:val="Titre9"/>
    <w:uiPriority w:val="9"/>
    <w:semiHidden/>
    <w:rsid w:val="00FC693F"/>
    <w:rPr>
      <w:rFonts w:asciiTheme="majorHAnsi" w:eastAsiaTheme="majorEastAsia" w:hAnsiTheme="majorHAnsi" w:cstheme="majorBidi"/>
      <w:i/>
      <w:iCs/>
      <w:color w:val="404040" w:themeColor="text1" w:themeTint="BF"/>
      <w:sz w:val="20"/>
      <w:szCs w:val="20"/>
    </w:rPr>
  </w:style>
  <w:style w:type="paragraph" w:styleId="Lgende">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lev">
    <w:name w:val="Strong"/>
    <w:basedOn w:val="Policepardfaut"/>
    <w:uiPriority w:val="22"/>
    <w:qFormat/>
    <w:rsid w:val="00FC693F"/>
    <w:rPr>
      <w:b/>
      <w:bCs/>
    </w:rPr>
  </w:style>
  <w:style w:type="character" w:styleId="Accentuation">
    <w:name w:val="Emphasis"/>
    <w:basedOn w:val="Policepardfaut"/>
    <w:uiPriority w:val="20"/>
    <w:qFormat/>
    <w:rsid w:val="00FC693F"/>
    <w:rPr>
      <w:i/>
      <w:iCs/>
    </w:rPr>
  </w:style>
  <w:style w:type="paragraph" w:styleId="Citationintense">
    <w:name w:val="Intense Quote"/>
    <w:basedOn w:val="Normal"/>
    <w:next w:val="Normal"/>
    <w:link w:val="CitationintenseC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onintenseCar">
    <w:name w:val="Citation intense Car"/>
    <w:basedOn w:val="Policepardfaut"/>
    <w:link w:val="Citationintense"/>
    <w:uiPriority w:val="30"/>
    <w:rsid w:val="00FC693F"/>
    <w:rPr>
      <w:b/>
      <w:bCs/>
      <w:i/>
      <w:iCs/>
      <w:color w:val="4F81BD" w:themeColor="accent1"/>
    </w:rPr>
  </w:style>
  <w:style w:type="character" w:styleId="Accentuationlgre">
    <w:name w:val="Subtle Emphasis"/>
    <w:basedOn w:val="Policepardfaut"/>
    <w:uiPriority w:val="19"/>
    <w:qFormat/>
    <w:rsid w:val="00FC693F"/>
    <w:rPr>
      <w:i/>
      <w:iCs/>
      <w:color w:val="808080" w:themeColor="text1" w:themeTint="7F"/>
    </w:rPr>
  </w:style>
  <w:style w:type="character" w:styleId="Accentuationintense">
    <w:name w:val="Intense Emphasis"/>
    <w:basedOn w:val="Policepardfaut"/>
    <w:uiPriority w:val="21"/>
    <w:qFormat/>
    <w:rsid w:val="00FC693F"/>
    <w:rPr>
      <w:b/>
      <w:bCs/>
      <w:i/>
      <w:iCs/>
      <w:color w:val="4F81BD" w:themeColor="accent1"/>
    </w:rPr>
  </w:style>
  <w:style w:type="character" w:styleId="Rfrencelgre">
    <w:name w:val="Subtle Reference"/>
    <w:basedOn w:val="Policepardfaut"/>
    <w:uiPriority w:val="31"/>
    <w:qFormat/>
    <w:rsid w:val="00FC693F"/>
    <w:rPr>
      <w:smallCaps/>
      <w:color w:val="C0504D" w:themeColor="accent2"/>
      <w:u w:val="single"/>
    </w:rPr>
  </w:style>
  <w:style w:type="character" w:styleId="Rfrenceintense">
    <w:name w:val="Intense Reference"/>
    <w:basedOn w:val="Policepardfaut"/>
    <w:uiPriority w:val="32"/>
    <w:qFormat/>
    <w:rsid w:val="00FC693F"/>
    <w:rPr>
      <w:b/>
      <w:bCs/>
      <w:smallCaps/>
      <w:color w:val="C0504D" w:themeColor="accent2"/>
      <w:spacing w:val="5"/>
      <w:u w:val="single"/>
    </w:rPr>
  </w:style>
  <w:style w:type="character" w:styleId="Titredulivre">
    <w:name w:val="Book Title"/>
    <w:basedOn w:val="Policepardfaut"/>
    <w:uiPriority w:val="33"/>
    <w:qFormat/>
    <w:rsid w:val="00FC693F"/>
    <w:rPr>
      <w:b/>
      <w:bCs/>
      <w:smallCaps/>
      <w:spacing w:val="5"/>
    </w:rPr>
  </w:style>
  <w:style w:type="paragraph" w:styleId="En-ttedetabledesmatires">
    <w:name w:val="TOC Heading"/>
    <w:basedOn w:val="Titre1"/>
    <w:next w:val="Normal"/>
    <w:uiPriority w:val="39"/>
    <w:semiHidden/>
    <w:unhideWhenUsed/>
    <w:qFormat/>
    <w:rsid w:val="00FC693F"/>
    <w:pPr>
      <w:outlineLvl w:val="9"/>
    </w:pPr>
  </w:style>
  <w:style w:type="table" w:styleId="Grilledutableau">
    <w:name w:val="Table Grid"/>
    <w:basedOn w:val="Tableau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Ombrageclair">
    <w:name w:val="Light Shading"/>
    <w:basedOn w:val="Tableau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rameclaire-Accent1">
    <w:name w:val="Light Shading Accent 1"/>
    <w:basedOn w:val="Tableau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rameclaire-Accent2">
    <w:name w:val="Light Shading Accent 2"/>
    <w:basedOn w:val="Tableau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Trameclaire-Accent3">
    <w:name w:val="Light Shading Accent 3"/>
    <w:basedOn w:val="Tableau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Trameclaire-Accent4">
    <w:name w:val="Light Shading Accent 4"/>
    <w:basedOn w:val="Tableau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Trameclaire-Accent5">
    <w:name w:val="Light Shading Accent 5"/>
    <w:basedOn w:val="Tableau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Trameclaire-Accent6">
    <w:name w:val="Light Shading Accent 6"/>
    <w:basedOn w:val="Tableau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eclaire">
    <w:name w:val="Light List"/>
    <w:basedOn w:val="Tableau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eclaire-Accent1">
    <w:name w:val="Light List Accent 1"/>
    <w:basedOn w:val="Tableau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eclaire-Accent2">
    <w:name w:val="Light List Accent 2"/>
    <w:basedOn w:val="Tableau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eclaire-Accent3">
    <w:name w:val="Light List Accent 3"/>
    <w:basedOn w:val="Tableau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eclaire-Accent4">
    <w:name w:val="Light List Accent 4"/>
    <w:basedOn w:val="Tableau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eclaire-Accent5">
    <w:name w:val="Light List Accent 5"/>
    <w:basedOn w:val="Tableau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eclaire-Accent6">
    <w:name w:val="Light List Accent 6"/>
    <w:basedOn w:val="Tableau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leclaire">
    <w:name w:val="Light Grid"/>
    <w:basedOn w:val="Tableau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leclaire-Accent1">
    <w:name w:val="Light Grid Accent 1"/>
    <w:basedOn w:val="Tableau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leclaire-Accent2">
    <w:name w:val="Light Grid Accent 2"/>
    <w:basedOn w:val="Tableau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leclaire-Accent3">
    <w:name w:val="Light Grid Accent 3"/>
    <w:basedOn w:val="Tableau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leclaire-Accent4">
    <w:name w:val="Light Grid Accent 4"/>
    <w:basedOn w:val="Tableau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leclaire-Accent5">
    <w:name w:val="Light Grid Accent 5"/>
    <w:basedOn w:val="Tableau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leclaire-Accent6">
    <w:name w:val="Light Grid Accent 6"/>
    <w:basedOn w:val="Tableau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Tramemoyenne1">
    <w:name w:val="Medium Shading 1"/>
    <w:basedOn w:val="Tableau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Tramemoyenne1-Accent1">
    <w:name w:val="Medium Shading 1 Accent 1"/>
    <w:basedOn w:val="Tableau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Tramemoyenne1-Accent2">
    <w:name w:val="Medium Shading 1 Accent 2"/>
    <w:basedOn w:val="Tableau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Tramemoyenne1-Accent3">
    <w:name w:val="Medium Shading 1 Accent 3"/>
    <w:basedOn w:val="Tableau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Tramemoyenne1-Accent4">
    <w:name w:val="Medium Shading 1 Accent 4"/>
    <w:basedOn w:val="Tableau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Tramemoyenne1-Accent5">
    <w:name w:val="Medium Shading 1 Accent 5"/>
    <w:basedOn w:val="Tableau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Tramemoyenne1-Accent6">
    <w:name w:val="Medium Shading 1 Accent 6"/>
    <w:basedOn w:val="Tableau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Tramemoyenne2">
    <w:name w:val="Medium Shading 2"/>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1">
    <w:name w:val="Medium Shading 2 Accent 1"/>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2">
    <w:name w:val="Medium Shading 2 Accent 2"/>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3">
    <w:name w:val="Medium Shading 2 Accent 3"/>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4">
    <w:name w:val="Medium Shading 2 Accent 4"/>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5">
    <w:name w:val="Medium Shading 2 Accent 5"/>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ramemoyenne2-Accent6">
    <w:name w:val="Medium Shading 2 Accent 6"/>
    <w:basedOn w:val="Tableau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emoyenne1">
    <w:name w:val="Medium List 1"/>
    <w:basedOn w:val="Tableau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emoyenne1-Accent1">
    <w:name w:val="Medium List 1 Accent 1"/>
    <w:basedOn w:val="Tableau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emoyenne1-Accent2">
    <w:name w:val="Medium List 1 Accent 2"/>
    <w:basedOn w:val="Tableau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emoyenne1-Accent3">
    <w:name w:val="Medium List 1 Accent 3"/>
    <w:basedOn w:val="Tableau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emoyenne1-Accent4">
    <w:name w:val="Medium List 1 Accent 4"/>
    <w:basedOn w:val="Tableau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emoyenne1-Accent5">
    <w:name w:val="Medium List 1 Accent 5"/>
    <w:basedOn w:val="Tableau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emoyenne1-Accent6">
    <w:name w:val="Medium List 1 Accent 6"/>
    <w:basedOn w:val="Tableau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emoyenne2">
    <w:name w:val="Medium List 2"/>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1">
    <w:name w:val="Medium List 2 Accent 1"/>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2">
    <w:name w:val="Medium List 2 Accent 2"/>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3">
    <w:name w:val="Medium List 2 Accent 3"/>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4">
    <w:name w:val="Medium List 2 Accent 4"/>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5">
    <w:name w:val="Medium List 2 Accent 5"/>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emoyenne2-Accent6">
    <w:name w:val="Medium List 2 Accent 6"/>
    <w:basedOn w:val="Tableau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lemoyenne1">
    <w:name w:val="Medium Grid 1"/>
    <w:basedOn w:val="Tableau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lemoyenne1-Accent1">
    <w:name w:val="Medium Grid 1 Accent 1"/>
    <w:basedOn w:val="Tableau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lemoyenne1-Accent2">
    <w:name w:val="Medium Grid 1 Accent 2"/>
    <w:basedOn w:val="Tableau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lemoyenne1-Accent3">
    <w:name w:val="Medium Grid 1 Accent 3"/>
    <w:basedOn w:val="Tableau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lemoyenne1-Accent4">
    <w:name w:val="Medium Grid 1 Accent 4"/>
    <w:basedOn w:val="Tableau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lemoyenne1-Accent5">
    <w:name w:val="Medium Grid 1 Accent 5"/>
    <w:basedOn w:val="Tableau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lemoyenne1-Accent6">
    <w:name w:val="Medium Grid 1 Accent 6"/>
    <w:basedOn w:val="Tableau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lemoyenne2">
    <w:name w:val="Medium Grid 2"/>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lemoyenne2-Accent1">
    <w:name w:val="Medium Grid 2 Accent 1"/>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lemoyenne2-Accent2">
    <w:name w:val="Medium Grid 2 Accent 2"/>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lemoyenne2-Accent3">
    <w:name w:val="Medium Grid 2 Accent 3"/>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lemoyenne2-Accent4">
    <w:name w:val="Medium Grid 2 Accent 4"/>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lemoyenne2-Accent5">
    <w:name w:val="Medium Grid 2 Accent 5"/>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lemoyenne2-Accent6">
    <w:name w:val="Medium Grid 2 Accent 6"/>
    <w:basedOn w:val="Tableau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lemoyenne3">
    <w:name w:val="Medium Grid 3"/>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lemoyenne3-Accent1">
    <w:name w:val="Medium Grid 3 Accent 1"/>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lemoyenne3-Accent2">
    <w:name w:val="Medium Grid 3 Accent 2"/>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lemoyenne3-Accent3">
    <w:name w:val="Medium Grid 3 Accent 3"/>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lemoyenne3-Accent4">
    <w:name w:val="Medium Grid 3 Accent 4"/>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lemoyenne3-Accent5">
    <w:name w:val="Medium Grid 3 Accent 5"/>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lemoyenne3-Accent6">
    <w:name w:val="Medium Grid 3 Accent 6"/>
    <w:basedOn w:val="Tableau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efonce">
    <w:name w:val="Dark List"/>
    <w:basedOn w:val="Tableau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efonce-Accent1">
    <w:name w:val="Dark List Accent 1"/>
    <w:basedOn w:val="Tableau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efonce-Accent2">
    <w:name w:val="Dark List Accent 2"/>
    <w:basedOn w:val="Tableau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efonce-Accent3">
    <w:name w:val="Dark List Accent 3"/>
    <w:basedOn w:val="Tableau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efonce-Accent4">
    <w:name w:val="Dark List Accent 4"/>
    <w:basedOn w:val="Tableau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efonce-Accent5">
    <w:name w:val="Dark List Accent 5"/>
    <w:basedOn w:val="Tableau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efonce-Accent6">
    <w:name w:val="Dark List Accent 6"/>
    <w:basedOn w:val="Tableau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Tramecouleur">
    <w:name w:val="Colorful Shading"/>
    <w:basedOn w:val="Tableau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Tramecouleur-Accent1">
    <w:name w:val="Colorful Shading Accent 1"/>
    <w:basedOn w:val="Tableau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Tramecouleur-Accent2">
    <w:name w:val="Colorful Shading Accent 2"/>
    <w:basedOn w:val="Tableau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Tramecouleur-Accent3">
    <w:name w:val="Colorful Shading Accent 3"/>
    <w:basedOn w:val="Tableau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Tramecouleur-Accent4">
    <w:name w:val="Colorful Shading Accent 4"/>
    <w:basedOn w:val="Tableau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Tramecouleur-Accent5">
    <w:name w:val="Colorful Shading Accent 5"/>
    <w:basedOn w:val="Tableau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Tramecouleur-Accent6">
    <w:name w:val="Colorful Shading Accent 6"/>
    <w:basedOn w:val="Tableau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ecouleur">
    <w:name w:val="Colorful List"/>
    <w:basedOn w:val="Tableau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ecouleur-Accent1">
    <w:name w:val="Colorful List Accent 1"/>
    <w:basedOn w:val="Tableau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ecouleur-Accent2">
    <w:name w:val="Colorful List Accent 2"/>
    <w:basedOn w:val="Tableau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ecouleur-Accent3">
    <w:name w:val="Colorful List Accent 3"/>
    <w:basedOn w:val="Tableau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ecouleur-Accent4">
    <w:name w:val="Colorful List Accent 4"/>
    <w:basedOn w:val="Tableau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ecouleur-Accent5">
    <w:name w:val="Colorful List Accent 5"/>
    <w:basedOn w:val="Tableau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ecouleur-Accent6">
    <w:name w:val="Colorful List Accent 6"/>
    <w:basedOn w:val="Tableau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lecouleur">
    <w:name w:val="Colorful Grid"/>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lecouleur-Accent1">
    <w:name w:val="Colorful Grid Accent 1"/>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lecouleur-Accent2">
    <w:name w:val="Colorful Grid Accent 2"/>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lecouleur-Accent3">
    <w:name w:val="Colorful Grid Accent 3"/>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lecouleur-Accent4">
    <w:name w:val="Colorful Grid Accent 4"/>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lecouleur-Accent5">
    <w:name w:val="Colorful Grid Accent 5"/>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lecouleur-Accent6">
    <w:name w:val="Colorful Grid Accent 6"/>
    <w:basedOn w:val="Tableau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Lienhypertexte">
    <w:name w:val="Hyperlink"/>
    <w:basedOn w:val="Policepardfaut"/>
    <w:uiPriority w:val="99"/>
    <w:unhideWhenUsed/>
    <w:rsid w:val="00B36458"/>
    <w:rPr>
      <w:color w:val="0000FF" w:themeColor="hyperlink"/>
      <w:u w:val="single"/>
    </w:rPr>
  </w:style>
  <w:style w:type="character" w:styleId="Mentionnonrsolue">
    <w:name w:val="Unresolved Mention"/>
    <w:basedOn w:val="Policepardfaut"/>
    <w:uiPriority w:val="99"/>
    <w:semiHidden/>
    <w:unhideWhenUsed/>
    <w:rsid w:val="00B36458"/>
    <w:rPr>
      <w:color w:val="605E5C"/>
      <w:shd w:val="clear" w:color="auto" w:fill="E1DFDD"/>
    </w:rPr>
  </w:style>
  <w:style w:type="paragraph" w:customStyle="1" w:styleId="msonormal0">
    <w:name w:val="msonormal"/>
    <w:basedOn w:val="Normal"/>
    <w:rsid w:val="002C7A4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2C7A4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Lienhypertextesuivivisit">
    <w:name w:val="FollowedHyperlink"/>
    <w:basedOn w:val="Policepardfaut"/>
    <w:uiPriority w:val="99"/>
    <w:semiHidden/>
    <w:unhideWhenUsed/>
    <w:rsid w:val="002C7A45"/>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26" Type="http://schemas.openxmlformats.org/officeDocument/2006/relationships/image" Target="media/image5.png"/><Relationship Id="rId39"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chart" Target="charts/chart15.xml"/><Relationship Id="rId34" Type="http://schemas.openxmlformats.org/officeDocument/2006/relationships/image" Target="media/image13.png"/><Relationship Id="rId42" Type="http://schemas.openxmlformats.org/officeDocument/2006/relationships/image" Target="media/image21.png"/><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chart" Target="charts/chart10.xml"/><Relationship Id="rId20" Type="http://schemas.openxmlformats.org/officeDocument/2006/relationships/chart" Target="charts/chart14.xml"/><Relationship Id="rId29" Type="http://schemas.openxmlformats.org/officeDocument/2006/relationships/image" Target="media/image8.png"/><Relationship Id="rId41"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9.xml"/><Relationship Id="rId23" Type="http://schemas.openxmlformats.org/officeDocument/2006/relationships/image" Target="media/image2.png"/><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chart" Target="charts/chart4.xml"/><Relationship Id="rId19" Type="http://schemas.openxmlformats.org/officeDocument/2006/relationships/chart" Target="charts/chart13.xml"/><Relationship Id="rId31" Type="http://schemas.openxmlformats.org/officeDocument/2006/relationships/image" Target="media/image10.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chart" Target="charts/chart16.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22.png"/></Relationships>
</file>

<file path=word/charts/_rels/chart1.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Classeur1" TargetMode="External"/><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Feuil1!$B$16</c:f>
              <c:strCache>
                <c:ptCount val="1"/>
                <c:pt idx="0">
                  <c:v>Net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Feuil1!$A$17:$A$21</c:f>
              <c:numCache>
                <c:formatCode>General</c:formatCode>
                <c:ptCount val="5"/>
                <c:pt idx="0">
                  <c:v>2021</c:v>
                </c:pt>
                <c:pt idx="1">
                  <c:v>2022</c:v>
                </c:pt>
                <c:pt idx="2">
                  <c:v>2023</c:v>
                </c:pt>
                <c:pt idx="3">
                  <c:v>2024</c:v>
                </c:pt>
                <c:pt idx="4">
                  <c:v>2025</c:v>
                </c:pt>
              </c:numCache>
            </c:numRef>
          </c:cat>
          <c:val>
            <c:numRef>
              <c:f>Feuil1!$B$17:$B$21</c:f>
              <c:numCache>
                <c:formatCode>0.00%</c:formatCode>
                <c:ptCount val="5"/>
                <c:pt idx="0">
                  <c:v>7.9299999999999995E-2</c:v>
                </c:pt>
                <c:pt idx="1">
                  <c:v>0.1135</c:v>
                </c:pt>
                <c:pt idx="2">
                  <c:v>0.13</c:v>
                </c:pt>
                <c:pt idx="3">
                  <c:v>9.4600000000000004E-2</c:v>
                </c:pt>
                <c:pt idx="4">
                  <c:v>9.9299999999999999E-2</c:v>
                </c:pt>
              </c:numCache>
            </c:numRef>
          </c:val>
          <c:extLst>
            <c:ext xmlns:c16="http://schemas.microsoft.com/office/drawing/2014/chart" uri="{C3380CC4-5D6E-409C-BE32-E72D297353CC}">
              <c16:uniqueId val="{00000000-2943-4C35-9E4D-4472F9599550}"/>
            </c:ext>
          </c:extLst>
        </c:ser>
        <c:dLbls>
          <c:showLegendKey val="0"/>
          <c:showVal val="0"/>
          <c:showCatName val="0"/>
          <c:showSerName val="0"/>
          <c:showPercent val="0"/>
          <c:showBubbleSize val="0"/>
        </c:dLbls>
        <c:gapWidth val="100"/>
        <c:overlap val="-24"/>
        <c:axId val="423142072"/>
        <c:axId val="544121208"/>
      </c:barChart>
      <c:catAx>
        <c:axId val="42314207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21208"/>
        <c:crosses val="autoZero"/>
        <c:auto val="1"/>
        <c:lblAlgn val="ctr"/>
        <c:lblOffset val="100"/>
        <c:noMultiLvlLbl val="0"/>
      </c:catAx>
      <c:valAx>
        <c:axId val="544121208"/>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142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Feuil1!$B$8</c:f>
              <c:strCache>
                <c:ptCount val="1"/>
                <c:pt idx="0">
                  <c:v>Operating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Feuil1!$A$9:$A$13</c:f>
              <c:numCache>
                <c:formatCode>General</c:formatCode>
                <c:ptCount val="5"/>
                <c:pt idx="0">
                  <c:v>2021</c:v>
                </c:pt>
                <c:pt idx="1">
                  <c:v>2022</c:v>
                </c:pt>
                <c:pt idx="2">
                  <c:v>2023</c:v>
                </c:pt>
                <c:pt idx="3">
                  <c:v>2024</c:v>
                </c:pt>
                <c:pt idx="4">
                  <c:v>2025</c:v>
                </c:pt>
              </c:numCache>
            </c:numRef>
          </c:cat>
          <c:val>
            <c:numRef>
              <c:f>Feuil1!$B$9:$B$13</c:f>
              <c:numCache>
                <c:formatCode>0.00%</c:formatCode>
                <c:ptCount val="5"/>
                <c:pt idx="0">
                  <c:v>0.1263</c:v>
                </c:pt>
                <c:pt idx="1">
                  <c:v>0.16669999999999999</c:v>
                </c:pt>
                <c:pt idx="2">
                  <c:v>0.16289999999999999</c:v>
                </c:pt>
                <c:pt idx="3">
                  <c:v>0.15010000000000001</c:v>
                </c:pt>
                <c:pt idx="4">
                  <c:v>0.15820000000000001</c:v>
                </c:pt>
              </c:numCache>
            </c:numRef>
          </c:val>
          <c:extLst>
            <c:ext xmlns:c16="http://schemas.microsoft.com/office/drawing/2014/chart" uri="{C3380CC4-5D6E-409C-BE32-E72D297353CC}">
              <c16:uniqueId val="{00000000-FE93-4ED6-BC84-8846A2E7F7CB}"/>
            </c:ext>
          </c:extLst>
        </c:ser>
        <c:dLbls>
          <c:showLegendKey val="0"/>
          <c:showVal val="0"/>
          <c:showCatName val="0"/>
          <c:showSerName val="0"/>
          <c:showPercent val="0"/>
          <c:showBubbleSize val="0"/>
        </c:dLbls>
        <c:gapWidth val="100"/>
        <c:overlap val="-24"/>
        <c:axId val="544119768"/>
        <c:axId val="544126968"/>
      </c:barChart>
      <c:catAx>
        <c:axId val="54411976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26968"/>
        <c:crosses val="autoZero"/>
        <c:auto val="1"/>
        <c:lblAlgn val="ctr"/>
        <c:lblOffset val="100"/>
        <c:noMultiLvlLbl val="0"/>
      </c:catAx>
      <c:valAx>
        <c:axId val="544126968"/>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19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Feuil1!$B$23</c:f>
              <c:strCache>
                <c:ptCount val="1"/>
                <c:pt idx="0">
                  <c:v>Gross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Feuil1!$A$24:$A$28</c:f>
              <c:numCache>
                <c:formatCode>General</c:formatCode>
                <c:ptCount val="5"/>
                <c:pt idx="0">
                  <c:v>2021</c:v>
                </c:pt>
                <c:pt idx="1">
                  <c:v>2022</c:v>
                </c:pt>
                <c:pt idx="2">
                  <c:v>2023</c:v>
                </c:pt>
                <c:pt idx="3">
                  <c:v>2024</c:v>
                </c:pt>
                <c:pt idx="4">
                  <c:v>2025</c:v>
                </c:pt>
              </c:numCache>
            </c:numRef>
          </c:cat>
          <c:val>
            <c:numRef>
              <c:f>Feuil1!$B$24:$B$28</c:f>
              <c:numCache>
                <c:formatCode>0.00%</c:formatCode>
                <c:ptCount val="5"/>
                <c:pt idx="0">
                  <c:v>0.2021</c:v>
                </c:pt>
                <c:pt idx="1">
                  <c:v>0.21940000000000001</c:v>
                </c:pt>
                <c:pt idx="2">
                  <c:v>0.21</c:v>
                </c:pt>
                <c:pt idx="3">
                  <c:v>0.1981</c:v>
                </c:pt>
                <c:pt idx="4">
                  <c:v>0.19939999999999999</c:v>
                </c:pt>
              </c:numCache>
            </c:numRef>
          </c:val>
          <c:extLst>
            <c:ext xmlns:c16="http://schemas.microsoft.com/office/drawing/2014/chart" uri="{C3380CC4-5D6E-409C-BE32-E72D297353CC}">
              <c16:uniqueId val="{00000000-8ECC-4636-B982-30F559D41061}"/>
            </c:ext>
          </c:extLst>
        </c:ser>
        <c:dLbls>
          <c:showLegendKey val="0"/>
          <c:showVal val="0"/>
          <c:showCatName val="0"/>
          <c:showSerName val="0"/>
          <c:showPercent val="0"/>
          <c:showBubbleSize val="0"/>
        </c:dLbls>
        <c:gapWidth val="100"/>
        <c:overlap val="-24"/>
        <c:axId val="544130928"/>
        <c:axId val="544131648"/>
      </c:barChart>
      <c:catAx>
        <c:axId val="54413092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31648"/>
        <c:crosses val="autoZero"/>
        <c:auto val="1"/>
        <c:lblAlgn val="ctr"/>
        <c:lblOffset val="100"/>
        <c:noMultiLvlLbl val="0"/>
      </c:catAx>
      <c:valAx>
        <c:axId val="544131648"/>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4130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600" b="1" i="0" u="none" strike="noStrike" baseline="0">
                <a:effectLst/>
              </a:rPr>
              <a:t>Return on Capital Employed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Feuil1!$B$1</c:f>
              <c:strCache>
                <c:ptCount val="1"/>
                <c:pt idx="0">
                  <c:v>ROCE</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Feuil1!$A$2:$A$6</c:f>
              <c:numCache>
                <c:formatCode>General</c:formatCode>
                <c:ptCount val="5"/>
                <c:pt idx="0">
                  <c:v>2021</c:v>
                </c:pt>
                <c:pt idx="1">
                  <c:v>2022</c:v>
                </c:pt>
                <c:pt idx="2">
                  <c:v>2023</c:v>
                </c:pt>
                <c:pt idx="3">
                  <c:v>2024</c:v>
                </c:pt>
                <c:pt idx="4">
                  <c:v>2025</c:v>
                </c:pt>
              </c:numCache>
            </c:numRef>
          </c:cat>
          <c:val>
            <c:numRef>
              <c:f>Feuil1!$B$2:$B$6</c:f>
              <c:numCache>
                <c:formatCode>0.00%</c:formatCode>
                <c:ptCount val="5"/>
                <c:pt idx="0">
                  <c:v>9.1399999999999995E-2</c:v>
                </c:pt>
                <c:pt idx="1">
                  <c:v>0.19819999999999999</c:v>
                </c:pt>
                <c:pt idx="2">
                  <c:v>0.2157</c:v>
                </c:pt>
                <c:pt idx="3">
                  <c:v>0.21490000000000001</c:v>
                </c:pt>
                <c:pt idx="4">
                  <c:v>0.21629999999999999</c:v>
                </c:pt>
              </c:numCache>
            </c:numRef>
          </c:val>
          <c:extLst>
            <c:ext xmlns:c16="http://schemas.microsoft.com/office/drawing/2014/chart" uri="{C3380CC4-5D6E-409C-BE32-E72D297353CC}">
              <c16:uniqueId val="{00000000-FD25-4AE8-B678-2ACC82F4E8E3}"/>
            </c:ext>
          </c:extLst>
        </c:ser>
        <c:dLbls>
          <c:dLblPos val="outEnd"/>
          <c:showLegendKey val="0"/>
          <c:showVal val="1"/>
          <c:showCatName val="0"/>
          <c:showSerName val="0"/>
          <c:showPercent val="0"/>
          <c:showBubbleSize val="0"/>
        </c:dLbls>
        <c:gapWidth val="100"/>
        <c:overlap val="-24"/>
        <c:axId val="423380184"/>
        <c:axId val="423380904"/>
      </c:barChart>
      <c:catAx>
        <c:axId val="42338018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380904"/>
        <c:crosses val="autoZero"/>
        <c:auto val="1"/>
        <c:lblAlgn val="ctr"/>
        <c:lblOffset val="100"/>
        <c:noMultiLvlLbl val="0"/>
      </c:catAx>
      <c:valAx>
        <c:axId val="42338090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380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Feuil2!$B$1</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Feuil2!$A$2:$A$6</c:f>
              <c:numCache>
                <c:formatCode>General</c:formatCode>
                <c:ptCount val="5"/>
                <c:pt idx="0">
                  <c:v>2021</c:v>
                </c:pt>
                <c:pt idx="1">
                  <c:v>2022</c:v>
                </c:pt>
                <c:pt idx="2">
                  <c:v>2023</c:v>
                </c:pt>
                <c:pt idx="3">
                  <c:v>2024</c:v>
                </c:pt>
                <c:pt idx="4">
                  <c:v>2025</c:v>
                </c:pt>
              </c:numCache>
            </c:numRef>
          </c:cat>
          <c:val>
            <c:numRef>
              <c:f>Feuil2!$B$2:$B$6</c:f>
              <c:numCache>
                <c:formatCode>General</c:formatCode>
                <c:ptCount val="5"/>
                <c:pt idx="0">
                  <c:v>0.56999999999999995</c:v>
                </c:pt>
                <c:pt idx="1">
                  <c:v>0.45</c:v>
                </c:pt>
                <c:pt idx="2">
                  <c:v>0.43</c:v>
                </c:pt>
                <c:pt idx="3">
                  <c:v>0.4</c:v>
                </c:pt>
                <c:pt idx="4">
                  <c:v>0.43</c:v>
                </c:pt>
              </c:numCache>
            </c:numRef>
          </c:val>
          <c:extLst>
            <c:ext xmlns:c16="http://schemas.microsoft.com/office/drawing/2014/chart" uri="{C3380CC4-5D6E-409C-BE32-E72D297353CC}">
              <c16:uniqueId val="{00000000-9381-4540-BC9B-52E2AACA5456}"/>
            </c:ext>
          </c:extLst>
        </c:ser>
        <c:dLbls>
          <c:showLegendKey val="0"/>
          <c:showVal val="0"/>
          <c:showCatName val="0"/>
          <c:showSerName val="0"/>
          <c:showPercent val="0"/>
          <c:showBubbleSize val="0"/>
        </c:dLbls>
        <c:gapWidth val="100"/>
        <c:overlap val="-24"/>
        <c:axId val="543221960"/>
        <c:axId val="543222320"/>
      </c:barChart>
      <c:catAx>
        <c:axId val="54322196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22320"/>
        <c:crosses val="autoZero"/>
        <c:auto val="1"/>
        <c:lblAlgn val="ctr"/>
        <c:lblOffset val="100"/>
        <c:noMultiLvlLbl val="0"/>
      </c:catAx>
      <c:valAx>
        <c:axId val="5432223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21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Feuil2!$B$9</c:f>
              <c:strCache>
                <c:ptCount val="1"/>
                <c:pt idx="0">
                  <c:v>Quick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Feuil2!$A$10:$A$14</c:f>
              <c:numCache>
                <c:formatCode>General</c:formatCode>
                <c:ptCount val="5"/>
                <c:pt idx="0">
                  <c:v>2021</c:v>
                </c:pt>
                <c:pt idx="1">
                  <c:v>2022</c:v>
                </c:pt>
                <c:pt idx="2">
                  <c:v>2023</c:v>
                </c:pt>
                <c:pt idx="3">
                  <c:v>2024</c:v>
                </c:pt>
                <c:pt idx="4">
                  <c:v>2025</c:v>
                </c:pt>
              </c:numCache>
            </c:numRef>
          </c:cat>
          <c:val>
            <c:numRef>
              <c:f>Feuil2!$B$10:$B$14</c:f>
              <c:numCache>
                <c:formatCode>General</c:formatCode>
                <c:ptCount val="5"/>
                <c:pt idx="0">
                  <c:v>0.53</c:v>
                </c:pt>
                <c:pt idx="1">
                  <c:v>0.42</c:v>
                </c:pt>
                <c:pt idx="2">
                  <c:v>0.39</c:v>
                </c:pt>
                <c:pt idx="3">
                  <c:v>0.37</c:v>
                </c:pt>
                <c:pt idx="4">
                  <c:v>0.39</c:v>
                </c:pt>
              </c:numCache>
            </c:numRef>
          </c:val>
          <c:extLst>
            <c:ext xmlns:c16="http://schemas.microsoft.com/office/drawing/2014/chart" uri="{C3380CC4-5D6E-409C-BE32-E72D297353CC}">
              <c16:uniqueId val="{00000000-C814-4907-99FB-A3A2B627EE05}"/>
            </c:ext>
          </c:extLst>
        </c:ser>
        <c:dLbls>
          <c:showLegendKey val="0"/>
          <c:showVal val="0"/>
          <c:showCatName val="0"/>
          <c:showSerName val="0"/>
          <c:showPercent val="0"/>
          <c:showBubbleSize val="0"/>
        </c:dLbls>
        <c:gapWidth val="100"/>
        <c:overlap val="-24"/>
        <c:axId val="543234920"/>
        <c:axId val="543235280"/>
      </c:barChart>
      <c:catAx>
        <c:axId val="54323492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35280"/>
        <c:crosses val="autoZero"/>
        <c:auto val="1"/>
        <c:lblAlgn val="ctr"/>
        <c:lblOffset val="100"/>
        <c:noMultiLvlLbl val="0"/>
      </c:catAx>
      <c:valAx>
        <c:axId val="54323528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34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Feuil2!$B$16</c:f>
              <c:strCache>
                <c:ptCount val="1"/>
                <c:pt idx="0">
                  <c:v>Cash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Feuil2!$A$17:$A$21</c:f>
              <c:numCache>
                <c:formatCode>General</c:formatCode>
                <c:ptCount val="5"/>
                <c:pt idx="0">
                  <c:v>2021</c:v>
                </c:pt>
                <c:pt idx="1">
                  <c:v>2022</c:v>
                </c:pt>
                <c:pt idx="2">
                  <c:v>2023</c:v>
                </c:pt>
                <c:pt idx="3">
                  <c:v>2024</c:v>
                </c:pt>
                <c:pt idx="4">
                  <c:v>2025</c:v>
                </c:pt>
              </c:numCache>
            </c:numRef>
          </c:cat>
          <c:val>
            <c:numRef>
              <c:f>Feuil2!$B$17:$B$21</c:f>
              <c:numCache>
                <c:formatCode>General</c:formatCode>
                <c:ptCount val="5"/>
                <c:pt idx="0">
                  <c:v>0.22</c:v>
                </c:pt>
                <c:pt idx="1">
                  <c:v>7.0000000000000007E-2</c:v>
                </c:pt>
                <c:pt idx="2">
                  <c:v>0.04</c:v>
                </c:pt>
                <c:pt idx="3">
                  <c:v>0.05</c:v>
                </c:pt>
                <c:pt idx="4">
                  <c:v>0.04</c:v>
                </c:pt>
              </c:numCache>
            </c:numRef>
          </c:val>
          <c:extLst>
            <c:ext xmlns:c16="http://schemas.microsoft.com/office/drawing/2014/chart" uri="{C3380CC4-5D6E-409C-BE32-E72D297353CC}">
              <c16:uniqueId val="{00000000-BCCD-448A-943C-ACEF32B3EC5E}"/>
            </c:ext>
          </c:extLst>
        </c:ser>
        <c:dLbls>
          <c:showLegendKey val="0"/>
          <c:showVal val="0"/>
          <c:showCatName val="0"/>
          <c:showSerName val="0"/>
          <c:showPercent val="0"/>
          <c:showBubbleSize val="0"/>
        </c:dLbls>
        <c:gapWidth val="100"/>
        <c:overlap val="-24"/>
        <c:axId val="543229160"/>
        <c:axId val="543219440"/>
      </c:barChart>
      <c:catAx>
        <c:axId val="54322916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19440"/>
        <c:crosses val="autoZero"/>
        <c:auto val="1"/>
        <c:lblAlgn val="ctr"/>
        <c:lblOffset val="100"/>
        <c:noMultiLvlLbl val="0"/>
      </c:catAx>
      <c:valAx>
        <c:axId val="54321944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3229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Feuil3!$B$9</c:f>
              <c:strCache>
                <c:ptCount val="1"/>
                <c:pt idx="0">
                  <c:v>Days Sales Outstanding (days)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Feuil3!$A$10:$A$14</c:f>
              <c:numCache>
                <c:formatCode>General</c:formatCode>
                <c:ptCount val="5"/>
                <c:pt idx="0">
                  <c:v>2021</c:v>
                </c:pt>
                <c:pt idx="1">
                  <c:v>2022</c:v>
                </c:pt>
                <c:pt idx="2">
                  <c:v>2023</c:v>
                </c:pt>
                <c:pt idx="3">
                  <c:v>2024</c:v>
                </c:pt>
                <c:pt idx="4">
                  <c:v>2025</c:v>
                </c:pt>
              </c:numCache>
            </c:numRef>
          </c:cat>
          <c:val>
            <c:numRef>
              <c:f>Feuil3!$B$10:$B$14</c:f>
              <c:numCache>
                <c:formatCode>General</c:formatCode>
                <c:ptCount val="5"/>
                <c:pt idx="0">
                  <c:v>52.2</c:v>
                </c:pt>
                <c:pt idx="1">
                  <c:v>45.2</c:v>
                </c:pt>
                <c:pt idx="2">
                  <c:v>41.7</c:v>
                </c:pt>
                <c:pt idx="3">
                  <c:v>40.6</c:v>
                </c:pt>
                <c:pt idx="4">
                  <c:v>40.5</c:v>
                </c:pt>
              </c:numCache>
            </c:numRef>
          </c:val>
          <c:extLst>
            <c:ext xmlns:c16="http://schemas.microsoft.com/office/drawing/2014/chart" uri="{C3380CC4-5D6E-409C-BE32-E72D297353CC}">
              <c16:uniqueId val="{00000000-6570-41BB-B781-4800C23A8F71}"/>
            </c:ext>
          </c:extLst>
        </c:ser>
        <c:dLbls>
          <c:showLegendKey val="0"/>
          <c:showVal val="0"/>
          <c:showCatName val="0"/>
          <c:showSerName val="0"/>
          <c:showPercent val="0"/>
          <c:showBubbleSize val="0"/>
        </c:dLbls>
        <c:gapWidth val="100"/>
        <c:overlap val="-24"/>
        <c:axId val="577412192"/>
        <c:axId val="577412912"/>
      </c:barChart>
      <c:catAx>
        <c:axId val="57741219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2912"/>
        <c:crosses val="autoZero"/>
        <c:auto val="1"/>
        <c:lblAlgn val="ctr"/>
        <c:lblOffset val="100"/>
        <c:noMultiLvlLbl val="0"/>
      </c:catAx>
      <c:valAx>
        <c:axId val="57741291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2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Feuil3!$B$1</c:f>
              <c:strCache>
                <c:ptCount val="1"/>
                <c:pt idx="0">
                  <c:v>Days Payables Outstanding (days)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Feuil3!$A$2:$A$6</c:f>
              <c:numCache>
                <c:formatCode>General</c:formatCode>
                <c:ptCount val="5"/>
                <c:pt idx="0">
                  <c:v>2021</c:v>
                </c:pt>
                <c:pt idx="1">
                  <c:v>2022</c:v>
                </c:pt>
                <c:pt idx="2">
                  <c:v>2023</c:v>
                </c:pt>
                <c:pt idx="3">
                  <c:v>2024</c:v>
                </c:pt>
                <c:pt idx="4">
                  <c:v>2025</c:v>
                </c:pt>
              </c:numCache>
            </c:numRef>
          </c:cat>
          <c:val>
            <c:numRef>
              <c:f>Feuil3!$B$2:$B$6</c:f>
              <c:numCache>
                <c:formatCode>General</c:formatCode>
                <c:ptCount val="5"/>
                <c:pt idx="0">
                  <c:v>24</c:v>
                </c:pt>
                <c:pt idx="1">
                  <c:v>16.8</c:v>
                </c:pt>
                <c:pt idx="2">
                  <c:v>14.4</c:v>
                </c:pt>
                <c:pt idx="3">
                  <c:v>13.8</c:v>
                </c:pt>
                <c:pt idx="4">
                  <c:v>14.2</c:v>
                </c:pt>
              </c:numCache>
            </c:numRef>
          </c:val>
          <c:extLst>
            <c:ext xmlns:c16="http://schemas.microsoft.com/office/drawing/2014/chart" uri="{C3380CC4-5D6E-409C-BE32-E72D297353CC}">
              <c16:uniqueId val="{00000000-C948-4AF9-A561-BDCD9E95D2A9}"/>
            </c:ext>
          </c:extLst>
        </c:ser>
        <c:dLbls>
          <c:showLegendKey val="0"/>
          <c:showVal val="0"/>
          <c:showCatName val="0"/>
          <c:showSerName val="0"/>
          <c:showPercent val="0"/>
          <c:showBubbleSize val="0"/>
        </c:dLbls>
        <c:gapWidth val="100"/>
        <c:overlap val="-24"/>
        <c:axId val="577416872"/>
        <c:axId val="577419392"/>
      </c:barChart>
      <c:catAx>
        <c:axId val="57741687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9392"/>
        <c:crosses val="autoZero"/>
        <c:auto val="1"/>
        <c:lblAlgn val="ctr"/>
        <c:lblOffset val="100"/>
        <c:noMultiLvlLbl val="0"/>
      </c:catAx>
      <c:valAx>
        <c:axId val="57741939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416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Feuil3!$E$2</c:f>
              <c:strCache>
                <c:ptCount val="1"/>
                <c:pt idx="0">
                  <c:v>Debt-to-Assets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Feuil3!$D$3:$D$7</c:f>
              <c:numCache>
                <c:formatCode>General</c:formatCode>
                <c:ptCount val="5"/>
                <c:pt idx="0">
                  <c:v>2021</c:v>
                </c:pt>
                <c:pt idx="1">
                  <c:v>2022</c:v>
                </c:pt>
                <c:pt idx="2">
                  <c:v>2023</c:v>
                </c:pt>
                <c:pt idx="3">
                  <c:v>2024</c:v>
                </c:pt>
                <c:pt idx="4">
                  <c:v>2025</c:v>
                </c:pt>
              </c:numCache>
            </c:numRef>
          </c:cat>
          <c:val>
            <c:numRef>
              <c:f>Feuil3!$E$3:$E$7</c:f>
              <c:numCache>
                <c:formatCode>0.00%</c:formatCode>
                <c:ptCount val="5"/>
                <c:pt idx="0">
                  <c:v>0.39700000000000002</c:v>
                </c:pt>
                <c:pt idx="1">
                  <c:v>0.40600000000000003</c:v>
                </c:pt>
                <c:pt idx="2">
                  <c:v>0.46200000000000002</c:v>
                </c:pt>
                <c:pt idx="3">
                  <c:v>0.55200000000000005</c:v>
                </c:pt>
                <c:pt idx="4">
                  <c:v>0.58799999999999997</c:v>
                </c:pt>
              </c:numCache>
            </c:numRef>
          </c:val>
          <c:extLst>
            <c:ext xmlns:c16="http://schemas.microsoft.com/office/drawing/2014/chart" uri="{C3380CC4-5D6E-409C-BE32-E72D297353CC}">
              <c16:uniqueId val="{00000000-33E2-4166-9967-3FA788055741}"/>
            </c:ext>
          </c:extLst>
        </c:ser>
        <c:dLbls>
          <c:showLegendKey val="0"/>
          <c:showVal val="0"/>
          <c:showCatName val="0"/>
          <c:showSerName val="0"/>
          <c:showPercent val="0"/>
          <c:showBubbleSize val="0"/>
        </c:dLbls>
        <c:gapWidth val="100"/>
        <c:overlap val="-24"/>
        <c:axId val="417790896"/>
        <c:axId val="581834664"/>
      </c:barChart>
      <c:catAx>
        <c:axId val="41779089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34664"/>
        <c:crosses val="autoZero"/>
        <c:auto val="1"/>
        <c:lblAlgn val="ctr"/>
        <c:lblOffset val="100"/>
        <c:noMultiLvlLbl val="0"/>
      </c:catAx>
      <c:valAx>
        <c:axId val="58183466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17790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Feuil3!$E$9</c:f>
              <c:strCache>
                <c:ptCount val="1"/>
                <c:pt idx="0">
                  <c:v>Debt-to-Equity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Feuil3!$D$10:$D$15</c:f>
              <c:numCache>
                <c:formatCode>General</c:formatCode>
                <c:ptCount val="6"/>
                <c:pt idx="0">
                  <c:v>2021</c:v>
                </c:pt>
                <c:pt idx="1">
                  <c:v>2022</c:v>
                </c:pt>
                <c:pt idx="2">
                  <c:v>2023</c:v>
                </c:pt>
                <c:pt idx="3">
                  <c:v>2024</c:v>
                </c:pt>
                <c:pt idx="4">
                  <c:v>2025</c:v>
                </c:pt>
              </c:numCache>
            </c:numRef>
          </c:cat>
          <c:val>
            <c:numRef>
              <c:f>Feuil3!$E$10:$E$15</c:f>
              <c:numCache>
                <c:formatCode>0.00%</c:formatCode>
                <c:ptCount val="6"/>
                <c:pt idx="0">
                  <c:v>7.1669999999999998</c:v>
                </c:pt>
                <c:pt idx="1">
                  <c:v>17.683</c:v>
                </c:pt>
              </c:numCache>
            </c:numRef>
          </c:val>
          <c:extLst>
            <c:ext xmlns:c16="http://schemas.microsoft.com/office/drawing/2014/chart" uri="{C3380CC4-5D6E-409C-BE32-E72D297353CC}">
              <c16:uniqueId val="{00000000-C6F8-4A92-801A-96A690332489}"/>
            </c:ext>
          </c:extLst>
        </c:ser>
        <c:dLbls>
          <c:showLegendKey val="0"/>
          <c:showVal val="0"/>
          <c:showCatName val="0"/>
          <c:showSerName val="0"/>
          <c:showPercent val="0"/>
          <c:showBubbleSize val="0"/>
        </c:dLbls>
        <c:gapWidth val="100"/>
        <c:overlap val="-24"/>
        <c:axId val="419812416"/>
        <c:axId val="581832864"/>
      </c:barChart>
      <c:catAx>
        <c:axId val="41981241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32864"/>
        <c:crosses val="autoZero"/>
        <c:auto val="1"/>
        <c:lblAlgn val="ctr"/>
        <c:lblOffset val="100"/>
        <c:noMultiLvlLbl val="0"/>
      </c:catAx>
      <c:valAx>
        <c:axId val="58183286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19812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Feuil3!$E$16</c:f>
              <c:strCache>
                <c:ptCount val="1"/>
                <c:pt idx="0">
                  <c:v>Interest Coverage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Feuil3!$D$17:$D$21</c:f>
              <c:numCache>
                <c:formatCode>General</c:formatCode>
                <c:ptCount val="5"/>
                <c:pt idx="0">
                  <c:v>2021</c:v>
                </c:pt>
                <c:pt idx="1">
                  <c:v>2022</c:v>
                </c:pt>
                <c:pt idx="2">
                  <c:v>2023</c:v>
                </c:pt>
                <c:pt idx="3">
                  <c:v>2024</c:v>
                </c:pt>
                <c:pt idx="4">
                  <c:v>2025</c:v>
                </c:pt>
              </c:numCache>
            </c:numRef>
          </c:cat>
          <c:val>
            <c:numRef>
              <c:f>Feuil3!$E$17:$E$21</c:f>
              <c:numCache>
                <c:formatCode>General</c:formatCode>
                <c:ptCount val="5"/>
                <c:pt idx="0">
                  <c:v>4.17</c:v>
                </c:pt>
                <c:pt idx="1">
                  <c:v>8.59</c:v>
                </c:pt>
                <c:pt idx="2">
                  <c:v>6.84</c:v>
                </c:pt>
                <c:pt idx="3">
                  <c:v>5.42</c:v>
                </c:pt>
                <c:pt idx="4">
                  <c:v>5.12</c:v>
                </c:pt>
              </c:numCache>
            </c:numRef>
          </c:val>
          <c:extLst>
            <c:ext xmlns:c16="http://schemas.microsoft.com/office/drawing/2014/chart" uri="{C3380CC4-5D6E-409C-BE32-E72D297353CC}">
              <c16:uniqueId val="{00000000-D807-4760-88D4-A28B95A4C44D}"/>
            </c:ext>
          </c:extLst>
        </c:ser>
        <c:dLbls>
          <c:dLblPos val="outEnd"/>
          <c:showLegendKey val="0"/>
          <c:showVal val="1"/>
          <c:showCatName val="0"/>
          <c:showSerName val="0"/>
          <c:showPercent val="0"/>
          <c:showBubbleSize val="0"/>
        </c:dLbls>
        <c:gapWidth val="100"/>
        <c:overlap val="-24"/>
        <c:axId val="540177800"/>
        <c:axId val="540173120"/>
      </c:barChart>
      <c:catAx>
        <c:axId val="5401778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73120"/>
        <c:crosses val="autoZero"/>
        <c:auto val="1"/>
        <c:lblAlgn val="ctr"/>
        <c:lblOffset val="100"/>
        <c:noMultiLvlLbl val="0"/>
      </c:catAx>
      <c:valAx>
        <c:axId val="54017312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77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Feuil4!$B$1</c:f>
              <c:strCache>
                <c:ptCount val="1"/>
                <c:pt idx="0">
                  <c:v>Diluted EPS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Feuil4!$A$2:$A$6</c:f>
              <c:numCache>
                <c:formatCode>General</c:formatCode>
                <c:ptCount val="5"/>
                <c:pt idx="0">
                  <c:v>2021</c:v>
                </c:pt>
                <c:pt idx="1">
                  <c:v>2022</c:v>
                </c:pt>
                <c:pt idx="2">
                  <c:v>2023</c:v>
                </c:pt>
                <c:pt idx="3">
                  <c:v>2024</c:v>
                </c:pt>
                <c:pt idx="4">
                  <c:v>2025</c:v>
                </c:pt>
              </c:numCache>
            </c:numRef>
          </c:cat>
          <c:val>
            <c:numRef>
              <c:f>Feuil4!$B$2:$B$6</c:f>
              <c:numCache>
                <c:formatCode>General</c:formatCode>
                <c:ptCount val="5"/>
                <c:pt idx="0">
                  <c:v>3.34</c:v>
                </c:pt>
                <c:pt idx="1">
                  <c:v>7.24</c:v>
                </c:pt>
                <c:pt idx="2">
                  <c:v>10.18</c:v>
                </c:pt>
                <c:pt idx="3">
                  <c:v>8.33</c:v>
                </c:pt>
                <c:pt idx="4">
                  <c:v>9.51</c:v>
                </c:pt>
              </c:numCache>
            </c:numRef>
          </c:val>
          <c:extLst>
            <c:ext xmlns:c16="http://schemas.microsoft.com/office/drawing/2014/chart" uri="{C3380CC4-5D6E-409C-BE32-E72D297353CC}">
              <c16:uniqueId val="{00000000-DF8A-4419-A520-7BABDEDCF364}"/>
            </c:ext>
          </c:extLst>
        </c:ser>
        <c:dLbls>
          <c:showLegendKey val="0"/>
          <c:showVal val="0"/>
          <c:showCatName val="0"/>
          <c:showSerName val="0"/>
          <c:showPercent val="0"/>
          <c:showBubbleSize val="0"/>
        </c:dLbls>
        <c:gapWidth val="100"/>
        <c:overlap val="-24"/>
        <c:axId val="540181400"/>
        <c:axId val="540183200"/>
      </c:barChart>
      <c:catAx>
        <c:axId val="5401814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83200"/>
        <c:crosses val="autoZero"/>
        <c:auto val="1"/>
        <c:lblAlgn val="ctr"/>
        <c:lblOffset val="100"/>
        <c:noMultiLvlLbl val="0"/>
      </c:catAx>
      <c:valAx>
        <c:axId val="54018320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81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Feuil4!$B$15</c:f>
              <c:strCache>
                <c:ptCount val="1"/>
                <c:pt idx="0">
                  <c:v>P/E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Feuil4!$A$16:$A$20</c:f>
              <c:numCache>
                <c:formatCode>General</c:formatCode>
                <c:ptCount val="5"/>
                <c:pt idx="0">
                  <c:v>2021</c:v>
                </c:pt>
                <c:pt idx="1">
                  <c:v>2022</c:v>
                </c:pt>
                <c:pt idx="2">
                  <c:v>2023</c:v>
                </c:pt>
                <c:pt idx="3">
                  <c:v>2024</c:v>
                </c:pt>
                <c:pt idx="4">
                  <c:v>2025</c:v>
                </c:pt>
              </c:numCache>
            </c:numRef>
          </c:cat>
          <c:val>
            <c:numRef>
              <c:f>Feuil4!$B$16:$B$20</c:f>
              <c:numCache>
                <c:formatCode>General</c:formatCode>
                <c:ptCount val="5"/>
                <c:pt idx="0">
                  <c:v>49.47</c:v>
                </c:pt>
                <c:pt idx="1">
                  <c:v>20.56</c:v>
                </c:pt>
                <c:pt idx="2">
                  <c:v>22.15</c:v>
                </c:pt>
                <c:pt idx="3">
                  <c:v>33.49</c:v>
                </c:pt>
                <c:pt idx="4">
                  <c:v>32.619999999999997</c:v>
                </c:pt>
              </c:numCache>
            </c:numRef>
          </c:val>
          <c:extLst>
            <c:ext xmlns:c16="http://schemas.microsoft.com/office/drawing/2014/chart" uri="{C3380CC4-5D6E-409C-BE32-E72D297353CC}">
              <c16:uniqueId val="{00000000-CFE2-44C5-B841-3276624F5F95}"/>
            </c:ext>
          </c:extLst>
        </c:ser>
        <c:dLbls>
          <c:showLegendKey val="0"/>
          <c:showVal val="0"/>
          <c:showCatName val="0"/>
          <c:showSerName val="0"/>
          <c:showPercent val="0"/>
          <c:showBubbleSize val="0"/>
        </c:dLbls>
        <c:gapWidth val="100"/>
        <c:overlap val="-24"/>
        <c:axId val="540158000"/>
        <c:axId val="540163760"/>
      </c:barChart>
      <c:catAx>
        <c:axId val="54015800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63760"/>
        <c:crosses val="autoZero"/>
        <c:auto val="1"/>
        <c:lblAlgn val="ctr"/>
        <c:lblOffset val="100"/>
        <c:noMultiLvlLbl val="0"/>
      </c:catAx>
      <c:valAx>
        <c:axId val="54016376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58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Feuil4!$E$16</c:f>
              <c:strCache>
                <c:ptCount val="1"/>
                <c:pt idx="0">
                  <c:v>Dividend Yield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Feuil4!$D$17:$D$21</c:f>
              <c:numCache>
                <c:formatCode>General</c:formatCode>
                <c:ptCount val="5"/>
                <c:pt idx="0">
                  <c:v>2021</c:v>
                </c:pt>
                <c:pt idx="1">
                  <c:v>2022</c:v>
                </c:pt>
                <c:pt idx="2">
                  <c:v>2023</c:v>
                </c:pt>
                <c:pt idx="3">
                  <c:v>2024</c:v>
                </c:pt>
                <c:pt idx="4">
                  <c:v>2025</c:v>
                </c:pt>
              </c:numCache>
            </c:numRef>
          </c:cat>
          <c:val>
            <c:numRef>
              <c:f>Feuil4!$E$17:$E$21</c:f>
              <c:numCache>
                <c:formatCode>0.00%</c:formatCode>
                <c:ptCount val="5"/>
                <c:pt idx="0">
                  <c:v>0</c:v>
                </c:pt>
                <c:pt idx="1">
                  <c:v>6.7000000000000002E-3</c:v>
                </c:pt>
                <c:pt idx="2">
                  <c:v>8.6999999999999994E-3</c:v>
                </c:pt>
                <c:pt idx="3">
                  <c:v>8.6E-3</c:v>
                </c:pt>
                <c:pt idx="4">
                  <c:v>8.5000000000000006E-3</c:v>
                </c:pt>
              </c:numCache>
            </c:numRef>
          </c:val>
          <c:extLst>
            <c:ext xmlns:c16="http://schemas.microsoft.com/office/drawing/2014/chart" uri="{C3380CC4-5D6E-409C-BE32-E72D297353CC}">
              <c16:uniqueId val="{00000000-0962-4FCA-B732-61EA98F02EC9}"/>
            </c:ext>
          </c:extLst>
        </c:ser>
        <c:dLbls>
          <c:showLegendKey val="0"/>
          <c:showVal val="0"/>
          <c:showCatName val="0"/>
          <c:showSerName val="0"/>
          <c:showPercent val="0"/>
          <c:showBubbleSize val="0"/>
        </c:dLbls>
        <c:gapWidth val="100"/>
        <c:overlap val="-24"/>
        <c:axId val="581834304"/>
        <c:axId val="581843304"/>
      </c:barChart>
      <c:catAx>
        <c:axId val="5818343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43304"/>
        <c:crosses val="autoZero"/>
        <c:auto val="1"/>
        <c:lblAlgn val="ctr"/>
        <c:lblOffset val="100"/>
        <c:noMultiLvlLbl val="0"/>
      </c:catAx>
      <c:valAx>
        <c:axId val="581843304"/>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1834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fr-FR"/>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Feuil5!$B$25</c:f>
              <c:strCache>
                <c:ptCount val="1"/>
                <c:pt idx="0">
                  <c:v>Net Working Capital ($m)</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Feuil5!$A$26:$A$30</c:f>
              <c:numCache>
                <c:formatCode>General</c:formatCode>
                <c:ptCount val="5"/>
                <c:pt idx="0">
                  <c:v>2021</c:v>
                </c:pt>
                <c:pt idx="1">
                  <c:v>2022</c:v>
                </c:pt>
                <c:pt idx="2">
                  <c:v>2023</c:v>
                </c:pt>
                <c:pt idx="3">
                  <c:v>2024</c:v>
                </c:pt>
                <c:pt idx="4">
                  <c:v>2025</c:v>
                </c:pt>
              </c:numCache>
            </c:numRef>
          </c:cat>
          <c:val>
            <c:numRef>
              <c:f>Feuil5!$B$26:$B$30</c:f>
              <c:numCache>
                <c:formatCode>#,##0</c:formatCode>
                <c:ptCount val="5"/>
                <c:pt idx="0">
                  <c:v>-2781</c:v>
                </c:pt>
                <c:pt idx="1">
                  <c:v>-4026</c:v>
                </c:pt>
                <c:pt idx="2">
                  <c:v>-4451</c:v>
                </c:pt>
                <c:pt idx="3">
                  <c:v>-5164</c:v>
                </c:pt>
                <c:pt idx="4">
                  <c:v>-4814</c:v>
                </c:pt>
              </c:numCache>
            </c:numRef>
          </c:val>
          <c:extLst>
            <c:ext xmlns:c16="http://schemas.microsoft.com/office/drawing/2014/chart" uri="{C3380CC4-5D6E-409C-BE32-E72D297353CC}">
              <c16:uniqueId val="{00000000-06F3-4E69-BA11-C309B54C8B7F}"/>
            </c:ext>
          </c:extLst>
        </c:ser>
        <c:dLbls>
          <c:showLegendKey val="0"/>
          <c:showVal val="0"/>
          <c:showCatName val="0"/>
          <c:showSerName val="0"/>
          <c:showPercent val="0"/>
          <c:showBubbleSize val="0"/>
        </c:dLbls>
        <c:gapWidth val="100"/>
        <c:overlap val="-24"/>
        <c:axId val="423382704"/>
        <c:axId val="540178160"/>
      </c:barChart>
      <c:catAx>
        <c:axId val="4233827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40178160"/>
        <c:crosses val="autoZero"/>
        <c:auto val="1"/>
        <c:lblAlgn val="ctr"/>
        <c:lblOffset val="100"/>
        <c:noMultiLvlLbl val="0"/>
      </c:catAx>
      <c:valAx>
        <c:axId val="540178160"/>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23382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958</TotalTime>
  <Pages>76</Pages>
  <Words>8681</Words>
  <Characters>49482</Characters>
  <Application>Microsoft Office Word</Application>
  <DocSecurity>0</DocSecurity>
  <Lines>412</Lines>
  <Paragraphs>116</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58047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Boubacar Ouedraogo</cp:lastModifiedBy>
  <cp:revision>19</cp:revision>
  <dcterms:created xsi:type="dcterms:W3CDTF">2026-08-09T20:37:00Z</dcterms:created>
  <dcterms:modified xsi:type="dcterms:W3CDTF">2026-08-12T17:58:00Z</dcterms:modified>
  <cp:category/>
</cp:coreProperties>
</file>