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38053395"/>
        <w:docPartObj>
          <w:docPartGallery w:val="Cover Pages"/>
          <w:docPartUnique/>
        </w:docPartObj>
      </w:sdtPr>
      <w:sdtEndPr>
        <w:rPr>
          <w:rFonts w:asciiTheme="minorBidi" w:eastAsia="Calibri" w:hAnsiTheme="minorBidi"/>
          <w:b/>
          <w:bCs/>
          <w:sz w:val="24"/>
          <w:szCs w:val="24"/>
        </w:rPr>
      </w:sdtEndPr>
      <w:sdtContent>
        <w:p w14:paraId="6494CF72" w14:textId="2CD9A661" w:rsidR="00C65104" w:rsidRDefault="00C65104">
          <w:r>
            <w:rPr>
              <w:noProof/>
            </w:rPr>
            <mc:AlternateContent>
              <mc:Choice Requires="wps">
                <w:drawing>
                  <wp:anchor distT="0" distB="0" distL="114300" distR="114300" simplePos="0" relativeHeight="251664384" behindDoc="0" locked="0" layoutInCell="1" allowOverlap="1" wp14:anchorId="3BE73669" wp14:editId="301F267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067E21F" w14:textId="7BC447CE" w:rsidR="00C65104"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827A5B">
                                      <w:rPr>
                                        <w:noProof/>
                                        <w:color w:val="44546A" w:themeColor="text2"/>
                                      </w:rPr>
                                      <w:t>Cerimarie Jones                                   1806930</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xmlns:pic="http://schemas.openxmlformats.org/drawingml/2006/picture" xmlns:a="http://schemas.openxmlformats.org/drawingml/2006/main" xmlns:w16du="http://schemas.microsoft.com/office/word/2023/wordml/word16du">
                <w:pict>
                  <v:shapetype id="_x0000_t202" coordsize="21600,21600" o:spt="202" path="m,l,21600r21600,l21600,xe" w14:anchorId="3BE73669">
                    <v:stroke joinstyle="miter"/>
                    <v:path gradientshapeok="t" o:connecttype="rect"/>
                  </v:shapetype>
                  <v:shape id="Text Box 79"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v:textbox style="mso-fit-shape-to-text:t">
                      <w:txbxContent>
                        <w:p w:rsidR="00C65104" w:rsidRDefault="00BD5165" w14:paraId="7067E21F" w14:textId="7BC447C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827A5B">
                                <w:rPr>
                                  <w:noProof/>
                                  <w:color w:val="44546A" w:themeColor="text2"/>
                                </w:rPr>
                                <w:t>Cerimarie Jones                                   1806930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614B380" wp14:editId="5336F56A">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C3A1A67" w14:textId="77777777" w:rsidR="00C65104" w:rsidRDefault="00C6510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pic="http://schemas.openxmlformats.org/drawingml/2006/picture" xmlns:a="http://schemas.openxmlformats.org/drawingml/2006/main" xmlns:w16du="http://schemas.microsoft.com/office/word/2023/wordml/word16du">
                <w:pict>
                  <v:rect id="Rectangle 80"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7" fillcolor="#d9e2f3 [660]" stroked="f" strokeweight="1pt" w14:anchorId="3614B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v:fill type="gradient" color2="#8eaadb [1940]" focus="100%" rotate="t">
                      <o:fill v:ext="view" type="gradientUnscaled"/>
                    </v:fill>
                    <v:textbox inset="21.6pt,,21.6pt">
                      <w:txbxContent>
                        <w:p w:rsidR="00C65104" w:rsidRDefault="00C65104" w14:paraId="1C3A1A67" w14:textId="77777777"/>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E71BB05" wp14:editId="20F8FBC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D374E4" w14:textId="630B73E1" w:rsidR="00C65104" w:rsidRDefault="00822B72" w:rsidP="00C65104">
                                <w:pPr>
                                  <w:spacing w:before="240"/>
                                  <w:rPr>
                                    <w:color w:val="FFFFFF" w:themeColor="background1"/>
                                  </w:rPr>
                                </w:pPr>
                                <w:r w:rsidRPr="00822B72">
                                  <w:rPr>
                                    <w:noProof/>
                                  </w:rPr>
                                  <w:drawing>
                                    <wp:inline distT="0" distB="0" distL="0" distR="0" wp14:anchorId="49697008" wp14:editId="12587E88">
                                      <wp:extent cx="2418715" cy="846455"/>
                                      <wp:effectExtent l="0" t="0" r="635" b="0"/>
                                      <wp:docPr id="1068905384"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905384" name="Picture 1" descr="A black background with white text&#10;&#10;Description automatically generated"/>
                                              <pic:cNvPicPr/>
                                            </pic:nvPicPr>
                                            <pic:blipFill>
                                              <a:blip r:embed="rId7"/>
                                              <a:stretch>
                                                <a:fillRect/>
                                              </a:stretch>
                                            </pic:blipFill>
                                            <pic:spPr>
                                              <a:xfrm>
                                                <a:off x="0" y="0"/>
                                                <a:ext cx="2418715" cy="846455"/>
                                              </a:xfrm>
                                              <a:prstGeom prst="rect">
                                                <a:avLst/>
                                              </a:prstGeom>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xmlns:pic="http://schemas.openxmlformats.org/drawingml/2006/picture" xmlns:a="http://schemas.openxmlformats.org/drawingml/2006/main" xmlns:w16du="http://schemas.microsoft.com/office/word/2023/wordml/word16du">
                <w:pict>
                  <v:rect id="Rectangle 81"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spid="_x0000_s1028" fillcolor="#44546a [3215]" stroked="f" strokeweight="1pt" w14:anchorId="7E71BB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v:textbox inset="14.4pt,14.4pt,14.4pt,28.8pt">
                      <w:txbxContent>
                        <w:p w:rsidR="00C65104" w:rsidP="00C65104" w:rsidRDefault="00822B72" w14:paraId="17D374E4" w14:textId="630B73E1">
                          <w:pPr>
                            <w:spacing w:before="240"/>
                            <w:rPr>
                              <w:color w:val="FFFFFF" w:themeColor="background1"/>
                            </w:rPr>
                          </w:pPr>
                          <w:r w:rsidRPr="00822B72">
                            <w:rPr>
                              <w:noProof/>
                            </w:rPr>
                            <w:drawing>
                              <wp:inline distT="0" distB="0" distL="0" distR="0" wp14:anchorId="49697008" wp14:editId="12587E88">
                                <wp:extent cx="2418715" cy="846455"/>
                                <wp:effectExtent l="0" t="0" r="635" b="0"/>
                                <wp:docPr id="1068905384"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905384" name="Picture 1" descr="A black background with white text&#10;&#10;Description automatically generated"/>
                                        <pic:cNvPicPr/>
                                      </pic:nvPicPr>
                                      <pic:blipFill>
                                        <a:blip r:embed="rId8"/>
                                        <a:stretch>
                                          <a:fillRect/>
                                        </a:stretch>
                                      </pic:blipFill>
                                      <pic:spPr>
                                        <a:xfrm>
                                          <a:off x="0" y="0"/>
                                          <a:ext cx="2418715" cy="846455"/>
                                        </a:xfrm>
                                        <a:prstGeom prst="rect">
                                          <a:avLst/>
                                        </a:prstGeom>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DCD1A38" wp14:editId="0073A00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pic="http://schemas.openxmlformats.org/drawingml/2006/picture" xmlns:a="http://schemas.openxmlformats.org/drawingml/2006/main" xmlns:w16du="http://schemas.microsoft.com/office/word/2023/wordml/word16du">
                <w:pict>
                  <v:rect id="Rectangle 82"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spid="_x0000_s1026" fillcolor="white [3212]" strokecolor="#747070 [1614]" strokeweight="1.25pt" w14:anchorId="417C2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ECDE8AE" wp14:editId="6C643C6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pic="http://schemas.openxmlformats.org/drawingml/2006/picture" xmlns:a="http://schemas.openxmlformats.org/drawingml/2006/main" xmlns:w16du="http://schemas.microsoft.com/office/word/2023/wordml/word16du">
                <w:pict>
                  <v:rect id="Rectangle 83"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spid="_x0000_s1026" fillcolor="#4472c4 [3204]" stroked="f" strokeweight="1pt" w14:anchorId="5EA8CA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C6DC455" wp14:editId="7A11E26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E137821" w14:textId="5622C88D" w:rsidR="00C65104" w:rsidRDefault="009D5C5D">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Action Research</w:t>
                                    </w:r>
                                    <w:r w:rsidR="00E13EE1">
                                      <w:rPr>
                                        <w:rFonts w:asciiTheme="majorHAnsi" w:eastAsiaTheme="majorEastAsia" w:hAnsiTheme="majorHAnsi" w:cstheme="majorBidi"/>
                                        <w:noProof/>
                                        <w:color w:val="4472C4" w:themeColor="accent1"/>
                                        <w:sz w:val="72"/>
                                        <w:szCs w:val="72"/>
                                      </w:rPr>
                                      <w:t xml:space="preserve"> Project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BF45AD6" w14:textId="35CC8E79" w:rsidR="00C65104" w:rsidRDefault="00827A5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ECPT6009                                        Lecturer: Mark Flagg                      Word Count:</w:t>
                                    </w:r>
                                    <w:r w:rsidR="00314EB3">
                                      <w:rPr>
                                        <w:rFonts w:asciiTheme="majorHAnsi" w:eastAsiaTheme="majorEastAsia" w:hAnsiTheme="majorHAnsi" w:cstheme="majorBidi"/>
                                        <w:noProof/>
                                        <w:color w:val="44546A" w:themeColor="text2"/>
                                        <w:sz w:val="32"/>
                                        <w:szCs w:val="32"/>
                                      </w:rPr>
                                      <w:t>4053</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5C6DC455" id="_x0000_t202" coordsize="21600,21600" o:spt="202" path="m,l,21600r21600,l21600,xe">
                    <v:stroke joinstyle="miter"/>
                    <v:path gradientshapeok="t" o:connecttype="rect"/>
                  </v:shapetype>
                  <v:shape id="Text Box 84"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E137821" w14:textId="5622C88D" w:rsidR="00C65104" w:rsidRDefault="009D5C5D">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Action Research</w:t>
                              </w:r>
                              <w:r w:rsidR="00E13EE1">
                                <w:rPr>
                                  <w:rFonts w:asciiTheme="majorHAnsi" w:eastAsiaTheme="majorEastAsia" w:hAnsiTheme="majorHAnsi" w:cstheme="majorBidi"/>
                                  <w:noProof/>
                                  <w:color w:val="4472C4" w:themeColor="accent1"/>
                                  <w:sz w:val="72"/>
                                  <w:szCs w:val="72"/>
                                </w:rPr>
                                <w:t xml:space="preserve"> Project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BF45AD6" w14:textId="35CC8E79" w:rsidR="00C65104" w:rsidRDefault="00827A5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ECPT6009                                        Lecturer: Mark Flagg                      Word Count:</w:t>
                              </w:r>
                              <w:r w:rsidR="00314EB3">
                                <w:rPr>
                                  <w:rFonts w:asciiTheme="majorHAnsi" w:eastAsiaTheme="majorEastAsia" w:hAnsiTheme="majorHAnsi" w:cstheme="majorBidi"/>
                                  <w:noProof/>
                                  <w:color w:val="44546A" w:themeColor="text2"/>
                                  <w:sz w:val="32"/>
                                  <w:szCs w:val="32"/>
                                </w:rPr>
                                <w:t>4053</w:t>
                              </w:r>
                            </w:p>
                          </w:sdtContent>
                        </w:sdt>
                      </w:txbxContent>
                    </v:textbox>
                    <w10:wrap type="square" anchorx="page" anchory="page"/>
                  </v:shape>
                </w:pict>
              </mc:Fallback>
            </mc:AlternateContent>
          </w:r>
        </w:p>
        <w:p w14:paraId="552CB9A4" w14:textId="6F81834C" w:rsidR="00C65104" w:rsidRDefault="00C65104">
          <w:pPr>
            <w:rPr>
              <w:rFonts w:asciiTheme="minorBidi" w:eastAsia="Calibri" w:hAnsiTheme="minorBidi"/>
              <w:b/>
              <w:bCs/>
              <w:sz w:val="24"/>
              <w:szCs w:val="24"/>
            </w:rPr>
          </w:pPr>
          <w:r>
            <w:rPr>
              <w:rFonts w:asciiTheme="minorBidi" w:eastAsia="Calibri" w:hAnsiTheme="minorBidi"/>
              <w:b/>
              <w:bCs/>
              <w:sz w:val="24"/>
              <w:szCs w:val="24"/>
            </w:rPr>
            <w:br w:type="page"/>
          </w:r>
        </w:p>
      </w:sdtContent>
    </w:sdt>
    <w:p w14:paraId="61A7F4A9" w14:textId="5B89EBED" w:rsidR="00517E2D" w:rsidRPr="00314EB3" w:rsidRDefault="00517E2D" w:rsidP="00A62EFA">
      <w:pPr>
        <w:spacing w:line="360" w:lineRule="auto"/>
        <w:rPr>
          <w:rFonts w:asciiTheme="minorBidi" w:eastAsia="Calibri" w:hAnsiTheme="minorBidi"/>
          <w:b/>
          <w:bCs/>
          <w:sz w:val="24"/>
          <w:szCs w:val="24"/>
        </w:rPr>
      </w:pPr>
      <w:r w:rsidRPr="00314EB3">
        <w:rPr>
          <w:rFonts w:asciiTheme="minorBidi" w:eastAsia="Calibri" w:hAnsiTheme="minorBidi"/>
          <w:b/>
          <w:bCs/>
          <w:sz w:val="24"/>
          <w:szCs w:val="24"/>
        </w:rPr>
        <w:lastRenderedPageBreak/>
        <w:t>Introduction</w:t>
      </w:r>
    </w:p>
    <w:p w14:paraId="2E4BE431" w14:textId="31B5B634" w:rsidR="00A62EFA" w:rsidRPr="00314EB3" w:rsidRDefault="72EE2661" w:rsidP="57763B71">
      <w:pPr>
        <w:spacing w:line="360" w:lineRule="auto"/>
        <w:rPr>
          <w:rFonts w:asciiTheme="minorBidi" w:eastAsia="Calibri" w:hAnsiTheme="minorBidi"/>
          <w:sz w:val="24"/>
          <w:szCs w:val="24"/>
        </w:rPr>
      </w:pPr>
      <w:r w:rsidRPr="00314EB3">
        <w:rPr>
          <w:rFonts w:asciiTheme="minorBidi" w:eastAsia="Calibri" w:hAnsiTheme="minorBidi"/>
          <w:sz w:val="24"/>
          <w:szCs w:val="24"/>
        </w:rPr>
        <w:t>The United Nations has the intention of ensuring education of a high standard as s</w:t>
      </w:r>
      <w:r w:rsidR="61E43FA4" w:rsidRPr="00314EB3">
        <w:rPr>
          <w:rFonts w:asciiTheme="minorBidi" w:eastAsia="Calibri" w:hAnsiTheme="minorBidi"/>
          <w:sz w:val="24"/>
          <w:szCs w:val="24"/>
        </w:rPr>
        <w:t>et out in their Sustainable Development Agenda for 2030.</w:t>
      </w:r>
      <w:r w:rsidR="00A62EFA" w:rsidRPr="00314EB3">
        <w:rPr>
          <w:rFonts w:asciiTheme="minorBidi" w:eastAsia="Calibri" w:hAnsiTheme="minorBidi"/>
          <w:sz w:val="24"/>
          <w:szCs w:val="24"/>
        </w:rPr>
        <w:t xml:space="preserve"> It </w:t>
      </w:r>
      <w:r w:rsidR="7539F1B6" w:rsidRPr="00314EB3">
        <w:rPr>
          <w:rFonts w:asciiTheme="minorBidi" w:eastAsia="Calibri" w:hAnsiTheme="minorBidi"/>
          <w:sz w:val="24"/>
          <w:szCs w:val="24"/>
        </w:rPr>
        <w:t xml:space="preserve">aims to ensure </w:t>
      </w:r>
      <w:r w:rsidR="00A62EFA" w:rsidRPr="00314EB3">
        <w:rPr>
          <w:rFonts w:asciiTheme="minorBidi" w:eastAsia="Calibri" w:hAnsiTheme="minorBidi"/>
          <w:sz w:val="24"/>
          <w:szCs w:val="24"/>
        </w:rPr>
        <w:t xml:space="preserve">inclusive and equitable education for all learners. </w:t>
      </w:r>
      <w:r w:rsidR="5EAC9EE2" w:rsidRPr="00314EB3">
        <w:rPr>
          <w:rFonts w:asciiTheme="minorBidi" w:eastAsia="Calibri" w:hAnsiTheme="minorBidi"/>
          <w:sz w:val="24"/>
          <w:szCs w:val="24"/>
        </w:rPr>
        <w:t>According to Halem et al (2022), an important part of this aim is developing the use of digital technology.</w:t>
      </w:r>
      <w:r w:rsidR="00A62EFA" w:rsidRPr="00314EB3">
        <w:rPr>
          <w:rFonts w:asciiTheme="minorBidi" w:eastAsia="Calibri" w:hAnsiTheme="minorBidi"/>
          <w:sz w:val="24"/>
          <w:szCs w:val="24"/>
        </w:rPr>
        <w:t xml:space="preserve"> </w:t>
      </w:r>
    </w:p>
    <w:p w14:paraId="307DE93E" w14:textId="7E802AC6" w:rsidR="00A62EFA" w:rsidRPr="00314EB3" w:rsidRDefault="00A62EFA" w:rsidP="57763B71">
      <w:pPr>
        <w:spacing w:line="360" w:lineRule="auto"/>
        <w:rPr>
          <w:rFonts w:asciiTheme="minorBidi" w:hAnsiTheme="minorBidi"/>
          <w:sz w:val="24"/>
          <w:szCs w:val="24"/>
        </w:rPr>
      </w:pPr>
      <w:r w:rsidRPr="00314EB3">
        <w:rPr>
          <w:rFonts w:asciiTheme="minorBidi" w:eastAsia="Calibri" w:hAnsiTheme="minorBidi"/>
          <w:sz w:val="24"/>
          <w:szCs w:val="24"/>
        </w:rPr>
        <w:t xml:space="preserve">Over recent years, e-learning has become increasingly popular as </w:t>
      </w:r>
      <w:r w:rsidR="74ACA61F" w:rsidRPr="00314EB3">
        <w:rPr>
          <w:rFonts w:asciiTheme="minorBidi" w:eastAsia="Calibri" w:hAnsiTheme="minorBidi"/>
          <w:sz w:val="24"/>
          <w:szCs w:val="24"/>
        </w:rPr>
        <w:t>a way of teaching post-16 students,</w:t>
      </w:r>
      <w:r w:rsidRPr="00314EB3">
        <w:rPr>
          <w:rFonts w:asciiTheme="minorBidi" w:eastAsia="Calibri" w:hAnsiTheme="minorBidi"/>
          <w:sz w:val="24"/>
          <w:szCs w:val="24"/>
        </w:rPr>
        <w:t xml:space="preserve"> providing a convenient and adaptable substitute for traditional classroom-based learning </w:t>
      </w:r>
      <w:r w:rsidR="00AC0C87" w:rsidRPr="00314EB3">
        <w:rPr>
          <w:rFonts w:asciiTheme="minorBidi" w:eastAsia="Calibri" w:hAnsiTheme="minorBidi"/>
          <w:sz w:val="24"/>
          <w:szCs w:val="24"/>
        </w:rPr>
        <w:t xml:space="preserve">(Hammer and Smith, 2021). </w:t>
      </w:r>
      <w:r w:rsidRPr="00314EB3">
        <w:rPr>
          <w:rFonts w:asciiTheme="minorBidi" w:eastAsia="Calibri" w:hAnsiTheme="minorBidi"/>
          <w:sz w:val="24"/>
          <w:szCs w:val="24"/>
        </w:rPr>
        <w:t xml:space="preserve">However, despite its widespread use, there is a need to critically assess the extent of its effectiveness in teaching and learning. This action research </w:t>
      </w:r>
      <w:r w:rsidR="4A6C53AF" w:rsidRPr="00314EB3">
        <w:rPr>
          <w:rFonts w:asciiTheme="minorBidi" w:eastAsia="Calibri" w:hAnsiTheme="minorBidi"/>
          <w:sz w:val="24"/>
          <w:szCs w:val="24"/>
        </w:rPr>
        <w:t>intends t</w:t>
      </w:r>
      <w:r w:rsidRPr="00314EB3">
        <w:rPr>
          <w:rFonts w:asciiTheme="minorBidi" w:eastAsia="Calibri" w:hAnsiTheme="minorBidi"/>
          <w:sz w:val="24"/>
          <w:szCs w:val="24"/>
        </w:rPr>
        <w:t>o address this by examining how e-learning influences pedagogy and student engagement.</w:t>
      </w:r>
    </w:p>
    <w:p w14:paraId="6969C743" w14:textId="664B97CD" w:rsidR="00A62EFA" w:rsidRPr="00314EB3" w:rsidRDefault="00A62EFA" w:rsidP="57763B71">
      <w:pPr>
        <w:spacing w:line="360" w:lineRule="auto"/>
        <w:rPr>
          <w:rFonts w:asciiTheme="minorBidi" w:eastAsia="Calibri" w:hAnsiTheme="minorBidi"/>
          <w:sz w:val="24"/>
          <w:szCs w:val="24"/>
        </w:rPr>
      </w:pPr>
      <w:r w:rsidRPr="00314EB3">
        <w:rPr>
          <w:rFonts w:asciiTheme="minorBidi" w:eastAsia="Calibri" w:hAnsiTheme="minorBidi"/>
          <w:sz w:val="24"/>
          <w:szCs w:val="24"/>
        </w:rPr>
        <w:t xml:space="preserve">The rationale behind this research comes from the increasing </w:t>
      </w:r>
      <w:r w:rsidR="5ED0E670" w:rsidRPr="00314EB3">
        <w:rPr>
          <w:rFonts w:asciiTheme="minorBidi" w:eastAsia="Calibri" w:hAnsiTheme="minorBidi"/>
          <w:sz w:val="24"/>
          <w:szCs w:val="24"/>
        </w:rPr>
        <w:t>importance of using technology when teaching in the higher education sector</w:t>
      </w:r>
      <w:r w:rsidR="53891FB0" w:rsidRPr="00314EB3">
        <w:rPr>
          <w:rFonts w:asciiTheme="minorBidi" w:eastAsia="Calibri" w:hAnsiTheme="minorBidi"/>
          <w:sz w:val="24"/>
          <w:szCs w:val="24"/>
        </w:rPr>
        <w:t>,</w:t>
      </w:r>
      <w:r w:rsidRPr="00314EB3">
        <w:rPr>
          <w:rFonts w:asciiTheme="minorBidi" w:eastAsia="Calibri" w:hAnsiTheme="minorBidi"/>
          <w:sz w:val="24"/>
          <w:szCs w:val="24"/>
        </w:rPr>
        <w:t xml:space="preserve"> vocational training, and adult education. As educational institutes continue to embed digital technologies into their programmes, it becomes necessary to assess how it is impacting </w:t>
      </w:r>
      <w:r w:rsidR="253A3524" w:rsidRPr="00314EB3">
        <w:rPr>
          <w:rFonts w:asciiTheme="minorBidi" w:eastAsia="Calibri" w:hAnsiTheme="minorBidi"/>
          <w:sz w:val="24"/>
          <w:szCs w:val="24"/>
        </w:rPr>
        <w:t>education.</w:t>
      </w:r>
      <w:r w:rsidRPr="00314EB3">
        <w:rPr>
          <w:rFonts w:asciiTheme="minorBidi" w:eastAsia="Calibri" w:hAnsiTheme="minorBidi"/>
          <w:sz w:val="24"/>
          <w:szCs w:val="24"/>
        </w:rPr>
        <w:t xml:space="preserve"> </w:t>
      </w:r>
      <w:r w:rsidR="4D22894C" w:rsidRPr="00314EB3">
        <w:rPr>
          <w:rFonts w:asciiTheme="minorBidi" w:eastAsia="Calibri" w:hAnsiTheme="minorBidi"/>
          <w:sz w:val="24"/>
          <w:szCs w:val="24"/>
        </w:rPr>
        <w:t>In addition, taking into consideratio</w:t>
      </w:r>
      <w:r w:rsidR="14E43A7F" w:rsidRPr="00314EB3">
        <w:rPr>
          <w:rFonts w:asciiTheme="minorBidi" w:eastAsia="Calibri" w:hAnsiTheme="minorBidi"/>
          <w:sz w:val="24"/>
          <w:szCs w:val="24"/>
        </w:rPr>
        <w:t xml:space="preserve">n present use of hybrid learning methods, using both in person and </w:t>
      </w:r>
      <w:r w:rsidRPr="00314EB3">
        <w:rPr>
          <w:rFonts w:asciiTheme="minorBidi" w:eastAsia="Calibri" w:hAnsiTheme="minorBidi"/>
          <w:sz w:val="24"/>
          <w:szCs w:val="24"/>
        </w:rPr>
        <w:t>virtual learning</w:t>
      </w:r>
      <w:r w:rsidR="00517E2D" w:rsidRPr="00314EB3">
        <w:rPr>
          <w:rFonts w:asciiTheme="minorBidi" w:eastAsia="Calibri" w:hAnsiTheme="minorBidi"/>
          <w:sz w:val="24"/>
          <w:szCs w:val="24"/>
        </w:rPr>
        <w:t xml:space="preserve"> (Ali et al., 2023)</w:t>
      </w:r>
      <w:r w:rsidRPr="00314EB3">
        <w:rPr>
          <w:rFonts w:asciiTheme="minorBidi" w:eastAsia="Calibri" w:hAnsiTheme="minorBidi"/>
          <w:sz w:val="24"/>
          <w:szCs w:val="24"/>
        </w:rPr>
        <w:t xml:space="preserve"> this research is highly relevant. Curriculum development projects and instructional design strategies must </w:t>
      </w:r>
      <w:proofErr w:type="gramStart"/>
      <w:r w:rsidRPr="00314EB3">
        <w:rPr>
          <w:rFonts w:asciiTheme="minorBidi" w:eastAsia="Calibri" w:hAnsiTheme="minorBidi"/>
          <w:sz w:val="24"/>
          <w:szCs w:val="24"/>
        </w:rPr>
        <w:t>take into account</w:t>
      </w:r>
      <w:proofErr w:type="gramEnd"/>
      <w:r w:rsidRPr="00314EB3">
        <w:rPr>
          <w:rFonts w:asciiTheme="minorBidi" w:eastAsia="Calibri" w:hAnsiTheme="minorBidi"/>
          <w:sz w:val="24"/>
          <w:szCs w:val="24"/>
        </w:rPr>
        <w:t xml:space="preserve"> the function that e-learning plays in these hybrid contexts. Furthermore, an increasing number of industries in today's digital economy </w:t>
      </w:r>
      <w:proofErr w:type="gramStart"/>
      <w:r w:rsidRPr="00314EB3">
        <w:rPr>
          <w:rFonts w:asciiTheme="minorBidi" w:eastAsia="Calibri" w:hAnsiTheme="minorBidi"/>
          <w:sz w:val="24"/>
          <w:szCs w:val="24"/>
        </w:rPr>
        <w:t>are in need of</w:t>
      </w:r>
      <w:proofErr w:type="gramEnd"/>
      <w:r w:rsidRPr="00314EB3">
        <w:rPr>
          <w:rFonts w:asciiTheme="minorBidi" w:eastAsia="Calibri" w:hAnsiTheme="minorBidi"/>
          <w:sz w:val="24"/>
          <w:szCs w:val="24"/>
        </w:rPr>
        <w:t xml:space="preserve"> strong digital capabilities. It is expected of educational institutions to modify their procedures and curricula to reflect these changes as post-compulsory education is essential in providing people with the </w:t>
      </w:r>
      <w:proofErr w:type="gramStart"/>
      <w:r w:rsidRPr="00314EB3">
        <w:rPr>
          <w:rFonts w:asciiTheme="minorBidi" w:eastAsia="Calibri" w:hAnsiTheme="minorBidi"/>
          <w:sz w:val="24"/>
          <w:szCs w:val="24"/>
        </w:rPr>
        <w:t>skills</w:t>
      </w:r>
      <w:proofErr w:type="gramEnd"/>
      <w:r w:rsidRPr="00314EB3">
        <w:rPr>
          <w:rFonts w:asciiTheme="minorBidi" w:eastAsia="Calibri" w:hAnsiTheme="minorBidi"/>
          <w:sz w:val="24"/>
          <w:szCs w:val="24"/>
        </w:rPr>
        <w:t xml:space="preserve"> they need to prosper in the quickly changing digital world (Welsh Government, 2019). </w:t>
      </w:r>
    </w:p>
    <w:p w14:paraId="1A0E4A15" w14:textId="77777777" w:rsidR="00A62EFA" w:rsidRPr="00314EB3" w:rsidRDefault="00A62EFA" w:rsidP="00A62EFA">
      <w:pPr>
        <w:spacing w:line="360" w:lineRule="auto"/>
        <w:rPr>
          <w:rFonts w:asciiTheme="minorBidi" w:eastAsia="Calibri" w:hAnsiTheme="minorBidi"/>
          <w:b/>
          <w:bCs/>
          <w:sz w:val="24"/>
          <w:szCs w:val="24"/>
        </w:rPr>
      </w:pPr>
      <w:r w:rsidRPr="00314EB3">
        <w:rPr>
          <w:rFonts w:asciiTheme="minorBidi" w:eastAsia="Calibri" w:hAnsiTheme="minorBidi"/>
          <w:b/>
          <w:bCs/>
          <w:sz w:val="24"/>
          <w:szCs w:val="24"/>
        </w:rPr>
        <w:t>Aim</w:t>
      </w:r>
    </w:p>
    <w:p w14:paraId="313CBAF5" w14:textId="6557B727" w:rsidR="00A62EFA" w:rsidRPr="00314EB3" w:rsidRDefault="00A62EFA" w:rsidP="57763B71">
      <w:pPr>
        <w:spacing w:line="360" w:lineRule="auto"/>
        <w:rPr>
          <w:rFonts w:asciiTheme="minorBidi" w:hAnsiTheme="minorBidi"/>
          <w:sz w:val="24"/>
          <w:szCs w:val="24"/>
        </w:rPr>
      </w:pPr>
      <w:r w:rsidRPr="00314EB3">
        <w:rPr>
          <w:rFonts w:asciiTheme="minorBidi" w:hAnsiTheme="minorBidi"/>
          <w:sz w:val="24"/>
          <w:szCs w:val="24"/>
        </w:rPr>
        <w:t>This action research aims to assess the eff</w:t>
      </w:r>
      <w:r w:rsidR="2F2B3182" w:rsidRPr="00314EB3">
        <w:rPr>
          <w:rFonts w:asciiTheme="minorBidi" w:hAnsiTheme="minorBidi"/>
          <w:sz w:val="24"/>
          <w:szCs w:val="24"/>
        </w:rPr>
        <w:t>icacy</w:t>
      </w:r>
      <w:r w:rsidRPr="00314EB3">
        <w:rPr>
          <w:rFonts w:asciiTheme="minorBidi" w:hAnsiTheme="minorBidi"/>
          <w:sz w:val="24"/>
          <w:szCs w:val="24"/>
        </w:rPr>
        <w:t xml:space="preserve"> of e-learning for both teaching and learning in post-compulsory education. </w:t>
      </w:r>
    </w:p>
    <w:p w14:paraId="01DD0CBE" w14:textId="77777777" w:rsidR="00A62EFA" w:rsidRPr="00314EB3" w:rsidRDefault="00A62EFA" w:rsidP="00A62EFA">
      <w:pPr>
        <w:spacing w:line="360" w:lineRule="auto"/>
        <w:rPr>
          <w:rFonts w:asciiTheme="minorBidi" w:hAnsiTheme="minorBidi"/>
          <w:b/>
          <w:bCs/>
          <w:sz w:val="24"/>
          <w:szCs w:val="24"/>
        </w:rPr>
      </w:pPr>
      <w:r w:rsidRPr="00314EB3">
        <w:rPr>
          <w:rFonts w:asciiTheme="minorBidi" w:hAnsiTheme="minorBidi"/>
          <w:b/>
          <w:bCs/>
          <w:sz w:val="24"/>
          <w:szCs w:val="24"/>
        </w:rPr>
        <w:t>Research Focus</w:t>
      </w:r>
    </w:p>
    <w:p w14:paraId="183E904B" w14:textId="77777777" w:rsidR="00A62EFA" w:rsidRPr="00314EB3" w:rsidRDefault="00A62EFA" w:rsidP="57763B71">
      <w:pPr>
        <w:spacing w:line="360" w:lineRule="auto"/>
        <w:rPr>
          <w:rFonts w:asciiTheme="minorBidi" w:hAnsiTheme="minorBidi"/>
          <w:sz w:val="24"/>
          <w:szCs w:val="24"/>
        </w:rPr>
      </w:pPr>
      <w:r w:rsidRPr="00314EB3">
        <w:rPr>
          <w:rFonts w:asciiTheme="minorBidi" w:hAnsiTheme="minorBidi"/>
          <w:sz w:val="24"/>
          <w:szCs w:val="24"/>
        </w:rPr>
        <w:t>The following research questions will be addressed to achieve this aim:</w:t>
      </w:r>
    </w:p>
    <w:p w14:paraId="33325ABA" w14:textId="762FEDFA" w:rsidR="00A62EFA" w:rsidRPr="00314EB3" w:rsidRDefault="00A62EFA" w:rsidP="57763B71">
      <w:pPr>
        <w:numPr>
          <w:ilvl w:val="0"/>
          <w:numId w:val="1"/>
        </w:numPr>
        <w:spacing w:line="360" w:lineRule="auto"/>
        <w:ind w:left="357" w:hanging="357"/>
        <w:rPr>
          <w:rFonts w:asciiTheme="minorBidi" w:hAnsiTheme="minorBidi"/>
          <w:sz w:val="24"/>
          <w:szCs w:val="24"/>
        </w:rPr>
      </w:pPr>
      <w:r w:rsidRPr="00314EB3">
        <w:rPr>
          <w:rFonts w:asciiTheme="minorBidi" w:hAnsiTheme="minorBidi"/>
          <w:sz w:val="24"/>
          <w:szCs w:val="24"/>
        </w:rPr>
        <w:lastRenderedPageBreak/>
        <w:t xml:space="preserve">How do current educational policies influence the </w:t>
      </w:r>
      <w:r w:rsidR="5C21B98F" w:rsidRPr="00314EB3">
        <w:rPr>
          <w:rFonts w:asciiTheme="minorBidi" w:hAnsiTheme="minorBidi"/>
          <w:sz w:val="24"/>
          <w:szCs w:val="24"/>
        </w:rPr>
        <w:t>development</w:t>
      </w:r>
      <w:r w:rsidRPr="00314EB3">
        <w:rPr>
          <w:rFonts w:asciiTheme="minorBidi" w:hAnsiTheme="minorBidi"/>
          <w:sz w:val="24"/>
          <w:szCs w:val="24"/>
        </w:rPr>
        <w:t xml:space="preserve"> of technology in the classroom?</w:t>
      </w:r>
    </w:p>
    <w:p w14:paraId="2DCF5502" w14:textId="77777777" w:rsidR="00A62EFA" w:rsidRPr="00314EB3" w:rsidRDefault="00A62EFA" w:rsidP="57763B71">
      <w:pPr>
        <w:numPr>
          <w:ilvl w:val="0"/>
          <w:numId w:val="1"/>
        </w:numPr>
        <w:spacing w:line="360" w:lineRule="auto"/>
        <w:ind w:left="357" w:hanging="357"/>
        <w:rPr>
          <w:rFonts w:asciiTheme="minorBidi" w:hAnsiTheme="minorBidi"/>
          <w:sz w:val="24"/>
          <w:szCs w:val="24"/>
        </w:rPr>
      </w:pPr>
      <w:r w:rsidRPr="00314EB3">
        <w:rPr>
          <w:rFonts w:asciiTheme="minorBidi" w:hAnsiTheme="minorBidi"/>
          <w:sz w:val="24"/>
          <w:szCs w:val="24"/>
        </w:rPr>
        <w:t>What is the effect of e-learning on learner engagement in post-compulsory education?</w:t>
      </w:r>
    </w:p>
    <w:p w14:paraId="05FCF37D" w14:textId="77777777" w:rsidR="00A62EFA" w:rsidRPr="00314EB3" w:rsidRDefault="00A62EFA" w:rsidP="00A62EFA">
      <w:pPr>
        <w:numPr>
          <w:ilvl w:val="0"/>
          <w:numId w:val="1"/>
        </w:numPr>
        <w:spacing w:line="360" w:lineRule="auto"/>
        <w:ind w:left="357" w:hanging="357"/>
        <w:rPr>
          <w:rFonts w:asciiTheme="minorBidi" w:hAnsiTheme="minorBidi"/>
          <w:sz w:val="24"/>
          <w:szCs w:val="24"/>
        </w:rPr>
      </w:pPr>
      <w:r w:rsidRPr="00314EB3">
        <w:rPr>
          <w:rFonts w:asciiTheme="minorBidi" w:hAnsiTheme="minorBidi"/>
          <w:sz w:val="24"/>
          <w:szCs w:val="24"/>
        </w:rPr>
        <w:t>How does e-learning impact teaching practices in post-compulsory education settings?</w:t>
      </w:r>
    </w:p>
    <w:p w14:paraId="6D630FEA" w14:textId="77777777" w:rsidR="002F4564" w:rsidRPr="00314EB3" w:rsidRDefault="002F4564" w:rsidP="002F4564">
      <w:pPr>
        <w:spacing w:line="360" w:lineRule="auto"/>
        <w:rPr>
          <w:rFonts w:asciiTheme="minorBidi" w:hAnsiTheme="minorBidi"/>
          <w:sz w:val="24"/>
          <w:szCs w:val="24"/>
        </w:rPr>
      </w:pPr>
    </w:p>
    <w:p w14:paraId="48CE5AE3" w14:textId="77777777" w:rsidR="002F4564" w:rsidRPr="00314EB3" w:rsidRDefault="002F4564" w:rsidP="002F4564">
      <w:pPr>
        <w:spacing w:line="360" w:lineRule="auto"/>
        <w:rPr>
          <w:rFonts w:asciiTheme="minorBidi" w:hAnsiTheme="minorBidi"/>
          <w:sz w:val="24"/>
          <w:szCs w:val="24"/>
        </w:rPr>
      </w:pPr>
    </w:p>
    <w:p w14:paraId="1725620C" w14:textId="77777777" w:rsidR="002F4564" w:rsidRPr="00314EB3" w:rsidRDefault="002F4564" w:rsidP="002F4564">
      <w:pPr>
        <w:spacing w:line="360" w:lineRule="auto"/>
        <w:rPr>
          <w:rFonts w:asciiTheme="minorBidi" w:hAnsiTheme="minorBidi"/>
          <w:sz w:val="24"/>
          <w:szCs w:val="24"/>
        </w:rPr>
      </w:pPr>
    </w:p>
    <w:p w14:paraId="7BC523FA" w14:textId="77777777" w:rsidR="002F4564" w:rsidRPr="00314EB3" w:rsidRDefault="002F4564" w:rsidP="002F4564">
      <w:pPr>
        <w:spacing w:line="360" w:lineRule="auto"/>
        <w:rPr>
          <w:rFonts w:asciiTheme="minorBidi" w:hAnsiTheme="minorBidi"/>
          <w:sz w:val="24"/>
          <w:szCs w:val="24"/>
        </w:rPr>
      </w:pPr>
    </w:p>
    <w:p w14:paraId="4FC36CE4" w14:textId="77777777" w:rsidR="002F4564" w:rsidRPr="00314EB3" w:rsidRDefault="002F4564" w:rsidP="002F4564">
      <w:pPr>
        <w:spacing w:line="360" w:lineRule="auto"/>
        <w:rPr>
          <w:rFonts w:asciiTheme="minorBidi" w:hAnsiTheme="minorBidi"/>
          <w:sz w:val="24"/>
          <w:szCs w:val="24"/>
        </w:rPr>
      </w:pPr>
    </w:p>
    <w:p w14:paraId="72C7BD3A" w14:textId="77777777" w:rsidR="002F4564" w:rsidRPr="00314EB3" w:rsidRDefault="002F4564" w:rsidP="002F4564">
      <w:pPr>
        <w:spacing w:line="360" w:lineRule="auto"/>
        <w:rPr>
          <w:rFonts w:asciiTheme="minorBidi" w:hAnsiTheme="minorBidi"/>
          <w:sz w:val="24"/>
          <w:szCs w:val="24"/>
        </w:rPr>
      </w:pPr>
    </w:p>
    <w:p w14:paraId="4213E72E" w14:textId="77777777" w:rsidR="002F4564" w:rsidRPr="00314EB3" w:rsidRDefault="002F4564" w:rsidP="002F4564">
      <w:pPr>
        <w:spacing w:line="360" w:lineRule="auto"/>
        <w:rPr>
          <w:rFonts w:asciiTheme="minorBidi" w:hAnsiTheme="minorBidi"/>
          <w:sz w:val="24"/>
          <w:szCs w:val="24"/>
        </w:rPr>
      </w:pPr>
    </w:p>
    <w:p w14:paraId="4BE6D54F" w14:textId="77777777" w:rsidR="002F4564" w:rsidRPr="00314EB3" w:rsidRDefault="002F4564" w:rsidP="002F4564">
      <w:pPr>
        <w:spacing w:line="360" w:lineRule="auto"/>
        <w:rPr>
          <w:rFonts w:asciiTheme="minorBidi" w:hAnsiTheme="minorBidi"/>
          <w:sz w:val="24"/>
          <w:szCs w:val="24"/>
        </w:rPr>
      </w:pPr>
    </w:p>
    <w:p w14:paraId="0ACBF76A" w14:textId="77777777" w:rsidR="002F4564" w:rsidRPr="00314EB3" w:rsidRDefault="002F4564" w:rsidP="002F4564">
      <w:pPr>
        <w:spacing w:line="360" w:lineRule="auto"/>
        <w:rPr>
          <w:rFonts w:asciiTheme="minorBidi" w:hAnsiTheme="minorBidi"/>
          <w:sz w:val="24"/>
          <w:szCs w:val="24"/>
        </w:rPr>
      </w:pPr>
    </w:p>
    <w:p w14:paraId="0A07B2AC" w14:textId="77777777" w:rsidR="002F4564" w:rsidRPr="00314EB3" w:rsidRDefault="002F4564" w:rsidP="002F4564">
      <w:pPr>
        <w:spacing w:line="360" w:lineRule="auto"/>
        <w:rPr>
          <w:rFonts w:asciiTheme="minorBidi" w:hAnsiTheme="minorBidi"/>
          <w:sz w:val="24"/>
          <w:szCs w:val="24"/>
        </w:rPr>
      </w:pPr>
    </w:p>
    <w:p w14:paraId="0B821B70" w14:textId="77777777" w:rsidR="002F4564" w:rsidRPr="00314EB3" w:rsidRDefault="002F4564" w:rsidP="002F4564">
      <w:pPr>
        <w:spacing w:line="360" w:lineRule="auto"/>
        <w:rPr>
          <w:rFonts w:asciiTheme="minorBidi" w:hAnsiTheme="minorBidi"/>
          <w:sz w:val="24"/>
          <w:szCs w:val="24"/>
        </w:rPr>
      </w:pPr>
    </w:p>
    <w:p w14:paraId="124FD009" w14:textId="77777777" w:rsidR="002F4564" w:rsidRPr="00314EB3" w:rsidRDefault="002F4564" w:rsidP="002F4564">
      <w:pPr>
        <w:spacing w:line="360" w:lineRule="auto"/>
        <w:rPr>
          <w:rFonts w:asciiTheme="minorBidi" w:hAnsiTheme="minorBidi"/>
          <w:sz w:val="24"/>
          <w:szCs w:val="24"/>
        </w:rPr>
      </w:pPr>
    </w:p>
    <w:p w14:paraId="02E15614" w14:textId="77777777" w:rsidR="002F4564" w:rsidRPr="00314EB3" w:rsidRDefault="002F4564" w:rsidP="002F4564">
      <w:pPr>
        <w:spacing w:line="360" w:lineRule="auto"/>
        <w:rPr>
          <w:rFonts w:asciiTheme="minorBidi" w:hAnsiTheme="minorBidi"/>
          <w:sz w:val="24"/>
          <w:szCs w:val="24"/>
        </w:rPr>
      </w:pPr>
    </w:p>
    <w:p w14:paraId="0EC76E49" w14:textId="77777777" w:rsidR="002F4564" w:rsidRPr="00314EB3" w:rsidRDefault="002F4564" w:rsidP="002F4564">
      <w:pPr>
        <w:spacing w:line="360" w:lineRule="auto"/>
        <w:rPr>
          <w:rFonts w:asciiTheme="minorBidi" w:hAnsiTheme="minorBidi"/>
          <w:sz w:val="24"/>
          <w:szCs w:val="24"/>
        </w:rPr>
      </w:pPr>
    </w:p>
    <w:p w14:paraId="5F5BEB12" w14:textId="77777777" w:rsidR="002F4564" w:rsidRPr="00314EB3" w:rsidRDefault="002F4564" w:rsidP="002F4564">
      <w:pPr>
        <w:spacing w:line="360" w:lineRule="auto"/>
        <w:rPr>
          <w:rFonts w:asciiTheme="minorBidi" w:hAnsiTheme="minorBidi"/>
          <w:sz w:val="24"/>
          <w:szCs w:val="24"/>
        </w:rPr>
      </w:pPr>
    </w:p>
    <w:p w14:paraId="540AA22B" w14:textId="77777777" w:rsidR="002F4564" w:rsidRPr="00314EB3" w:rsidRDefault="002F4564" w:rsidP="002F4564">
      <w:pPr>
        <w:spacing w:line="360" w:lineRule="auto"/>
        <w:rPr>
          <w:rFonts w:asciiTheme="minorBidi" w:hAnsiTheme="minorBidi"/>
          <w:sz w:val="24"/>
          <w:szCs w:val="24"/>
        </w:rPr>
      </w:pPr>
    </w:p>
    <w:p w14:paraId="062CA3E4" w14:textId="77777777" w:rsidR="002F4564" w:rsidRPr="00314EB3" w:rsidRDefault="002F4564" w:rsidP="002F4564">
      <w:pPr>
        <w:spacing w:line="360" w:lineRule="auto"/>
        <w:rPr>
          <w:rFonts w:asciiTheme="minorBidi" w:hAnsiTheme="minorBidi"/>
          <w:sz w:val="24"/>
          <w:szCs w:val="24"/>
        </w:rPr>
      </w:pPr>
    </w:p>
    <w:p w14:paraId="5ADABE7B" w14:textId="77777777" w:rsidR="002F4564" w:rsidRPr="00314EB3" w:rsidRDefault="002F4564" w:rsidP="002F4564">
      <w:pPr>
        <w:spacing w:line="360" w:lineRule="auto"/>
        <w:rPr>
          <w:rFonts w:asciiTheme="minorBidi" w:hAnsiTheme="minorBidi"/>
          <w:sz w:val="24"/>
          <w:szCs w:val="24"/>
        </w:rPr>
      </w:pPr>
    </w:p>
    <w:p w14:paraId="31866D18" w14:textId="77777777" w:rsidR="002F4564" w:rsidRPr="00314EB3" w:rsidRDefault="002F4564" w:rsidP="002F4564">
      <w:pPr>
        <w:spacing w:line="360" w:lineRule="auto"/>
        <w:rPr>
          <w:rFonts w:asciiTheme="minorBidi" w:hAnsiTheme="minorBidi"/>
          <w:sz w:val="24"/>
          <w:szCs w:val="24"/>
        </w:rPr>
      </w:pPr>
    </w:p>
    <w:p w14:paraId="1C5FB807" w14:textId="77777777" w:rsidR="00827A5B" w:rsidRPr="00314EB3" w:rsidRDefault="00827A5B" w:rsidP="00827A5B">
      <w:pPr>
        <w:spacing w:line="360" w:lineRule="auto"/>
        <w:rPr>
          <w:rFonts w:asciiTheme="minorBidi" w:hAnsiTheme="minorBidi"/>
          <w:b/>
          <w:bCs/>
          <w:sz w:val="24"/>
          <w:szCs w:val="24"/>
        </w:rPr>
      </w:pPr>
      <w:r w:rsidRPr="00314EB3">
        <w:rPr>
          <w:rFonts w:asciiTheme="minorBidi" w:hAnsiTheme="minorBidi"/>
          <w:b/>
          <w:bCs/>
          <w:sz w:val="24"/>
          <w:szCs w:val="24"/>
        </w:rPr>
        <w:lastRenderedPageBreak/>
        <w:t xml:space="preserve">Literature Review </w:t>
      </w:r>
    </w:p>
    <w:p w14:paraId="1F23A941" w14:textId="1DB1198D" w:rsidR="00827A5B" w:rsidRPr="00314EB3" w:rsidRDefault="00827A5B" w:rsidP="57763B71">
      <w:pPr>
        <w:spacing w:line="360" w:lineRule="auto"/>
        <w:rPr>
          <w:rFonts w:asciiTheme="minorBidi" w:hAnsiTheme="minorBidi"/>
          <w:sz w:val="24"/>
          <w:szCs w:val="24"/>
        </w:rPr>
      </w:pPr>
      <w:r w:rsidRPr="00314EB3">
        <w:rPr>
          <w:rFonts w:asciiTheme="minorBidi" w:hAnsiTheme="minorBidi"/>
          <w:sz w:val="24"/>
          <w:szCs w:val="24"/>
        </w:rPr>
        <w:t xml:space="preserve">The concept of student engagement encompasses diverse interpretations </w:t>
      </w:r>
      <w:r w:rsidR="6A1FB5EC" w:rsidRPr="00314EB3">
        <w:rPr>
          <w:rFonts w:asciiTheme="minorBidi" w:hAnsiTheme="minorBidi"/>
          <w:sz w:val="24"/>
          <w:szCs w:val="24"/>
        </w:rPr>
        <w:t>based upon</w:t>
      </w:r>
      <w:r w:rsidRPr="00314EB3">
        <w:rPr>
          <w:rFonts w:asciiTheme="minorBidi" w:hAnsiTheme="minorBidi"/>
          <w:sz w:val="24"/>
          <w:szCs w:val="24"/>
        </w:rPr>
        <w:t xml:space="preserve"> psychological, social, and cultural </w:t>
      </w:r>
      <w:r w:rsidR="02B41656" w:rsidRPr="00314EB3">
        <w:rPr>
          <w:rFonts w:asciiTheme="minorBidi" w:hAnsiTheme="minorBidi"/>
          <w:sz w:val="24"/>
          <w:szCs w:val="24"/>
        </w:rPr>
        <w:t>aspects</w:t>
      </w:r>
      <w:r w:rsidRPr="00314EB3">
        <w:rPr>
          <w:rFonts w:asciiTheme="minorBidi" w:hAnsiTheme="minorBidi"/>
          <w:sz w:val="24"/>
          <w:szCs w:val="24"/>
        </w:rPr>
        <w:t xml:space="preserve"> (Fredricks et al., 1994; Wimpenny and Savin-Baden, 2013; Zepke and Leach, 2016). </w:t>
      </w:r>
      <w:proofErr w:type="gramStart"/>
      <w:r w:rsidRPr="00314EB3">
        <w:rPr>
          <w:rFonts w:asciiTheme="minorBidi" w:hAnsiTheme="minorBidi"/>
          <w:sz w:val="24"/>
          <w:szCs w:val="24"/>
        </w:rPr>
        <w:t>Upon reviewing different definitions, it</w:t>
      </w:r>
      <w:proofErr w:type="gramEnd"/>
      <w:r w:rsidRPr="00314EB3">
        <w:rPr>
          <w:rFonts w:asciiTheme="minorBidi" w:hAnsiTheme="minorBidi"/>
          <w:sz w:val="24"/>
          <w:szCs w:val="24"/>
        </w:rPr>
        <w:t xml:space="preserve"> becomes evident that student engagement is approached in two main ways. One </w:t>
      </w:r>
      <w:r w:rsidR="634A56DE" w:rsidRPr="00314EB3">
        <w:rPr>
          <w:rFonts w:asciiTheme="minorBidi" w:hAnsiTheme="minorBidi"/>
          <w:sz w:val="24"/>
          <w:szCs w:val="24"/>
        </w:rPr>
        <w:t>viewpoint</w:t>
      </w:r>
      <w:r w:rsidRPr="00314EB3">
        <w:rPr>
          <w:rFonts w:asciiTheme="minorBidi" w:hAnsiTheme="minorBidi"/>
          <w:sz w:val="24"/>
          <w:szCs w:val="24"/>
        </w:rPr>
        <w:t xml:space="preserve"> defines student engagement as </w:t>
      </w:r>
      <w:r w:rsidR="0B2D51E4" w:rsidRPr="00314EB3">
        <w:rPr>
          <w:rFonts w:asciiTheme="minorBidi" w:hAnsiTheme="minorBidi"/>
          <w:sz w:val="24"/>
          <w:szCs w:val="24"/>
        </w:rPr>
        <w:t>a positive result</w:t>
      </w:r>
      <w:r w:rsidRPr="00314EB3">
        <w:rPr>
          <w:rFonts w:asciiTheme="minorBidi" w:hAnsiTheme="minorBidi"/>
          <w:sz w:val="24"/>
          <w:szCs w:val="24"/>
        </w:rPr>
        <w:t xml:space="preserve"> reflecting a student's thoughts, emotions, and actions towards learning. For instance, Kahu (2013) characterizes student engagement as an "individual psychological state" encompassing affect,</w:t>
      </w:r>
      <w:r w:rsidR="4980619F" w:rsidRPr="00314EB3">
        <w:rPr>
          <w:rFonts w:asciiTheme="minorBidi" w:hAnsiTheme="minorBidi"/>
          <w:sz w:val="24"/>
          <w:szCs w:val="24"/>
        </w:rPr>
        <w:t xml:space="preserve"> as well as</w:t>
      </w:r>
      <w:r w:rsidRPr="00314EB3">
        <w:rPr>
          <w:rFonts w:asciiTheme="minorBidi" w:hAnsiTheme="minorBidi"/>
          <w:sz w:val="24"/>
          <w:szCs w:val="24"/>
        </w:rPr>
        <w:t xml:space="preserve"> cognition, and behavio</w:t>
      </w:r>
      <w:r w:rsidR="06E85719" w:rsidRPr="00314EB3">
        <w:rPr>
          <w:rFonts w:asciiTheme="minorBidi" w:hAnsiTheme="minorBidi"/>
          <w:sz w:val="24"/>
          <w:szCs w:val="24"/>
        </w:rPr>
        <w:t>u</w:t>
      </w:r>
      <w:r w:rsidRPr="00314EB3">
        <w:rPr>
          <w:rFonts w:asciiTheme="minorBidi" w:hAnsiTheme="minorBidi"/>
          <w:sz w:val="24"/>
          <w:szCs w:val="24"/>
        </w:rPr>
        <w:t xml:space="preserve">r (p. 764). </w:t>
      </w:r>
      <w:r w:rsidR="19CC7397" w:rsidRPr="00314EB3">
        <w:rPr>
          <w:rFonts w:asciiTheme="minorBidi" w:hAnsiTheme="minorBidi"/>
          <w:sz w:val="24"/>
          <w:szCs w:val="24"/>
        </w:rPr>
        <w:t>However,</w:t>
      </w:r>
      <w:r w:rsidRPr="00314EB3">
        <w:rPr>
          <w:rFonts w:asciiTheme="minorBidi" w:hAnsiTheme="minorBidi"/>
          <w:sz w:val="24"/>
          <w:szCs w:val="24"/>
        </w:rPr>
        <w:t xml:space="preserve"> other </w:t>
      </w:r>
      <w:r w:rsidR="0BBB4937" w:rsidRPr="00314EB3">
        <w:rPr>
          <w:rFonts w:asciiTheme="minorBidi" w:hAnsiTheme="minorBidi"/>
          <w:sz w:val="24"/>
          <w:szCs w:val="24"/>
        </w:rPr>
        <w:t>definitions</w:t>
      </w:r>
      <w:r w:rsidRPr="00314EB3">
        <w:rPr>
          <w:rFonts w:asciiTheme="minorBidi" w:hAnsiTheme="minorBidi"/>
          <w:sz w:val="24"/>
          <w:szCs w:val="24"/>
        </w:rPr>
        <w:t xml:space="preserve"> portraying </w:t>
      </w:r>
      <w:r w:rsidR="1048D977" w:rsidRPr="00314EB3">
        <w:rPr>
          <w:rFonts w:asciiTheme="minorBidi" w:hAnsiTheme="minorBidi"/>
          <w:sz w:val="24"/>
          <w:szCs w:val="24"/>
        </w:rPr>
        <w:t xml:space="preserve">student </w:t>
      </w:r>
      <w:r w:rsidRPr="00314EB3">
        <w:rPr>
          <w:rFonts w:asciiTheme="minorBidi" w:hAnsiTheme="minorBidi"/>
          <w:sz w:val="24"/>
          <w:szCs w:val="24"/>
        </w:rPr>
        <w:t>engagement as the "degree to which students participate in activities" (Krause and Coates, 2008, p. 493) or the "quality of effort and involvement in meaningful learning activities" (Kuh, 2009, p. 6). Additionally, another perspective views student engagement as a collaborative process in</w:t>
      </w:r>
      <w:r w:rsidR="4EDE93BF" w:rsidRPr="00314EB3">
        <w:rPr>
          <w:rFonts w:asciiTheme="minorBidi" w:hAnsiTheme="minorBidi"/>
          <w:sz w:val="24"/>
          <w:szCs w:val="24"/>
        </w:rPr>
        <w:t>cluding</w:t>
      </w:r>
      <w:r w:rsidRPr="00314EB3">
        <w:rPr>
          <w:rFonts w:asciiTheme="minorBidi" w:hAnsiTheme="minorBidi"/>
          <w:sz w:val="24"/>
          <w:szCs w:val="24"/>
        </w:rPr>
        <w:t xml:space="preserve"> both the student and the educational institution. For instance, according to the National Survey of Student Engagement (NSSE) website, student engagement </w:t>
      </w:r>
      <w:r w:rsidR="22E93F98" w:rsidRPr="00314EB3">
        <w:rPr>
          <w:rFonts w:asciiTheme="minorBidi" w:hAnsiTheme="minorBidi"/>
          <w:sz w:val="24"/>
          <w:szCs w:val="24"/>
        </w:rPr>
        <w:t>involvoes</w:t>
      </w:r>
      <w:r w:rsidRPr="00314EB3">
        <w:rPr>
          <w:rFonts w:asciiTheme="minorBidi" w:hAnsiTheme="minorBidi"/>
          <w:sz w:val="24"/>
          <w:szCs w:val="24"/>
        </w:rPr>
        <w:t xml:space="preserve"> "the amount of time and effort students invest in their studies and other educational endeavors," alongside "how the institution utilizes its resources and structures the curriculum and other learning opportunities to encourage student participation" (Center for Postsecondary Research, 2017, para. 1).</w:t>
      </w:r>
    </w:p>
    <w:p w14:paraId="3620EBBF" w14:textId="0727DAD5" w:rsidR="00827A5B" w:rsidRPr="00314EB3" w:rsidRDefault="00827A5B" w:rsidP="57763B71">
      <w:pPr>
        <w:spacing w:line="360" w:lineRule="auto"/>
        <w:rPr>
          <w:rFonts w:asciiTheme="minorBidi" w:hAnsiTheme="minorBidi"/>
          <w:sz w:val="24"/>
          <w:szCs w:val="24"/>
        </w:rPr>
      </w:pPr>
      <w:r w:rsidRPr="00314EB3">
        <w:rPr>
          <w:rFonts w:asciiTheme="minorBidi" w:hAnsiTheme="minorBidi"/>
          <w:sz w:val="24"/>
          <w:szCs w:val="24"/>
        </w:rPr>
        <w:t xml:space="preserve">According to Parsons and Taylor (2011), active participation of students in the learning process is fundamental for optimal learning outcomes, highlighting the pivotal role of engagement in educational environments. Barkley (2009) emphasizes that engaged students exhibit increased involvement in academic activities, utilizing advanced cognitive skills such as problem-solving </w:t>
      </w:r>
      <w:proofErr w:type="gramStart"/>
      <w:r w:rsidR="1039AE8E" w:rsidRPr="00314EB3">
        <w:rPr>
          <w:rFonts w:asciiTheme="minorBidi" w:hAnsiTheme="minorBidi"/>
          <w:sz w:val="24"/>
          <w:szCs w:val="24"/>
        </w:rPr>
        <w:t>and also</w:t>
      </w:r>
      <w:proofErr w:type="gramEnd"/>
      <w:r w:rsidRPr="00314EB3">
        <w:rPr>
          <w:rFonts w:asciiTheme="minorBidi" w:hAnsiTheme="minorBidi"/>
          <w:sz w:val="24"/>
          <w:szCs w:val="24"/>
        </w:rPr>
        <w:t xml:space="preserve"> information analysis. The growing adoption of media and technology is increasingly acknowledged as a method to amplify student engagement with Finn and Zimmer (2012) affirming that heightened engagement is positively associated with academic success.</w:t>
      </w:r>
    </w:p>
    <w:p w14:paraId="2800BCA7" w14:textId="670E2CD6" w:rsidR="00827A5B" w:rsidRPr="00314EB3" w:rsidRDefault="00827A5B" w:rsidP="57763B71">
      <w:pPr>
        <w:spacing w:line="360" w:lineRule="auto"/>
        <w:rPr>
          <w:rFonts w:asciiTheme="minorBidi" w:hAnsiTheme="minorBidi"/>
          <w:sz w:val="24"/>
          <w:szCs w:val="24"/>
        </w:rPr>
      </w:pPr>
      <w:r w:rsidRPr="00314EB3">
        <w:rPr>
          <w:rFonts w:asciiTheme="minorBidi" w:hAnsiTheme="minorBidi"/>
          <w:sz w:val="24"/>
          <w:szCs w:val="24"/>
        </w:rPr>
        <w:t xml:space="preserve">According to Pandita and Kiran (2023), </w:t>
      </w:r>
      <w:r w:rsidR="1FBD10F3" w:rsidRPr="00314EB3">
        <w:rPr>
          <w:rFonts w:asciiTheme="minorBidi" w:hAnsiTheme="minorBidi"/>
          <w:sz w:val="24"/>
          <w:szCs w:val="24"/>
        </w:rPr>
        <w:t>use of technology</w:t>
      </w:r>
      <w:r w:rsidRPr="00314EB3">
        <w:rPr>
          <w:rFonts w:asciiTheme="minorBidi" w:hAnsiTheme="minorBidi"/>
          <w:sz w:val="24"/>
          <w:szCs w:val="24"/>
        </w:rPr>
        <w:t xml:space="preserve"> and student engagement </w:t>
      </w:r>
      <w:r w:rsidR="30E73BF5" w:rsidRPr="00314EB3">
        <w:rPr>
          <w:rFonts w:asciiTheme="minorBidi" w:hAnsiTheme="minorBidi"/>
          <w:sz w:val="24"/>
          <w:szCs w:val="24"/>
        </w:rPr>
        <w:t>are seen</w:t>
      </w:r>
      <w:r w:rsidRPr="00314EB3">
        <w:rPr>
          <w:rFonts w:asciiTheme="minorBidi" w:hAnsiTheme="minorBidi"/>
          <w:sz w:val="24"/>
          <w:szCs w:val="24"/>
        </w:rPr>
        <w:t xml:space="preserve"> as </w:t>
      </w:r>
      <w:r w:rsidR="69974CAA" w:rsidRPr="00314EB3">
        <w:rPr>
          <w:rFonts w:asciiTheme="minorBidi" w:hAnsiTheme="minorBidi"/>
          <w:sz w:val="24"/>
          <w:szCs w:val="24"/>
        </w:rPr>
        <w:t>essential,</w:t>
      </w:r>
      <w:r w:rsidRPr="00314EB3">
        <w:rPr>
          <w:rFonts w:asciiTheme="minorBidi" w:hAnsiTheme="minorBidi"/>
          <w:sz w:val="24"/>
          <w:szCs w:val="24"/>
        </w:rPr>
        <w:t xml:space="preserve"> contributing to </w:t>
      </w:r>
      <w:r w:rsidR="780663BC" w:rsidRPr="00314EB3">
        <w:rPr>
          <w:rFonts w:asciiTheme="minorBidi" w:hAnsiTheme="minorBidi"/>
          <w:sz w:val="24"/>
          <w:szCs w:val="24"/>
        </w:rPr>
        <w:t xml:space="preserve">their satisfaction on a </w:t>
      </w:r>
      <w:proofErr w:type="gramStart"/>
      <w:r w:rsidR="780663BC" w:rsidRPr="00314EB3">
        <w:rPr>
          <w:rFonts w:asciiTheme="minorBidi" w:hAnsiTheme="minorBidi"/>
          <w:sz w:val="24"/>
          <w:szCs w:val="24"/>
        </w:rPr>
        <w:t>long term</w:t>
      </w:r>
      <w:proofErr w:type="gramEnd"/>
      <w:r w:rsidR="780663BC" w:rsidRPr="00314EB3">
        <w:rPr>
          <w:rFonts w:asciiTheme="minorBidi" w:hAnsiTheme="minorBidi"/>
          <w:sz w:val="24"/>
          <w:szCs w:val="24"/>
        </w:rPr>
        <w:t xml:space="preserve"> basis.</w:t>
      </w:r>
      <w:r w:rsidRPr="00314EB3">
        <w:rPr>
          <w:rFonts w:asciiTheme="minorBidi" w:hAnsiTheme="minorBidi"/>
          <w:sz w:val="24"/>
          <w:szCs w:val="24"/>
        </w:rPr>
        <w:t xml:space="preserve"> Engaged students are inclined to actively participate in educational discussions, pose questions, achieve higher grades, and demonstrate greater retention, </w:t>
      </w:r>
      <w:r w:rsidR="464D029C" w:rsidRPr="00314EB3">
        <w:rPr>
          <w:rFonts w:asciiTheme="minorBidi" w:hAnsiTheme="minorBidi"/>
          <w:sz w:val="24"/>
          <w:szCs w:val="24"/>
        </w:rPr>
        <w:t>resilience, and completion of studies</w:t>
      </w:r>
      <w:r w:rsidRPr="00314EB3">
        <w:rPr>
          <w:rFonts w:asciiTheme="minorBidi" w:hAnsiTheme="minorBidi"/>
          <w:sz w:val="24"/>
          <w:szCs w:val="24"/>
        </w:rPr>
        <w:t xml:space="preserve"> (Leach, 2016; McClenney, Marti, and Adkins, </w:t>
      </w:r>
      <w:r w:rsidRPr="00314EB3">
        <w:rPr>
          <w:rFonts w:asciiTheme="minorBidi" w:hAnsiTheme="minorBidi"/>
          <w:sz w:val="24"/>
          <w:szCs w:val="24"/>
        </w:rPr>
        <w:lastRenderedPageBreak/>
        <w:t xml:space="preserve">2012; Trowler and Trowler, 2010). When students are engaged, they </w:t>
      </w:r>
      <w:r w:rsidR="5AB1955D" w:rsidRPr="00314EB3">
        <w:rPr>
          <w:rFonts w:asciiTheme="minorBidi" w:hAnsiTheme="minorBidi"/>
          <w:sz w:val="24"/>
          <w:szCs w:val="24"/>
        </w:rPr>
        <w:t>become more independent</w:t>
      </w:r>
      <w:r w:rsidR="22734690" w:rsidRPr="00314EB3">
        <w:rPr>
          <w:rFonts w:asciiTheme="minorBidi" w:hAnsiTheme="minorBidi"/>
          <w:sz w:val="24"/>
          <w:szCs w:val="24"/>
        </w:rPr>
        <w:t xml:space="preserve"> </w:t>
      </w:r>
      <w:r w:rsidR="5AB1955D" w:rsidRPr="00314EB3">
        <w:rPr>
          <w:rFonts w:asciiTheme="minorBidi" w:hAnsiTheme="minorBidi"/>
          <w:sz w:val="24"/>
          <w:szCs w:val="24"/>
        </w:rPr>
        <w:t>which leads to them feeling more satisfied with their education</w:t>
      </w:r>
      <w:r w:rsidRPr="00314EB3">
        <w:rPr>
          <w:rFonts w:asciiTheme="minorBidi" w:hAnsiTheme="minorBidi"/>
          <w:sz w:val="24"/>
          <w:szCs w:val="24"/>
        </w:rPr>
        <w:t xml:space="preserve"> The term "technology interface" refers to </w:t>
      </w:r>
      <w:r w:rsidR="74F88C60" w:rsidRPr="00314EB3">
        <w:rPr>
          <w:rFonts w:asciiTheme="minorBidi" w:hAnsiTheme="minorBidi"/>
          <w:sz w:val="24"/>
          <w:szCs w:val="24"/>
        </w:rPr>
        <w:t>how students use</w:t>
      </w:r>
      <w:r w:rsidRPr="00314EB3">
        <w:rPr>
          <w:rFonts w:asciiTheme="minorBidi" w:hAnsiTheme="minorBidi"/>
          <w:sz w:val="24"/>
          <w:szCs w:val="24"/>
        </w:rPr>
        <w:t xml:space="preserve"> technology, </w:t>
      </w:r>
      <w:r w:rsidR="49033839" w:rsidRPr="00314EB3">
        <w:rPr>
          <w:rFonts w:asciiTheme="minorBidi" w:hAnsiTheme="minorBidi"/>
          <w:sz w:val="24"/>
          <w:szCs w:val="24"/>
        </w:rPr>
        <w:t>including various features such as how the digital tools function and how user friendly they are</w:t>
      </w:r>
      <w:r w:rsidRPr="00314EB3">
        <w:rPr>
          <w:rFonts w:asciiTheme="minorBidi" w:hAnsiTheme="minorBidi"/>
          <w:sz w:val="24"/>
          <w:szCs w:val="24"/>
        </w:rPr>
        <w:t xml:space="preserve">a (Brown, 2018). </w:t>
      </w:r>
      <w:r w:rsidR="0C9786E1" w:rsidRPr="00314EB3">
        <w:rPr>
          <w:rFonts w:asciiTheme="minorBidi" w:hAnsiTheme="minorBidi"/>
          <w:sz w:val="24"/>
          <w:szCs w:val="24"/>
        </w:rPr>
        <w:t xml:space="preserve"> As far as education is concerned, this ‘interface’ relates to the online course platforms that students use as well as other educational tools. </w:t>
      </w:r>
      <w:r w:rsidRPr="00314EB3">
        <w:rPr>
          <w:rFonts w:asciiTheme="minorBidi" w:hAnsiTheme="minorBidi"/>
          <w:sz w:val="24"/>
          <w:szCs w:val="24"/>
        </w:rPr>
        <w:t xml:space="preserve"> (Johnson and Adams, 2020).</w:t>
      </w:r>
    </w:p>
    <w:p w14:paraId="3F522A56" w14:textId="0045493C" w:rsidR="00827A5B" w:rsidRPr="00314EB3" w:rsidRDefault="00827A5B" w:rsidP="57763B71">
      <w:pPr>
        <w:spacing w:line="360" w:lineRule="auto"/>
        <w:rPr>
          <w:rFonts w:asciiTheme="minorBidi" w:hAnsiTheme="minorBidi"/>
          <w:sz w:val="24"/>
          <w:szCs w:val="24"/>
        </w:rPr>
      </w:pPr>
      <w:r w:rsidRPr="00314EB3">
        <w:rPr>
          <w:rFonts w:asciiTheme="minorBidi" w:hAnsiTheme="minorBidi"/>
          <w:sz w:val="24"/>
          <w:szCs w:val="24"/>
        </w:rPr>
        <w:t xml:space="preserve">Research examining specific technologies' impact on student engagement has yielded noteworthy findings. For instance, students have reported that blogs facilitate interaction with peers by enhancing </w:t>
      </w:r>
      <w:r w:rsidR="53D505F1" w:rsidRPr="00314EB3">
        <w:rPr>
          <w:rFonts w:asciiTheme="minorBidi" w:hAnsiTheme="minorBidi"/>
          <w:sz w:val="24"/>
          <w:szCs w:val="24"/>
        </w:rPr>
        <w:t xml:space="preserve">the sharing of </w:t>
      </w:r>
      <w:r w:rsidRPr="00314EB3">
        <w:rPr>
          <w:rFonts w:asciiTheme="minorBidi" w:hAnsiTheme="minorBidi"/>
          <w:sz w:val="24"/>
          <w:szCs w:val="24"/>
        </w:rPr>
        <w:t xml:space="preserve">communication and </w:t>
      </w:r>
      <w:proofErr w:type="gramStart"/>
      <w:r w:rsidRPr="00314EB3">
        <w:rPr>
          <w:rFonts w:asciiTheme="minorBidi" w:hAnsiTheme="minorBidi"/>
          <w:sz w:val="24"/>
          <w:szCs w:val="24"/>
        </w:rPr>
        <w:t>information  (</w:t>
      </w:r>
      <w:proofErr w:type="gramEnd"/>
      <w:r w:rsidRPr="00314EB3">
        <w:rPr>
          <w:rFonts w:asciiTheme="minorBidi" w:hAnsiTheme="minorBidi"/>
          <w:sz w:val="24"/>
          <w:szCs w:val="24"/>
        </w:rPr>
        <w:t xml:space="preserve">Chu, Chan, and Tiwari, 2012; Ivala and Gachago, 2012; Mansouri and Piki, 2016). Analysis of blog posts has indicated that students elaborate on each other's ideas and exchange experiences and understandings of course content (Sharma and Tietjen, 2016). Moreover, existing studies offer evidence supporting the positive </w:t>
      </w:r>
      <w:r w:rsidR="2CD5C538" w:rsidRPr="00314EB3">
        <w:rPr>
          <w:rFonts w:asciiTheme="minorBidi" w:hAnsiTheme="minorBidi"/>
          <w:sz w:val="24"/>
          <w:szCs w:val="24"/>
        </w:rPr>
        <w:t>impact that</w:t>
      </w:r>
      <w:r w:rsidRPr="00314EB3">
        <w:rPr>
          <w:rFonts w:asciiTheme="minorBidi" w:hAnsiTheme="minorBidi"/>
          <w:sz w:val="24"/>
          <w:szCs w:val="24"/>
        </w:rPr>
        <w:t xml:space="preserve"> digital games </w:t>
      </w:r>
      <w:r w:rsidR="0699D03F" w:rsidRPr="00314EB3">
        <w:rPr>
          <w:rFonts w:asciiTheme="minorBidi" w:hAnsiTheme="minorBidi"/>
          <w:sz w:val="24"/>
          <w:szCs w:val="24"/>
        </w:rPr>
        <w:t xml:space="preserve">have </w:t>
      </w:r>
      <w:r w:rsidRPr="00314EB3">
        <w:rPr>
          <w:rFonts w:asciiTheme="minorBidi" w:hAnsiTheme="minorBidi"/>
          <w:sz w:val="24"/>
          <w:szCs w:val="24"/>
        </w:rPr>
        <w:t xml:space="preserve">on cognitive engagement. Digital games have been shown to foster </w:t>
      </w:r>
      <w:r w:rsidR="4D83529F" w:rsidRPr="00314EB3">
        <w:rPr>
          <w:rFonts w:asciiTheme="minorBidi" w:hAnsiTheme="minorBidi"/>
          <w:sz w:val="24"/>
          <w:szCs w:val="24"/>
        </w:rPr>
        <w:t>a greater understanding of subject knowledge</w:t>
      </w:r>
      <w:r w:rsidRPr="00314EB3">
        <w:rPr>
          <w:rFonts w:asciiTheme="minorBidi" w:hAnsiTheme="minorBidi"/>
          <w:sz w:val="24"/>
          <w:szCs w:val="24"/>
        </w:rPr>
        <w:t xml:space="preserve"> and the </w:t>
      </w:r>
      <w:r w:rsidR="177E37AB" w:rsidRPr="00314EB3">
        <w:rPr>
          <w:rFonts w:asciiTheme="minorBidi" w:hAnsiTheme="minorBidi"/>
          <w:sz w:val="24"/>
          <w:szCs w:val="24"/>
        </w:rPr>
        <w:t>improvement</w:t>
      </w:r>
      <w:r w:rsidRPr="00314EB3">
        <w:rPr>
          <w:rFonts w:asciiTheme="minorBidi" w:hAnsiTheme="minorBidi"/>
          <w:sz w:val="24"/>
          <w:szCs w:val="24"/>
        </w:rPr>
        <w:t xml:space="preserve"> of higher-order thinking skills (Beckem and Watkins, 2012; Farley, 2013; Ke, Xie, and Xie, 2016; Marriott, Tan, and Marriott, 2015), particularly when compared to </w:t>
      </w:r>
      <w:r w:rsidR="51C53F2F" w:rsidRPr="00314EB3">
        <w:rPr>
          <w:rFonts w:asciiTheme="minorBidi" w:hAnsiTheme="minorBidi"/>
          <w:sz w:val="24"/>
          <w:szCs w:val="24"/>
        </w:rPr>
        <w:t>more readily used</w:t>
      </w:r>
      <w:r w:rsidRPr="00314EB3">
        <w:rPr>
          <w:rFonts w:asciiTheme="minorBidi" w:hAnsiTheme="minorBidi"/>
          <w:sz w:val="24"/>
          <w:szCs w:val="24"/>
        </w:rPr>
        <w:t xml:space="preserve"> </w:t>
      </w:r>
      <w:r w:rsidR="4474BFB8" w:rsidRPr="00314EB3">
        <w:rPr>
          <w:rFonts w:asciiTheme="minorBidi" w:hAnsiTheme="minorBidi"/>
          <w:sz w:val="24"/>
          <w:szCs w:val="24"/>
        </w:rPr>
        <w:t>teaching</w:t>
      </w:r>
      <w:r w:rsidRPr="00314EB3">
        <w:rPr>
          <w:rFonts w:asciiTheme="minorBidi" w:hAnsiTheme="minorBidi"/>
          <w:sz w:val="24"/>
          <w:szCs w:val="24"/>
        </w:rPr>
        <w:t xml:space="preserve"> methods such as lectures or textbook</w:t>
      </w:r>
      <w:r w:rsidR="64D7F5F4" w:rsidRPr="00314EB3">
        <w:rPr>
          <w:rFonts w:asciiTheme="minorBidi" w:hAnsiTheme="minorBidi"/>
          <w:sz w:val="24"/>
          <w:szCs w:val="24"/>
        </w:rPr>
        <w:t>s</w:t>
      </w:r>
      <w:r w:rsidRPr="00314EB3">
        <w:rPr>
          <w:rFonts w:asciiTheme="minorBidi" w:hAnsiTheme="minorBidi"/>
          <w:sz w:val="24"/>
          <w:szCs w:val="24"/>
        </w:rPr>
        <w:t xml:space="preserve"> (Lu, Hallinger, and Showanasai, 2014; Siddique, Ling, Roberson, Xu, and Geng, 2013; Zimmermann, 2013). For example, engineering students engaged in a car simulator game designed to reinforce lecture content </w:t>
      </w:r>
      <w:r w:rsidR="324947D8" w:rsidRPr="00314EB3">
        <w:rPr>
          <w:rFonts w:asciiTheme="minorBidi" w:hAnsiTheme="minorBidi"/>
          <w:sz w:val="24"/>
          <w:szCs w:val="24"/>
        </w:rPr>
        <w:t>showed a greater capacity for</w:t>
      </w:r>
      <w:r w:rsidRPr="00314EB3">
        <w:rPr>
          <w:rFonts w:asciiTheme="minorBidi" w:hAnsiTheme="minorBidi"/>
          <w:sz w:val="24"/>
          <w:szCs w:val="24"/>
        </w:rPr>
        <w:t xml:space="preserve"> critical thinking, including analysis and evaluation, on quizzes </w:t>
      </w:r>
      <w:r w:rsidR="56A01EA0" w:rsidRPr="00314EB3">
        <w:rPr>
          <w:rFonts w:asciiTheme="minorBidi" w:hAnsiTheme="minorBidi"/>
          <w:sz w:val="24"/>
          <w:szCs w:val="24"/>
        </w:rPr>
        <w:t xml:space="preserve">when </w:t>
      </w:r>
      <w:r w:rsidRPr="00314EB3">
        <w:rPr>
          <w:rFonts w:asciiTheme="minorBidi" w:hAnsiTheme="minorBidi"/>
          <w:sz w:val="24"/>
          <w:szCs w:val="24"/>
        </w:rPr>
        <w:t>compared to students solely attending lectures (Siddique et al., 2013).</w:t>
      </w:r>
    </w:p>
    <w:p w14:paraId="4E2EECA6" w14:textId="77777777" w:rsidR="00827A5B" w:rsidRPr="00314EB3" w:rsidRDefault="00827A5B" w:rsidP="57763B71">
      <w:pPr>
        <w:spacing w:line="360" w:lineRule="auto"/>
        <w:rPr>
          <w:rFonts w:asciiTheme="minorBidi" w:hAnsiTheme="minorBidi"/>
          <w:sz w:val="24"/>
          <w:szCs w:val="24"/>
        </w:rPr>
      </w:pPr>
      <w:r w:rsidRPr="00314EB3">
        <w:rPr>
          <w:rFonts w:asciiTheme="minorBidi" w:hAnsiTheme="minorBidi"/>
          <w:sz w:val="24"/>
          <w:szCs w:val="24"/>
        </w:rPr>
        <w:t xml:space="preserve">Despite these benefits, it is argued that that an overreliance on technology in fostering student engagement could foster a passive learning experience, where students passively consume information rather than actively participating in the educational process (Selwyn, 2016; Selwyn and Bulfin, 2018). Furthermore, concerns have surfaced regarding the potential for technology to widen existing disparities in access and opportunities among students, particularly those hailing from disadvantaged backgrounds (Warschauer, 2016; Hargittai and Walejko, 2008). Additionally, while digital games and online platforms offer novel avenues for interaction and collaboration, there exists a risk of oversimplifying intricate </w:t>
      </w:r>
      <w:r w:rsidRPr="00314EB3">
        <w:rPr>
          <w:rFonts w:asciiTheme="minorBidi" w:hAnsiTheme="minorBidi"/>
          <w:sz w:val="24"/>
          <w:szCs w:val="24"/>
        </w:rPr>
        <w:lastRenderedPageBreak/>
        <w:t>educational concepts and prioritizing entertainment over academic rigor (Hinrichs et al., 2017; Squire and Jenkins, 2003). Moreover, Research conducted by Rosen, Carrier, and Cheever (2015) indicates a correlation between multitasking, particularly involving digital media, and in contrast to the abovementioned evidence, diminished cognitive performance, alongside lower academic achievements. This phenomenon, termed media-induced task-switching, occurs when students transition between studying and engaging with social media platforms or other digital content. Moreover, the pervasive connectivity facilitated by technology poses challenges in sustaining attention during learning activities (Rosen et al., 2018). As students navigate diverse online platforms and notifications, their capacity to concentrate on academic content may diminish, thereby impacting their overall learning engagement and outcomes.</w:t>
      </w:r>
    </w:p>
    <w:p w14:paraId="79397A1D" w14:textId="77777777" w:rsidR="00827A5B" w:rsidRPr="00314EB3" w:rsidRDefault="00827A5B" w:rsidP="00827A5B">
      <w:pPr>
        <w:spacing w:line="360" w:lineRule="auto"/>
        <w:rPr>
          <w:rFonts w:asciiTheme="minorBidi" w:hAnsiTheme="minorBidi"/>
          <w:sz w:val="24"/>
          <w:szCs w:val="24"/>
        </w:rPr>
      </w:pPr>
      <w:r w:rsidRPr="00314EB3">
        <w:rPr>
          <w:rFonts w:asciiTheme="minorBidi" w:hAnsiTheme="minorBidi"/>
          <w:sz w:val="24"/>
          <w:szCs w:val="24"/>
        </w:rPr>
        <w:t>Furthermore, it is contended that although technology aids communication and collaboration, empirical data indicates that digital interactions may lack the depth and nuances found in face-to-face communication. These constraints have the potential to hinder students' ability to fully engage with course materials and interact with peers in a meaningful manner, thereby limiting the depth of their learning experiences (Uhls et al., 2014).</w:t>
      </w:r>
    </w:p>
    <w:p w14:paraId="2D0E9443" w14:textId="77777777" w:rsidR="00827A5B" w:rsidRPr="00314EB3" w:rsidRDefault="00827A5B" w:rsidP="00827A5B">
      <w:pPr>
        <w:spacing w:line="360" w:lineRule="auto"/>
        <w:rPr>
          <w:rFonts w:asciiTheme="minorBidi" w:hAnsiTheme="minorBidi"/>
          <w:sz w:val="24"/>
          <w:szCs w:val="24"/>
        </w:rPr>
      </w:pPr>
      <w:r w:rsidRPr="00314EB3">
        <w:rPr>
          <w:rFonts w:asciiTheme="minorBidi" w:hAnsiTheme="minorBidi"/>
          <w:sz w:val="24"/>
          <w:szCs w:val="24"/>
        </w:rPr>
        <w:t xml:space="preserve">In terms of pedagogy, digital technology has revolutionized assessment practices by offering a plethora of assessment tools and platforms. These include online quizzes, interactive simulations, and digital portfolios, enabling educators to provide real-time feedback and track student progress more effectively (Boud and Falchikov, 2006). One significant benefit of digital technology is its capacity to enhance flexibility in teaching methods. For instance, tools like Microsoft Word and PowerPoint allow educators to optimize their preparation time by editing existing course materials instead of starting from scratch (Joram et al., 1990; McCormik and Scrimshaw, 2001). Specifically, Microsoft PowerPoint can foster an interactive learning atmosphere where educators can visually simplify complex concepts, incorporating multimedia elements like images and videos (Joram et al., 1990). These resources can then be shared on e-learning platforms such as Moodle, enabling students to access lecture notes and other materials from any location at any time (Taylor, 2000). </w:t>
      </w:r>
    </w:p>
    <w:p w14:paraId="235A8D35" w14:textId="77777777" w:rsidR="00827A5B" w:rsidRPr="00314EB3" w:rsidRDefault="00827A5B" w:rsidP="00827A5B">
      <w:pPr>
        <w:spacing w:line="360" w:lineRule="auto"/>
        <w:rPr>
          <w:rFonts w:asciiTheme="minorBidi" w:hAnsiTheme="minorBidi"/>
          <w:sz w:val="24"/>
          <w:szCs w:val="24"/>
        </w:rPr>
      </w:pPr>
    </w:p>
    <w:p w14:paraId="63E7ECF0" w14:textId="77777777" w:rsidR="00827A5B" w:rsidRPr="00314EB3" w:rsidRDefault="00827A5B" w:rsidP="00827A5B">
      <w:pPr>
        <w:spacing w:line="360" w:lineRule="auto"/>
        <w:rPr>
          <w:rFonts w:asciiTheme="minorBidi" w:hAnsiTheme="minorBidi"/>
          <w:sz w:val="24"/>
          <w:szCs w:val="24"/>
        </w:rPr>
      </w:pPr>
      <w:r w:rsidRPr="00314EB3">
        <w:rPr>
          <w:rFonts w:asciiTheme="minorBidi" w:hAnsiTheme="minorBidi"/>
          <w:sz w:val="24"/>
          <w:szCs w:val="24"/>
        </w:rPr>
        <w:lastRenderedPageBreak/>
        <w:t>A survey conducted among 1,400 classroom teachers revealed that various technology devices and online platforms significantly contributed to enhancing their teaching practices and student engagement. For example, a considerable percentage of teachers, around 68%, expressed their appreciation for interactive whiteboards as valuable tools to complement teaching methods effectively. Similarly, a study by Peterson and McClay (2012), involving over 300 teachers, demonstrated that utilizing smartboards in classrooms not only saved teaching time but also facilitated better demonstration of examples, which could be archived for future reference.</w:t>
      </w:r>
    </w:p>
    <w:p w14:paraId="5379A65A" w14:textId="77777777" w:rsidR="00827A5B" w:rsidRPr="00314EB3" w:rsidRDefault="00827A5B" w:rsidP="00827A5B">
      <w:pPr>
        <w:spacing w:line="360" w:lineRule="auto"/>
        <w:rPr>
          <w:rFonts w:asciiTheme="minorBidi" w:hAnsiTheme="minorBidi"/>
          <w:sz w:val="24"/>
          <w:szCs w:val="24"/>
        </w:rPr>
      </w:pPr>
      <w:r w:rsidRPr="00314EB3">
        <w:rPr>
          <w:rFonts w:asciiTheme="minorBidi" w:hAnsiTheme="minorBidi"/>
          <w:sz w:val="24"/>
          <w:szCs w:val="24"/>
        </w:rPr>
        <w:t>Moreover, teachers reported utilizing digital media for content management purposes, including tracking assessment scores, refining curriculum materials, developing individualized education plans, and accessing professional development resources and feedback. These technological aids are seen as freeing up valuable time for teachers in the classroom (The Scottish Government, 2015).</w:t>
      </w:r>
    </w:p>
    <w:p w14:paraId="7CEFAB80" w14:textId="77777777" w:rsidR="00827A5B" w:rsidRPr="00314EB3" w:rsidRDefault="00827A5B" w:rsidP="00827A5B">
      <w:pPr>
        <w:spacing w:line="360" w:lineRule="auto"/>
        <w:rPr>
          <w:rFonts w:asciiTheme="minorBidi" w:hAnsiTheme="minorBidi"/>
          <w:sz w:val="24"/>
          <w:szCs w:val="24"/>
        </w:rPr>
      </w:pPr>
      <w:r w:rsidRPr="00314EB3">
        <w:rPr>
          <w:rFonts w:asciiTheme="minorBidi" w:hAnsiTheme="minorBidi"/>
          <w:sz w:val="24"/>
          <w:szCs w:val="24"/>
        </w:rPr>
        <w:t>However, despite the evident benefits of digital technology in education, some educators argue that e-learning facilities are essentially extensions of traditional teaching methods, albeit at a higher cost. Cuban (1993) provides an example with the overhead projector (OHP), which, despite being an improvement over traditional chalkboards, still allows teachers to conduct lectures in a similar manner. Additionally, the successful integration of ICT across various subjects relies heavily on effective teaching and learning of ICT skills. Somekh (2007) emphasizes that the presumption that ICT seamlessly fits into existing practices is often rooted in the minds of technicians rather than educators, leading to a simplistic view of pedagogy as mere transmission of information.</w:t>
      </w:r>
    </w:p>
    <w:p w14:paraId="1193416B" w14:textId="77777777" w:rsidR="00827A5B" w:rsidRPr="00314EB3" w:rsidRDefault="00827A5B" w:rsidP="00827A5B">
      <w:pPr>
        <w:spacing w:line="360" w:lineRule="auto"/>
        <w:rPr>
          <w:rFonts w:asciiTheme="minorBidi" w:hAnsiTheme="minorBidi"/>
          <w:sz w:val="24"/>
          <w:szCs w:val="24"/>
        </w:rPr>
      </w:pPr>
      <w:r w:rsidRPr="00314EB3">
        <w:rPr>
          <w:rFonts w:asciiTheme="minorBidi" w:hAnsiTheme="minorBidi"/>
          <w:sz w:val="24"/>
          <w:szCs w:val="24"/>
        </w:rPr>
        <w:t>In conclusion, student engagement is can be viewed as a complex concept that encompasses various dimensions including psychological, social, and cultural aspects. It is understood in different ways, such as reflecting students' thoughts, emotions, and actions towards learning, as well as their active involvement in educational activities. Moreover, student engagement is seen as a collaborative process involving both students and educational institutions.</w:t>
      </w:r>
    </w:p>
    <w:p w14:paraId="59415958" w14:textId="77777777" w:rsidR="00827A5B" w:rsidRPr="00314EB3" w:rsidRDefault="00827A5B" w:rsidP="00827A5B">
      <w:pPr>
        <w:spacing w:line="360" w:lineRule="auto"/>
        <w:rPr>
          <w:rFonts w:asciiTheme="minorBidi" w:hAnsiTheme="minorBidi"/>
          <w:sz w:val="24"/>
          <w:szCs w:val="24"/>
        </w:rPr>
      </w:pPr>
      <w:r w:rsidRPr="00314EB3">
        <w:rPr>
          <w:rFonts w:asciiTheme="minorBidi" w:hAnsiTheme="minorBidi"/>
          <w:sz w:val="24"/>
          <w:szCs w:val="24"/>
        </w:rPr>
        <w:t xml:space="preserve">The emergence of technological advancements has significantly impacted student engagement by providing new avenues for interaction, collaboration, and </w:t>
      </w:r>
      <w:r w:rsidRPr="00314EB3">
        <w:rPr>
          <w:rFonts w:asciiTheme="minorBidi" w:hAnsiTheme="minorBidi"/>
          <w:sz w:val="24"/>
          <w:szCs w:val="24"/>
        </w:rPr>
        <w:lastRenderedPageBreak/>
        <w:t>assessment. Digital tools and platforms have proven to enhance communication, facilitate active learning, and offer educators valuable insights into student progress. Additionally, the flexibility offered by digital technology has streamlined teaching practices, allowing educators to create dynamic and interactive learning experiences.</w:t>
      </w:r>
    </w:p>
    <w:p w14:paraId="47A7C70A" w14:textId="772480AD" w:rsidR="00827A5B" w:rsidRPr="00314EB3" w:rsidRDefault="00827A5B" w:rsidP="57763B71">
      <w:pPr>
        <w:spacing w:line="360" w:lineRule="auto"/>
        <w:rPr>
          <w:rFonts w:asciiTheme="minorBidi" w:hAnsiTheme="minorBidi"/>
          <w:sz w:val="24"/>
          <w:szCs w:val="24"/>
        </w:rPr>
      </w:pPr>
      <w:r w:rsidRPr="00314EB3">
        <w:rPr>
          <w:rFonts w:asciiTheme="minorBidi" w:hAnsiTheme="minorBidi"/>
          <w:sz w:val="24"/>
          <w:szCs w:val="24"/>
        </w:rPr>
        <w:t>However, despite its benefits, concerns persist regarding technology's potential to promote passive learning experiences, exacerbate disparities in access, and compromise academic rigor. Challenges such as media-induced task-switching and the limitations of digital interactions highlight the need for a critical assessment of technology's role in education. Ultimately, the integration of digital technology into educational settings must be accompanied by thoughtful pedagogical strategies that prioritize meaningful engagement and learning outcomes. Rather than viewing technology as a cure-all, educators should consider it as a tool to complement and enrich traditional teaching methods. By harnessing technology effectively, educators can establish vibrant learning environments that e</w:t>
      </w:r>
      <w:r w:rsidR="29256471" w:rsidRPr="00314EB3">
        <w:rPr>
          <w:rFonts w:asciiTheme="minorBidi" w:hAnsiTheme="minorBidi"/>
          <w:sz w:val="24"/>
          <w:szCs w:val="24"/>
        </w:rPr>
        <w:t>ncourage</w:t>
      </w:r>
      <w:r w:rsidRPr="00314EB3">
        <w:rPr>
          <w:rFonts w:asciiTheme="minorBidi" w:hAnsiTheme="minorBidi"/>
          <w:sz w:val="24"/>
          <w:szCs w:val="24"/>
        </w:rPr>
        <w:t xml:space="preserve"> students to </w:t>
      </w:r>
      <w:r w:rsidR="51926F64" w:rsidRPr="00314EB3">
        <w:rPr>
          <w:rFonts w:asciiTheme="minorBidi" w:hAnsiTheme="minorBidi"/>
          <w:sz w:val="24"/>
          <w:szCs w:val="24"/>
        </w:rPr>
        <w:t>engage with their studies in a more active way</w:t>
      </w:r>
      <w:r w:rsidRPr="00314EB3">
        <w:rPr>
          <w:rFonts w:asciiTheme="minorBidi" w:hAnsiTheme="minorBidi"/>
          <w:sz w:val="24"/>
          <w:szCs w:val="24"/>
        </w:rPr>
        <w:t xml:space="preserve"> and attain academic success.</w:t>
      </w:r>
    </w:p>
    <w:p w14:paraId="2A68252C" w14:textId="77777777" w:rsidR="00827A5B" w:rsidRPr="00314EB3" w:rsidRDefault="00827A5B" w:rsidP="002F4564">
      <w:pPr>
        <w:spacing w:line="360" w:lineRule="auto"/>
        <w:rPr>
          <w:rFonts w:asciiTheme="minorBidi" w:hAnsiTheme="minorBidi"/>
          <w:b/>
          <w:bCs/>
          <w:sz w:val="24"/>
          <w:szCs w:val="24"/>
        </w:rPr>
      </w:pPr>
    </w:p>
    <w:p w14:paraId="1DCAEDD2" w14:textId="77777777" w:rsidR="00827A5B" w:rsidRPr="00314EB3" w:rsidRDefault="00827A5B" w:rsidP="002F4564">
      <w:pPr>
        <w:spacing w:line="360" w:lineRule="auto"/>
        <w:rPr>
          <w:rFonts w:asciiTheme="minorBidi" w:hAnsiTheme="minorBidi"/>
          <w:b/>
          <w:bCs/>
          <w:sz w:val="24"/>
          <w:szCs w:val="24"/>
        </w:rPr>
      </w:pPr>
    </w:p>
    <w:p w14:paraId="74D06712" w14:textId="77777777" w:rsidR="00827A5B" w:rsidRPr="00314EB3" w:rsidRDefault="00827A5B" w:rsidP="002F4564">
      <w:pPr>
        <w:spacing w:line="360" w:lineRule="auto"/>
        <w:rPr>
          <w:rFonts w:asciiTheme="minorBidi" w:hAnsiTheme="minorBidi"/>
          <w:b/>
          <w:bCs/>
          <w:sz w:val="24"/>
          <w:szCs w:val="24"/>
        </w:rPr>
      </w:pPr>
    </w:p>
    <w:p w14:paraId="30599AC1" w14:textId="77777777" w:rsidR="00827A5B" w:rsidRPr="00314EB3" w:rsidRDefault="00827A5B" w:rsidP="002F4564">
      <w:pPr>
        <w:spacing w:line="360" w:lineRule="auto"/>
        <w:rPr>
          <w:rFonts w:asciiTheme="minorBidi" w:hAnsiTheme="minorBidi"/>
          <w:b/>
          <w:bCs/>
          <w:sz w:val="24"/>
          <w:szCs w:val="24"/>
        </w:rPr>
      </w:pPr>
    </w:p>
    <w:p w14:paraId="2F7F9F20" w14:textId="77777777" w:rsidR="00827A5B" w:rsidRPr="00314EB3" w:rsidRDefault="00827A5B" w:rsidP="002F4564">
      <w:pPr>
        <w:spacing w:line="360" w:lineRule="auto"/>
        <w:rPr>
          <w:rFonts w:asciiTheme="minorBidi" w:hAnsiTheme="minorBidi"/>
          <w:b/>
          <w:bCs/>
          <w:sz w:val="24"/>
          <w:szCs w:val="24"/>
        </w:rPr>
      </w:pPr>
    </w:p>
    <w:p w14:paraId="30B11087" w14:textId="77777777" w:rsidR="00827A5B" w:rsidRPr="00314EB3" w:rsidRDefault="00827A5B" w:rsidP="002F4564">
      <w:pPr>
        <w:spacing w:line="360" w:lineRule="auto"/>
        <w:rPr>
          <w:rFonts w:asciiTheme="minorBidi" w:hAnsiTheme="minorBidi"/>
          <w:b/>
          <w:bCs/>
          <w:sz w:val="24"/>
          <w:szCs w:val="24"/>
        </w:rPr>
      </w:pPr>
    </w:p>
    <w:p w14:paraId="4287C935" w14:textId="77777777" w:rsidR="00827A5B" w:rsidRPr="00314EB3" w:rsidRDefault="00827A5B" w:rsidP="002F4564">
      <w:pPr>
        <w:spacing w:line="360" w:lineRule="auto"/>
        <w:rPr>
          <w:rFonts w:asciiTheme="minorBidi" w:hAnsiTheme="minorBidi"/>
          <w:b/>
          <w:bCs/>
          <w:sz w:val="24"/>
          <w:szCs w:val="24"/>
        </w:rPr>
      </w:pPr>
    </w:p>
    <w:p w14:paraId="77E21B7F" w14:textId="77777777" w:rsidR="00827A5B" w:rsidRPr="00314EB3" w:rsidRDefault="00827A5B" w:rsidP="002F4564">
      <w:pPr>
        <w:spacing w:line="360" w:lineRule="auto"/>
        <w:rPr>
          <w:rFonts w:asciiTheme="minorBidi" w:hAnsiTheme="minorBidi"/>
          <w:b/>
          <w:bCs/>
          <w:sz w:val="24"/>
          <w:szCs w:val="24"/>
        </w:rPr>
      </w:pPr>
    </w:p>
    <w:p w14:paraId="677797FA" w14:textId="77777777" w:rsidR="00827A5B" w:rsidRPr="00314EB3" w:rsidRDefault="00827A5B" w:rsidP="002F4564">
      <w:pPr>
        <w:spacing w:line="360" w:lineRule="auto"/>
        <w:rPr>
          <w:rFonts w:asciiTheme="minorBidi" w:hAnsiTheme="minorBidi"/>
          <w:b/>
          <w:bCs/>
          <w:sz w:val="24"/>
          <w:szCs w:val="24"/>
        </w:rPr>
      </w:pPr>
    </w:p>
    <w:p w14:paraId="25405D79" w14:textId="77777777" w:rsidR="00827A5B" w:rsidRPr="00314EB3" w:rsidRDefault="00827A5B" w:rsidP="002F4564">
      <w:pPr>
        <w:spacing w:line="360" w:lineRule="auto"/>
        <w:rPr>
          <w:rFonts w:asciiTheme="minorBidi" w:hAnsiTheme="minorBidi"/>
          <w:b/>
          <w:bCs/>
          <w:sz w:val="24"/>
          <w:szCs w:val="24"/>
        </w:rPr>
      </w:pPr>
    </w:p>
    <w:p w14:paraId="3311F81D" w14:textId="77777777" w:rsidR="00827A5B" w:rsidRPr="00314EB3" w:rsidRDefault="00827A5B" w:rsidP="002F4564">
      <w:pPr>
        <w:spacing w:line="360" w:lineRule="auto"/>
        <w:rPr>
          <w:rFonts w:asciiTheme="minorBidi" w:hAnsiTheme="minorBidi"/>
          <w:b/>
          <w:bCs/>
          <w:sz w:val="24"/>
          <w:szCs w:val="24"/>
        </w:rPr>
      </w:pPr>
    </w:p>
    <w:p w14:paraId="621420E4" w14:textId="77777777" w:rsidR="00827A5B" w:rsidRPr="00314EB3" w:rsidRDefault="00827A5B" w:rsidP="002F4564">
      <w:pPr>
        <w:spacing w:line="360" w:lineRule="auto"/>
        <w:rPr>
          <w:rFonts w:asciiTheme="minorBidi" w:hAnsiTheme="minorBidi"/>
          <w:b/>
          <w:bCs/>
          <w:sz w:val="24"/>
          <w:szCs w:val="24"/>
        </w:rPr>
      </w:pPr>
    </w:p>
    <w:p w14:paraId="2F51ABBB" w14:textId="77777777" w:rsidR="00314EB3" w:rsidRDefault="00314EB3" w:rsidP="002F4564">
      <w:pPr>
        <w:spacing w:line="360" w:lineRule="auto"/>
        <w:rPr>
          <w:rFonts w:asciiTheme="minorBidi" w:hAnsiTheme="minorBidi"/>
          <w:b/>
          <w:bCs/>
          <w:sz w:val="24"/>
          <w:szCs w:val="24"/>
        </w:rPr>
      </w:pPr>
    </w:p>
    <w:p w14:paraId="7DBD2D4E" w14:textId="43FF2C42" w:rsidR="002F4564" w:rsidRPr="00314EB3" w:rsidRDefault="002F4564" w:rsidP="002F4564">
      <w:pPr>
        <w:spacing w:line="360" w:lineRule="auto"/>
        <w:rPr>
          <w:rFonts w:asciiTheme="minorBidi" w:hAnsiTheme="minorBidi"/>
          <w:b/>
          <w:bCs/>
          <w:sz w:val="24"/>
          <w:szCs w:val="24"/>
        </w:rPr>
      </w:pPr>
      <w:r w:rsidRPr="00314EB3">
        <w:rPr>
          <w:rFonts w:asciiTheme="minorBidi" w:hAnsiTheme="minorBidi"/>
          <w:b/>
          <w:bCs/>
          <w:sz w:val="24"/>
          <w:szCs w:val="24"/>
        </w:rPr>
        <w:lastRenderedPageBreak/>
        <w:t>Methodology</w:t>
      </w:r>
    </w:p>
    <w:p w14:paraId="5D800E8F" w14:textId="77777777" w:rsidR="002F4564" w:rsidRPr="00314EB3" w:rsidRDefault="002F4564" w:rsidP="002F4564">
      <w:pPr>
        <w:spacing w:line="360" w:lineRule="auto"/>
        <w:rPr>
          <w:rFonts w:asciiTheme="minorBidi" w:hAnsiTheme="minorBidi"/>
          <w:sz w:val="24"/>
          <w:szCs w:val="24"/>
        </w:rPr>
      </w:pPr>
      <w:r w:rsidRPr="00314EB3">
        <w:rPr>
          <w:rFonts w:asciiTheme="minorBidi" w:hAnsiTheme="minorBidi"/>
          <w:sz w:val="24"/>
          <w:szCs w:val="24"/>
        </w:rPr>
        <w:t>The integration of e-learning technologies has profoundly transformed the higher education landscape, bringing forth a multitude of opportunities and challenges, particularly in terms of student engagement. An examination of various studies sheds light on the intricate dynamics of this phenomenon.</w:t>
      </w:r>
    </w:p>
    <w:p w14:paraId="14BB5C4B" w14:textId="77777777" w:rsidR="002F4564" w:rsidRPr="00314EB3" w:rsidRDefault="002F4564" w:rsidP="002F4564">
      <w:pPr>
        <w:spacing w:line="360" w:lineRule="auto"/>
        <w:rPr>
          <w:rFonts w:asciiTheme="minorBidi" w:hAnsiTheme="minorBidi"/>
          <w:sz w:val="24"/>
          <w:szCs w:val="24"/>
        </w:rPr>
      </w:pPr>
      <w:r w:rsidRPr="00314EB3">
        <w:rPr>
          <w:rFonts w:asciiTheme="minorBidi" w:hAnsiTheme="minorBidi"/>
          <w:sz w:val="24"/>
          <w:szCs w:val="24"/>
        </w:rPr>
        <w:t xml:space="preserve">With a focus on gamification, personalised learning possibilities, and interactive functions, I have embraced technology-integrated education, drawing on the research of Sitzmann et al. (2006), Landers and Landers (2014), and Tosuntaş and Karadağ (2018). By using these methods, I have personally witnessed students' increased enthusiasm and engagement as they actively interact with the course contents and work together with classmates in online environments. </w:t>
      </w:r>
    </w:p>
    <w:p w14:paraId="72D062A3" w14:textId="77777777" w:rsidR="002F4564" w:rsidRPr="00314EB3" w:rsidRDefault="002F4564" w:rsidP="002F4564">
      <w:pPr>
        <w:spacing w:line="360" w:lineRule="auto"/>
        <w:rPr>
          <w:rFonts w:asciiTheme="minorBidi" w:hAnsiTheme="minorBidi"/>
          <w:sz w:val="24"/>
          <w:szCs w:val="24"/>
        </w:rPr>
      </w:pPr>
      <w:r w:rsidRPr="00314EB3">
        <w:rPr>
          <w:rFonts w:asciiTheme="minorBidi" w:hAnsiTheme="minorBidi"/>
          <w:sz w:val="24"/>
          <w:szCs w:val="24"/>
        </w:rPr>
        <w:t xml:space="preserve">However, I have also faced the difficulties that come with learning online, especially during the sudden change to learning remotely. The critiques outlined by Johnson &amp; Mejia (2022), Garrison &amp; Vaughan (2008), and Hodges et al. (2022) mirror some of the challenges I have encountered, including resolving student digital </w:t>
      </w:r>
      <w:proofErr w:type="gramStart"/>
      <w:r w:rsidRPr="00314EB3">
        <w:rPr>
          <w:rFonts w:asciiTheme="minorBidi" w:hAnsiTheme="minorBidi"/>
          <w:sz w:val="24"/>
          <w:szCs w:val="24"/>
        </w:rPr>
        <w:t>disparities</w:t>
      </w:r>
      <w:proofErr w:type="gramEnd"/>
      <w:r w:rsidRPr="00314EB3">
        <w:rPr>
          <w:rFonts w:asciiTheme="minorBidi" w:hAnsiTheme="minorBidi"/>
          <w:sz w:val="24"/>
          <w:szCs w:val="24"/>
        </w:rPr>
        <w:t xml:space="preserve"> and navigating passive learning settings.</w:t>
      </w:r>
    </w:p>
    <w:p w14:paraId="22A39C91" w14:textId="46F5CD5F" w:rsidR="002F4564" w:rsidRPr="00314EB3" w:rsidRDefault="002F4564" w:rsidP="57763B71">
      <w:pPr>
        <w:spacing w:line="360" w:lineRule="auto"/>
        <w:rPr>
          <w:rFonts w:asciiTheme="minorBidi" w:hAnsiTheme="minorBidi"/>
          <w:sz w:val="24"/>
          <w:szCs w:val="24"/>
        </w:rPr>
      </w:pPr>
      <w:r w:rsidRPr="00314EB3">
        <w:rPr>
          <w:rFonts w:asciiTheme="minorBidi" w:hAnsiTheme="minorBidi"/>
          <w:sz w:val="24"/>
          <w:szCs w:val="24"/>
        </w:rPr>
        <w:t xml:space="preserve">After giving these difficulties some thought, I realise how critical it is to overcome digital inequities and advance efficient online teaching techniques, as stressed by Means &amp; Neisler (2019) and Vaughn et al. (2019). In addition, I have tried to use </w:t>
      </w:r>
      <w:r w:rsidR="1DDD9DB1" w:rsidRPr="00314EB3">
        <w:rPr>
          <w:rFonts w:asciiTheme="minorBidi" w:hAnsiTheme="minorBidi"/>
          <w:sz w:val="24"/>
          <w:szCs w:val="24"/>
        </w:rPr>
        <w:t>digital tools</w:t>
      </w:r>
      <w:r w:rsidRPr="00314EB3">
        <w:rPr>
          <w:rFonts w:asciiTheme="minorBidi" w:hAnsiTheme="minorBidi"/>
          <w:sz w:val="24"/>
          <w:szCs w:val="24"/>
        </w:rPr>
        <w:t xml:space="preserve"> in the virtual classroom to </w:t>
      </w:r>
      <w:r w:rsidR="0A9B4131" w:rsidRPr="00314EB3">
        <w:rPr>
          <w:rFonts w:asciiTheme="minorBidi" w:hAnsiTheme="minorBidi"/>
          <w:sz w:val="24"/>
          <w:szCs w:val="24"/>
        </w:rPr>
        <w:t>encourage</w:t>
      </w:r>
      <w:r w:rsidRPr="00314EB3">
        <w:rPr>
          <w:rFonts w:asciiTheme="minorBidi" w:hAnsiTheme="minorBidi"/>
          <w:sz w:val="24"/>
          <w:szCs w:val="24"/>
        </w:rPr>
        <w:t xml:space="preserve"> inclusion and accessibility in addition to increasing student involvement.</w:t>
      </w:r>
    </w:p>
    <w:p w14:paraId="47AA69D4" w14:textId="650B3154" w:rsidR="002F4564" w:rsidRPr="00314EB3" w:rsidRDefault="002F4564" w:rsidP="57763B71">
      <w:pPr>
        <w:spacing w:line="360" w:lineRule="auto"/>
        <w:rPr>
          <w:rFonts w:asciiTheme="minorBidi" w:hAnsiTheme="minorBidi"/>
          <w:sz w:val="24"/>
          <w:szCs w:val="24"/>
        </w:rPr>
      </w:pPr>
      <w:r w:rsidRPr="00314EB3">
        <w:rPr>
          <w:rFonts w:asciiTheme="minorBidi" w:hAnsiTheme="minorBidi"/>
          <w:sz w:val="24"/>
          <w:szCs w:val="24"/>
        </w:rPr>
        <w:t>I have accepted the possibility of technology to provide individualised care in line with the conclusions of Bower (2016), Graf et al. (2009), Hattie &amp; Timperley (2007), Hew &amp; Cheung (2014), and Mishra &amp; Koehler (2006). guidance, prompt feedback, and cooperative learning opportunities. These techniques have improved students' educational experiences while also giving them the confidence to take charge of their education via active engagement and self-directed inquiry</w:t>
      </w:r>
      <w:r w:rsidR="00362C40" w:rsidRPr="00314EB3">
        <w:rPr>
          <w:rFonts w:asciiTheme="minorBidi" w:hAnsiTheme="minorBidi"/>
          <w:sz w:val="24"/>
          <w:szCs w:val="24"/>
        </w:rPr>
        <w:t xml:space="preserve">. </w:t>
      </w:r>
      <w:r w:rsidRPr="00314EB3">
        <w:rPr>
          <w:rFonts w:asciiTheme="minorBidi" w:hAnsiTheme="minorBidi"/>
          <w:sz w:val="24"/>
          <w:szCs w:val="24"/>
        </w:rPr>
        <w:t>But as Goudeau et al. (2021) have shown, the socio-economic ramifications of depending only on online education are considerable. Because of this, I have worked to promote digital literacy programmes and fair access to technology, understanding that inequities in digital access might worsen gaps in academic performance.</w:t>
      </w:r>
    </w:p>
    <w:p w14:paraId="6FAAC92C" w14:textId="77777777" w:rsidR="002F4564" w:rsidRPr="00314EB3" w:rsidRDefault="002F4564" w:rsidP="002F4564">
      <w:pPr>
        <w:spacing w:line="360" w:lineRule="auto"/>
        <w:rPr>
          <w:rFonts w:asciiTheme="minorBidi" w:hAnsiTheme="minorBidi"/>
          <w:sz w:val="24"/>
          <w:szCs w:val="24"/>
        </w:rPr>
      </w:pPr>
    </w:p>
    <w:p w14:paraId="05F4910D" w14:textId="77777777" w:rsidR="002F4564" w:rsidRPr="00314EB3" w:rsidRDefault="002F4564" w:rsidP="002F4564">
      <w:pPr>
        <w:spacing w:line="360" w:lineRule="auto"/>
        <w:rPr>
          <w:rFonts w:asciiTheme="minorBidi" w:hAnsiTheme="minorBidi"/>
          <w:sz w:val="24"/>
          <w:szCs w:val="24"/>
        </w:rPr>
      </w:pPr>
      <w:r w:rsidRPr="00314EB3">
        <w:rPr>
          <w:rFonts w:asciiTheme="minorBidi" w:hAnsiTheme="minorBidi"/>
          <w:sz w:val="24"/>
          <w:szCs w:val="24"/>
        </w:rPr>
        <w:t>Incorporating e-learning tools has allowed me to cater to diverse learning styles and foster active participation among students. For instance, integrating elements of gamification and personalized learning experiences has proven effective. Also, online collaborative platforms and interactive resources have facilitated meaningful interactions and knowledge sharing among students, despite physical distance.</w:t>
      </w:r>
    </w:p>
    <w:p w14:paraId="126D6123" w14:textId="77777777" w:rsidR="002F4564" w:rsidRPr="00314EB3" w:rsidRDefault="002F4564" w:rsidP="002F4564">
      <w:pPr>
        <w:spacing w:line="360" w:lineRule="auto"/>
        <w:rPr>
          <w:rFonts w:asciiTheme="minorBidi" w:hAnsiTheme="minorBidi"/>
          <w:sz w:val="24"/>
          <w:szCs w:val="24"/>
        </w:rPr>
      </w:pPr>
      <w:r w:rsidRPr="00314EB3">
        <w:rPr>
          <w:rFonts w:asciiTheme="minorBidi" w:hAnsiTheme="minorBidi"/>
          <w:sz w:val="24"/>
          <w:szCs w:val="24"/>
        </w:rPr>
        <w:t>As I reflect on my journey as an educator, I am reminded of the imperative to remain adaptable and responsive to the evolving needs of students in the digital age. By embracing e-learning technologies thoughtfully and proactively addressing the challenges they present, I am committed to creating inclusive and engaging learning experiences that empower all students to succeed.</w:t>
      </w:r>
    </w:p>
    <w:p w14:paraId="51186C25" w14:textId="77777777" w:rsidR="002F4564" w:rsidRPr="00314EB3" w:rsidRDefault="002F4564" w:rsidP="002F4564">
      <w:pPr>
        <w:spacing w:line="360" w:lineRule="auto"/>
        <w:rPr>
          <w:rFonts w:asciiTheme="minorBidi" w:hAnsiTheme="minorBidi"/>
          <w:sz w:val="24"/>
          <w:szCs w:val="24"/>
        </w:rPr>
      </w:pPr>
    </w:p>
    <w:p w14:paraId="7287E604" w14:textId="77777777" w:rsidR="002F4564" w:rsidRPr="00314EB3" w:rsidRDefault="002F4564" w:rsidP="002F4564">
      <w:pPr>
        <w:spacing w:line="360" w:lineRule="auto"/>
        <w:rPr>
          <w:rFonts w:asciiTheme="minorBidi" w:hAnsiTheme="minorBidi"/>
          <w:sz w:val="24"/>
          <w:szCs w:val="24"/>
        </w:rPr>
      </w:pPr>
    </w:p>
    <w:p w14:paraId="4EFDAD66" w14:textId="77777777" w:rsidR="002F4564" w:rsidRPr="00314EB3" w:rsidRDefault="002F4564" w:rsidP="002F4564">
      <w:pPr>
        <w:spacing w:line="360" w:lineRule="auto"/>
        <w:rPr>
          <w:rFonts w:asciiTheme="minorBidi" w:hAnsiTheme="minorBidi"/>
          <w:sz w:val="24"/>
          <w:szCs w:val="24"/>
        </w:rPr>
      </w:pPr>
    </w:p>
    <w:p w14:paraId="035EE619" w14:textId="77777777" w:rsidR="002F4564" w:rsidRPr="00314EB3" w:rsidRDefault="002F4564" w:rsidP="002F4564">
      <w:pPr>
        <w:spacing w:line="360" w:lineRule="auto"/>
        <w:rPr>
          <w:rFonts w:asciiTheme="minorBidi" w:hAnsiTheme="minorBidi"/>
          <w:sz w:val="24"/>
          <w:szCs w:val="24"/>
        </w:rPr>
      </w:pPr>
    </w:p>
    <w:p w14:paraId="31947165" w14:textId="77777777" w:rsidR="002F4564" w:rsidRPr="00314EB3" w:rsidRDefault="002F4564" w:rsidP="002F4564">
      <w:pPr>
        <w:spacing w:line="360" w:lineRule="auto"/>
        <w:rPr>
          <w:rFonts w:asciiTheme="minorBidi" w:hAnsiTheme="minorBidi"/>
          <w:sz w:val="24"/>
          <w:szCs w:val="24"/>
        </w:rPr>
      </w:pPr>
    </w:p>
    <w:p w14:paraId="70AA6CB2" w14:textId="77777777" w:rsidR="002F4564" w:rsidRPr="00314EB3" w:rsidRDefault="002F4564" w:rsidP="002F4564">
      <w:pPr>
        <w:spacing w:line="360" w:lineRule="auto"/>
        <w:rPr>
          <w:rFonts w:asciiTheme="minorBidi" w:hAnsiTheme="minorBidi"/>
          <w:sz w:val="24"/>
          <w:szCs w:val="24"/>
        </w:rPr>
      </w:pPr>
    </w:p>
    <w:p w14:paraId="34FE3D2D" w14:textId="77777777" w:rsidR="002F4564" w:rsidRPr="00314EB3" w:rsidRDefault="002F4564" w:rsidP="002F4564">
      <w:pPr>
        <w:spacing w:line="360" w:lineRule="auto"/>
        <w:rPr>
          <w:rFonts w:asciiTheme="minorBidi" w:hAnsiTheme="minorBidi"/>
          <w:sz w:val="24"/>
          <w:szCs w:val="24"/>
        </w:rPr>
      </w:pPr>
    </w:p>
    <w:p w14:paraId="5462F214" w14:textId="77777777" w:rsidR="00A62EFA" w:rsidRPr="00314EB3" w:rsidRDefault="00A62EFA" w:rsidP="00A62EFA">
      <w:pPr>
        <w:spacing w:line="360" w:lineRule="auto"/>
        <w:rPr>
          <w:rFonts w:ascii="Arial" w:hAnsi="Arial" w:cs="Arial"/>
          <w:sz w:val="24"/>
          <w:szCs w:val="24"/>
        </w:rPr>
      </w:pPr>
    </w:p>
    <w:p w14:paraId="7AEB19BA" w14:textId="77777777" w:rsidR="00A62EFA" w:rsidRPr="00314EB3" w:rsidRDefault="00A62EFA" w:rsidP="00A62EFA">
      <w:pPr>
        <w:spacing w:line="360" w:lineRule="auto"/>
        <w:rPr>
          <w:rFonts w:ascii="Arial" w:hAnsi="Arial" w:cs="Arial"/>
          <w:sz w:val="24"/>
          <w:szCs w:val="24"/>
        </w:rPr>
      </w:pPr>
    </w:p>
    <w:p w14:paraId="4645B4F3" w14:textId="77777777" w:rsidR="00A62EFA" w:rsidRPr="00314EB3" w:rsidRDefault="00A62EFA" w:rsidP="00A62EFA">
      <w:pPr>
        <w:spacing w:line="360" w:lineRule="auto"/>
        <w:rPr>
          <w:rFonts w:ascii="Arial" w:hAnsi="Arial" w:cs="Arial"/>
          <w:sz w:val="24"/>
          <w:szCs w:val="24"/>
        </w:rPr>
      </w:pPr>
    </w:p>
    <w:p w14:paraId="390C8B53" w14:textId="77777777" w:rsidR="00A62EFA" w:rsidRPr="00314EB3" w:rsidRDefault="00A62EFA" w:rsidP="00A62EFA">
      <w:pPr>
        <w:spacing w:line="360" w:lineRule="auto"/>
        <w:rPr>
          <w:rFonts w:ascii="Arial" w:hAnsi="Arial" w:cs="Arial"/>
          <w:sz w:val="24"/>
          <w:szCs w:val="24"/>
        </w:rPr>
      </w:pPr>
    </w:p>
    <w:p w14:paraId="743266A7" w14:textId="77777777" w:rsidR="00A62EFA" w:rsidRPr="00314EB3" w:rsidRDefault="00A62EFA" w:rsidP="00A62EFA">
      <w:pPr>
        <w:spacing w:line="360" w:lineRule="auto"/>
        <w:rPr>
          <w:rFonts w:ascii="Arial" w:hAnsi="Arial" w:cs="Arial"/>
          <w:sz w:val="24"/>
          <w:szCs w:val="24"/>
        </w:rPr>
      </w:pPr>
    </w:p>
    <w:p w14:paraId="26D10BA0" w14:textId="77777777" w:rsidR="00A62EFA" w:rsidRPr="00314EB3" w:rsidRDefault="00A62EFA" w:rsidP="00A62EFA">
      <w:pPr>
        <w:spacing w:line="360" w:lineRule="auto"/>
        <w:rPr>
          <w:rFonts w:ascii="Arial" w:hAnsi="Arial" w:cs="Arial"/>
          <w:sz w:val="24"/>
          <w:szCs w:val="24"/>
        </w:rPr>
      </w:pPr>
    </w:p>
    <w:p w14:paraId="6E81F4D0" w14:textId="77777777" w:rsidR="00A62EFA" w:rsidRPr="00314EB3" w:rsidRDefault="00A62EFA" w:rsidP="00A62EFA">
      <w:pPr>
        <w:spacing w:line="360" w:lineRule="auto"/>
        <w:rPr>
          <w:rFonts w:ascii="Arial" w:hAnsi="Arial" w:cs="Arial"/>
          <w:sz w:val="24"/>
          <w:szCs w:val="24"/>
        </w:rPr>
      </w:pPr>
    </w:p>
    <w:p w14:paraId="460CEEAF" w14:textId="77777777" w:rsidR="00A62EFA" w:rsidRPr="00314EB3" w:rsidRDefault="00A62EFA" w:rsidP="00A62EFA">
      <w:pPr>
        <w:spacing w:line="360" w:lineRule="auto"/>
        <w:rPr>
          <w:rFonts w:ascii="Arial" w:hAnsi="Arial" w:cs="Arial"/>
          <w:sz w:val="24"/>
          <w:szCs w:val="24"/>
        </w:rPr>
      </w:pPr>
    </w:p>
    <w:p w14:paraId="605FB750" w14:textId="77777777" w:rsidR="00A62EFA" w:rsidRPr="00314EB3" w:rsidRDefault="00A62EFA" w:rsidP="00A62EFA">
      <w:pPr>
        <w:spacing w:line="360" w:lineRule="auto"/>
        <w:rPr>
          <w:rFonts w:ascii="Arial" w:hAnsi="Arial" w:cs="Arial"/>
          <w:sz w:val="24"/>
          <w:szCs w:val="24"/>
        </w:rPr>
      </w:pPr>
    </w:p>
    <w:p w14:paraId="11E63ED8" w14:textId="0EFB29AF" w:rsidR="00937F78" w:rsidRPr="00314EB3" w:rsidRDefault="00937F78" w:rsidP="00A62EFA">
      <w:pPr>
        <w:spacing w:line="360" w:lineRule="auto"/>
        <w:rPr>
          <w:rFonts w:ascii="Arial" w:hAnsi="Arial" w:cs="Arial"/>
          <w:b/>
          <w:bCs/>
          <w:sz w:val="24"/>
          <w:szCs w:val="24"/>
        </w:rPr>
      </w:pPr>
      <w:r w:rsidRPr="00314EB3">
        <w:rPr>
          <w:rFonts w:ascii="Arial" w:hAnsi="Arial" w:cs="Arial"/>
          <w:b/>
          <w:bCs/>
          <w:sz w:val="24"/>
          <w:szCs w:val="24"/>
        </w:rPr>
        <w:lastRenderedPageBreak/>
        <w:t>Results</w:t>
      </w:r>
    </w:p>
    <w:p w14:paraId="64D5BA3F" w14:textId="5DBE308E" w:rsidR="00872A28" w:rsidRPr="00314EB3" w:rsidRDefault="00872A28" w:rsidP="00872A28">
      <w:pPr>
        <w:spacing w:line="360" w:lineRule="auto"/>
        <w:rPr>
          <w:rFonts w:ascii="Arial" w:hAnsi="Arial" w:cs="Arial"/>
          <w:b/>
          <w:bCs/>
          <w:sz w:val="24"/>
          <w:szCs w:val="24"/>
        </w:rPr>
      </w:pPr>
      <w:r w:rsidRPr="00314EB3">
        <w:rPr>
          <w:rFonts w:ascii="Arial" w:hAnsi="Arial" w:cs="Arial"/>
          <w:b/>
          <w:bCs/>
          <w:sz w:val="24"/>
          <w:szCs w:val="24"/>
        </w:rPr>
        <w:t>Question 1: Do current educational policies influence the integration of technology in the classroom?</w:t>
      </w:r>
    </w:p>
    <w:p w14:paraId="7656FE24" w14:textId="0225077B"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 xml:space="preserve">In Welsh post-16 education, the incorporation of e-learning is pivotal in enriching the educational experience and readying students for higher education and employment and this has been reflected in the government policies in Wales. Between 2020 and 2024, Wales underwent a significant transformation in its post-16 education sector, with a notable emphasis on integrating e-learning methodologies to meet the evolving needs of the digital era., The newly devised curriculum underscores the significance of digital literacy and proficiency, urging further education establishments to utilize e-learning platforms, resources, and tools to bolster teaching and learning (Welsh Government 2022). Through the National e-Learning Offer spearheaded by the Welsh Government, post-16 learners gain access to a diverse array of online materials and courses tailored to supplement their studies and offer flexibility in their academic pursuits. Moreover, endeavours like the Post-16 Qualifications Review (2022) led by Qualifications Wales aim to ensure that certifications and assessments in post-16 education remain pertinent in an increasingly digital landscape, aligning with the evolving requirements of various industries and tertiary education providers. By integrating e-learning within post-16 education, Wales endeavours to equip students with the digital proficiencies indispensable for thriving in advanced studies, professional environments, and beyond. </w:t>
      </w:r>
    </w:p>
    <w:p w14:paraId="0260A391" w14:textId="77777777"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Recent scholarship suggests that policy directives pertaining to technology integration prioritize funding allocation for technological infrastructure, establish guidelines delineating curriculum standards infused with technology, and endorse professional development initiatives to capacitate educators in adeptly integrating technology into pedagogical practices (Kimmons &amp; Hall, 2020; Patsios &amp; Venkatesh, 2020).</w:t>
      </w:r>
    </w:p>
    <w:p w14:paraId="506FA826" w14:textId="7C86ECE0"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 xml:space="preserve">The importance of these policies is recognised internationally.  In addition to infrastructure and curriculum, recent policies emphasize the importance of </w:t>
      </w:r>
      <w:r w:rsidR="7FE645E6" w:rsidRPr="00314EB3">
        <w:rPr>
          <w:rFonts w:ascii="Arial" w:hAnsi="Arial" w:cs="Arial"/>
          <w:sz w:val="24"/>
          <w:szCs w:val="24"/>
        </w:rPr>
        <w:t>continuing</w:t>
      </w:r>
      <w:r w:rsidRPr="00314EB3">
        <w:rPr>
          <w:rFonts w:ascii="Arial" w:hAnsi="Arial" w:cs="Arial"/>
          <w:sz w:val="24"/>
          <w:szCs w:val="24"/>
        </w:rPr>
        <w:t xml:space="preserve"> professional development for </w:t>
      </w:r>
      <w:r w:rsidR="43129E4A" w:rsidRPr="00314EB3">
        <w:rPr>
          <w:rFonts w:ascii="Arial" w:hAnsi="Arial" w:cs="Arial"/>
          <w:sz w:val="24"/>
          <w:szCs w:val="24"/>
        </w:rPr>
        <w:t>teachers</w:t>
      </w:r>
      <w:r w:rsidRPr="00314EB3">
        <w:rPr>
          <w:rFonts w:ascii="Arial" w:hAnsi="Arial" w:cs="Arial"/>
          <w:sz w:val="24"/>
          <w:szCs w:val="24"/>
        </w:rPr>
        <w:t xml:space="preserve">. Training programmes and professional learning opportunities are devised to equip teachers with the necessary skills and </w:t>
      </w:r>
      <w:r w:rsidRPr="00314EB3">
        <w:rPr>
          <w:rFonts w:ascii="Arial" w:hAnsi="Arial" w:cs="Arial"/>
          <w:sz w:val="24"/>
          <w:szCs w:val="24"/>
        </w:rPr>
        <w:lastRenderedPageBreak/>
        <w:t>knowledge for seamless technology integration. This entails training on utilizing digital tools, devising strategies for incorporating technology into lesson plans, and fostering digital citizenship among students (European Commission, 2020; UNESCO, 2021).</w:t>
      </w:r>
    </w:p>
    <w:p w14:paraId="669295AB" w14:textId="0F44E5B3"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 xml:space="preserve">Moreover, contemporary policies emphasize the integration of technology across curricula. They advocate for the inclusion of digital literacy skills and technology competencies as essential components of educational standards and guidelines. By embedding these elements into curriculum frameworks, policymakers aim to equip educators with the necessary </w:t>
      </w:r>
      <w:r w:rsidR="6D36B4DC" w:rsidRPr="00314EB3">
        <w:rPr>
          <w:rFonts w:ascii="Arial" w:hAnsi="Arial" w:cs="Arial"/>
          <w:sz w:val="24"/>
          <w:szCs w:val="24"/>
        </w:rPr>
        <w:t>skills</w:t>
      </w:r>
      <w:r w:rsidRPr="00314EB3">
        <w:rPr>
          <w:rFonts w:ascii="Arial" w:hAnsi="Arial" w:cs="Arial"/>
          <w:sz w:val="24"/>
          <w:szCs w:val="24"/>
        </w:rPr>
        <w:t xml:space="preserve"> and </w:t>
      </w:r>
      <w:r w:rsidR="42812997" w:rsidRPr="00314EB3">
        <w:rPr>
          <w:rFonts w:ascii="Arial" w:hAnsi="Arial" w:cs="Arial"/>
          <w:sz w:val="24"/>
          <w:szCs w:val="24"/>
        </w:rPr>
        <w:t>knowledge</w:t>
      </w:r>
      <w:r w:rsidRPr="00314EB3">
        <w:rPr>
          <w:rFonts w:ascii="Arial" w:hAnsi="Arial" w:cs="Arial"/>
          <w:sz w:val="24"/>
          <w:szCs w:val="24"/>
        </w:rPr>
        <w:t xml:space="preserve"> to effectively </w:t>
      </w:r>
      <w:r w:rsidR="0DE44244" w:rsidRPr="00314EB3">
        <w:rPr>
          <w:rFonts w:ascii="Arial" w:hAnsi="Arial" w:cs="Arial"/>
          <w:sz w:val="24"/>
          <w:szCs w:val="24"/>
        </w:rPr>
        <w:t>use</w:t>
      </w:r>
      <w:r w:rsidRPr="00314EB3">
        <w:rPr>
          <w:rFonts w:ascii="Arial" w:hAnsi="Arial" w:cs="Arial"/>
          <w:sz w:val="24"/>
          <w:szCs w:val="24"/>
        </w:rPr>
        <w:t xml:space="preserve"> technology in</w:t>
      </w:r>
      <w:r w:rsidR="7FFE489F" w:rsidRPr="00314EB3">
        <w:rPr>
          <w:rFonts w:ascii="Arial" w:hAnsi="Arial" w:cs="Arial"/>
          <w:sz w:val="24"/>
          <w:szCs w:val="24"/>
        </w:rPr>
        <w:t xml:space="preserve"> the </w:t>
      </w:r>
      <w:proofErr w:type="gramStart"/>
      <w:r w:rsidR="7FFE489F" w:rsidRPr="00314EB3">
        <w:rPr>
          <w:rFonts w:ascii="Arial" w:hAnsi="Arial" w:cs="Arial"/>
          <w:sz w:val="24"/>
          <w:szCs w:val="24"/>
        </w:rPr>
        <w:t>classroom</w:t>
      </w:r>
      <w:r w:rsidRPr="00314EB3">
        <w:rPr>
          <w:rFonts w:ascii="Arial" w:hAnsi="Arial" w:cs="Arial"/>
          <w:sz w:val="24"/>
          <w:szCs w:val="24"/>
        </w:rPr>
        <w:t xml:space="preserve">  (</w:t>
      </w:r>
      <w:proofErr w:type="gramEnd"/>
      <w:r w:rsidRPr="00314EB3">
        <w:rPr>
          <w:rFonts w:ascii="Arial" w:hAnsi="Arial" w:cs="Arial"/>
          <w:sz w:val="24"/>
          <w:szCs w:val="24"/>
        </w:rPr>
        <w:t>Johnson, 2018; OECD, 2019).</w:t>
      </w:r>
    </w:p>
    <w:p w14:paraId="2084A620" w14:textId="33E71CF4"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 xml:space="preserve">In addition, educational policies significantly impact the integration of technology in the classroom, providing a framework for </w:t>
      </w:r>
      <w:r w:rsidR="61EEEE1C" w:rsidRPr="00314EB3">
        <w:rPr>
          <w:rFonts w:ascii="Arial" w:hAnsi="Arial" w:cs="Arial"/>
          <w:sz w:val="24"/>
          <w:szCs w:val="24"/>
        </w:rPr>
        <w:t>teachers</w:t>
      </w:r>
      <w:r w:rsidRPr="00314EB3">
        <w:rPr>
          <w:rFonts w:ascii="Arial" w:hAnsi="Arial" w:cs="Arial"/>
          <w:sz w:val="24"/>
          <w:szCs w:val="24"/>
        </w:rPr>
        <w:t xml:space="preserve"> to in</w:t>
      </w:r>
      <w:r w:rsidR="7B89FB63" w:rsidRPr="00314EB3">
        <w:rPr>
          <w:rFonts w:ascii="Arial" w:hAnsi="Arial" w:cs="Arial"/>
          <w:sz w:val="24"/>
          <w:szCs w:val="24"/>
        </w:rPr>
        <w:t>clude</w:t>
      </w:r>
      <w:r w:rsidRPr="00314EB3">
        <w:rPr>
          <w:rFonts w:ascii="Arial" w:hAnsi="Arial" w:cs="Arial"/>
          <w:sz w:val="24"/>
          <w:szCs w:val="24"/>
        </w:rPr>
        <w:t xml:space="preserve"> technology effectively in</w:t>
      </w:r>
      <w:r w:rsidR="5B8857B8" w:rsidRPr="00314EB3">
        <w:rPr>
          <w:rFonts w:ascii="Arial" w:hAnsi="Arial" w:cs="Arial"/>
          <w:sz w:val="24"/>
          <w:szCs w:val="24"/>
        </w:rPr>
        <w:t xml:space="preserve"> their</w:t>
      </w:r>
      <w:r w:rsidRPr="00314EB3">
        <w:rPr>
          <w:rFonts w:ascii="Arial" w:hAnsi="Arial" w:cs="Arial"/>
          <w:sz w:val="24"/>
          <w:szCs w:val="24"/>
        </w:rPr>
        <w:t xml:space="preserve"> teaching practices (Bebell &amp; O'Dwyer, 2010). However, challenges arise in aligning these policies with practical implementation due to variations in institutional resources, teacher training opportunities, and specific policy objectives (Pritchard, 2018). Policies emphasizing digital literacy and support for educators in technology integration tend to have a more substantial impact on classroom practices (Fullan, 2013), enabling educators to leverage technology effectively to enhance student engagement and learning outcomes.</w:t>
      </w:r>
    </w:p>
    <w:p w14:paraId="1BE5EDC6" w14:textId="77777777"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Furthermore, current educational policies promote professional development opportunities for educators to enhance their technological proficiency. Training programs and initiatives are designed to equip teachers with the knowledge and skills required to leverage technology effectively in the classroom. These professional development efforts empower educators to adapt their instructional practices and embrace innovative pedagogical approaches that leverage technology to enhance student learning outcomes (Johnson, 2018; OECD, 2019).</w:t>
      </w:r>
    </w:p>
    <w:p w14:paraId="5EDF77BB" w14:textId="77777777" w:rsidR="00872A28" w:rsidRPr="00314EB3" w:rsidRDefault="00872A28" w:rsidP="00872A28">
      <w:pPr>
        <w:spacing w:line="360" w:lineRule="auto"/>
        <w:rPr>
          <w:rFonts w:ascii="Arial" w:hAnsi="Arial" w:cs="Arial"/>
          <w:sz w:val="24"/>
          <w:szCs w:val="24"/>
        </w:rPr>
      </w:pPr>
    </w:p>
    <w:p w14:paraId="3E01209E" w14:textId="77777777" w:rsidR="00872A28" w:rsidRPr="00314EB3" w:rsidRDefault="00872A28" w:rsidP="00872A28">
      <w:pPr>
        <w:spacing w:line="360" w:lineRule="auto"/>
        <w:rPr>
          <w:rFonts w:ascii="Arial" w:hAnsi="Arial" w:cs="Arial"/>
          <w:sz w:val="24"/>
          <w:szCs w:val="24"/>
        </w:rPr>
      </w:pPr>
    </w:p>
    <w:p w14:paraId="4C4D2584" w14:textId="77777777" w:rsidR="00872A28" w:rsidRPr="00314EB3" w:rsidRDefault="00872A28" w:rsidP="00872A28">
      <w:pPr>
        <w:spacing w:line="360" w:lineRule="auto"/>
        <w:rPr>
          <w:rFonts w:ascii="Arial" w:hAnsi="Arial" w:cs="Arial"/>
          <w:sz w:val="24"/>
          <w:szCs w:val="24"/>
        </w:rPr>
      </w:pPr>
    </w:p>
    <w:p w14:paraId="46A503CE" w14:textId="77777777" w:rsidR="00872A28" w:rsidRPr="00314EB3" w:rsidRDefault="00872A28" w:rsidP="00872A28">
      <w:pPr>
        <w:spacing w:line="360" w:lineRule="auto"/>
        <w:rPr>
          <w:rFonts w:ascii="Arial" w:hAnsi="Arial" w:cs="Arial"/>
          <w:sz w:val="24"/>
          <w:szCs w:val="24"/>
        </w:rPr>
      </w:pPr>
    </w:p>
    <w:p w14:paraId="438FE149" w14:textId="6459A1FB" w:rsidR="00872A28" w:rsidRPr="00314EB3" w:rsidRDefault="00872A28" w:rsidP="00872A28">
      <w:pPr>
        <w:spacing w:line="360" w:lineRule="auto"/>
        <w:rPr>
          <w:rFonts w:ascii="Arial" w:hAnsi="Arial" w:cs="Arial"/>
          <w:b/>
          <w:bCs/>
          <w:sz w:val="24"/>
          <w:szCs w:val="24"/>
        </w:rPr>
      </w:pPr>
      <w:r w:rsidRPr="00314EB3">
        <w:rPr>
          <w:rFonts w:ascii="Arial" w:hAnsi="Arial" w:cs="Arial"/>
          <w:b/>
          <w:bCs/>
          <w:sz w:val="24"/>
          <w:szCs w:val="24"/>
        </w:rPr>
        <w:lastRenderedPageBreak/>
        <w:t>Question 2: What is the effect of e-learning on learner engagement in post-compulsory education?</w:t>
      </w:r>
    </w:p>
    <w:p w14:paraId="01C27322" w14:textId="7D07974D"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 xml:space="preserve">Regarding the impact of e-learning on learner engagement within post-compulsory education, recent empirical findings present a nuanced perspective. While e-learning offers advantages such as flexibility and accessibility, </w:t>
      </w:r>
      <w:r w:rsidR="7C35E51F" w:rsidRPr="00314EB3">
        <w:rPr>
          <w:rFonts w:ascii="Arial" w:hAnsi="Arial" w:cs="Arial"/>
          <w:sz w:val="24"/>
          <w:szCs w:val="24"/>
        </w:rPr>
        <w:t>allowing students to use</w:t>
      </w:r>
      <w:r w:rsidRPr="00314EB3">
        <w:rPr>
          <w:rFonts w:ascii="Arial" w:hAnsi="Arial" w:cs="Arial"/>
          <w:sz w:val="24"/>
          <w:szCs w:val="24"/>
        </w:rPr>
        <w:t xml:space="preserve"> course materials at their own pace and convenience, challenges such as feelings of isolation, technical impediments, and diminished social interaction have also been highlighted in scholarly discourse (Tang and Hew, 2021; El Mansour &amp; Mupinga, 2020). Factors influencing learner engagement in e-learning encompass course design, instructional material quality, interactivity levels, and the provision of social learning environments (Tang an</w:t>
      </w:r>
      <w:r w:rsidR="00ED3710" w:rsidRPr="00314EB3">
        <w:rPr>
          <w:rFonts w:ascii="Arial" w:hAnsi="Arial" w:cs="Arial"/>
          <w:sz w:val="24"/>
          <w:szCs w:val="24"/>
        </w:rPr>
        <w:t>d</w:t>
      </w:r>
      <w:r w:rsidRPr="00314EB3">
        <w:rPr>
          <w:rFonts w:ascii="Arial" w:hAnsi="Arial" w:cs="Arial"/>
          <w:sz w:val="24"/>
          <w:szCs w:val="24"/>
        </w:rPr>
        <w:t xml:space="preserve"> Hew, 2021).</w:t>
      </w:r>
    </w:p>
    <w:p w14:paraId="1BC78904" w14:textId="7C2B8484"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Recent research suggests that e-learning offers both advantages and challenges concerning learner engagement. On one hand, e-learning provides learners with unprecedented flexibility and accessibility, enabling them to engage with course materials at their own pace and convenience (Tang and Hew, 2021; El Mansour and Mupinga, 2020). Learners can access educational content anytime, anywhere, facilitating greater autonomy over their learning process.</w:t>
      </w:r>
    </w:p>
    <w:p w14:paraId="50E011A1" w14:textId="29E8CBCC"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However, studies have also highlighted challenges associated with e-learning that may impede learner engagement. Feelings of isolation, stemming from reduced face-to-face interaction, can negatively affect student motivation and engagement (Tang &amp; Hew, 2021; El Mansour an</w:t>
      </w:r>
      <w:r w:rsidR="00ED3710" w:rsidRPr="00314EB3">
        <w:rPr>
          <w:rFonts w:ascii="Arial" w:hAnsi="Arial" w:cs="Arial"/>
          <w:sz w:val="24"/>
          <w:szCs w:val="24"/>
        </w:rPr>
        <w:t>d</w:t>
      </w:r>
      <w:r w:rsidRPr="00314EB3">
        <w:rPr>
          <w:rFonts w:ascii="Arial" w:hAnsi="Arial" w:cs="Arial"/>
          <w:sz w:val="24"/>
          <w:szCs w:val="24"/>
        </w:rPr>
        <w:t xml:space="preserve"> Mupinga, 2020). Technical difficulties, such as unreliable internet connections or unfamiliarity with online platforms, may further hinder engagement and exacerbate frustrations among learners.</w:t>
      </w:r>
    </w:p>
    <w:p w14:paraId="3F1140A7" w14:textId="77777777"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Prior to the changes introduced after the pandemic of 2019, E-learning was already seen as beneficial as it often positively affects learner engagement in post-compulsory education settings by offering flexibility, interactivity, and personalized learning experiences (Means et al., 2013). Despite methodological limitations in research, at that time such as small sample sizes and short study durations (Allen &amp; Seaman, 2017), integrating e-learning tools and platforms were still seen to promote active participation and deeper engagement with course materials, providing tailored learning experiences for students (Bernard et al., 2014).</w:t>
      </w:r>
    </w:p>
    <w:p w14:paraId="13EA277A" w14:textId="0B9C5ED2"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lastRenderedPageBreak/>
        <w:t>In addition, the design and delivery of online courses play a crucial role in shaping learner engagement in e-learning environments. More recent scholarship underscores the importance of interactive and engaging instructional materials, as well as the incorporation of social learning environments, in fostering learner engagement (Tang and Hew, 2021).</w:t>
      </w:r>
    </w:p>
    <w:p w14:paraId="18F940E0" w14:textId="77777777"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Moreover, the effectiveness of e-learning in promoting learner engagement depends on how courses are designed and delivered. Well-designed courses with clear objectives, engaging content, and opportunities for interaction tend to foster higher levels of engagement. Conversely, courses lacking these elements may struggle to maintain student interest and participation.</w:t>
      </w:r>
    </w:p>
    <w:p w14:paraId="2D3A84C7" w14:textId="77777777"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In summary, the more recent scholarship underscores the pivotal role of current educational policies in shaping technology integration within post-16 educational contexts. E-learning in post-compulsory education exhibits the potential to enhance learner engagement while simultaneously presenting challenges. Educators have, therefore, been urged to adapt their pedagogical approaches to effectively navigate the terrain of online learning, emphasizing learner-centred methodologies and leveraging technological tools to personalize instruction and furnish timely feedback.</w:t>
      </w:r>
    </w:p>
    <w:p w14:paraId="390490FF" w14:textId="77777777"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Ultimately, the impact of e-learning on learner engagement in higher education is complex. While e-learning offers flexibility and interactive learning experiences that can enhance engagement, it also presents challenges such as feelings of isolation and technical difficulties. Educators and course designers must carefully consider these factors when developing e-learning courses to optimize engagement and learning outcomes.</w:t>
      </w:r>
    </w:p>
    <w:p w14:paraId="0A2DA362" w14:textId="1071653E" w:rsidR="00872A28" w:rsidRPr="00314EB3" w:rsidRDefault="00872A28" w:rsidP="00872A28">
      <w:pPr>
        <w:spacing w:line="360" w:lineRule="auto"/>
        <w:rPr>
          <w:rFonts w:ascii="Arial" w:hAnsi="Arial" w:cs="Arial"/>
          <w:b/>
          <w:bCs/>
          <w:sz w:val="24"/>
          <w:szCs w:val="24"/>
        </w:rPr>
      </w:pPr>
      <w:r w:rsidRPr="00314EB3">
        <w:rPr>
          <w:rFonts w:ascii="Arial" w:hAnsi="Arial" w:cs="Arial"/>
          <w:b/>
          <w:bCs/>
          <w:sz w:val="24"/>
          <w:szCs w:val="24"/>
        </w:rPr>
        <w:t>Question 3: How does e-learning impact teaching practices in post-compulsory education settings?</w:t>
      </w:r>
    </w:p>
    <w:p w14:paraId="13E1A7CB" w14:textId="77777777"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 xml:space="preserve">From 2018 onwards, there has been considerable exploration into how e-learning impacts teaching practices in post-compulsory education settings. E-learning, characterized by the delivery of educational content through digital platforms, has brought about notable changes in instructional methodologies and pedagogical approaches.  this will of course have developed further since the pandemic of 2019 when schools and colleges had no option but to develop their use of technology to </w:t>
      </w:r>
      <w:r w:rsidRPr="00314EB3">
        <w:rPr>
          <w:rFonts w:ascii="Arial" w:hAnsi="Arial" w:cs="Arial"/>
          <w:sz w:val="24"/>
          <w:szCs w:val="24"/>
        </w:rPr>
        <w:lastRenderedPageBreak/>
        <w:t>facilitate distance learning.  Teachers also then needed to develop their skills and practice to accommodate these significant changes.</w:t>
      </w:r>
    </w:p>
    <w:p w14:paraId="52EECB45" w14:textId="0BBF320D"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One significant impact of e-learning on teaching practices is the shift towards more student-centred instructional methods. In e-learning environments, educators often adopt facilitative roles, guiding students through the learning process rather than serving as traditional lecturers. This shift fosters greater autonomy and responsibility among students, encouraging active participation and self-directed learning (Veletsianos &amp; Shepherdson, 2020; Hew and Cheung, 2021).</w:t>
      </w:r>
    </w:p>
    <w:p w14:paraId="2DF8FC92" w14:textId="5A213D1B"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 xml:space="preserve">Additionally, e-learning provides opportunities for personalized instruction. Educators can </w:t>
      </w:r>
      <w:r w:rsidR="5E3E8D55" w:rsidRPr="00314EB3">
        <w:rPr>
          <w:rFonts w:ascii="Arial" w:hAnsi="Arial" w:cs="Arial"/>
          <w:sz w:val="24"/>
          <w:szCs w:val="24"/>
        </w:rPr>
        <w:t>adapt their teaching</w:t>
      </w:r>
      <w:r w:rsidRPr="00314EB3">
        <w:rPr>
          <w:rFonts w:ascii="Arial" w:hAnsi="Arial" w:cs="Arial"/>
          <w:sz w:val="24"/>
          <w:szCs w:val="24"/>
        </w:rPr>
        <w:t xml:space="preserve"> to meet the di</w:t>
      </w:r>
      <w:r w:rsidR="46829A83" w:rsidRPr="00314EB3">
        <w:rPr>
          <w:rFonts w:ascii="Arial" w:hAnsi="Arial" w:cs="Arial"/>
          <w:sz w:val="24"/>
          <w:szCs w:val="24"/>
        </w:rPr>
        <w:t>fferent</w:t>
      </w:r>
      <w:r w:rsidRPr="00314EB3">
        <w:rPr>
          <w:rFonts w:ascii="Arial" w:hAnsi="Arial" w:cs="Arial"/>
          <w:sz w:val="24"/>
          <w:szCs w:val="24"/>
        </w:rPr>
        <w:t xml:space="preserve"> needs and preferences of </w:t>
      </w:r>
      <w:r w:rsidR="5D6F6FEB" w:rsidRPr="00314EB3">
        <w:rPr>
          <w:rFonts w:ascii="Arial" w:hAnsi="Arial" w:cs="Arial"/>
          <w:sz w:val="24"/>
          <w:szCs w:val="24"/>
        </w:rPr>
        <w:t>their</w:t>
      </w:r>
      <w:r w:rsidRPr="00314EB3">
        <w:rPr>
          <w:rFonts w:ascii="Arial" w:hAnsi="Arial" w:cs="Arial"/>
          <w:sz w:val="24"/>
          <w:szCs w:val="24"/>
        </w:rPr>
        <w:t xml:space="preserve"> students, leveraging digital tools to adapt content, pacing, and instructional strategies. This customization enhances the relevance and effectiveness of instruction, promoting deeper engagement and understanding among learners (Veletsianos &amp; Shepherdson, 2020; Hew and Cheung, 2021).</w:t>
      </w:r>
    </w:p>
    <w:p w14:paraId="43FE3319" w14:textId="046245FC"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 xml:space="preserve">Furthermore, e-learning platforms offer features that facilitate timely feedback and assessment. Educators can use digital tools to provide immediate feedback on student progress, identify </w:t>
      </w:r>
      <w:r w:rsidR="7EEC1ABC" w:rsidRPr="00314EB3">
        <w:rPr>
          <w:rFonts w:ascii="Arial" w:hAnsi="Arial" w:cs="Arial"/>
          <w:sz w:val="24"/>
          <w:szCs w:val="24"/>
        </w:rPr>
        <w:t>aspects</w:t>
      </w:r>
      <w:r w:rsidRPr="00314EB3">
        <w:rPr>
          <w:rFonts w:ascii="Arial" w:hAnsi="Arial" w:cs="Arial"/>
          <w:sz w:val="24"/>
          <w:szCs w:val="24"/>
        </w:rPr>
        <w:t xml:space="preserve"> for </w:t>
      </w:r>
      <w:r w:rsidR="03FFB98C" w:rsidRPr="00314EB3">
        <w:rPr>
          <w:rFonts w:ascii="Arial" w:hAnsi="Arial" w:cs="Arial"/>
          <w:sz w:val="24"/>
          <w:szCs w:val="24"/>
        </w:rPr>
        <w:t>development</w:t>
      </w:r>
      <w:r w:rsidRPr="00314EB3">
        <w:rPr>
          <w:rFonts w:ascii="Arial" w:hAnsi="Arial" w:cs="Arial"/>
          <w:sz w:val="24"/>
          <w:szCs w:val="24"/>
        </w:rPr>
        <w:t xml:space="preserve">, and </w:t>
      </w:r>
      <w:r w:rsidR="4DE867D6" w:rsidRPr="00314EB3">
        <w:rPr>
          <w:rFonts w:ascii="Arial" w:hAnsi="Arial" w:cs="Arial"/>
          <w:sz w:val="24"/>
          <w:szCs w:val="24"/>
        </w:rPr>
        <w:t>adapt methodology as needed</w:t>
      </w:r>
      <w:r w:rsidRPr="00314EB3">
        <w:rPr>
          <w:rFonts w:ascii="Arial" w:hAnsi="Arial" w:cs="Arial"/>
          <w:sz w:val="24"/>
          <w:szCs w:val="24"/>
        </w:rPr>
        <w:t>. This real-time feedback loop enhances the effectiveness of teaching practices, enabling educators to address student needs more effectively and promote continuous learning (Veletsianos and Shepherdson, 2020; Hew and Cheung, 2021).</w:t>
      </w:r>
    </w:p>
    <w:p w14:paraId="09FB198E" w14:textId="2193E40F"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 xml:space="preserve">However, e-learning also presents challenges for teaching practices in post-compulsory education settings. Educators may encounter difficulties in </w:t>
      </w:r>
      <w:r w:rsidR="3EF551D3" w:rsidRPr="00314EB3">
        <w:rPr>
          <w:rFonts w:ascii="Arial" w:hAnsi="Arial" w:cs="Arial"/>
          <w:sz w:val="24"/>
          <w:szCs w:val="24"/>
        </w:rPr>
        <w:t xml:space="preserve">sustaining </w:t>
      </w:r>
      <w:r w:rsidRPr="00314EB3">
        <w:rPr>
          <w:rFonts w:ascii="Arial" w:hAnsi="Arial" w:cs="Arial"/>
          <w:sz w:val="24"/>
          <w:szCs w:val="24"/>
        </w:rPr>
        <w:t>student engagement in online environments, particularly due to the absence of face-to-face interaction. Additionally, adapting instructional materials and activities for online delivery requires careful planning and design to ensure effectiveness and accessibility (Hew &amp; Cheung, 2021; Veletsianos and Shepherdson, 2020).</w:t>
      </w:r>
    </w:p>
    <w:p w14:paraId="01101D67" w14:textId="77777777"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 xml:space="preserve">E-learning significantly impacts teaching practices in post-compulsory education settings by changing instructional delivery methods and fostering collaborative learning environments (Ally, 2008). Despite requiring additional training and adaptation of pedagogical approaches (Graham, 2013), e-learning facilitates </w:t>
      </w:r>
      <w:r w:rsidRPr="00314EB3">
        <w:rPr>
          <w:rFonts w:ascii="Arial" w:hAnsi="Arial" w:cs="Arial"/>
          <w:sz w:val="24"/>
          <w:szCs w:val="24"/>
        </w:rPr>
        <w:lastRenderedPageBreak/>
        <w:t>personalized learning experiences, supports individual learning needs more effectively, and enhances student engagement (Means et al., 2013).</w:t>
      </w:r>
    </w:p>
    <w:p w14:paraId="6244B076" w14:textId="13CDF9DC" w:rsidR="00872A28" w:rsidRPr="00314EB3" w:rsidRDefault="00872A28" w:rsidP="00872A28">
      <w:pPr>
        <w:spacing w:line="360" w:lineRule="auto"/>
        <w:rPr>
          <w:rFonts w:ascii="Arial" w:hAnsi="Arial" w:cs="Arial"/>
          <w:sz w:val="24"/>
          <w:szCs w:val="24"/>
        </w:rPr>
      </w:pPr>
      <w:r w:rsidRPr="00314EB3">
        <w:rPr>
          <w:rFonts w:ascii="Arial" w:hAnsi="Arial" w:cs="Arial"/>
          <w:sz w:val="24"/>
          <w:szCs w:val="24"/>
        </w:rPr>
        <w:t xml:space="preserve">In addressing these questions, reflections on personal experiences as an educator shed light on the challenges and opportunities </w:t>
      </w:r>
      <w:r w:rsidR="5FA2DF3A" w:rsidRPr="00314EB3">
        <w:rPr>
          <w:rFonts w:ascii="Arial" w:hAnsi="Arial" w:cs="Arial"/>
          <w:sz w:val="24"/>
          <w:szCs w:val="24"/>
        </w:rPr>
        <w:t xml:space="preserve">involved in developing the use of </w:t>
      </w:r>
      <w:r w:rsidRPr="00314EB3">
        <w:rPr>
          <w:rFonts w:ascii="Arial" w:hAnsi="Arial" w:cs="Arial"/>
          <w:sz w:val="24"/>
          <w:szCs w:val="24"/>
        </w:rPr>
        <w:t>technology in teaching practices. While e-learning holds promise for enhancing learner engagement and transforming teaching practices, acknowledging methodological limitations in research is crucial for exploring innovative approaches to maximize the benefits of technology in education.</w:t>
      </w:r>
    </w:p>
    <w:p w14:paraId="1E41CBE6" w14:textId="77777777" w:rsidR="00C8262E" w:rsidRPr="00314EB3" w:rsidRDefault="00872A28" w:rsidP="00C8262E">
      <w:pPr>
        <w:spacing w:line="360" w:lineRule="auto"/>
        <w:rPr>
          <w:rFonts w:ascii="Arial" w:hAnsi="Arial" w:cs="Arial"/>
          <w:sz w:val="24"/>
          <w:szCs w:val="24"/>
        </w:rPr>
      </w:pPr>
      <w:r w:rsidRPr="00314EB3">
        <w:rPr>
          <w:rFonts w:ascii="Arial" w:hAnsi="Arial" w:cs="Arial"/>
          <w:sz w:val="24"/>
          <w:szCs w:val="24"/>
        </w:rPr>
        <w:t>In summary, e-learning has a profound impact on teaching practices in post-compulsory education settings. While promoting student-centred instruction, personalized learning experiences, and efficient feedback mechanisms, e-learning also poses challenges that educators must address to optimize teaching effectiveness in online environments.</w:t>
      </w:r>
      <w:r w:rsidR="00C8262E" w:rsidRPr="00314EB3">
        <w:rPr>
          <w:rFonts w:ascii="Arial" w:hAnsi="Arial" w:cs="Arial"/>
          <w:sz w:val="24"/>
          <w:szCs w:val="24"/>
        </w:rPr>
        <w:t xml:space="preserve"> </w:t>
      </w:r>
    </w:p>
    <w:p w14:paraId="49727487" w14:textId="77777777" w:rsidR="00C8262E" w:rsidRPr="00314EB3" w:rsidRDefault="00C8262E" w:rsidP="00C8262E">
      <w:pPr>
        <w:spacing w:line="360" w:lineRule="auto"/>
        <w:rPr>
          <w:rFonts w:ascii="Arial" w:hAnsi="Arial" w:cs="Arial"/>
          <w:sz w:val="24"/>
          <w:szCs w:val="24"/>
        </w:rPr>
      </w:pPr>
    </w:p>
    <w:p w14:paraId="18104C3B" w14:textId="77777777" w:rsidR="00C8262E" w:rsidRPr="00314EB3" w:rsidRDefault="00C8262E" w:rsidP="00C8262E">
      <w:pPr>
        <w:spacing w:line="360" w:lineRule="auto"/>
        <w:rPr>
          <w:rFonts w:ascii="Arial" w:hAnsi="Arial" w:cs="Arial"/>
          <w:sz w:val="24"/>
          <w:szCs w:val="24"/>
        </w:rPr>
      </w:pPr>
    </w:p>
    <w:p w14:paraId="4604A334" w14:textId="77777777" w:rsidR="00C8262E" w:rsidRPr="00314EB3" w:rsidRDefault="00C8262E" w:rsidP="00C8262E">
      <w:pPr>
        <w:spacing w:line="360" w:lineRule="auto"/>
        <w:rPr>
          <w:rFonts w:ascii="Arial" w:hAnsi="Arial" w:cs="Arial"/>
          <w:sz w:val="24"/>
          <w:szCs w:val="24"/>
        </w:rPr>
      </w:pPr>
    </w:p>
    <w:p w14:paraId="0571414F" w14:textId="77777777" w:rsidR="00C8262E" w:rsidRPr="00314EB3" w:rsidRDefault="00C8262E" w:rsidP="00C8262E">
      <w:pPr>
        <w:spacing w:line="360" w:lineRule="auto"/>
        <w:rPr>
          <w:rFonts w:ascii="Arial" w:hAnsi="Arial" w:cs="Arial"/>
          <w:sz w:val="24"/>
          <w:szCs w:val="24"/>
        </w:rPr>
      </w:pPr>
    </w:p>
    <w:p w14:paraId="76FE7690" w14:textId="77777777" w:rsidR="00C8262E" w:rsidRPr="00314EB3" w:rsidRDefault="00C8262E" w:rsidP="00C8262E">
      <w:pPr>
        <w:spacing w:line="360" w:lineRule="auto"/>
        <w:rPr>
          <w:rFonts w:ascii="Arial" w:hAnsi="Arial" w:cs="Arial"/>
          <w:sz w:val="24"/>
          <w:szCs w:val="24"/>
        </w:rPr>
      </w:pPr>
    </w:p>
    <w:p w14:paraId="6CD06C4A" w14:textId="77777777" w:rsidR="00C8262E" w:rsidRPr="00314EB3" w:rsidRDefault="00C8262E" w:rsidP="00C8262E">
      <w:pPr>
        <w:spacing w:line="360" w:lineRule="auto"/>
        <w:rPr>
          <w:rFonts w:ascii="Arial" w:hAnsi="Arial" w:cs="Arial"/>
          <w:sz w:val="24"/>
          <w:szCs w:val="24"/>
        </w:rPr>
      </w:pPr>
    </w:p>
    <w:p w14:paraId="64EC9ABE" w14:textId="77777777" w:rsidR="00C8262E" w:rsidRPr="00314EB3" w:rsidRDefault="00C8262E" w:rsidP="00C8262E">
      <w:pPr>
        <w:spacing w:line="360" w:lineRule="auto"/>
        <w:rPr>
          <w:rFonts w:ascii="Arial" w:hAnsi="Arial" w:cs="Arial"/>
          <w:sz w:val="24"/>
          <w:szCs w:val="24"/>
        </w:rPr>
      </w:pPr>
    </w:p>
    <w:p w14:paraId="6DAB3A41" w14:textId="77777777" w:rsidR="00C8262E" w:rsidRPr="00314EB3" w:rsidRDefault="00C8262E" w:rsidP="00C8262E">
      <w:pPr>
        <w:spacing w:line="360" w:lineRule="auto"/>
        <w:rPr>
          <w:rFonts w:ascii="Arial" w:hAnsi="Arial" w:cs="Arial"/>
          <w:sz w:val="24"/>
          <w:szCs w:val="24"/>
        </w:rPr>
      </w:pPr>
    </w:p>
    <w:p w14:paraId="1D5ABB20" w14:textId="77777777" w:rsidR="00C8262E" w:rsidRPr="00314EB3" w:rsidRDefault="00C8262E" w:rsidP="00C8262E">
      <w:pPr>
        <w:spacing w:line="360" w:lineRule="auto"/>
        <w:rPr>
          <w:rFonts w:ascii="Arial" w:hAnsi="Arial" w:cs="Arial"/>
          <w:sz w:val="24"/>
          <w:szCs w:val="24"/>
        </w:rPr>
      </w:pPr>
    </w:p>
    <w:p w14:paraId="1ADE9B97" w14:textId="77777777" w:rsidR="00C8262E" w:rsidRPr="00314EB3" w:rsidRDefault="00C8262E" w:rsidP="00C8262E">
      <w:pPr>
        <w:spacing w:line="360" w:lineRule="auto"/>
        <w:rPr>
          <w:rFonts w:ascii="Arial" w:hAnsi="Arial" w:cs="Arial"/>
          <w:sz w:val="24"/>
          <w:szCs w:val="24"/>
        </w:rPr>
      </w:pPr>
    </w:p>
    <w:p w14:paraId="4ABAAFC4" w14:textId="77777777" w:rsidR="00C8262E" w:rsidRPr="00314EB3" w:rsidRDefault="00C8262E" w:rsidP="00C8262E">
      <w:pPr>
        <w:spacing w:line="360" w:lineRule="auto"/>
        <w:rPr>
          <w:rFonts w:ascii="Arial" w:hAnsi="Arial" w:cs="Arial"/>
          <w:sz w:val="24"/>
          <w:szCs w:val="24"/>
        </w:rPr>
      </w:pPr>
    </w:p>
    <w:p w14:paraId="515C143E" w14:textId="77777777" w:rsidR="00C8262E" w:rsidRPr="00314EB3" w:rsidRDefault="00C8262E" w:rsidP="00C8262E">
      <w:pPr>
        <w:spacing w:line="360" w:lineRule="auto"/>
        <w:rPr>
          <w:rFonts w:ascii="Arial" w:hAnsi="Arial" w:cs="Arial"/>
          <w:sz w:val="24"/>
          <w:szCs w:val="24"/>
        </w:rPr>
      </w:pPr>
    </w:p>
    <w:p w14:paraId="02E6D0F6" w14:textId="77777777" w:rsidR="00C8262E" w:rsidRPr="00314EB3" w:rsidRDefault="00C8262E" w:rsidP="00C8262E">
      <w:pPr>
        <w:spacing w:line="360" w:lineRule="auto"/>
        <w:rPr>
          <w:rFonts w:ascii="Arial" w:hAnsi="Arial" w:cs="Arial"/>
          <w:sz w:val="24"/>
          <w:szCs w:val="24"/>
        </w:rPr>
      </w:pPr>
    </w:p>
    <w:p w14:paraId="3799C1A9" w14:textId="77777777" w:rsidR="00C8262E" w:rsidRPr="00314EB3" w:rsidRDefault="00C8262E" w:rsidP="00C8262E">
      <w:pPr>
        <w:spacing w:line="360" w:lineRule="auto"/>
        <w:rPr>
          <w:rFonts w:ascii="Arial" w:hAnsi="Arial" w:cs="Arial"/>
          <w:sz w:val="24"/>
          <w:szCs w:val="24"/>
        </w:rPr>
      </w:pPr>
    </w:p>
    <w:p w14:paraId="71A07083" w14:textId="6BEB293C" w:rsidR="00C8262E" w:rsidRPr="00314EB3" w:rsidRDefault="00C8262E" w:rsidP="00C8262E">
      <w:pPr>
        <w:spacing w:line="360" w:lineRule="auto"/>
        <w:rPr>
          <w:rFonts w:ascii="Arial" w:hAnsi="Arial" w:cs="Arial"/>
          <w:sz w:val="24"/>
          <w:szCs w:val="24"/>
        </w:rPr>
      </w:pPr>
      <w:r w:rsidRPr="00314EB3">
        <w:rPr>
          <w:rFonts w:ascii="Arial" w:hAnsi="Arial" w:cs="Arial"/>
          <w:b/>
          <w:bCs/>
          <w:sz w:val="24"/>
          <w:szCs w:val="24"/>
        </w:rPr>
        <w:lastRenderedPageBreak/>
        <w:t>Conclusion</w:t>
      </w:r>
    </w:p>
    <w:p w14:paraId="33093CAA" w14:textId="0707AA16" w:rsidR="00C8262E" w:rsidRPr="00314EB3" w:rsidRDefault="00C8262E" w:rsidP="00C8262E">
      <w:pPr>
        <w:spacing w:line="360" w:lineRule="auto"/>
        <w:rPr>
          <w:rFonts w:ascii="Arial" w:hAnsi="Arial" w:cs="Arial"/>
          <w:sz w:val="24"/>
          <w:szCs w:val="24"/>
        </w:rPr>
      </w:pPr>
      <w:r w:rsidRPr="00314EB3">
        <w:rPr>
          <w:rFonts w:ascii="Arial" w:hAnsi="Arial" w:cs="Arial"/>
          <w:sz w:val="24"/>
          <w:szCs w:val="24"/>
        </w:rPr>
        <w:t xml:space="preserve"> In conclusion, the examination of e-learning's impact on post-compulsory education reveals a complex interplay between policy, learner engagement, and teaching practices. The </w:t>
      </w:r>
      <w:r w:rsidR="6DA0DB97" w:rsidRPr="00314EB3">
        <w:rPr>
          <w:rFonts w:ascii="Arial" w:hAnsi="Arial" w:cs="Arial"/>
          <w:sz w:val="24"/>
          <w:szCs w:val="24"/>
        </w:rPr>
        <w:t>development</w:t>
      </w:r>
      <w:r w:rsidRPr="00314EB3">
        <w:rPr>
          <w:rFonts w:ascii="Arial" w:hAnsi="Arial" w:cs="Arial"/>
          <w:sz w:val="24"/>
          <w:szCs w:val="24"/>
        </w:rPr>
        <w:t xml:space="preserve"> of digital technology </w:t>
      </w:r>
      <w:r w:rsidR="1F473B12" w:rsidRPr="00314EB3">
        <w:rPr>
          <w:rFonts w:ascii="Arial" w:hAnsi="Arial" w:cs="Arial"/>
          <w:sz w:val="24"/>
          <w:szCs w:val="24"/>
        </w:rPr>
        <w:t>within</w:t>
      </w:r>
      <w:r w:rsidRPr="00314EB3">
        <w:rPr>
          <w:rFonts w:ascii="Arial" w:hAnsi="Arial" w:cs="Arial"/>
          <w:sz w:val="24"/>
          <w:szCs w:val="24"/>
        </w:rPr>
        <w:t xml:space="preserve"> education is not </w:t>
      </w:r>
      <w:r w:rsidR="4777938C" w:rsidRPr="00314EB3">
        <w:rPr>
          <w:rFonts w:ascii="Arial" w:hAnsi="Arial" w:cs="Arial"/>
          <w:sz w:val="24"/>
          <w:szCs w:val="24"/>
        </w:rPr>
        <w:t>just</w:t>
      </w:r>
      <w:r w:rsidRPr="00314EB3">
        <w:rPr>
          <w:rFonts w:ascii="Arial" w:hAnsi="Arial" w:cs="Arial"/>
          <w:sz w:val="24"/>
          <w:szCs w:val="24"/>
        </w:rPr>
        <w:t xml:space="preserve"> a matter of adopting new tools but entails a fundamental shift in instructional methodologies and pedagogical approaches.</w:t>
      </w:r>
    </w:p>
    <w:p w14:paraId="04690EF7" w14:textId="3DBDFADD" w:rsidR="00C8262E" w:rsidRPr="00314EB3" w:rsidRDefault="00C8262E" w:rsidP="00C8262E">
      <w:pPr>
        <w:spacing w:line="360" w:lineRule="auto"/>
        <w:rPr>
          <w:rFonts w:ascii="Arial" w:hAnsi="Arial" w:cs="Arial"/>
          <w:sz w:val="24"/>
          <w:szCs w:val="24"/>
        </w:rPr>
      </w:pPr>
      <w:r w:rsidRPr="00314EB3">
        <w:rPr>
          <w:rFonts w:ascii="Arial" w:hAnsi="Arial" w:cs="Arial"/>
          <w:sz w:val="24"/>
          <w:szCs w:val="24"/>
        </w:rPr>
        <w:t>Current educational policies play a</w:t>
      </w:r>
      <w:r w:rsidR="0E4E68FF" w:rsidRPr="00314EB3">
        <w:rPr>
          <w:rFonts w:ascii="Arial" w:hAnsi="Arial" w:cs="Arial"/>
          <w:sz w:val="24"/>
          <w:szCs w:val="24"/>
        </w:rPr>
        <w:t>n important part</w:t>
      </w:r>
      <w:r w:rsidRPr="00314EB3">
        <w:rPr>
          <w:rFonts w:ascii="Arial" w:hAnsi="Arial" w:cs="Arial"/>
          <w:sz w:val="24"/>
          <w:szCs w:val="24"/>
        </w:rPr>
        <w:t xml:space="preserve"> </w:t>
      </w:r>
      <w:r w:rsidR="5CC45A1A" w:rsidRPr="00314EB3">
        <w:rPr>
          <w:rFonts w:ascii="Arial" w:hAnsi="Arial" w:cs="Arial"/>
          <w:sz w:val="24"/>
          <w:szCs w:val="24"/>
        </w:rPr>
        <w:t>in</w:t>
      </w:r>
      <w:r w:rsidRPr="00314EB3">
        <w:rPr>
          <w:rFonts w:ascii="Arial" w:hAnsi="Arial" w:cs="Arial"/>
          <w:sz w:val="24"/>
          <w:szCs w:val="24"/>
        </w:rPr>
        <w:t xml:space="preserve"> the integration of technology in classrooms, emphasizing digital literacy, supporting educators' professional development, and advocating for the inclusion of technology across curricula. However, challenges persist in aligning policy directives with practical implementation due to resource disparities and varying institutional contexts.</w:t>
      </w:r>
    </w:p>
    <w:p w14:paraId="4D6FDEF7" w14:textId="77777777" w:rsidR="00C8262E" w:rsidRPr="00314EB3" w:rsidRDefault="00C8262E" w:rsidP="00C8262E">
      <w:pPr>
        <w:spacing w:line="360" w:lineRule="auto"/>
        <w:rPr>
          <w:rFonts w:ascii="Arial" w:hAnsi="Arial" w:cs="Arial"/>
          <w:sz w:val="24"/>
          <w:szCs w:val="24"/>
        </w:rPr>
      </w:pPr>
      <w:r w:rsidRPr="00314EB3">
        <w:rPr>
          <w:rFonts w:ascii="Arial" w:hAnsi="Arial" w:cs="Arial"/>
          <w:sz w:val="24"/>
          <w:szCs w:val="24"/>
        </w:rPr>
        <w:t>Regarding learner engagement, e-learning offers both advantages and challenges. While providing flexibility and accessibility, it may also lead to feelings of isolation and technical difficulties. Successful engagement hinges on well-designed courses, interactive content, and the creation of social learning environments.</w:t>
      </w:r>
    </w:p>
    <w:p w14:paraId="57C97D46" w14:textId="77777777" w:rsidR="00C8262E" w:rsidRPr="00314EB3" w:rsidRDefault="00C8262E" w:rsidP="00C8262E">
      <w:pPr>
        <w:spacing w:line="360" w:lineRule="auto"/>
        <w:rPr>
          <w:rFonts w:ascii="Arial" w:hAnsi="Arial" w:cs="Arial"/>
          <w:sz w:val="24"/>
          <w:szCs w:val="24"/>
        </w:rPr>
      </w:pPr>
      <w:r w:rsidRPr="00314EB3">
        <w:rPr>
          <w:rFonts w:ascii="Arial" w:hAnsi="Arial" w:cs="Arial"/>
          <w:sz w:val="24"/>
          <w:szCs w:val="24"/>
        </w:rPr>
        <w:t>In terms of teaching practices, e-learning encourages a shift towards student-centred instruction and personalized learning experiences. Educators must adapt to facilitate active participation, provide timely feedback, and navigate challenges such as maintaining student enthusiasm and accessibility.</w:t>
      </w:r>
    </w:p>
    <w:p w14:paraId="003299FB" w14:textId="643FDA30" w:rsidR="00872A28" w:rsidRPr="00314EB3" w:rsidRDefault="00C8262E" w:rsidP="57763B71">
      <w:pPr>
        <w:spacing w:line="360" w:lineRule="auto"/>
        <w:rPr>
          <w:rFonts w:ascii="Arial" w:hAnsi="Arial" w:cs="Arial"/>
          <w:sz w:val="24"/>
          <w:szCs w:val="24"/>
        </w:rPr>
      </w:pPr>
      <w:r w:rsidRPr="00314EB3">
        <w:rPr>
          <w:rFonts w:ascii="Arial" w:hAnsi="Arial" w:cs="Arial"/>
          <w:sz w:val="24"/>
          <w:szCs w:val="24"/>
        </w:rPr>
        <w:t xml:space="preserve">Overall, while e-learning presents opportunities to enhance education, it requires careful consideration of policy frameworks, learner needs, and pedagogical strategies. By addressing challenges and </w:t>
      </w:r>
      <w:r w:rsidR="6BA99972" w:rsidRPr="00314EB3">
        <w:rPr>
          <w:rFonts w:ascii="Arial" w:hAnsi="Arial" w:cs="Arial"/>
          <w:sz w:val="24"/>
          <w:szCs w:val="24"/>
        </w:rPr>
        <w:t>using</w:t>
      </w:r>
      <w:r w:rsidRPr="00314EB3">
        <w:rPr>
          <w:rFonts w:ascii="Arial" w:hAnsi="Arial" w:cs="Arial"/>
          <w:sz w:val="24"/>
          <w:szCs w:val="24"/>
        </w:rPr>
        <w:t xml:space="preserve"> technology effectively, </w:t>
      </w:r>
      <w:r w:rsidR="625914D7" w:rsidRPr="00314EB3">
        <w:rPr>
          <w:rFonts w:ascii="Arial" w:hAnsi="Arial" w:cs="Arial"/>
          <w:sz w:val="24"/>
          <w:szCs w:val="24"/>
        </w:rPr>
        <w:t>teachers</w:t>
      </w:r>
      <w:r w:rsidRPr="00314EB3">
        <w:rPr>
          <w:rFonts w:ascii="Arial" w:hAnsi="Arial" w:cs="Arial"/>
          <w:sz w:val="24"/>
          <w:szCs w:val="24"/>
        </w:rPr>
        <w:t xml:space="preserve"> can create inclusive and engaging learning </w:t>
      </w:r>
      <w:r w:rsidR="58500CDE" w:rsidRPr="00314EB3">
        <w:rPr>
          <w:rFonts w:ascii="Arial" w:hAnsi="Arial" w:cs="Arial"/>
          <w:sz w:val="24"/>
          <w:szCs w:val="24"/>
        </w:rPr>
        <w:t>opportunities</w:t>
      </w:r>
      <w:r w:rsidRPr="00314EB3">
        <w:rPr>
          <w:rFonts w:ascii="Arial" w:hAnsi="Arial" w:cs="Arial"/>
          <w:sz w:val="24"/>
          <w:szCs w:val="24"/>
        </w:rPr>
        <w:t xml:space="preserve"> that </w:t>
      </w:r>
      <w:r w:rsidR="5F4E2E4D" w:rsidRPr="00314EB3">
        <w:rPr>
          <w:rFonts w:ascii="Arial" w:hAnsi="Arial" w:cs="Arial"/>
          <w:sz w:val="24"/>
          <w:szCs w:val="24"/>
        </w:rPr>
        <w:t>allow</w:t>
      </w:r>
      <w:r w:rsidRPr="00314EB3">
        <w:rPr>
          <w:rFonts w:ascii="Arial" w:hAnsi="Arial" w:cs="Arial"/>
          <w:sz w:val="24"/>
          <w:szCs w:val="24"/>
        </w:rPr>
        <w:t xml:space="preserve"> students to succeed in the digital age.</w:t>
      </w:r>
    </w:p>
    <w:p w14:paraId="3049DB78" w14:textId="77777777" w:rsidR="00872A28" w:rsidRPr="00314EB3" w:rsidRDefault="00872A28" w:rsidP="57763B71">
      <w:pPr>
        <w:spacing w:line="360" w:lineRule="auto"/>
        <w:rPr>
          <w:rFonts w:ascii="Arial" w:hAnsi="Arial" w:cs="Arial"/>
          <w:b/>
          <w:bCs/>
          <w:sz w:val="24"/>
          <w:szCs w:val="24"/>
        </w:rPr>
      </w:pPr>
    </w:p>
    <w:p w14:paraId="09D5ABFF" w14:textId="77777777" w:rsidR="00937F78" w:rsidRDefault="00937F78" w:rsidP="00A62EFA">
      <w:pPr>
        <w:spacing w:line="360" w:lineRule="auto"/>
        <w:rPr>
          <w:rFonts w:ascii="Arial" w:hAnsi="Arial" w:cs="Arial"/>
          <w:b/>
          <w:bCs/>
          <w:sz w:val="24"/>
          <w:szCs w:val="24"/>
        </w:rPr>
      </w:pPr>
    </w:p>
    <w:p w14:paraId="754CDFF9" w14:textId="77777777" w:rsidR="00937F78" w:rsidRDefault="00937F78" w:rsidP="00A62EFA">
      <w:pPr>
        <w:spacing w:line="360" w:lineRule="auto"/>
        <w:rPr>
          <w:rFonts w:ascii="Arial" w:hAnsi="Arial" w:cs="Arial"/>
          <w:b/>
          <w:bCs/>
          <w:sz w:val="24"/>
          <w:szCs w:val="24"/>
        </w:rPr>
      </w:pPr>
    </w:p>
    <w:p w14:paraId="2DFAFB59" w14:textId="77777777" w:rsidR="00937F78" w:rsidRDefault="00937F78" w:rsidP="00A62EFA">
      <w:pPr>
        <w:spacing w:line="360" w:lineRule="auto"/>
        <w:rPr>
          <w:rFonts w:ascii="Arial" w:hAnsi="Arial" w:cs="Arial"/>
          <w:b/>
          <w:bCs/>
          <w:sz w:val="24"/>
          <w:szCs w:val="24"/>
        </w:rPr>
      </w:pPr>
    </w:p>
    <w:p w14:paraId="425680DD" w14:textId="77777777" w:rsidR="00314EB3" w:rsidRDefault="00314EB3" w:rsidP="00021535">
      <w:pPr>
        <w:spacing w:line="360" w:lineRule="auto"/>
        <w:rPr>
          <w:rFonts w:ascii="Arial" w:hAnsi="Arial" w:cs="Arial"/>
          <w:b/>
          <w:bCs/>
          <w:sz w:val="24"/>
          <w:szCs w:val="24"/>
        </w:rPr>
      </w:pPr>
    </w:p>
    <w:p w14:paraId="36D22FD6" w14:textId="769EBA1A" w:rsidR="00021535" w:rsidRPr="00384818" w:rsidRDefault="00A62EFA" w:rsidP="00021535">
      <w:pPr>
        <w:spacing w:line="360" w:lineRule="auto"/>
        <w:rPr>
          <w:rFonts w:ascii="Arial" w:hAnsi="Arial" w:cs="Arial"/>
          <w:b/>
          <w:bCs/>
          <w:sz w:val="24"/>
          <w:szCs w:val="24"/>
        </w:rPr>
      </w:pPr>
      <w:r w:rsidRPr="00A62EFA">
        <w:rPr>
          <w:rFonts w:ascii="Arial" w:hAnsi="Arial" w:cs="Arial"/>
          <w:b/>
          <w:bCs/>
          <w:sz w:val="24"/>
          <w:szCs w:val="24"/>
        </w:rPr>
        <w:lastRenderedPageBreak/>
        <w:t>References</w:t>
      </w:r>
    </w:p>
    <w:p w14:paraId="3881EC86" w14:textId="589C5265" w:rsidR="00021535" w:rsidRPr="00937F78" w:rsidRDefault="00021535" w:rsidP="00FC5CBE">
      <w:pPr>
        <w:spacing w:line="240" w:lineRule="auto"/>
        <w:ind w:left="680" w:hanging="720"/>
        <w:rPr>
          <w:rFonts w:asciiTheme="minorBidi" w:hAnsiTheme="minorBidi"/>
          <w:sz w:val="24"/>
          <w:szCs w:val="24"/>
        </w:rPr>
      </w:pPr>
      <w:r w:rsidRPr="00937F78">
        <w:rPr>
          <w:rFonts w:asciiTheme="minorBidi" w:hAnsiTheme="minorBidi"/>
          <w:sz w:val="24"/>
          <w:szCs w:val="24"/>
        </w:rPr>
        <w:t>Ali, A., Khan, R. M. I and Alouraini, A. (2023). ‘A Comparative Study on the Impact of Online and Blended Learning’. </w:t>
      </w:r>
      <w:r w:rsidRPr="00937F78">
        <w:rPr>
          <w:rFonts w:asciiTheme="minorBidi" w:hAnsiTheme="minorBidi"/>
          <w:i/>
          <w:iCs/>
          <w:sz w:val="24"/>
          <w:szCs w:val="24"/>
        </w:rPr>
        <w:t>Sage Open,</w:t>
      </w:r>
      <w:r w:rsidRPr="00937F78">
        <w:rPr>
          <w:rFonts w:asciiTheme="minorBidi" w:hAnsiTheme="minorBidi"/>
          <w:sz w:val="24"/>
          <w:szCs w:val="24"/>
        </w:rPr>
        <w:t> </w:t>
      </w:r>
      <w:r w:rsidRPr="00937F78">
        <w:rPr>
          <w:rFonts w:asciiTheme="minorBidi" w:hAnsiTheme="minorBidi"/>
          <w:i/>
          <w:iCs/>
          <w:sz w:val="24"/>
          <w:szCs w:val="24"/>
        </w:rPr>
        <w:t>13</w:t>
      </w:r>
      <w:r w:rsidRPr="00937F78">
        <w:rPr>
          <w:rFonts w:asciiTheme="minorBidi" w:hAnsiTheme="minorBidi"/>
          <w:sz w:val="24"/>
          <w:szCs w:val="24"/>
        </w:rPr>
        <w:t>(1). DOI: </w:t>
      </w:r>
      <w:hyperlink r:id="rId9" w:history="1">
        <w:r w:rsidRPr="00937F78">
          <w:rPr>
            <w:rStyle w:val="Hyperlink"/>
            <w:rFonts w:asciiTheme="minorBidi" w:hAnsiTheme="minorBidi"/>
            <w:sz w:val="24"/>
            <w:szCs w:val="24"/>
          </w:rPr>
          <w:t>https://doi.org/10.1177/21582440231154417</w:t>
        </w:r>
      </w:hyperlink>
    </w:p>
    <w:p w14:paraId="6B5BAAF7" w14:textId="73393BD6" w:rsidR="00021535" w:rsidRPr="002A492F" w:rsidRDefault="00021535" w:rsidP="00FC5CBE">
      <w:pPr>
        <w:spacing w:line="240" w:lineRule="auto"/>
        <w:ind w:left="680" w:hanging="720"/>
        <w:rPr>
          <w:rFonts w:asciiTheme="minorBidi" w:eastAsia="system-ui" w:hAnsiTheme="minorBidi"/>
          <w:color w:val="000000" w:themeColor="text1"/>
          <w:sz w:val="24"/>
          <w:szCs w:val="24"/>
        </w:rPr>
      </w:pPr>
      <w:r w:rsidRPr="002A492F">
        <w:rPr>
          <w:rFonts w:asciiTheme="minorBidi" w:eastAsia="system-ui" w:hAnsiTheme="minorBidi"/>
          <w:color w:val="000000" w:themeColor="text1"/>
          <w:sz w:val="24"/>
          <w:szCs w:val="24"/>
          <w:lang w:val="de-DE"/>
        </w:rPr>
        <w:t>Allen, I. E</w:t>
      </w:r>
      <w:r w:rsidR="002A492F" w:rsidRPr="002A492F">
        <w:rPr>
          <w:rFonts w:asciiTheme="minorBidi" w:eastAsia="system-ui" w:hAnsiTheme="minorBidi"/>
          <w:color w:val="000000" w:themeColor="text1"/>
          <w:sz w:val="24"/>
          <w:szCs w:val="24"/>
          <w:lang w:val="de-DE"/>
        </w:rPr>
        <w:t xml:space="preserve"> and</w:t>
      </w:r>
      <w:r w:rsidRPr="002A492F">
        <w:rPr>
          <w:rFonts w:asciiTheme="minorBidi" w:eastAsia="system-ui" w:hAnsiTheme="minorBidi"/>
          <w:color w:val="000000" w:themeColor="text1"/>
          <w:sz w:val="24"/>
          <w:szCs w:val="24"/>
          <w:lang w:val="de-DE"/>
        </w:rPr>
        <w:t xml:space="preserve"> Seaman, J. (2017). </w:t>
      </w:r>
      <w:r w:rsidRPr="002A492F">
        <w:rPr>
          <w:rFonts w:asciiTheme="minorBidi" w:eastAsia="system-ui" w:hAnsiTheme="minorBidi"/>
          <w:i/>
          <w:iCs/>
          <w:color w:val="000000" w:themeColor="text1"/>
          <w:sz w:val="24"/>
          <w:szCs w:val="24"/>
        </w:rPr>
        <w:t xml:space="preserve">Digital Learning Compass: Distance Education </w:t>
      </w:r>
      <w:r w:rsidR="002A492F" w:rsidRPr="002A492F">
        <w:rPr>
          <w:rFonts w:asciiTheme="minorBidi" w:eastAsia="system-ui" w:hAnsiTheme="minorBidi"/>
          <w:i/>
          <w:iCs/>
          <w:color w:val="000000" w:themeColor="text1"/>
          <w:sz w:val="24"/>
          <w:szCs w:val="24"/>
        </w:rPr>
        <w:t>Enrolment</w:t>
      </w:r>
      <w:r w:rsidRPr="002A492F">
        <w:rPr>
          <w:rFonts w:asciiTheme="minorBidi" w:eastAsia="system-ui" w:hAnsiTheme="minorBidi"/>
          <w:i/>
          <w:iCs/>
          <w:color w:val="000000" w:themeColor="text1"/>
          <w:sz w:val="24"/>
          <w:szCs w:val="24"/>
        </w:rPr>
        <w:t xml:space="preserve"> Report 2017</w:t>
      </w:r>
      <w:r w:rsidRPr="002A492F">
        <w:rPr>
          <w:rFonts w:asciiTheme="minorBidi" w:eastAsia="system-ui" w:hAnsiTheme="minorBidi"/>
          <w:color w:val="000000" w:themeColor="text1"/>
          <w:sz w:val="24"/>
          <w:szCs w:val="24"/>
        </w:rPr>
        <w:t>. Babson Survey Research Group.</w:t>
      </w:r>
    </w:p>
    <w:p w14:paraId="36BAC137" w14:textId="75B9667E" w:rsidR="00021535" w:rsidRPr="002A492F" w:rsidRDefault="00021535" w:rsidP="00FC5CBE">
      <w:pPr>
        <w:spacing w:line="240" w:lineRule="auto"/>
        <w:ind w:left="680" w:hanging="720"/>
        <w:rPr>
          <w:rFonts w:asciiTheme="minorBidi" w:eastAsia="system-ui" w:hAnsiTheme="minorBidi"/>
          <w:color w:val="000000" w:themeColor="text1"/>
          <w:sz w:val="24"/>
          <w:szCs w:val="24"/>
        </w:rPr>
      </w:pPr>
      <w:r w:rsidRPr="002A492F">
        <w:rPr>
          <w:rFonts w:asciiTheme="minorBidi" w:eastAsia="system-ui" w:hAnsiTheme="minorBidi"/>
          <w:color w:val="000000" w:themeColor="text1"/>
          <w:sz w:val="24"/>
          <w:szCs w:val="24"/>
        </w:rPr>
        <w:t xml:space="preserve">Ally, M. (2008). </w:t>
      </w:r>
      <w:r w:rsidRPr="002A492F">
        <w:rPr>
          <w:rFonts w:asciiTheme="minorBidi" w:eastAsia="system-ui" w:hAnsiTheme="minorBidi"/>
          <w:i/>
          <w:iCs/>
          <w:color w:val="000000" w:themeColor="text1"/>
          <w:sz w:val="24"/>
          <w:szCs w:val="24"/>
        </w:rPr>
        <w:t>Foundations of Educational Theory for Online Learning</w:t>
      </w:r>
      <w:r w:rsidRPr="002A492F">
        <w:rPr>
          <w:rFonts w:asciiTheme="minorBidi" w:eastAsia="system-ui" w:hAnsiTheme="minorBidi"/>
          <w:color w:val="000000" w:themeColor="text1"/>
          <w:sz w:val="24"/>
          <w:szCs w:val="24"/>
        </w:rPr>
        <w:t>. Athabasca</w:t>
      </w:r>
      <w:r w:rsidR="002A492F" w:rsidRPr="002A492F">
        <w:rPr>
          <w:rFonts w:asciiTheme="minorBidi" w:eastAsia="system-ui" w:hAnsiTheme="minorBidi"/>
          <w:color w:val="000000" w:themeColor="text1"/>
          <w:sz w:val="24"/>
          <w:szCs w:val="24"/>
        </w:rPr>
        <w:t>:</w:t>
      </w:r>
      <w:r w:rsidRPr="002A492F">
        <w:rPr>
          <w:rFonts w:asciiTheme="minorBidi" w:eastAsia="system-ui" w:hAnsiTheme="minorBidi"/>
          <w:color w:val="000000" w:themeColor="text1"/>
          <w:sz w:val="24"/>
          <w:szCs w:val="24"/>
        </w:rPr>
        <w:t xml:space="preserve"> University Press.</w:t>
      </w:r>
    </w:p>
    <w:p w14:paraId="35931BA5" w14:textId="77777777" w:rsidR="00021535" w:rsidRPr="002A492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Barkley, E.F. (2009) </w:t>
      </w:r>
      <w:r w:rsidRPr="005E63EB">
        <w:rPr>
          <w:rFonts w:asciiTheme="minorBidi" w:eastAsia="system-ui" w:hAnsiTheme="minorBidi"/>
          <w:i/>
          <w:iCs/>
          <w:color w:val="000000" w:themeColor="text1"/>
          <w:sz w:val="24"/>
          <w:szCs w:val="24"/>
        </w:rPr>
        <w:t xml:space="preserve">Student Engagement Techniques: A Handbook for College </w:t>
      </w:r>
      <w:r w:rsidRPr="0099000F">
        <w:rPr>
          <w:rFonts w:asciiTheme="minorBidi" w:eastAsia="system-ui" w:hAnsiTheme="minorBidi"/>
          <w:color w:val="000000" w:themeColor="text1"/>
          <w:sz w:val="24"/>
          <w:szCs w:val="24"/>
        </w:rPr>
        <w:t xml:space="preserve">Faculty. San Francisco: John Wiley </w:t>
      </w:r>
      <w:r w:rsidRPr="002A492F">
        <w:rPr>
          <w:rFonts w:asciiTheme="minorBidi" w:eastAsia="system-ui" w:hAnsiTheme="minorBidi"/>
          <w:color w:val="000000" w:themeColor="text1"/>
          <w:sz w:val="24"/>
          <w:szCs w:val="24"/>
        </w:rPr>
        <w:t>Sons, Inc.</w:t>
      </w:r>
    </w:p>
    <w:p w14:paraId="6798596A" w14:textId="6A1CC1F3" w:rsidR="00021535" w:rsidRPr="002A492F" w:rsidRDefault="00021535" w:rsidP="00FC5CBE">
      <w:pPr>
        <w:spacing w:line="240" w:lineRule="auto"/>
        <w:ind w:left="680" w:hanging="720"/>
        <w:rPr>
          <w:rFonts w:asciiTheme="minorBidi" w:eastAsia="system-ui" w:hAnsiTheme="minorBidi"/>
          <w:color w:val="000000" w:themeColor="text1"/>
          <w:sz w:val="24"/>
          <w:szCs w:val="24"/>
        </w:rPr>
      </w:pPr>
      <w:r w:rsidRPr="002A492F">
        <w:rPr>
          <w:rFonts w:asciiTheme="minorBidi" w:eastAsia="system-ui" w:hAnsiTheme="minorBidi"/>
          <w:color w:val="000000" w:themeColor="text1"/>
          <w:sz w:val="24"/>
          <w:szCs w:val="24"/>
        </w:rPr>
        <w:t>Bebell, D</w:t>
      </w:r>
      <w:r w:rsidR="002A492F" w:rsidRPr="002A492F">
        <w:rPr>
          <w:rFonts w:asciiTheme="minorBidi" w:eastAsia="system-ui" w:hAnsiTheme="minorBidi"/>
          <w:color w:val="000000" w:themeColor="text1"/>
          <w:sz w:val="24"/>
          <w:szCs w:val="24"/>
        </w:rPr>
        <w:t xml:space="preserve"> and</w:t>
      </w:r>
      <w:r w:rsidRPr="002A492F">
        <w:rPr>
          <w:rFonts w:asciiTheme="minorBidi" w:eastAsia="system-ui" w:hAnsiTheme="minorBidi"/>
          <w:color w:val="000000" w:themeColor="text1"/>
          <w:sz w:val="24"/>
          <w:szCs w:val="24"/>
        </w:rPr>
        <w:t xml:space="preserve"> O'Dwyer, L. M. (2010). ‘Educational Outcomes and Research from 1:1 Computing Settings’. </w:t>
      </w:r>
      <w:r w:rsidRPr="002A492F">
        <w:rPr>
          <w:rFonts w:asciiTheme="minorBidi" w:eastAsia="system-ui" w:hAnsiTheme="minorBidi"/>
          <w:i/>
          <w:iCs/>
          <w:color w:val="000000" w:themeColor="text1"/>
          <w:sz w:val="24"/>
          <w:szCs w:val="24"/>
        </w:rPr>
        <w:t>Journal of Technology, Learning, and Assessment, 9</w:t>
      </w:r>
      <w:r w:rsidRPr="002A492F">
        <w:rPr>
          <w:rFonts w:asciiTheme="minorBidi" w:eastAsia="system-ui" w:hAnsiTheme="minorBidi"/>
          <w:color w:val="000000" w:themeColor="text1"/>
          <w:sz w:val="24"/>
          <w:szCs w:val="24"/>
        </w:rPr>
        <w:t>(1), 1–32.</w:t>
      </w:r>
    </w:p>
    <w:p w14:paraId="5AAB147E"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Beckem, J and Watkins, R. (2012). ‘Exploring the use of games and simulations in higher education.’ In T. Bastiaens &amp; G. Marks (eds), </w:t>
      </w:r>
      <w:r w:rsidRPr="005E63EB">
        <w:rPr>
          <w:rFonts w:asciiTheme="minorBidi" w:eastAsia="system-ui" w:hAnsiTheme="minorBidi"/>
          <w:i/>
          <w:iCs/>
          <w:color w:val="000000" w:themeColor="text1"/>
          <w:sz w:val="24"/>
          <w:szCs w:val="24"/>
        </w:rPr>
        <w:t xml:space="preserve">Proceedings of World Conference on E-Learning in Corporate, Government, Healthcare, and Higher Education </w:t>
      </w:r>
      <w:r w:rsidRPr="0099000F">
        <w:rPr>
          <w:rFonts w:asciiTheme="minorBidi" w:eastAsia="system-ui" w:hAnsiTheme="minorBidi"/>
          <w:color w:val="000000" w:themeColor="text1"/>
          <w:sz w:val="24"/>
          <w:szCs w:val="24"/>
        </w:rPr>
        <w:t>(pp. 65–73). Association for the Advancement of Computing in Education (AACE).</w:t>
      </w:r>
    </w:p>
    <w:p w14:paraId="703E0F92"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Beckem, J. I and Watkins, M. (2012). ‘Bringing life to learning: Immersive experiential learning simulations for online and blended courses.’ </w:t>
      </w:r>
      <w:r w:rsidRPr="00AA75E1">
        <w:rPr>
          <w:rFonts w:asciiTheme="minorBidi" w:eastAsia="system-ui" w:hAnsiTheme="minorBidi"/>
          <w:i/>
          <w:iCs/>
          <w:color w:val="000000" w:themeColor="text1"/>
          <w:sz w:val="24"/>
          <w:szCs w:val="24"/>
        </w:rPr>
        <w:t>Journal of Asynchronous Learning Networks,</w:t>
      </w:r>
      <w:r w:rsidRPr="0099000F">
        <w:rPr>
          <w:rFonts w:asciiTheme="minorBidi" w:eastAsia="system-ui" w:hAnsiTheme="minorBidi"/>
          <w:color w:val="000000" w:themeColor="text1"/>
          <w:sz w:val="24"/>
          <w:szCs w:val="24"/>
        </w:rPr>
        <w:t xml:space="preserve"> 16(5), 61–70. DOI: https://doi.org/10.24059/olj.v16i5.287. </w:t>
      </w:r>
    </w:p>
    <w:p w14:paraId="17E8402A" w14:textId="0D68F666" w:rsidR="00021535" w:rsidRPr="002A492F" w:rsidRDefault="00021535" w:rsidP="00FC5CBE">
      <w:pPr>
        <w:spacing w:line="240" w:lineRule="auto"/>
        <w:ind w:left="680" w:hanging="720"/>
        <w:rPr>
          <w:rFonts w:asciiTheme="minorBidi" w:eastAsia="system-ui" w:hAnsiTheme="minorBidi"/>
          <w:color w:val="000000" w:themeColor="text1"/>
          <w:sz w:val="24"/>
          <w:szCs w:val="24"/>
        </w:rPr>
      </w:pPr>
      <w:r w:rsidRPr="002A492F">
        <w:rPr>
          <w:rFonts w:asciiTheme="minorBidi" w:eastAsia="system-ui" w:hAnsiTheme="minorBidi"/>
          <w:color w:val="000000" w:themeColor="text1"/>
          <w:sz w:val="24"/>
          <w:szCs w:val="24"/>
        </w:rPr>
        <w:t xml:space="preserve">Bernard, R. M., Borokhovski, E., Schmid, R. F., Tamim, R. M., &amp; Abrami, P. C. (2014). ‘A Meta-Analysis of Blended Learning and Technology Use in Higher Education: From the General to the Applied’. </w:t>
      </w:r>
      <w:r w:rsidRPr="002A492F">
        <w:rPr>
          <w:rFonts w:asciiTheme="minorBidi" w:eastAsia="system-ui" w:hAnsiTheme="minorBidi"/>
          <w:i/>
          <w:iCs/>
          <w:color w:val="000000" w:themeColor="text1"/>
          <w:sz w:val="24"/>
          <w:szCs w:val="24"/>
        </w:rPr>
        <w:t>Journal of Computing in Higher Education, 26</w:t>
      </w:r>
      <w:r w:rsidRPr="002A492F">
        <w:rPr>
          <w:rFonts w:asciiTheme="minorBidi" w:eastAsia="system-ui" w:hAnsiTheme="minorBidi"/>
          <w:color w:val="000000" w:themeColor="text1"/>
          <w:sz w:val="24"/>
          <w:szCs w:val="24"/>
        </w:rPr>
        <w:t xml:space="preserve">(1), 87–122. </w:t>
      </w:r>
      <w:r w:rsidR="002A492F" w:rsidRPr="002A492F">
        <w:rPr>
          <w:rFonts w:asciiTheme="minorBidi" w:eastAsia="system-ui" w:hAnsiTheme="minorBidi"/>
          <w:color w:val="000000" w:themeColor="text1"/>
          <w:sz w:val="24"/>
          <w:szCs w:val="24"/>
        </w:rPr>
        <w:t xml:space="preserve">DOI: </w:t>
      </w:r>
      <w:hyperlink r:id="rId10" w:history="1">
        <w:r w:rsidR="002A492F" w:rsidRPr="002A492F">
          <w:rPr>
            <w:rStyle w:val="Hyperlink"/>
            <w:rFonts w:asciiTheme="minorBidi" w:eastAsia="system-ui" w:hAnsiTheme="minorBidi"/>
            <w:sz w:val="24"/>
            <w:szCs w:val="24"/>
          </w:rPr>
          <w:t>https://doi.org/10.1007/s12528-013-9077-3</w:t>
        </w:r>
      </w:hyperlink>
    </w:p>
    <w:p w14:paraId="43F242EE"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Bista, K. (2015). ‘Is Twitter an effective pedagogical tool in higher education? Perspectives of education graduate students.’ </w:t>
      </w:r>
      <w:r w:rsidRPr="00AA75E1">
        <w:rPr>
          <w:rFonts w:asciiTheme="minorBidi" w:eastAsia="system-ui" w:hAnsiTheme="minorBidi"/>
          <w:i/>
          <w:iCs/>
          <w:color w:val="000000" w:themeColor="text1"/>
          <w:sz w:val="24"/>
          <w:szCs w:val="24"/>
        </w:rPr>
        <w:t xml:space="preserve">Journal of the Scholarship </w:t>
      </w:r>
      <w:proofErr w:type="gramStart"/>
      <w:r w:rsidRPr="00AA75E1">
        <w:rPr>
          <w:rFonts w:asciiTheme="minorBidi" w:eastAsia="system-ui" w:hAnsiTheme="minorBidi"/>
          <w:i/>
          <w:iCs/>
          <w:color w:val="000000" w:themeColor="text1"/>
          <w:sz w:val="24"/>
          <w:szCs w:val="24"/>
        </w:rPr>
        <w:t>Of</w:t>
      </w:r>
      <w:proofErr w:type="gramEnd"/>
      <w:r w:rsidRPr="00AA75E1">
        <w:rPr>
          <w:rFonts w:asciiTheme="minorBidi" w:eastAsia="system-ui" w:hAnsiTheme="minorBidi"/>
          <w:i/>
          <w:iCs/>
          <w:color w:val="000000" w:themeColor="text1"/>
          <w:sz w:val="24"/>
          <w:szCs w:val="24"/>
        </w:rPr>
        <w:t xml:space="preserve"> Teaching And Learning</w:t>
      </w:r>
      <w:r w:rsidRPr="0099000F">
        <w:rPr>
          <w:rFonts w:asciiTheme="minorBidi" w:eastAsia="system-ui" w:hAnsiTheme="minorBidi"/>
          <w:color w:val="000000" w:themeColor="text1"/>
          <w:sz w:val="24"/>
          <w:szCs w:val="24"/>
        </w:rPr>
        <w:t>, 15(2), 83–102. DOI: https://doi.org/10.14434/josotl.v15i2</w:t>
      </w:r>
    </w:p>
    <w:p w14:paraId="3FFE7CBA" w14:textId="77777777" w:rsidR="00021535" w:rsidRPr="00937F78" w:rsidRDefault="00021535" w:rsidP="00FC5CBE">
      <w:pPr>
        <w:spacing w:line="240" w:lineRule="auto"/>
        <w:ind w:left="680" w:hanging="720"/>
        <w:rPr>
          <w:rFonts w:asciiTheme="minorBidi" w:hAnsiTheme="minorBidi"/>
          <w:sz w:val="24"/>
          <w:szCs w:val="24"/>
        </w:rPr>
      </w:pPr>
      <w:r w:rsidRPr="009D07D1">
        <w:rPr>
          <w:rFonts w:asciiTheme="minorBidi" w:eastAsia="system-ui" w:hAnsiTheme="minorBidi"/>
          <w:color w:val="000000" w:themeColor="text1"/>
          <w:sz w:val="24"/>
          <w:szCs w:val="24"/>
        </w:rPr>
        <w:t xml:space="preserve">Bower, M. (2016). </w:t>
      </w:r>
      <w:r w:rsidRPr="009D07D1">
        <w:rPr>
          <w:rFonts w:asciiTheme="minorBidi" w:eastAsia="system-ui" w:hAnsiTheme="minorBidi"/>
          <w:i/>
          <w:iCs/>
          <w:color w:val="000000" w:themeColor="text1"/>
          <w:sz w:val="24"/>
          <w:szCs w:val="24"/>
        </w:rPr>
        <w:t>Designing for learning: Online social networks as a classroom environment</w:t>
      </w:r>
      <w:r w:rsidRPr="009D07D1">
        <w:rPr>
          <w:rFonts w:asciiTheme="minorBidi" w:eastAsia="system-ui" w:hAnsiTheme="minorBidi"/>
          <w:color w:val="000000" w:themeColor="text1"/>
          <w:sz w:val="24"/>
          <w:szCs w:val="24"/>
        </w:rPr>
        <w:t>. Springer.</w:t>
      </w:r>
    </w:p>
    <w:p w14:paraId="2103C45D"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Brown, J. D. (2018). ‘Technology interface: A conceptual framework.’ </w:t>
      </w:r>
      <w:r w:rsidRPr="00AA75E1">
        <w:rPr>
          <w:rFonts w:asciiTheme="minorBidi" w:eastAsia="system-ui" w:hAnsiTheme="minorBidi"/>
          <w:i/>
          <w:iCs/>
          <w:color w:val="000000" w:themeColor="text1"/>
          <w:sz w:val="24"/>
          <w:szCs w:val="24"/>
        </w:rPr>
        <w:t>Journal of Human-Computer Interaction,</w:t>
      </w:r>
      <w:r w:rsidRPr="0099000F">
        <w:rPr>
          <w:rFonts w:asciiTheme="minorBidi" w:eastAsia="system-ui" w:hAnsiTheme="minorBidi"/>
          <w:color w:val="000000" w:themeColor="text1"/>
          <w:sz w:val="24"/>
          <w:szCs w:val="24"/>
        </w:rPr>
        <w:t xml:space="preserve"> 34(3), 275–289.</w:t>
      </w:r>
    </w:p>
    <w:p w14:paraId="2890E0A1" w14:textId="5425B6D4" w:rsidR="00021535" w:rsidRPr="00384818" w:rsidRDefault="00021535" w:rsidP="00FC5CBE">
      <w:pPr>
        <w:spacing w:line="240" w:lineRule="auto"/>
        <w:ind w:left="680" w:hanging="720"/>
        <w:rPr>
          <w:rFonts w:asciiTheme="minorBidi" w:eastAsia="system-ui" w:hAnsiTheme="minorBidi"/>
          <w:color w:val="000000" w:themeColor="text1"/>
          <w:sz w:val="24"/>
          <w:szCs w:val="24"/>
        </w:rPr>
      </w:pPr>
      <w:r w:rsidRPr="00384818">
        <w:rPr>
          <w:rFonts w:asciiTheme="minorBidi" w:eastAsia="system-ui" w:hAnsiTheme="minorBidi"/>
          <w:color w:val="000000" w:themeColor="text1"/>
          <w:sz w:val="24"/>
          <w:szCs w:val="24"/>
        </w:rPr>
        <w:t xml:space="preserve">Center for Postsecondary Research. (2017). </w:t>
      </w:r>
      <w:r w:rsidRPr="00384818">
        <w:rPr>
          <w:rFonts w:asciiTheme="minorBidi" w:eastAsia="system-ui" w:hAnsiTheme="minorBidi"/>
          <w:i/>
          <w:iCs/>
          <w:color w:val="000000" w:themeColor="text1"/>
          <w:sz w:val="24"/>
          <w:szCs w:val="24"/>
        </w:rPr>
        <w:t>National Survey of Student Engagement (NSSE)</w:t>
      </w:r>
      <w:r w:rsidR="00A43632" w:rsidRPr="007B2554">
        <w:rPr>
          <w:rFonts w:asciiTheme="minorBidi" w:eastAsia="system-ui" w:hAnsiTheme="minorBidi"/>
          <w:i/>
          <w:iCs/>
          <w:color w:val="000000" w:themeColor="text1"/>
          <w:sz w:val="24"/>
          <w:szCs w:val="24"/>
        </w:rPr>
        <w:t xml:space="preserve">. </w:t>
      </w:r>
      <w:r w:rsidR="00A43632" w:rsidRPr="007B2554">
        <w:rPr>
          <w:rFonts w:asciiTheme="minorBidi" w:eastAsia="system-ui" w:hAnsiTheme="minorBidi"/>
          <w:color w:val="000000" w:themeColor="text1"/>
          <w:sz w:val="24"/>
          <w:szCs w:val="24"/>
        </w:rPr>
        <w:t>Available at:</w:t>
      </w:r>
      <w:r w:rsidR="00A43632" w:rsidRPr="007B2554">
        <w:rPr>
          <w:rFonts w:asciiTheme="minorBidi" w:eastAsia="system-ui" w:hAnsiTheme="minorBidi"/>
          <w:i/>
          <w:iCs/>
          <w:color w:val="000000" w:themeColor="text1"/>
          <w:sz w:val="24"/>
          <w:szCs w:val="24"/>
        </w:rPr>
        <w:t xml:space="preserve"> </w:t>
      </w:r>
      <w:hyperlink r:id="rId11">
        <w:r w:rsidRPr="00384818">
          <w:rPr>
            <w:rStyle w:val="Hyperlink"/>
            <w:rFonts w:asciiTheme="minorBidi" w:eastAsia="system-ui" w:hAnsiTheme="minorBidi"/>
            <w:sz w:val="24"/>
            <w:szCs w:val="24"/>
          </w:rPr>
          <w:t>https://nsse.indiana.edu/</w:t>
        </w:r>
      </w:hyperlink>
      <w:r w:rsidR="00A43632" w:rsidRPr="007B2554">
        <w:rPr>
          <w:rFonts w:asciiTheme="minorBidi" w:eastAsia="system-ui" w:hAnsiTheme="minorBidi"/>
          <w:color w:val="000000" w:themeColor="text1"/>
          <w:sz w:val="24"/>
          <w:szCs w:val="24"/>
        </w:rPr>
        <w:t xml:space="preserve"> (Accessed: </w:t>
      </w:r>
      <w:r w:rsidR="007B2554" w:rsidRPr="007B2554">
        <w:rPr>
          <w:rFonts w:asciiTheme="minorBidi" w:eastAsia="system-ui" w:hAnsiTheme="minorBidi"/>
          <w:color w:val="000000" w:themeColor="text1"/>
          <w:sz w:val="24"/>
          <w:szCs w:val="24"/>
        </w:rPr>
        <w:t>15 March 2024)</w:t>
      </w:r>
    </w:p>
    <w:p w14:paraId="60D8BBCF"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Chu, S. K., Chan, C. K </w:t>
      </w:r>
      <w:proofErr w:type="gramStart"/>
      <w:r w:rsidRPr="0099000F">
        <w:rPr>
          <w:rFonts w:asciiTheme="minorBidi" w:eastAsia="system-ui" w:hAnsiTheme="minorBidi"/>
          <w:color w:val="000000" w:themeColor="text1"/>
          <w:sz w:val="24"/>
          <w:szCs w:val="24"/>
        </w:rPr>
        <w:t>and  Tiwari</w:t>
      </w:r>
      <w:proofErr w:type="gramEnd"/>
      <w:r w:rsidRPr="0099000F">
        <w:rPr>
          <w:rFonts w:asciiTheme="minorBidi" w:eastAsia="system-ui" w:hAnsiTheme="minorBidi"/>
          <w:color w:val="000000" w:themeColor="text1"/>
          <w:sz w:val="24"/>
          <w:szCs w:val="24"/>
        </w:rPr>
        <w:t xml:space="preserve">, A. F. (2012). ‘Using blogs to support learning during internship’, </w:t>
      </w:r>
      <w:r w:rsidRPr="00AA75E1">
        <w:rPr>
          <w:rFonts w:asciiTheme="minorBidi" w:eastAsia="system-ui" w:hAnsiTheme="minorBidi"/>
          <w:i/>
          <w:iCs/>
          <w:color w:val="000000" w:themeColor="text1"/>
          <w:sz w:val="24"/>
          <w:szCs w:val="24"/>
        </w:rPr>
        <w:t>Computers &amp; Education,</w:t>
      </w:r>
      <w:r w:rsidRPr="0099000F">
        <w:rPr>
          <w:rFonts w:asciiTheme="minorBidi" w:eastAsia="system-ui" w:hAnsiTheme="minorBidi"/>
          <w:color w:val="000000" w:themeColor="text1"/>
          <w:sz w:val="24"/>
          <w:szCs w:val="24"/>
        </w:rPr>
        <w:t xml:space="preserve"> 58(3), 989–1000. DOI: 10.1016/j.compedu.2011.08.027.</w:t>
      </w:r>
    </w:p>
    <w:p w14:paraId="75A9F140" w14:textId="14D7AF97" w:rsidR="00021535" w:rsidRPr="00384818" w:rsidRDefault="00021535" w:rsidP="00FC5CBE">
      <w:pPr>
        <w:spacing w:line="240" w:lineRule="auto"/>
        <w:ind w:left="680" w:hanging="720"/>
        <w:rPr>
          <w:rFonts w:asciiTheme="minorBidi" w:eastAsia="system-ui" w:hAnsiTheme="minorBidi"/>
          <w:color w:val="000000" w:themeColor="text1"/>
          <w:sz w:val="24"/>
          <w:szCs w:val="24"/>
        </w:rPr>
      </w:pPr>
      <w:r w:rsidRPr="00384818">
        <w:rPr>
          <w:rFonts w:asciiTheme="minorBidi" w:eastAsia="system-ui" w:hAnsiTheme="minorBidi"/>
          <w:color w:val="000000" w:themeColor="text1"/>
          <w:sz w:val="24"/>
          <w:szCs w:val="24"/>
        </w:rPr>
        <w:t xml:space="preserve">Cuban, L. (1993). </w:t>
      </w:r>
      <w:r w:rsidRPr="00384818">
        <w:rPr>
          <w:rFonts w:asciiTheme="minorBidi" w:eastAsia="system-ui" w:hAnsiTheme="minorBidi"/>
          <w:i/>
          <w:iCs/>
          <w:color w:val="000000" w:themeColor="text1"/>
          <w:sz w:val="24"/>
          <w:szCs w:val="24"/>
        </w:rPr>
        <w:t>How Teachers Taught: Constancy and Change in American Classrooms, 1890-1980.</w:t>
      </w:r>
      <w:r w:rsidRPr="00384818">
        <w:rPr>
          <w:rFonts w:asciiTheme="minorBidi" w:eastAsia="system-ui" w:hAnsiTheme="minorBidi"/>
          <w:color w:val="000000" w:themeColor="text1"/>
          <w:sz w:val="24"/>
          <w:szCs w:val="24"/>
        </w:rPr>
        <w:t xml:space="preserve"> </w:t>
      </w:r>
      <w:r w:rsidR="006D650C" w:rsidRPr="006D650C">
        <w:rPr>
          <w:rFonts w:asciiTheme="minorBidi" w:eastAsia="system-ui" w:hAnsiTheme="minorBidi"/>
          <w:color w:val="000000" w:themeColor="text1"/>
          <w:sz w:val="24"/>
          <w:szCs w:val="24"/>
        </w:rPr>
        <w:t xml:space="preserve">New York: </w:t>
      </w:r>
      <w:r w:rsidRPr="00384818">
        <w:rPr>
          <w:rFonts w:asciiTheme="minorBidi" w:eastAsia="system-ui" w:hAnsiTheme="minorBidi"/>
          <w:color w:val="000000" w:themeColor="text1"/>
          <w:sz w:val="24"/>
          <w:szCs w:val="24"/>
        </w:rPr>
        <w:t>Teachers College Press.</w:t>
      </w:r>
    </w:p>
    <w:p w14:paraId="13992A86" w14:textId="046AAEB1" w:rsidR="00021535" w:rsidRPr="000A7F0D" w:rsidRDefault="00021535" w:rsidP="00FC5CBE">
      <w:pPr>
        <w:spacing w:line="240" w:lineRule="auto"/>
        <w:ind w:left="680" w:hanging="720"/>
        <w:rPr>
          <w:rFonts w:asciiTheme="minorBidi" w:eastAsia="system-ui" w:hAnsiTheme="minorBidi"/>
          <w:color w:val="000000" w:themeColor="text1"/>
          <w:sz w:val="24"/>
          <w:szCs w:val="24"/>
        </w:rPr>
      </w:pPr>
      <w:r w:rsidRPr="000A7F0D">
        <w:rPr>
          <w:rFonts w:asciiTheme="minorBidi" w:eastAsia="system-ui" w:hAnsiTheme="minorBidi"/>
          <w:color w:val="000000" w:themeColor="text1"/>
          <w:sz w:val="24"/>
          <w:szCs w:val="24"/>
        </w:rPr>
        <w:lastRenderedPageBreak/>
        <w:t>El Mansour, B</w:t>
      </w:r>
      <w:r w:rsidR="006D650C" w:rsidRPr="000A7F0D">
        <w:rPr>
          <w:rFonts w:asciiTheme="minorBidi" w:eastAsia="system-ui" w:hAnsiTheme="minorBidi"/>
          <w:color w:val="000000" w:themeColor="text1"/>
          <w:sz w:val="24"/>
          <w:szCs w:val="24"/>
        </w:rPr>
        <w:t xml:space="preserve"> and</w:t>
      </w:r>
      <w:r w:rsidRPr="000A7F0D">
        <w:rPr>
          <w:rFonts w:asciiTheme="minorBidi" w:eastAsia="system-ui" w:hAnsiTheme="minorBidi"/>
          <w:color w:val="000000" w:themeColor="text1"/>
          <w:sz w:val="24"/>
          <w:szCs w:val="24"/>
        </w:rPr>
        <w:t xml:space="preserve"> Mupinga, D. M. (2020). ‘Students’ positive and negative experiences in hybrid and online </w:t>
      </w:r>
      <w:proofErr w:type="gramStart"/>
      <w:r w:rsidRPr="000A7F0D">
        <w:rPr>
          <w:rFonts w:asciiTheme="minorBidi" w:eastAsia="system-ui" w:hAnsiTheme="minorBidi"/>
          <w:color w:val="000000" w:themeColor="text1"/>
          <w:sz w:val="24"/>
          <w:szCs w:val="24"/>
        </w:rPr>
        <w:t>classes’</w:t>
      </w:r>
      <w:proofErr w:type="gramEnd"/>
      <w:r w:rsidRPr="000A7F0D">
        <w:rPr>
          <w:rFonts w:asciiTheme="minorBidi" w:eastAsia="system-ui" w:hAnsiTheme="minorBidi"/>
          <w:color w:val="000000" w:themeColor="text1"/>
          <w:sz w:val="24"/>
          <w:szCs w:val="24"/>
        </w:rPr>
        <w:t xml:space="preserve">. </w:t>
      </w:r>
      <w:r w:rsidRPr="000A7F0D">
        <w:rPr>
          <w:rFonts w:asciiTheme="minorBidi" w:eastAsia="system-ui" w:hAnsiTheme="minorBidi"/>
          <w:i/>
          <w:iCs/>
          <w:color w:val="000000" w:themeColor="text1"/>
          <w:sz w:val="24"/>
          <w:szCs w:val="24"/>
        </w:rPr>
        <w:t>Quarterly Review of Distance Education</w:t>
      </w:r>
      <w:r w:rsidRPr="000A7F0D">
        <w:rPr>
          <w:rFonts w:asciiTheme="minorBidi" w:eastAsia="system-ui" w:hAnsiTheme="minorBidi"/>
          <w:color w:val="000000" w:themeColor="text1"/>
          <w:sz w:val="24"/>
          <w:szCs w:val="24"/>
        </w:rPr>
        <w:t>, 21(3), 11–30.</w:t>
      </w:r>
    </w:p>
    <w:p w14:paraId="76011D56" w14:textId="091493BF" w:rsidR="00021535" w:rsidRPr="000A7F0D" w:rsidRDefault="00021535" w:rsidP="00FC5CBE">
      <w:pPr>
        <w:spacing w:line="240" w:lineRule="auto"/>
        <w:ind w:left="680" w:hanging="720"/>
        <w:rPr>
          <w:rFonts w:asciiTheme="minorBidi" w:eastAsia="system-ui" w:hAnsiTheme="minorBidi"/>
          <w:color w:val="000000" w:themeColor="text1"/>
          <w:sz w:val="24"/>
          <w:szCs w:val="24"/>
        </w:rPr>
      </w:pPr>
      <w:r w:rsidRPr="000A7F0D">
        <w:rPr>
          <w:rFonts w:asciiTheme="minorBidi" w:eastAsia="system-ui" w:hAnsiTheme="minorBidi"/>
          <w:color w:val="000000" w:themeColor="text1"/>
          <w:sz w:val="24"/>
          <w:szCs w:val="24"/>
        </w:rPr>
        <w:t xml:space="preserve">European Commission. (2020). </w:t>
      </w:r>
      <w:r w:rsidRPr="000A7F0D">
        <w:rPr>
          <w:rFonts w:asciiTheme="minorBidi" w:eastAsia="system-ui" w:hAnsiTheme="minorBidi"/>
          <w:i/>
          <w:iCs/>
          <w:color w:val="000000" w:themeColor="text1"/>
          <w:sz w:val="24"/>
          <w:szCs w:val="24"/>
        </w:rPr>
        <w:t>European Digital Education Action Plan</w:t>
      </w:r>
      <w:r w:rsidRPr="000A7F0D">
        <w:rPr>
          <w:rFonts w:asciiTheme="minorBidi" w:eastAsia="system-ui" w:hAnsiTheme="minorBidi"/>
          <w:color w:val="000000" w:themeColor="text1"/>
          <w:sz w:val="24"/>
          <w:szCs w:val="24"/>
        </w:rPr>
        <w:t xml:space="preserve">. </w:t>
      </w:r>
      <w:r w:rsidR="000A7F0D" w:rsidRPr="000A7F0D">
        <w:rPr>
          <w:rFonts w:asciiTheme="minorBidi" w:eastAsia="system-ui" w:hAnsiTheme="minorBidi"/>
          <w:color w:val="000000" w:themeColor="text1"/>
          <w:sz w:val="24"/>
          <w:szCs w:val="24"/>
        </w:rPr>
        <w:t xml:space="preserve">Available at: </w:t>
      </w:r>
      <w:r w:rsidRPr="000A7F0D">
        <w:rPr>
          <w:rFonts w:asciiTheme="minorBidi" w:eastAsia="system-ui" w:hAnsiTheme="minorBidi"/>
          <w:color w:val="000000" w:themeColor="text1"/>
          <w:sz w:val="24"/>
          <w:szCs w:val="24"/>
        </w:rPr>
        <w:t xml:space="preserve"> </w:t>
      </w:r>
      <w:hyperlink r:id="rId12">
        <w:r w:rsidRPr="000A7F0D">
          <w:rPr>
            <w:rStyle w:val="Hyperlink"/>
            <w:rFonts w:asciiTheme="minorBidi" w:eastAsia="system-ui" w:hAnsiTheme="minorBidi"/>
            <w:sz w:val="24"/>
            <w:szCs w:val="24"/>
          </w:rPr>
          <w:t>https://ec.europa.eu/education/education-in-the-eu/digital-education-action-plan_en</w:t>
        </w:r>
      </w:hyperlink>
      <w:r w:rsidR="000A7F0D" w:rsidRPr="000A7F0D">
        <w:rPr>
          <w:rStyle w:val="Hyperlink"/>
          <w:rFonts w:asciiTheme="minorBidi" w:eastAsia="system-ui" w:hAnsiTheme="minorBidi"/>
          <w:sz w:val="24"/>
          <w:szCs w:val="24"/>
        </w:rPr>
        <w:t xml:space="preserve"> </w:t>
      </w:r>
      <w:r w:rsidR="000A7F0D" w:rsidRPr="007B2554">
        <w:rPr>
          <w:rFonts w:asciiTheme="minorBidi" w:eastAsia="system-ui" w:hAnsiTheme="minorBidi"/>
          <w:color w:val="000000" w:themeColor="text1"/>
          <w:sz w:val="24"/>
          <w:szCs w:val="24"/>
        </w:rPr>
        <w:t>(Accessed: 15 March 2024)</w:t>
      </w:r>
    </w:p>
    <w:p w14:paraId="23CF5119"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Farley, H. (2013). ‘Digital games and higher education: Are EDUgames engaging?’ In Smelser, R.M and Baltes, B. P (eds), </w:t>
      </w:r>
      <w:r w:rsidRPr="000A7F0D">
        <w:rPr>
          <w:rFonts w:asciiTheme="minorBidi" w:eastAsia="system-ui" w:hAnsiTheme="minorBidi"/>
          <w:i/>
          <w:iCs/>
          <w:color w:val="000000" w:themeColor="text1"/>
          <w:sz w:val="24"/>
          <w:szCs w:val="24"/>
        </w:rPr>
        <w:t>International Encyclopedia of Education</w:t>
      </w:r>
      <w:r w:rsidRPr="0099000F">
        <w:rPr>
          <w:rFonts w:asciiTheme="minorBidi" w:eastAsia="system-ui" w:hAnsiTheme="minorBidi"/>
          <w:color w:val="000000" w:themeColor="text1"/>
          <w:sz w:val="24"/>
          <w:szCs w:val="24"/>
        </w:rPr>
        <w:t>. Elsevier, pp. 542–548.</w:t>
      </w:r>
    </w:p>
    <w:p w14:paraId="6366F270" w14:textId="5BA96C54" w:rsidR="00021535" w:rsidRPr="000A7F0D" w:rsidRDefault="00021535" w:rsidP="00FC5CBE">
      <w:pPr>
        <w:spacing w:line="240" w:lineRule="auto"/>
        <w:ind w:left="680" w:hanging="720"/>
        <w:rPr>
          <w:rFonts w:asciiTheme="minorBidi" w:eastAsia="system-ui" w:hAnsiTheme="minorBidi"/>
          <w:color w:val="000000" w:themeColor="text1"/>
          <w:sz w:val="24"/>
          <w:szCs w:val="24"/>
        </w:rPr>
      </w:pPr>
      <w:r w:rsidRPr="000A7F0D">
        <w:rPr>
          <w:rFonts w:asciiTheme="minorBidi" w:eastAsia="system-ui" w:hAnsiTheme="minorBidi"/>
          <w:color w:val="000000" w:themeColor="text1"/>
          <w:sz w:val="24"/>
          <w:szCs w:val="24"/>
        </w:rPr>
        <w:t>Finn, J.D and Zimmer, K.S. (2012)</w:t>
      </w:r>
      <w:r w:rsidR="000A7F0D" w:rsidRPr="000A7F0D">
        <w:rPr>
          <w:rFonts w:asciiTheme="minorBidi" w:eastAsia="system-ui" w:hAnsiTheme="minorBidi"/>
          <w:color w:val="000000" w:themeColor="text1"/>
          <w:sz w:val="24"/>
          <w:szCs w:val="24"/>
        </w:rPr>
        <w:t xml:space="preserve"> </w:t>
      </w:r>
      <w:r w:rsidR="000A7F0D">
        <w:rPr>
          <w:rFonts w:asciiTheme="minorBidi" w:eastAsia="system-ui" w:hAnsiTheme="minorBidi"/>
          <w:color w:val="000000" w:themeColor="text1"/>
          <w:sz w:val="24"/>
          <w:szCs w:val="24"/>
        </w:rPr>
        <w:t>‘</w:t>
      </w:r>
      <w:r w:rsidRPr="0099000F">
        <w:rPr>
          <w:rFonts w:asciiTheme="minorBidi" w:eastAsia="system-ui" w:hAnsiTheme="minorBidi"/>
          <w:color w:val="000000" w:themeColor="text1"/>
          <w:sz w:val="24"/>
          <w:szCs w:val="24"/>
        </w:rPr>
        <w:t xml:space="preserve">Student engagement: What is it? Why does it matter?’ In Christenson, S.L., Reschly, A.L., Wylie, C (eds) </w:t>
      </w:r>
      <w:r w:rsidRPr="000A7F0D">
        <w:rPr>
          <w:rFonts w:asciiTheme="minorBidi" w:eastAsia="system-ui" w:hAnsiTheme="minorBidi"/>
          <w:i/>
          <w:iCs/>
          <w:color w:val="000000" w:themeColor="text1"/>
          <w:sz w:val="24"/>
          <w:szCs w:val="24"/>
        </w:rPr>
        <w:t>Handbook of Research on Student Engagement.</w:t>
      </w:r>
      <w:r w:rsidRPr="000A7F0D">
        <w:rPr>
          <w:rFonts w:asciiTheme="minorBidi" w:eastAsia="system-ui" w:hAnsiTheme="minorBidi"/>
          <w:color w:val="000000" w:themeColor="text1"/>
          <w:sz w:val="24"/>
          <w:szCs w:val="24"/>
        </w:rPr>
        <w:t xml:space="preserve"> Boston, MA, USA: Springer. </w:t>
      </w:r>
    </w:p>
    <w:p w14:paraId="7F6FA207" w14:textId="5A0B6DAF" w:rsidR="00021535" w:rsidRPr="00384818" w:rsidRDefault="00021535" w:rsidP="00FC5CBE">
      <w:pPr>
        <w:spacing w:line="240" w:lineRule="auto"/>
        <w:ind w:left="680" w:hanging="720"/>
        <w:rPr>
          <w:rFonts w:asciiTheme="minorBidi" w:eastAsia="system-ui" w:hAnsiTheme="minorBidi"/>
          <w:color w:val="000000" w:themeColor="text1"/>
          <w:sz w:val="24"/>
          <w:szCs w:val="24"/>
        </w:rPr>
      </w:pPr>
      <w:r w:rsidRPr="00384818">
        <w:rPr>
          <w:rFonts w:asciiTheme="minorBidi" w:eastAsia="system-ui" w:hAnsiTheme="minorBidi"/>
          <w:color w:val="000000" w:themeColor="text1"/>
          <w:sz w:val="24"/>
          <w:szCs w:val="24"/>
        </w:rPr>
        <w:t>Fredricks, J. A., Blumenfeld, P. C</w:t>
      </w:r>
      <w:r w:rsidR="000A7F0D" w:rsidRPr="000A7F0D">
        <w:rPr>
          <w:rFonts w:asciiTheme="minorBidi" w:eastAsia="system-ui" w:hAnsiTheme="minorBidi"/>
          <w:color w:val="000000" w:themeColor="text1"/>
          <w:sz w:val="24"/>
          <w:szCs w:val="24"/>
        </w:rPr>
        <w:t xml:space="preserve"> and</w:t>
      </w:r>
      <w:r w:rsidRPr="00384818">
        <w:rPr>
          <w:rFonts w:asciiTheme="minorBidi" w:eastAsia="system-ui" w:hAnsiTheme="minorBidi"/>
          <w:color w:val="000000" w:themeColor="text1"/>
          <w:sz w:val="24"/>
          <w:szCs w:val="24"/>
        </w:rPr>
        <w:t xml:space="preserve"> Paris, A. H. (1994). </w:t>
      </w:r>
      <w:r w:rsidR="000A7F0D" w:rsidRPr="000A7F0D">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School engagement: Potential of the concept, state of the evidence</w:t>
      </w:r>
      <w:r w:rsidR="000A7F0D" w:rsidRPr="000A7F0D">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 xml:space="preserve">. </w:t>
      </w:r>
      <w:r w:rsidRPr="00384818">
        <w:rPr>
          <w:rFonts w:asciiTheme="minorBidi" w:eastAsia="system-ui" w:hAnsiTheme="minorBidi"/>
          <w:i/>
          <w:iCs/>
          <w:color w:val="000000" w:themeColor="text1"/>
          <w:sz w:val="24"/>
          <w:szCs w:val="24"/>
        </w:rPr>
        <w:t>Review of Educational Research,</w:t>
      </w:r>
      <w:r w:rsidRPr="00384818">
        <w:rPr>
          <w:rFonts w:asciiTheme="minorBidi" w:eastAsia="system-ui" w:hAnsiTheme="minorBidi"/>
          <w:color w:val="000000" w:themeColor="text1"/>
          <w:sz w:val="24"/>
          <w:szCs w:val="24"/>
        </w:rPr>
        <w:t xml:space="preserve"> 64(1), 59–109.</w:t>
      </w:r>
    </w:p>
    <w:p w14:paraId="52FA3C60" w14:textId="58484591" w:rsidR="00021535" w:rsidRPr="00C662EF" w:rsidRDefault="00021535" w:rsidP="00FC5CBE">
      <w:pPr>
        <w:spacing w:line="240" w:lineRule="auto"/>
        <w:ind w:left="680" w:hanging="720"/>
        <w:rPr>
          <w:rFonts w:asciiTheme="minorBidi" w:eastAsia="system-ui" w:hAnsiTheme="minorBidi"/>
          <w:color w:val="000000" w:themeColor="text1"/>
          <w:sz w:val="24"/>
          <w:szCs w:val="24"/>
        </w:rPr>
      </w:pPr>
      <w:r w:rsidRPr="00C52876">
        <w:rPr>
          <w:rFonts w:asciiTheme="minorBidi" w:eastAsia="system-ui" w:hAnsiTheme="minorBidi"/>
          <w:color w:val="000000" w:themeColor="text1"/>
          <w:sz w:val="24"/>
          <w:szCs w:val="24"/>
        </w:rPr>
        <w:t xml:space="preserve">Fullan, M. (2013). </w:t>
      </w:r>
      <w:r w:rsidRPr="00C52876">
        <w:rPr>
          <w:rFonts w:asciiTheme="minorBidi" w:eastAsia="system-ui" w:hAnsiTheme="minorBidi"/>
          <w:i/>
          <w:iCs/>
          <w:color w:val="000000" w:themeColor="text1"/>
          <w:sz w:val="24"/>
          <w:szCs w:val="24"/>
        </w:rPr>
        <w:t xml:space="preserve">Stratosphere: Integrating Technology, Pedagogy, and Change </w:t>
      </w:r>
      <w:r w:rsidRPr="00C662EF">
        <w:rPr>
          <w:rFonts w:asciiTheme="minorBidi" w:eastAsia="system-ui" w:hAnsiTheme="minorBidi"/>
          <w:i/>
          <w:iCs/>
          <w:color w:val="000000" w:themeColor="text1"/>
          <w:sz w:val="24"/>
          <w:szCs w:val="24"/>
        </w:rPr>
        <w:t>Knowledge</w:t>
      </w:r>
      <w:r w:rsidRPr="00C662EF">
        <w:rPr>
          <w:rFonts w:asciiTheme="minorBidi" w:eastAsia="system-ui" w:hAnsiTheme="minorBidi"/>
          <w:color w:val="000000" w:themeColor="text1"/>
          <w:sz w:val="24"/>
          <w:szCs w:val="24"/>
        </w:rPr>
        <w:t xml:space="preserve">. </w:t>
      </w:r>
      <w:r w:rsidR="00C52876" w:rsidRPr="00C662EF">
        <w:rPr>
          <w:rFonts w:asciiTheme="minorBidi" w:eastAsia="system-ui" w:hAnsiTheme="minorBidi"/>
          <w:color w:val="000000" w:themeColor="text1"/>
          <w:sz w:val="24"/>
          <w:szCs w:val="24"/>
        </w:rPr>
        <w:t xml:space="preserve">London: </w:t>
      </w:r>
      <w:r w:rsidRPr="00C662EF">
        <w:rPr>
          <w:rFonts w:asciiTheme="minorBidi" w:eastAsia="system-ui" w:hAnsiTheme="minorBidi"/>
          <w:color w:val="000000" w:themeColor="text1"/>
          <w:sz w:val="24"/>
          <w:szCs w:val="24"/>
        </w:rPr>
        <w:t>Pearson.</w:t>
      </w:r>
    </w:p>
    <w:p w14:paraId="64EB1693" w14:textId="735B0EB4" w:rsidR="00021535" w:rsidRPr="00C662EF" w:rsidRDefault="00021535" w:rsidP="00FC5CBE">
      <w:pPr>
        <w:spacing w:line="240" w:lineRule="auto"/>
        <w:ind w:left="680" w:hanging="720"/>
        <w:rPr>
          <w:rFonts w:asciiTheme="minorBidi" w:eastAsia="system-ui" w:hAnsiTheme="minorBidi"/>
          <w:color w:val="000000" w:themeColor="text1"/>
          <w:sz w:val="24"/>
          <w:szCs w:val="24"/>
        </w:rPr>
      </w:pPr>
      <w:r w:rsidRPr="00C662EF">
        <w:rPr>
          <w:rFonts w:asciiTheme="minorBidi" w:eastAsia="system-ui" w:hAnsiTheme="minorBidi"/>
          <w:color w:val="000000" w:themeColor="text1"/>
          <w:sz w:val="24"/>
          <w:szCs w:val="24"/>
        </w:rPr>
        <w:t>Garrison, D. R</w:t>
      </w:r>
      <w:r w:rsidR="00C52876" w:rsidRPr="00C662EF">
        <w:rPr>
          <w:rFonts w:asciiTheme="minorBidi" w:eastAsia="system-ui" w:hAnsiTheme="minorBidi"/>
          <w:color w:val="000000" w:themeColor="text1"/>
          <w:sz w:val="24"/>
          <w:szCs w:val="24"/>
        </w:rPr>
        <w:t xml:space="preserve"> and </w:t>
      </w:r>
      <w:r w:rsidRPr="00C662EF">
        <w:rPr>
          <w:rFonts w:asciiTheme="minorBidi" w:eastAsia="system-ui" w:hAnsiTheme="minorBidi"/>
          <w:color w:val="000000" w:themeColor="text1"/>
          <w:sz w:val="24"/>
          <w:szCs w:val="24"/>
        </w:rPr>
        <w:t xml:space="preserve">Vaughan, N. D. (2008). </w:t>
      </w:r>
      <w:r w:rsidRPr="00C662EF">
        <w:rPr>
          <w:rFonts w:asciiTheme="minorBidi" w:eastAsia="system-ui" w:hAnsiTheme="minorBidi"/>
          <w:i/>
          <w:iCs/>
          <w:color w:val="000000" w:themeColor="text1"/>
          <w:sz w:val="24"/>
          <w:szCs w:val="24"/>
        </w:rPr>
        <w:t xml:space="preserve">Blended learning in higher education: Framework, principles, and guidelines. </w:t>
      </w:r>
      <w:r w:rsidR="00C662EF" w:rsidRPr="00C662EF">
        <w:rPr>
          <w:rFonts w:asciiTheme="minorBidi" w:eastAsia="system-ui" w:hAnsiTheme="minorBidi"/>
          <w:color w:val="000000" w:themeColor="text1"/>
          <w:sz w:val="24"/>
          <w:szCs w:val="24"/>
        </w:rPr>
        <w:t xml:space="preserve">San Francisco: </w:t>
      </w:r>
      <w:r w:rsidRPr="00C662EF">
        <w:rPr>
          <w:rFonts w:asciiTheme="minorBidi" w:eastAsia="system-ui" w:hAnsiTheme="minorBidi"/>
          <w:color w:val="000000" w:themeColor="text1"/>
          <w:sz w:val="24"/>
          <w:szCs w:val="24"/>
        </w:rPr>
        <w:t>John Wiley &amp; Sons.</w:t>
      </w:r>
    </w:p>
    <w:p w14:paraId="29CDEE3B" w14:textId="6E087621" w:rsidR="00021535" w:rsidRPr="00C662EF" w:rsidRDefault="00021535" w:rsidP="00FC5CBE">
      <w:pPr>
        <w:spacing w:line="240" w:lineRule="auto"/>
        <w:ind w:left="680" w:hanging="720"/>
        <w:rPr>
          <w:rFonts w:asciiTheme="minorBidi" w:eastAsia="system-ui" w:hAnsiTheme="minorBidi"/>
          <w:color w:val="000000" w:themeColor="text1"/>
          <w:sz w:val="24"/>
          <w:szCs w:val="24"/>
        </w:rPr>
      </w:pPr>
      <w:r w:rsidRPr="00C662EF">
        <w:rPr>
          <w:rFonts w:asciiTheme="minorBidi" w:eastAsia="system-ui" w:hAnsiTheme="minorBidi"/>
          <w:color w:val="000000" w:themeColor="text1"/>
          <w:sz w:val="24"/>
          <w:szCs w:val="24"/>
        </w:rPr>
        <w:t xml:space="preserve">Goudeau, S., et al. (2021). </w:t>
      </w:r>
      <w:r w:rsidR="00C662EF" w:rsidRPr="00C662EF">
        <w:rPr>
          <w:rFonts w:asciiTheme="minorBidi" w:eastAsia="system-ui" w:hAnsiTheme="minorBidi"/>
          <w:color w:val="000000" w:themeColor="text1"/>
          <w:sz w:val="24"/>
          <w:szCs w:val="24"/>
        </w:rPr>
        <w:t>‘</w:t>
      </w:r>
      <w:r w:rsidRPr="00C662EF">
        <w:rPr>
          <w:rFonts w:asciiTheme="minorBidi" w:eastAsia="system-ui" w:hAnsiTheme="minorBidi"/>
          <w:color w:val="000000" w:themeColor="text1"/>
          <w:sz w:val="24"/>
          <w:szCs w:val="24"/>
        </w:rPr>
        <w:t>Why lockdown and distance learning during the COVID-19 pandemic are likely to increase the social class achievement gap</w:t>
      </w:r>
      <w:r w:rsidR="00C662EF" w:rsidRPr="00C662EF">
        <w:rPr>
          <w:rFonts w:asciiTheme="minorBidi" w:eastAsia="system-ui" w:hAnsiTheme="minorBidi"/>
          <w:color w:val="000000" w:themeColor="text1"/>
          <w:sz w:val="24"/>
          <w:szCs w:val="24"/>
        </w:rPr>
        <w:t>’</w:t>
      </w:r>
      <w:r w:rsidRPr="00C662EF">
        <w:rPr>
          <w:rFonts w:asciiTheme="minorBidi" w:eastAsia="system-ui" w:hAnsiTheme="minorBidi"/>
          <w:color w:val="000000" w:themeColor="text1"/>
          <w:sz w:val="24"/>
          <w:szCs w:val="24"/>
        </w:rPr>
        <w:t xml:space="preserve">. </w:t>
      </w:r>
      <w:r w:rsidRPr="00C662EF">
        <w:rPr>
          <w:rFonts w:asciiTheme="minorBidi" w:eastAsia="system-ui" w:hAnsiTheme="minorBidi"/>
          <w:i/>
          <w:iCs/>
          <w:color w:val="000000" w:themeColor="text1"/>
          <w:sz w:val="24"/>
          <w:szCs w:val="24"/>
        </w:rPr>
        <w:t>Nature Human Behaviour,</w:t>
      </w:r>
      <w:r w:rsidRPr="00C662EF">
        <w:rPr>
          <w:rFonts w:asciiTheme="minorBidi" w:eastAsia="system-ui" w:hAnsiTheme="minorBidi"/>
          <w:color w:val="000000" w:themeColor="text1"/>
          <w:sz w:val="24"/>
          <w:szCs w:val="24"/>
        </w:rPr>
        <w:t xml:space="preserve"> 5, 1273.</w:t>
      </w:r>
    </w:p>
    <w:p w14:paraId="5C390554" w14:textId="6B5F4DA4" w:rsidR="00021535" w:rsidRPr="00C662EF" w:rsidRDefault="00021535" w:rsidP="00FC5CBE">
      <w:pPr>
        <w:spacing w:line="240" w:lineRule="auto"/>
        <w:ind w:left="680" w:hanging="720"/>
        <w:rPr>
          <w:rFonts w:asciiTheme="minorBidi" w:eastAsia="system-ui" w:hAnsiTheme="minorBidi"/>
          <w:color w:val="000000" w:themeColor="text1"/>
          <w:sz w:val="24"/>
          <w:szCs w:val="24"/>
        </w:rPr>
      </w:pPr>
      <w:r w:rsidRPr="00C662EF">
        <w:rPr>
          <w:rFonts w:asciiTheme="minorBidi" w:eastAsia="system-ui" w:hAnsiTheme="minorBidi"/>
          <w:color w:val="000000" w:themeColor="text1"/>
          <w:sz w:val="24"/>
          <w:szCs w:val="24"/>
          <w:lang w:val="da-DK"/>
        </w:rPr>
        <w:t>Graf, S., Liu, T. C</w:t>
      </w:r>
      <w:r w:rsidR="00C662EF" w:rsidRPr="00C662EF">
        <w:rPr>
          <w:rFonts w:asciiTheme="minorBidi" w:eastAsia="system-ui" w:hAnsiTheme="minorBidi"/>
          <w:color w:val="000000" w:themeColor="text1"/>
          <w:sz w:val="24"/>
          <w:szCs w:val="24"/>
          <w:lang w:val="da-DK"/>
        </w:rPr>
        <w:t xml:space="preserve"> and </w:t>
      </w:r>
      <w:r w:rsidRPr="00C662EF">
        <w:rPr>
          <w:rFonts w:asciiTheme="minorBidi" w:eastAsia="system-ui" w:hAnsiTheme="minorBidi"/>
          <w:color w:val="000000" w:themeColor="text1"/>
          <w:sz w:val="24"/>
          <w:szCs w:val="24"/>
          <w:lang w:val="da-DK"/>
        </w:rPr>
        <w:t xml:space="preserve">Kinshuk. </w:t>
      </w:r>
      <w:r w:rsidRPr="00C662EF">
        <w:rPr>
          <w:rFonts w:asciiTheme="minorBidi" w:eastAsia="system-ui" w:hAnsiTheme="minorBidi"/>
          <w:color w:val="000000" w:themeColor="text1"/>
          <w:sz w:val="24"/>
          <w:szCs w:val="24"/>
        </w:rPr>
        <w:t xml:space="preserve">(2009). </w:t>
      </w:r>
      <w:r w:rsidR="00C662EF" w:rsidRPr="00C662EF">
        <w:rPr>
          <w:rFonts w:asciiTheme="minorBidi" w:eastAsia="system-ui" w:hAnsiTheme="minorBidi"/>
          <w:color w:val="000000" w:themeColor="text1"/>
          <w:sz w:val="24"/>
          <w:szCs w:val="24"/>
        </w:rPr>
        <w:t>‘</w:t>
      </w:r>
      <w:r w:rsidRPr="00C662EF">
        <w:rPr>
          <w:rFonts w:asciiTheme="minorBidi" w:eastAsia="system-ui" w:hAnsiTheme="minorBidi"/>
          <w:color w:val="000000" w:themeColor="text1"/>
          <w:sz w:val="24"/>
          <w:szCs w:val="24"/>
        </w:rPr>
        <w:t>Analysis of learners' navigational behavior and their learning styles in an online course.</w:t>
      </w:r>
      <w:r w:rsidR="00C662EF" w:rsidRPr="00C662EF">
        <w:rPr>
          <w:rFonts w:asciiTheme="minorBidi" w:eastAsia="system-ui" w:hAnsiTheme="minorBidi"/>
          <w:color w:val="000000" w:themeColor="text1"/>
          <w:sz w:val="24"/>
          <w:szCs w:val="24"/>
        </w:rPr>
        <w:t>’</w:t>
      </w:r>
      <w:r w:rsidRPr="00C662EF">
        <w:rPr>
          <w:rFonts w:asciiTheme="minorBidi" w:eastAsia="system-ui" w:hAnsiTheme="minorBidi"/>
          <w:color w:val="000000" w:themeColor="text1"/>
          <w:sz w:val="24"/>
          <w:szCs w:val="24"/>
        </w:rPr>
        <w:t xml:space="preserve"> </w:t>
      </w:r>
      <w:r w:rsidRPr="00C662EF">
        <w:rPr>
          <w:rFonts w:asciiTheme="minorBidi" w:eastAsia="system-ui" w:hAnsiTheme="minorBidi"/>
          <w:i/>
          <w:iCs/>
          <w:color w:val="000000" w:themeColor="text1"/>
          <w:sz w:val="24"/>
          <w:szCs w:val="24"/>
        </w:rPr>
        <w:t>Journal of Computer Assisted Learning</w:t>
      </w:r>
      <w:r w:rsidRPr="00C662EF">
        <w:rPr>
          <w:rFonts w:asciiTheme="minorBidi" w:eastAsia="system-ui" w:hAnsiTheme="minorBidi"/>
          <w:color w:val="000000" w:themeColor="text1"/>
          <w:sz w:val="24"/>
          <w:szCs w:val="24"/>
        </w:rPr>
        <w:t>, 25(1), 71-82.</w:t>
      </w:r>
    </w:p>
    <w:p w14:paraId="128E54B0" w14:textId="7AAA3912" w:rsidR="00021535" w:rsidRPr="00D31407" w:rsidRDefault="00021535" w:rsidP="00FC5CBE">
      <w:pPr>
        <w:spacing w:line="240" w:lineRule="auto"/>
        <w:ind w:left="680" w:hanging="720"/>
        <w:rPr>
          <w:rFonts w:asciiTheme="minorBidi" w:eastAsia="system-ui" w:hAnsiTheme="minorBidi"/>
          <w:color w:val="000000" w:themeColor="text1"/>
          <w:sz w:val="24"/>
          <w:szCs w:val="24"/>
        </w:rPr>
      </w:pPr>
      <w:r w:rsidRPr="00D31407">
        <w:rPr>
          <w:rFonts w:asciiTheme="minorBidi" w:eastAsia="system-ui" w:hAnsiTheme="minorBidi"/>
          <w:color w:val="000000" w:themeColor="text1"/>
          <w:sz w:val="24"/>
          <w:szCs w:val="24"/>
        </w:rPr>
        <w:t xml:space="preserve">Graham, C. R. (2013). ‘Emerging Practice and Research in Blended Learning’. In M. G. Moore (Ed.), </w:t>
      </w:r>
      <w:r w:rsidRPr="00D31407">
        <w:rPr>
          <w:rFonts w:asciiTheme="minorBidi" w:eastAsia="system-ui" w:hAnsiTheme="minorBidi"/>
          <w:i/>
          <w:iCs/>
          <w:color w:val="000000" w:themeColor="text1"/>
          <w:sz w:val="24"/>
          <w:szCs w:val="24"/>
        </w:rPr>
        <w:t>Handbook of Distance Education</w:t>
      </w:r>
      <w:r w:rsidR="00D31407" w:rsidRPr="00D31407">
        <w:rPr>
          <w:rFonts w:asciiTheme="minorBidi" w:eastAsia="system-ui" w:hAnsiTheme="minorBidi"/>
          <w:color w:val="000000" w:themeColor="text1"/>
          <w:sz w:val="24"/>
          <w:szCs w:val="24"/>
        </w:rPr>
        <w:t xml:space="preserve">, </w:t>
      </w:r>
      <w:r w:rsidRPr="00D31407">
        <w:rPr>
          <w:rFonts w:asciiTheme="minorBidi" w:eastAsia="system-ui" w:hAnsiTheme="minorBidi"/>
          <w:color w:val="000000" w:themeColor="text1"/>
          <w:sz w:val="24"/>
          <w:szCs w:val="24"/>
        </w:rPr>
        <w:t>3rd ed</w:t>
      </w:r>
      <w:r w:rsidR="00D31407" w:rsidRPr="00D31407">
        <w:rPr>
          <w:rFonts w:asciiTheme="minorBidi" w:eastAsia="system-ui" w:hAnsiTheme="minorBidi"/>
          <w:color w:val="000000" w:themeColor="text1"/>
          <w:sz w:val="24"/>
          <w:szCs w:val="24"/>
        </w:rPr>
        <w:t>n</w:t>
      </w:r>
      <w:r w:rsidRPr="00D31407">
        <w:rPr>
          <w:rFonts w:asciiTheme="minorBidi" w:eastAsia="system-ui" w:hAnsiTheme="minorBidi"/>
          <w:color w:val="000000" w:themeColor="text1"/>
          <w:sz w:val="24"/>
          <w:szCs w:val="24"/>
        </w:rPr>
        <w:t>, pp. 333–350</w:t>
      </w:r>
      <w:r w:rsidR="00D31407" w:rsidRPr="00D31407">
        <w:rPr>
          <w:rFonts w:asciiTheme="minorBidi" w:eastAsia="system-ui" w:hAnsiTheme="minorBidi"/>
          <w:color w:val="000000" w:themeColor="text1"/>
          <w:sz w:val="24"/>
          <w:szCs w:val="24"/>
        </w:rPr>
        <w:t xml:space="preserve">. London: </w:t>
      </w:r>
      <w:r w:rsidRPr="00D31407">
        <w:rPr>
          <w:rFonts w:asciiTheme="minorBidi" w:eastAsia="system-ui" w:hAnsiTheme="minorBidi"/>
          <w:color w:val="000000" w:themeColor="text1"/>
          <w:sz w:val="24"/>
          <w:szCs w:val="24"/>
        </w:rPr>
        <w:t>Routledge.</w:t>
      </w:r>
      <w:r w:rsidRPr="00D31407">
        <w:rPr>
          <w:rFonts w:asciiTheme="minorBidi" w:eastAsia="system-ui" w:hAnsiTheme="minorBidi"/>
          <w:color w:val="000000" w:themeColor="text1"/>
          <w:sz w:val="24"/>
          <w:szCs w:val="24"/>
          <w:u w:val="single"/>
        </w:rPr>
        <w:t xml:space="preserve"> </w:t>
      </w:r>
    </w:p>
    <w:p w14:paraId="7953B05C" w14:textId="77777777" w:rsidR="00021535" w:rsidRPr="00937F78" w:rsidRDefault="00021535" w:rsidP="00FC5CBE">
      <w:pPr>
        <w:spacing w:line="240" w:lineRule="auto"/>
        <w:ind w:left="680" w:hanging="720"/>
        <w:rPr>
          <w:rFonts w:asciiTheme="minorBidi" w:eastAsia="system-ui" w:hAnsiTheme="minorBidi"/>
          <w:color w:val="0D0D0D" w:themeColor="text1" w:themeTint="F2"/>
          <w:sz w:val="24"/>
          <w:szCs w:val="24"/>
        </w:rPr>
      </w:pPr>
      <w:r w:rsidRPr="00937F78">
        <w:rPr>
          <w:rFonts w:asciiTheme="minorBidi" w:eastAsia="system-ui" w:hAnsiTheme="minorBidi"/>
          <w:color w:val="0D0D0D" w:themeColor="text1" w:themeTint="F2"/>
          <w:sz w:val="24"/>
          <w:szCs w:val="24"/>
        </w:rPr>
        <w:t>Haleem, A., Javaid, M., Qadri, M. A and Suman, R. (2022) ‘Understanding the role of digital technologies in education: A review’</w:t>
      </w:r>
      <w:r w:rsidRPr="00937F78">
        <w:rPr>
          <w:rFonts w:asciiTheme="minorBidi" w:eastAsia="system-ui" w:hAnsiTheme="minorBidi"/>
          <w:i/>
          <w:iCs/>
          <w:color w:val="000000" w:themeColor="text1"/>
          <w:sz w:val="24"/>
          <w:szCs w:val="24"/>
        </w:rPr>
        <w:t xml:space="preserve">, </w:t>
      </w:r>
      <w:hyperlink r:id="rId13" w:tooltip="Go to Sustainable Operations and Computers on ScienceDirect" w:history="1">
        <w:r w:rsidRPr="00937F78">
          <w:rPr>
            <w:rStyle w:val="Hyperlink"/>
            <w:rFonts w:asciiTheme="minorBidi" w:eastAsia="system-ui" w:hAnsiTheme="minorBidi"/>
            <w:i/>
            <w:iCs/>
            <w:color w:val="000000" w:themeColor="text1"/>
            <w:sz w:val="24"/>
            <w:szCs w:val="24"/>
            <w:u w:val="none"/>
          </w:rPr>
          <w:t>Sustainable Operations and Computers</w:t>
        </w:r>
      </w:hyperlink>
      <w:r w:rsidRPr="00937F78">
        <w:rPr>
          <w:rFonts w:asciiTheme="minorBidi" w:eastAsia="system-ui" w:hAnsiTheme="minorBidi"/>
          <w:color w:val="0D0D0D" w:themeColor="text1" w:themeTint="F2"/>
          <w:sz w:val="24"/>
          <w:szCs w:val="24"/>
        </w:rPr>
        <w:t xml:space="preserve">, 3, pp. 275-285. DOI: </w:t>
      </w:r>
      <w:hyperlink r:id="rId14" w:history="1">
        <w:r w:rsidRPr="00937F78">
          <w:rPr>
            <w:rStyle w:val="Hyperlink"/>
            <w:rFonts w:asciiTheme="minorBidi" w:eastAsia="system-ui" w:hAnsiTheme="minorBidi"/>
            <w:sz w:val="24"/>
            <w:szCs w:val="24"/>
          </w:rPr>
          <w:t>https://doi.org/10.1016/j.susoc.2022.05.004</w:t>
        </w:r>
      </w:hyperlink>
      <w:r w:rsidRPr="00937F78">
        <w:rPr>
          <w:rFonts w:asciiTheme="minorBidi" w:eastAsia="system-ui" w:hAnsiTheme="minorBidi"/>
          <w:color w:val="0D0D0D" w:themeColor="text1" w:themeTint="F2"/>
          <w:sz w:val="24"/>
          <w:szCs w:val="24"/>
        </w:rPr>
        <w:t xml:space="preserve"> </w:t>
      </w:r>
    </w:p>
    <w:p w14:paraId="1AA1C41E" w14:textId="77777777" w:rsidR="00021535" w:rsidRPr="00937F78" w:rsidRDefault="00021535" w:rsidP="00FC5CBE">
      <w:pPr>
        <w:spacing w:line="240" w:lineRule="auto"/>
        <w:ind w:left="680" w:hanging="720"/>
        <w:rPr>
          <w:rFonts w:asciiTheme="minorBidi" w:eastAsia="system-ui" w:hAnsiTheme="minorBidi"/>
          <w:color w:val="0D0D0D" w:themeColor="text1" w:themeTint="F2"/>
          <w:sz w:val="24"/>
          <w:szCs w:val="24"/>
        </w:rPr>
      </w:pPr>
      <w:r w:rsidRPr="00937F78">
        <w:rPr>
          <w:rFonts w:asciiTheme="minorBidi" w:eastAsia="system-ui" w:hAnsiTheme="minorBidi"/>
          <w:color w:val="0D0D0D" w:themeColor="text1" w:themeTint="F2"/>
          <w:sz w:val="24"/>
          <w:szCs w:val="24"/>
        </w:rPr>
        <w:t xml:space="preserve">Hamer, J and Smith, Jenny. (2021). </w:t>
      </w:r>
      <w:r w:rsidRPr="00A05A9D">
        <w:rPr>
          <w:rFonts w:asciiTheme="minorBidi" w:eastAsia="system-ui" w:hAnsiTheme="minorBidi"/>
          <w:i/>
          <w:iCs/>
          <w:color w:val="0D0D0D" w:themeColor="text1" w:themeTint="F2"/>
          <w:sz w:val="24"/>
          <w:szCs w:val="24"/>
        </w:rPr>
        <w:t>Online and blended delivery in Further Education: A literature review into pedagogy, including digital forms of assessment</w:t>
      </w:r>
      <w:r w:rsidRPr="00937F78">
        <w:rPr>
          <w:rFonts w:asciiTheme="minorBidi" w:eastAsia="system-ui" w:hAnsiTheme="minorBidi"/>
          <w:color w:val="0D0D0D" w:themeColor="text1" w:themeTint="F2"/>
          <w:sz w:val="24"/>
          <w:szCs w:val="24"/>
        </w:rPr>
        <w:t xml:space="preserve">. Available at: </w:t>
      </w:r>
      <w:hyperlink r:id="rId15" w:history="1">
        <w:r w:rsidRPr="00937F78">
          <w:rPr>
            <w:rStyle w:val="Hyperlink"/>
            <w:rFonts w:asciiTheme="minorBidi" w:eastAsia="system-ui" w:hAnsiTheme="minorBidi"/>
            <w:sz w:val="24"/>
            <w:szCs w:val="24"/>
          </w:rPr>
          <w:t>https://assets.publishing.service.gov.uk/media/60d44b09d3bf7f4bd11a249f/online_and_blended_delivery_in_further_education.pdf</w:t>
        </w:r>
      </w:hyperlink>
      <w:r w:rsidRPr="00937F78">
        <w:rPr>
          <w:rFonts w:asciiTheme="minorBidi" w:eastAsia="system-ui" w:hAnsiTheme="minorBidi"/>
          <w:color w:val="0D0D0D" w:themeColor="text1" w:themeTint="F2"/>
          <w:sz w:val="24"/>
          <w:szCs w:val="24"/>
        </w:rPr>
        <w:t xml:space="preserve"> (</w:t>
      </w:r>
      <w:r w:rsidRPr="00937F78">
        <w:rPr>
          <w:rFonts w:asciiTheme="minorBidi" w:hAnsiTheme="minorBidi"/>
          <w:sz w:val="24"/>
          <w:szCs w:val="24"/>
        </w:rPr>
        <w:t>Accessed: 5 March 2024)</w:t>
      </w:r>
    </w:p>
    <w:p w14:paraId="4AED6EC4"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Hargittai, E and Walejko, G. (2008). ‘The participation divide: Content creation and sharing in the digital age.’ </w:t>
      </w:r>
      <w:r w:rsidRPr="00A05A9D">
        <w:rPr>
          <w:rFonts w:asciiTheme="minorBidi" w:eastAsia="system-ui" w:hAnsiTheme="minorBidi"/>
          <w:i/>
          <w:iCs/>
          <w:color w:val="000000" w:themeColor="text1"/>
          <w:sz w:val="24"/>
          <w:szCs w:val="24"/>
        </w:rPr>
        <w:t>Information, Communication &amp; Society,</w:t>
      </w:r>
      <w:r w:rsidRPr="0099000F">
        <w:rPr>
          <w:rFonts w:asciiTheme="minorBidi" w:eastAsia="system-ui" w:hAnsiTheme="minorBidi"/>
          <w:color w:val="000000" w:themeColor="text1"/>
          <w:sz w:val="24"/>
          <w:szCs w:val="24"/>
        </w:rPr>
        <w:t xml:space="preserve"> 11(2), 239–256.</w:t>
      </w:r>
    </w:p>
    <w:p w14:paraId="11BF3411" w14:textId="662787FF" w:rsidR="00021535" w:rsidRPr="00EF65CA" w:rsidRDefault="00021535" w:rsidP="00FC5CBE">
      <w:pPr>
        <w:spacing w:line="240" w:lineRule="auto"/>
        <w:ind w:left="680" w:hanging="720"/>
        <w:rPr>
          <w:rFonts w:asciiTheme="minorBidi" w:eastAsia="system-ui" w:hAnsiTheme="minorBidi"/>
          <w:color w:val="000000" w:themeColor="text1"/>
          <w:sz w:val="24"/>
          <w:szCs w:val="24"/>
        </w:rPr>
      </w:pPr>
      <w:r w:rsidRPr="00EF65CA">
        <w:rPr>
          <w:rFonts w:asciiTheme="minorBidi" w:eastAsia="system-ui" w:hAnsiTheme="minorBidi"/>
          <w:color w:val="000000" w:themeColor="text1"/>
          <w:sz w:val="24"/>
          <w:szCs w:val="24"/>
        </w:rPr>
        <w:t>Hattie, J</w:t>
      </w:r>
      <w:r w:rsidR="00D31407" w:rsidRPr="00EF65CA">
        <w:rPr>
          <w:rFonts w:asciiTheme="minorBidi" w:eastAsia="system-ui" w:hAnsiTheme="minorBidi"/>
          <w:color w:val="000000" w:themeColor="text1"/>
          <w:sz w:val="24"/>
          <w:szCs w:val="24"/>
        </w:rPr>
        <w:t xml:space="preserve"> and</w:t>
      </w:r>
      <w:r w:rsidRPr="00EF65CA">
        <w:rPr>
          <w:rFonts w:asciiTheme="minorBidi" w:eastAsia="system-ui" w:hAnsiTheme="minorBidi"/>
          <w:color w:val="000000" w:themeColor="text1"/>
          <w:sz w:val="24"/>
          <w:szCs w:val="24"/>
        </w:rPr>
        <w:t xml:space="preserve"> Timperley, H. (2007). </w:t>
      </w:r>
      <w:r w:rsidR="00D31407" w:rsidRPr="00EF65CA">
        <w:rPr>
          <w:rFonts w:asciiTheme="minorBidi" w:eastAsia="system-ui" w:hAnsiTheme="minorBidi"/>
          <w:color w:val="000000" w:themeColor="text1"/>
          <w:sz w:val="24"/>
          <w:szCs w:val="24"/>
        </w:rPr>
        <w:t>‘</w:t>
      </w:r>
      <w:r w:rsidRPr="00EF65CA">
        <w:rPr>
          <w:rFonts w:asciiTheme="minorBidi" w:eastAsia="system-ui" w:hAnsiTheme="minorBidi"/>
          <w:color w:val="000000" w:themeColor="text1"/>
          <w:sz w:val="24"/>
          <w:szCs w:val="24"/>
        </w:rPr>
        <w:t>The power of feedback</w:t>
      </w:r>
      <w:r w:rsidR="00D31407" w:rsidRPr="00EF65CA">
        <w:rPr>
          <w:rFonts w:asciiTheme="minorBidi" w:eastAsia="system-ui" w:hAnsiTheme="minorBidi"/>
          <w:color w:val="000000" w:themeColor="text1"/>
          <w:sz w:val="24"/>
          <w:szCs w:val="24"/>
        </w:rPr>
        <w:t>’</w:t>
      </w:r>
      <w:r w:rsidRPr="00EF65CA">
        <w:rPr>
          <w:rFonts w:asciiTheme="minorBidi" w:eastAsia="system-ui" w:hAnsiTheme="minorBidi"/>
          <w:color w:val="000000" w:themeColor="text1"/>
          <w:sz w:val="24"/>
          <w:szCs w:val="24"/>
        </w:rPr>
        <w:t xml:space="preserve">. </w:t>
      </w:r>
      <w:r w:rsidRPr="00EF65CA">
        <w:rPr>
          <w:rFonts w:asciiTheme="minorBidi" w:eastAsia="system-ui" w:hAnsiTheme="minorBidi"/>
          <w:i/>
          <w:iCs/>
          <w:color w:val="000000" w:themeColor="text1"/>
          <w:sz w:val="24"/>
          <w:szCs w:val="24"/>
        </w:rPr>
        <w:t>Review of Educational Research,</w:t>
      </w:r>
      <w:r w:rsidRPr="00EF65CA">
        <w:rPr>
          <w:rFonts w:asciiTheme="minorBidi" w:eastAsia="system-ui" w:hAnsiTheme="minorBidi"/>
          <w:color w:val="000000" w:themeColor="text1"/>
          <w:sz w:val="24"/>
          <w:szCs w:val="24"/>
        </w:rPr>
        <w:t xml:space="preserve"> 77(1), 81-112.</w:t>
      </w:r>
    </w:p>
    <w:p w14:paraId="6F3D2200" w14:textId="0813D961" w:rsidR="00021535" w:rsidRPr="00EF65CA" w:rsidRDefault="00021535" w:rsidP="00FC5CBE">
      <w:pPr>
        <w:spacing w:line="240" w:lineRule="auto"/>
        <w:ind w:left="680" w:hanging="720"/>
        <w:rPr>
          <w:rFonts w:asciiTheme="minorBidi" w:eastAsia="system-ui" w:hAnsiTheme="minorBidi"/>
          <w:color w:val="000000" w:themeColor="text1"/>
          <w:sz w:val="24"/>
          <w:szCs w:val="24"/>
        </w:rPr>
      </w:pPr>
      <w:r w:rsidRPr="00EF65CA">
        <w:rPr>
          <w:rFonts w:asciiTheme="minorBidi" w:eastAsia="system-ui" w:hAnsiTheme="minorBidi"/>
          <w:color w:val="000000" w:themeColor="text1"/>
          <w:sz w:val="24"/>
          <w:szCs w:val="24"/>
        </w:rPr>
        <w:lastRenderedPageBreak/>
        <w:t>Hew, K. F</w:t>
      </w:r>
      <w:r w:rsidR="00EF65CA" w:rsidRPr="00EF65CA">
        <w:rPr>
          <w:rFonts w:asciiTheme="minorBidi" w:eastAsia="system-ui" w:hAnsiTheme="minorBidi"/>
          <w:color w:val="000000" w:themeColor="text1"/>
          <w:sz w:val="24"/>
          <w:szCs w:val="24"/>
        </w:rPr>
        <w:t xml:space="preserve"> and</w:t>
      </w:r>
      <w:r w:rsidRPr="00EF65CA">
        <w:rPr>
          <w:rFonts w:asciiTheme="minorBidi" w:eastAsia="system-ui" w:hAnsiTheme="minorBidi"/>
          <w:color w:val="000000" w:themeColor="text1"/>
          <w:sz w:val="24"/>
          <w:szCs w:val="24"/>
        </w:rPr>
        <w:t xml:space="preserve"> Cheung, W. S. (2014). </w:t>
      </w:r>
      <w:r w:rsidR="00EF65CA" w:rsidRPr="00EF65CA">
        <w:rPr>
          <w:rFonts w:asciiTheme="minorBidi" w:eastAsia="system-ui" w:hAnsiTheme="minorBidi"/>
          <w:color w:val="000000" w:themeColor="text1"/>
          <w:sz w:val="24"/>
          <w:szCs w:val="24"/>
        </w:rPr>
        <w:t>‘</w:t>
      </w:r>
      <w:r w:rsidRPr="00EF65CA">
        <w:rPr>
          <w:rFonts w:asciiTheme="minorBidi" w:eastAsia="system-ui" w:hAnsiTheme="minorBidi"/>
          <w:color w:val="000000" w:themeColor="text1"/>
          <w:sz w:val="24"/>
          <w:szCs w:val="24"/>
        </w:rPr>
        <w:t>Students' and instructors' use of massive open online courses (MOOCs): Motivations and challenges.</w:t>
      </w:r>
      <w:r w:rsidR="00EF65CA" w:rsidRPr="00EF65CA">
        <w:rPr>
          <w:rFonts w:asciiTheme="minorBidi" w:eastAsia="system-ui" w:hAnsiTheme="minorBidi"/>
          <w:color w:val="000000" w:themeColor="text1"/>
          <w:sz w:val="24"/>
          <w:szCs w:val="24"/>
        </w:rPr>
        <w:t>’</w:t>
      </w:r>
      <w:r w:rsidRPr="00EF65CA">
        <w:rPr>
          <w:rFonts w:asciiTheme="minorBidi" w:eastAsia="system-ui" w:hAnsiTheme="minorBidi"/>
          <w:color w:val="000000" w:themeColor="text1"/>
          <w:sz w:val="24"/>
          <w:szCs w:val="24"/>
        </w:rPr>
        <w:t xml:space="preserve"> </w:t>
      </w:r>
      <w:r w:rsidRPr="00EF65CA">
        <w:rPr>
          <w:rFonts w:asciiTheme="minorBidi" w:eastAsia="system-ui" w:hAnsiTheme="minorBidi"/>
          <w:i/>
          <w:iCs/>
          <w:color w:val="000000" w:themeColor="text1"/>
          <w:sz w:val="24"/>
          <w:szCs w:val="24"/>
        </w:rPr>
        <w:t>Educational Research Review,</w:t>
      </w:r>
      <w:r w:rsidRPr="00EF65CA">
        <w:rPr>
          <w:rFonts w:asciiTheme="minorBidi" w:eastAsia="system-ui" w:hAnsiTheme="minorBidi"/>
          <w:color w:val="000000" w:themeColor="text1"/>
          <w:sz w:val="24"/>
          <w:szCs w:val="24"/>
        </w:rPr>
        <w:t xml:space="preserve"> 12, 45-58.</w:t>
      </w:r>
    </w:p>
    <w:p w14:paraId="174E5230" w14:textId="2C602F39" w:rsidR="00021535" w:rsidRPr="00EF65CA" w:rsidRDefault="00021535" w:rsidP="00FC5CBE">
      <w:pPr>
        <w:spacing w:line="240" w:lineRule="auto"/>
        <w:ind w:left="680" w:hanging="720"/>
        <w:rPr>
          <w:rFonts w:asciiTheme="minorBidi" w:eastAsia="system-ui" w:hAnsiTheme="minorBidi"/>
          <w:color w:val="000000" w:themeColor="text1"/>
          <w:sz w:val="24"/>
          <w:szCs w:val="24"/>
        </w:rPr>
      </w:pPr>
      <w:r w:rsidRPr="00EF65CA">
        <w:rPr>
          <w:rFonts w:asciiTheme="minorBidi" w:eastAsia="system-ui" w:hAnsiTheme="minorBidi"/>
          <w:color w:val="000000" w:themeColor="text1"/>
          <w:sz w:val="24"/>
          <w:szCs w:val="24"/>
        </w:rPr>
        <w:t>Hew, K. F</w:t>
      </w:r>
      <w:r w:rsidR="00EF65CA" w:rsidRPr="00EF65CA">
        <w:rPr>
          <w:rFonts w:asciiTheme="minorBidi" w:eastAsia="system-ui" w:hAnsiTheme="minorBidi"/>
          <w:color w:val="000000" w:themeColor="text1"/>
          <w:sz w:val="24"/>
          <w:szCs w:val="24"/>
        </w:rPr>
        <w:t xml:space="preserve"> and</w:t>
      </w:r>
      <w:r w:rsidRPr="00EF65CA">
        <w:rPr>
          <w:rFonts w:asciiTheme="minorBidi" w:eastAsia="system-ui" w:hAnsiTheme="minorBidi"/>
          <w:color w:val="000000" w:themeColor="text1"/>
          <w:sz w:val="24"/>
          <w:szCs w:val="24"/>
        </w:rPr>
        <w:t xml:space="preserve"> Cheung, W. S. (2021). ‘Students’ and instructors’ use of massive open online courses (MOOCs): Motivations and </w:t>
      </w:r>
      <w:proofErr w:type="gramStart"/>
      <w:r w:rsidRPr="00EF65CA">
        <w:rPr>
          <w:rFonts w:asciiTheme="minorBidi" w:eastAsia="system-ui" w:hAnsiTheme="minorBidi"/>
          <w:color w:val="000000" w:themeColor="text1"/>
          <w:sz w:val="24"/>
          <w:szCs w:val="24"/>
        </w:rPr>
        <w:t>challenges’</w:t>
      </w:r>
      <w:proofErr w:type="gramEnd"/>
      <w:r w:rsidRPr="00EF65CA">
        <w:rPr>
          <w:rFonts w:asciiTheme="minorBidi" w:eastAsia="system-ui" w:hAnsiTheme="minorBidi"/>
          <w:color w:val="000000" w:themeColor="text1"/>
          <w:sz w:val="24"/>
          <w:szCs w:val="24"/>
        </w:rPr>
        <w:t xml:space="preserve">. </w:t>
      </w:r>
      <w:r w:rsidRPr="00EF65CA">
        <w:rPr>
          <w:rFonts w:asciiTheme="minorBidi" w:eastAsia="system-ui" w:hAnsiTheme="minorBidi"/>
          <w:i/>
          <w:iCs/>
          <w:color w:val="000000" w:themeColor="text1"/>
          <w:sz w:val="24"/>
          <w:szCs w:val="24"/>
        </w:rPr>
        <w:t>Educational Technology Research and Development</w:t>
      </w:r>
      <w:r w:rsidRPr="00EF65CA">
        <w:rPr>
          <w:rFonts w:asciiTheme="minorBidi" w:eastAsia="system-ui" w:hAnsiTheme="minorBidi"/>
          <w:color w:val="000000" w:themeColor="text1"/>
          <w:sz w:val="24"/>
          <w:szCs w:val="24"/>
        </w:rPr>
        <w:t>, 69(2), 611-634.</w:t>
      </w:r>
    </w:p>
    <w:p w14:paraId="32B3BC67"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021535">
        <w:rPr>
          <w:rFonts w:asciiTheme="minorBidi" w:eastAsia="system-ui" w:hAnsiTheme="minorBidi"/>
          <w:color w:val="000000" w:themeColor="text1"/>
          <w:sz w:val="24"/>
          <w:szCs w:val="24"/>
          <w:lang w:val="de-DE"/>
        </w:rPr>
        <w:t xml:space="preserve">Hinrichs, S., Shonfeld, M and  Karabenick, S. A. (2017). </w:t>
      </w:r>
      <w:r w:rsidRPr="0099000F">
        <w:rPr>
          <w:rFonts w:asciiTheme="minorBidi" w:eastAsia="system-ui" w:hAnsiTheme="minorBidi"/>
          <w:color w:val="000000" w:themeColor="text1"/>
          <w:sz w:val="24"/>
          <w:szCs w:val="24"/>
        </w:rPr>
        <w:t>‘The impact of a game-based approach to learning on the motivation to learn science.’ Journal of Science Education and Technology, 26(2), 179–190. Available at: https://www.researchgate.net/publication/286615836_The_impact_of_game-based_learning_on_the_achievement_of_learning_goals_and_motivation_for_learning_mathematics_-_Literature_review (Accessed: 15 March 2024)</w:t>
      </w:r>
    </w:p>
    <w:p w14:paraId="692418EB"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Ivala, E </w:t>
      </w:r>
      <w:proofErr w:type="gramStart"/>
      <w:r w:rsidRPr="0099000F">
        <w:rPr>
          <w:rFonts w:asciiTheme="minorBidi" w:eastAsia="system-ui" w:hAnsiTheme="minorBidi"/>
          <w:color w:val="000000" w:themeColor="text1"/>
          <w:sz w:val="24"/>
          <w:szCs w:val="24"/>
        </w:rPr>
        <w:t>and  Gachago</w:t>
      </w:r>
      <w:proofErr w:type="gramEnd"/>
      <w:r w:rsidRPr="0099000F">
        <w:rPr>
          <w:rFonts w:asciiTheme="minorBidi" w:eastAsia="system-ui" w:hAnsiTheme="minorBidi"/>
          <w:color w:val="000000" w:themeColor="text1"/>
          <w:sz w:val="24"/>
          <w:szCs w:val="24"/>
        </w:rPr>
        <w:t xml:space="preserve">, D. (2012). ‘Role of emerging technologies in student learning experiences in an open distance learning context.’ </w:t>
      </w:r>
      <w:r w:rsidRPr="00A05A9D">
        <w:rPr>
          <w:rFonts w:asciiTheme="minorBidi" w:eastAsia="system-ui" w:hAnsiTheme="minorBidi"/>
          <w:i/>
          <w:iCs/>
          <w:color w:val="000000" w:themeColor="text1"/>
          <w:sz w:val="24"/>
          <w:szCs w:val="24"/>
        </w:rPr>
        <w:t xml:space="preserve">The International Review of Research in Open and Distributed Learning, </w:t>
      </w:r>
      <w:r w:rsidRPr="0099000F">
        <w:rPr>
          <w:rFonts w:asciiTheme="minorBidi" w:eastAsia="system-ui" w:hAnsiTheme="minorBidi"/>
          <w:color w:val="000000" w:themeColor="text1"/>
          <w:sz w:val="24"/>
          <w:szCs w:val="24"/>
        </w:rPr>
        <w:t>13(4), pp. 124–144.</w:t>
      </w:r>
    </w:p>
    <w:p w14:paraId="28DCDAAC" w14:textId="77777777" w:rsidR="00021535" w:rsidRPr="00EF65CA"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Johnson, A </w:t>
      </w:r>
      <w:proofErr w:type="gramStart"/>
      <w:r w:rsidRPr="0099000F">
        <w:rPr>
          <w:rFonts w:asciiTheme="minorBidi" w:eastAsia="system-ui" w:hAnsiTheme="minorBidi"/>
          <w:color w:val="000000" w:themeColor="text1"/>
          <w:sz w:val="24"/>
          <w:szCs w:val="24"/>
        </w:rPr>
        <w:t>and  Adams</w:t>
      </w:r>
      <w:proofErr w:type="gramEnd"/>
      <w:r w:rsidRPr="0099000F">
        <w:rPr>
          <w:rFonts w:asciiTheme="minorBidi" w:eastAsia="system-ui" w:hAnsiTheme="minorBidi"/>
          <w:color w:val="000000" w:themeColor="text1"/>
          <w:sz w:val="24"/>
          <w:szCs w:val="24"/>
        </w:rPr>
        <w:t xml:space="preserve">, K. (2020). ‘Enhancing student engagement through </w:t>
      </w:r>
      <w:r w:rsidRPr="00EF65CA">
        <w:rPr>
          <w:rFonts w:asciiTheme="minorBidi" w:eastAsia="system-ui" w:hAnsiTheme="minorBidi"/>
          <w:color w:val="000000" w:themeColor="text1"/>
          <w:sz w:val="24"/>
          <w:szCs w:val="24"/>
        </w:rPr>
        <w:t xml:space="preserve">effective technology interfaces.’ </w:t>
      </w:r>
      <w:r w:rsidRPr="00A05A9D">
        <w:rPr>
          <w:rFonts w:asciiTheme="minorBidi" w:eastAsia="system-ui" w:hAnsiTheme="minorBidi"/>
          <w:i/>
          <w:iCs/>
          <w:color w:val="000000" w:themeColor="text1"/>
          <w:sz w:val="24"/>
          <w:szCs w:val="24"/>
        </w:rPr>
        <w:t>International Journal of Educational Technology in Higher Education,</w:t>
      </w:r>
      <w:r w:rsidRPr="00EF65CA">
        <w:rPr>
          <w:rFonts w:asciiTheme="minorBidi" w:eastAsia="system-ui" w:hAnsiTheme="minorBidi"/>
          <w:color w:val="000000" w:themeColor="text1"/>
          <w:sz w:val="24"/>
          <w:szCs w:val="24"/>
        </w:rPr>
        <w:t xml:space="preserve"> 17(1), p. 1–18.</w:t>
      </w:r>
    </w:p>
    <w:p w14:paraId="3BBDB028" w14:textId="6AF55559" w:rsidR="00021535" w:rsidRPr="00EF65CA" w:rsidRDefault="00021535" w:rsidP="00FC5CBE">
      <w:pPr>
        <w:spacing w:line="240" w:lineRule="auto"/>
        <w:ind w:left="680" w:hanging="720"/>
        <w:rPr>
          <w:rFonts w:asciiTheme="minorBidi" w:eastAsia="system-ui" w:hAnsiTheme="minorBidi"/>
          <w:color w:val="000000" w:themeColor="text1"/>
          <w:sz w:val="24"/>
          <w:szCs w:val="24"/>
        </w:rPr>
      </w:pPr>
      <w:r w:rsidRPr="00EF65CA">
        <w:rPr>
          <w:rFonts w:asciiTheme="minorBidi" w:eastAsia="system-ui" w:hAnsiTheme="minorBidi"/>
          <w:color w:val="000000" w:themeColor="text1"/>
          <w:sz w:val="24"/>
          <w:szCs w:val="24"/>
        </w:rPr>
        <w:t>Johnson, G. M</w:t>
      </w:r>
      <w:r w:rsidR="00EF65CA" w:rsidRPr="00EF65CA">
        <w:rPr>
          <w:rFonts w:asciiTheme="minorBidi" w:eastAsia="system-ui" w:hAnsiTheme="minorBidi"/>
          <w:color w:val="000000" w:themeColor="text1"/>
          <w:sz w:val="24"/>
          <w:szCs w:val="24"/>
        </w:rPr>
        <w:t xml:space="preserve"> and</w:t>
      </w:r>
      <w:r w:rsidRPr="00EF65CA">
        <w:rPr>
          <w:rFonts w:asciiTheme="minorBidi" w:eastAsia="system-ui" w:hAnsiTheme="minorBidi"/>
          <w:color w:val="000000" w:themeColor="text1"/>
          <w:sz w:val="24"/>
          <w:szCs w:val="24"/>
        </w:rPr>
        <w:t xml:space="preserve"> Mejia, D. (2022).</w:t>
      </w:r>
      <w:r w:rsidR="00EF65CA" w:rsidRPr="00EF65CA">
        <w:rPr>
          <w:rFonts w:asciiTheme="minorBidi" w:eastAsia="system-ui" w:hAnsiTheme="minorBidi"/>
          <w:color w:val="000000" w:themeColor="text1"/>
          <w:sz w:val="24"/>
          <w:szCs w:val="24"/>
        </w:rPr>
        <w:t>’</w:t>
      </w:r>
      <w:r w:rsidRPr="00EF65CA">
        <w:rPr>
          <w:rFonts w:asciiTheme="minorBidi" w:eastAsia="system-ui" w:hAnsiTheme="minorBidi"/>
          <w:color w:val="000000" w:themeColor="text1"/>
          <w:sz w:val="24"/>
          <w:szCs w:val="24"/>
        </w:rPr>
        <w:t xml:space="preserve"> Student Engagement and Satisfaction in the Virtual Classroom: An Investigation of E-learning in Graduate Business Programs.</w:t>
      </w:r>
      <w:r w:rsidR="00EF65CA" w:rsidRPr="00EF65CA">
        <w:rPr>
          <w:rFonts w:asciiTheme="minorBidi" w:eastAsia="system-ui" w:hAnsiTheme="minorBidi"/>
          <w:color w:val="000000" w:themeColor="text1"/>
          <w:sz w:val="24"/>
          <w:szCs w:val="24"/>
        </w:rPr>
        <w:t>’</w:t>
      </w:r>
      <w:r w:rsidRPr="00EF65CA">
        <w:rPr>
          <w:rFonts w:asciiTheme="minorBidi" w:eastAsia="system-ui" w:hAnsiTheme="minorBidi"/>
          <w:color w:val="000000" w:themeColor="text1"/>
          <w:sz w:val="24"/>
          <w:szCs w:val="24"/>
        </w:rPr>
        <w:t xml:space="preserve"> </w:t>
      </w:r>
      <w:r w:rsidRPr="00EF65CA">
        <w:rPr>
          <w:rFonts w:asciiTheme="minorBidi" w:eastAsia="system-ui" w:hAnsiTheme="minorBidi"/>
          <w:i/>
          <w:iCs/>
          <w:color w:val="000000" w:themeColor="text1"/>
          <w:sz w:val="24"/>
          <w:szCs w:val="24"/>
        </w:rPr>
        <w:t>The International Journal of Management Education,</w:t>
      </w:r>
      <w:r w:rsidRPr="00EF65CA">
        <w:rPr>
          <w:rFonts w:asciiTheme="minorBidi" w:eastAsia="system-ui" w:hAnsiTheme="minorBidi"/>
          <w:color w:val="000000" w:themeColor="text1"/>
          <w:sz w:val="24"/>
          <w:szCs w:val="24"/>
        </w:rPr>
        <w:t xml:space="preserve"> 20(1), 100488.</w:t>
      </w:r>
    </w:p>
    <w:p w14:paraId="771BC6CB" w14:textId="51E25EB9" w:rsidR="00021535" w:rsidRPr="00EF65CA" w:rsidRDefault="00021535" w:rsidP="00FC5CBE">
      <w:pPr>
        <w:spacing w:line="240" w:lineRule="auto"/>
        <w:ind w:left="680" w:hanging="720"/>
        <w:rPr>
          <w:rFonts w:asciiTheme="minorBidi" w:eastAsia="system-ui" w:hAnsiTheme="minorBidi"/>
          <w:b/>
          <w:bCs/>
          <w:color w:val="000000" w:themeColor="text1"/>
          <w:sz w:val="24"/>
          <w:szCs w:val="24"/>
        </w:rPr>
      </w:pPr>
      <w:r w:rsidRPr="00EF65CA">
        <w:rPr>
          <w:rFonts w:asciiTheme="minorBidi" w:eastAsia="system-ui" w:hAnsiTheme="minorBidi"/>
          <w:color w:val="000000" w:themeColor="text1"/>
          <w:sz w:val="24"/>
          <w:szCs w:val="24"/>
        </w:rPr>
        <w:t xml:space="preserve">Johnson, L. (2018). </w:t>
      </w:r>
      <w:r w:rsidR="00EF65CA" w:rsidRPr="00EF65CA">
        <w:rPr>
          <w:rFonts w:asciiTheme="minorBidi" w:eastAsia="system-ui" w:hAnsiTheme="minorBidi"/>
          <w:color w:val="000000" w:themeColor="text1"/>
          <w:sz w:val="24"/>
          <w:szCs w:val="24"/>
        </w:rPr>
        <w:t>‘</w:t>
      </w:r>
      <w:r w:rsidRPr="00EF65CA">
        <w:rPr>
          <w:rFonts w:asciiTheme="minorBidi" w:eastAsia="system-ui" w:hAnsiTheme="minorBidi"/>
          <w:color w:val="000000" w:themeColor="text1"/>
          <w:sz w:val="24"/>
          <w:szCs w:val="24"/>
        </w:rPr>
        <w:t>Digital literacy in the age of fake news.</w:t>
      </w:r>
      <w:r w:rsidR="00EF65CA" w:rsidRPr="00EF65CA">
        <w:rPr>
          <w:rFonts w:asciiTheme="minorBidi" w:eastAsia="system-ui" w:hAnsiTheme="minorBidi"/>
          <w:color w:val="000000" w:themeColor="text1"/>
          <w:sz w:val="24"/>
          <w:szCs w:val="24"/>
        </w:rPr>
        <w:t>’</w:t>
      </w:r>
      <w:r w:rsidRPr="00EF65CA">
        <w:rPr>
          <w:rFonts w:asciiTheme="minorBidi" w:eastAsia="system-ui" w:hAnsiTheme="minorBidi"/>
          <w:color w:val="000000" w:themeColor="text1"/>
          <w:sz w:val="24"/>
          <w:szCs w:val="24"/>
        </w:rPr>
        <w:t xml:space="preserve"> </w:t>
      </w:r>
      <w:r w:rsidRPr="00EF65CA">
        <w:rPr>
          <w:rFonts w:asciiTheme="minorBidi" w:eastAsia="system-ui" w:hAnsiTheme="minorBidi"/>
          <w:i/>
          <w:iCs/>
          <w:color w:val="000000" w:themeColor="text1"/>
          <w:sz w:val="24"/>
          <w:szCs w:val="24"/>
        </w:rPr>
        <w:t>TechTrends,</w:t>
      </w:r>
      <w:r w:rsidRPr="00EF65CA">
        <w:rPr>
          <w:rFonts w:asciiTheme="minorBidi" w:eastAsia="system-ui" w:hAnsiTheme="minorBidi"/>
          <w:color w:val="000000" w:themeColor="text1"/>
          <w:sz w:val="24"/>
          <w:szCs w:val="24"/>
        </w:rPr>
        <w:t xml:space="preserve"> 62(5), 524–525.</w:t>
      </w:r>
    </w:p>
    <w:p w14:paraId="7FA658E5" w14:textId="7059F73C" w:rsidR="00021535" w:rsidRPr="00384818" w:rsidRDefault="00021535" w:rsidP="00FC5CBE">
      <w:pPr>
        <w:spacing w:line="240" w:lineRule="auto"/>
        <w:ind w:left="680" w:hanging="720"/>
        <w:rPr>
          <w:rFonts w:asciiTheme="minorBidi" w:eastAsia="system-ui" w:hAnsiTheme="minorBidi"/>
          <w:color w:val="000000" w:themeColor="text1"/>
          <w:sz w:val="24"/>
          <w:szCs w:val="24"/>
        </w:rPr>
      </w:pPr>
      <w:r w:rsidRPr="00384818">
        <w:rPr>
          <w:rFonts w:asciiTheme="minorBidi" w:eastAsia="system-ui" w:hAnsiTheme="minorBidi"/>
          <w:color w:val="000000" w:themeColor="text1"/>
          <w:sz w:val="24"/>
          <w:szCs w:val="24"/>
        </w:rPr>
        <w:t>Joram, E., MacKay, A</w:t>
      </w:r>
      <w:r w:rsidR="00EF65CA" w:rsidRPr="00EF65CA">
        <w:rPr>
          <w:rFonts w:asciiTheme="minorBidi" w:eastAsia="system-ui" w:hAnsiTheme="minorBidi"/>
          <w:color w:val="000000" w:themeColor="text1"/>
          <w:sz w:val="24"/>
          <w:szCs w:val="24"/>
        </w:rPr>
        <w:t xml:space="preserve"> and</w:t>
      </w:r>
      <w:r w:rsidRPr="00384818">
        <w:rPr>
          <w:rFonts w:asciiTheme="minorBidi" w:eastAsia="system-ui" w:hAnsiTheme="minorBidi"/>
          <w:color w:val="000000" w:themeColor="text1"/>
          <w:sz w:val="24"/>
          <w:szCs w:val="24"/>
        </w:rPr>
        <w:t xml:space="preserve"> Bryce, T. (1990). </w:t>
      </w:r>
      <w:r w:rsidR="00EF65CA" w:rsidRPr="00EF65CA">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Pictures, Powerpoint and Pedagogy.</w:t>
      </w:r>
      <w:r w:rsidR="00EF65CA" w:rsidRPr="00EF65CA">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 xml:space="preserve"> </w:t>
      </w:r>
      <w:r w:rsidRPr="00384818">
        <w:rPr>
          <w:rFonts w:asciiTheme="minorBidi" w:eastAsia="system-ui" w:hAnsiTheme="minorBidi"/>
          <w:i/>
          <w:iCs/>
          <w:color w:val="000000" w:themeColor="text1"/>
          <w:sz w:val="24"/>
          <w:szCs w:val="24"/>
        </w:rPr>
        <w:t>Education and Information Technologies</w:t>
      </w:r>
      <w:r w:rsidRPr="00384818">
        <w:rPr>
          <w:rFonts w:asciiTheme="minorBidi" w:eastAsia="system-ui" w:hAnsiTheme="minorBidi"/>
          <w:color w:val="000000" w:themeColor="text1"/>
          <w:sz w:val="24"/>
          <w:szCs w:val="24"/>
        </w:rPr>
        <w:t>, 2(2), 137-149.</w:t>
      </w:r>
    </w:p>
    <w:p w14:paraId="2BAD52D6" w14:textId="310D8A2C" w:rsidR="00021535" w:rsidRPr="00384818" w:rsidRDefault="00021535" w:rsidP="00FC5CBE">
      <w:pPr>
        <w:spacing w:line="240" w:lineRule="auto"/>
        <w:ind w:left="680" w:hanging="720"/>
        <w:rPr>
          <w:rFonts w:asciiTheme="minorBidi" w:eastAsia="system-ui" w:hAnsiTheme="minorBidi"/>
          <w:color w:val="000000" w:themeColor="text1"/>
          <w:sz w:val="24"/>
          <w:szCs w:val="24"/>
        </w:rPr>
      </w:pPr>
      <w:r w:rsidRPr="00384818">
        <w:rPr>
          <w:rFonts w:asciiTheme="minorBidi" w:eastAsia="system-ui" w:hAnsiTheme="minorBidi"/>
          <w:color w:val="000000" w:themeColor="text1"/>
          <w:sz w:val="24"/>
          <w:szCs w:val="24"/>
        </w:rPr>
        <w:t xml:space="preserve">Kahu, E. R. (2013). </w:t>
      </w:r>
      <w:r w:rsidR="00EF65CA" w:rsidRPr="00EF65CA">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Framing student engagement in higher education.</w:t>
      </w:r>
      <w:r w:rsidR="00EF65CA" w:rsidRPr="00EF65CA">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 xml:space="preserve"> </w:t>
      </w:r>
      <w:r w:rsidRPr="00384818">
        <w:rPr>
          <w:rFonts w:asciiTheme="minorBidi" w:eastAsia="system-ui" w:hAnsiTheme="minorBidi"/>
          <w:i/>
          <w:iCs/>
          <w:color w:val="000000" w:themeColor="text1"/>
          <w:sz w:val="24"/>
          <w:szCs w:val="24"/>
        </w:rPr>
        <w:t xml:space="preserve">Studies in Higher Education, </w:t>
      </w:r>
      <w:r w:rsidRPr="00384818">
        <w:rPr>
          <w:rFonts w:asciiTheme="minorBidi" w:eastAsia="system-ui" w:hAnsiTheme="minorBidi"/>
          <w:color w:val="000000" w:themeColor="text1"/>
          <w:sz w:val="24"/>
          <w:szCs w:val="24"/>
        </w:rPr>
        <w:t>38(5), 758-773.</w:t>
      </w:r>
    </w:p>
    <w:p w14:paraId="334FA925" w14:textId="77777777" w:rsidR="00021535" w:rsidRPr="00F93681"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Ke, F., Xie, K </w:t>
      </w:r>
      <w:proofErr w:type="gramStart"/>
      <w:r w:rsidRPr="0099000F">
        <w:rPr>
          <w:rFonts w:asciiTheme="minorBidi" w:eastAsia="system-ui" w:hAnsiTheme="minorBidi"/>
          <w:color w:val="000000" w:themeColor="text1"/>
          <w:sz w:val="24"/>
          <w:szCs w:val="24"/>
        </w:rPr>
        <w:t>and  Xie</w:t>
      </w:r>
      <w:proofErr w:type="gramEnd"/>
      <w:r w:rsidRPr="0099000F">
        <w:rPr>
          <w:rFonts w:asciiTheme="minorBidi" w:eastAsia="system-ui" w:hAnsiTheme="minorBidi"/>
          <w:color w:val="000000" w:themeColor="text1"/>
          <w:sz w:val="24"/>
          <w:szCs w:val="24"/>
        </w:rPr>
        <w:t xml:space="preserve">, Y. (2016). ‘Game-based learning engagement: A theory- and data-driven exploration.’ </w:t>
      </w:r>
      <w:r w:rsidRPr="00A05A9D">
        <w:rPr>
          <w:rFonts w:asciiTheme="minorBidi" w:eastAsia="system-ui" w:hAnsiTheme="minorBidi"/>
          <w:i/>
          <w:iCs/>
          <w:color w:val="000000" w:themeColor="text1"/>
          <w:sz w:val="24"/>
          <w:szCs w:val="24"/>
        </w:rPr>
        <w:t>British Journal of Educational Technology</w:t>
      </w:r>
      <w:r w:rsidRPr="0099000F">
        <w:rPr>
          <w:rFonts w:asciiTheme="minorBidi" w:eastAsia="system-ui" w:hAnsiTheme="minorBidi"/>
          <w:color w:val="000000" w:themeColor="text1"/>
          <w:sz w:val="24"/>
          <w:szCs w:val="24"/>
        </w:rPr>
        <w:t>, 47(6), pp. 1183–</w:t>
      </w:r>
      <w:r w:rsidRPr="00F93681">
        <w:rPr>
          <w:rFonts w:asciiTheme="minorBidi" w:eastAsia="system-ui" w:hAnsiTheme="minorBidi"/>
          <w:color w:val="000000" w:themeColor="text1"/>
          <w:sz w:val="24"/>
          <w:szCs w:val="24"/>
        </w:rPr>
        <w:t>1201. DOI: 10.1111/bjet.12314</w:t>
      </w:r>
    </w:p>
    <w:p w14:paraId="1218BC46" w14:textId="5A888DF0" w:rsidR="00021535" w:rsidRPr="00F93681" w:rsidRDefault="00021535" w:rsidP="00FC5CBE">
      <w:pPr>
        <w:spacing w:line="240" w:lineRule="auto"/>
        <w:ind w:left="680" w:hanging="720"/>
        <w:rPr>
          <w:rFonts w:asciiTheme="minorBidi" w:eastAsia="system-ui" w:hAnsiTheme="minorBidi"/>
          <w:color w:val="000000" w:themeColor="text1"/>
          <w:sz w:val="24"/>
          <w:szCs w:val="24"/>
        </w:rPr>
      </w:pPr>
      <w:r w:rsidRPr="00F93681">
        <w:rPr>
          <w:rFonts w:asciiTheme="minorBidi" w:eastAsia="system-ui" w:hAnsiTheme="minorBidi"/>
          <w:color w:val="000000" w:themeColor="text1"/>
          <w:sz w:val="24"/>
          <w:szCs w:val="24"/>
        </w:rPr>
        <w:t>Kimmons, R</w:t>
      </w:r>
      <w:r w:rsidR="00EF65CA" w:rsidRPr="00F93681">
        <w:rPr>
          <w:rFonts w:asciiTheme="minorBidi" w:eastAsia="system-ui" w:hAnsiTheme="minorBidi"/>
          <w:color w:val="000000" w:themeColor="text1"/>
          <w:sz w:val="24"/>
          <w:szCs w:val="24"/>
        </w:rPr>
        <w:t xml:space="preserve"> and </w:t>
      </w:r>
      <w:r w:rsidRPr="00F93681">
        <w:rPr>
          <w:rFonts w:asciiTheme="minorBidi" w:eastAsia="system-ui" w:hAnsiTheme="minorBidi"/>
          <w:color w:val="000000" w:themeColor="text1"/>
          <w:sz w:val="24"/>
          <w:szCs w:val="24"/>
        </w:rPr>
        <w:t xml:space="preserve">Hall, C. (2020). ‘School districts and social media policies: Promises and </w:t>
      </w:r>
      <w:proofErr w:type="gramStart"/>
      <w:r w:rsidRPr="00F93681">
        <w:rPr>
          <w:rFonts w:asciiTheme="minorBidi" w:eastAsia="system-ui" w:hAnsiTheme="minorBidi"/>
          <w:color w:val="000000" w:themeColor="text1"/>
          <w:sz w:val="24"/>
          <w:szCs w:val="24"/>
        </w:rPr>
        <w:t>practices’</w:t>
      </w:r>
      <w:proofErr w:type="gramEnd"/>
      <w:r w:rsidRPr="00F93681">
        <w:rPr>
          <w:rFonts w:asciiTheme="minorBidi" w:eastAsia="system-ui" w:hAnsiTheme="minorBidi"/>
          <w:color w:val="000000" w:themeColor="text1"/>
          <w:sz w:val="24"/>
          <w:szCs w:val="24"/>
        </w:rPr>
        <w:t xml:space="preserve">. </w:t>
      </w:r>
      <w:r w:rsidRPr="00F93681">
        <w:rPr>
          <w:rFonts w:asciiTheme="minorBidi" w:eastAsia="system-ui" w:hAnsiTheme="minorBidi"/>
          <w:i/>
          <w:iCs/>
          <w:color w:val="000000" w:themeColor="text1"/>
          <w:sz w:val="24"/>
          <w:szCs w:val="24"/>
        </w:rPr>
        <w:t>Computers &amp; Education</w:t>
      </w:r>
      <w:r w:rsidRPr="00F93681">
        <w:rPr>
          <w:rFonts w:asciiTheme="minorBidi" w:eastAsia="system-ui" w:hAnsiTheme="minorBidi"/>
          <w:color w:val="000000" w:themeColor="text1"/>
          <w:sz w:val="24"/>
          <w:szCs w:val="24"/>
        </w:rPr>
        <w:t>, 157, 103973.</w:t>
      </w:r>
    </w:p>
    <w:p w14:paraId="59FB7603" w14:textId="7617CA1D" w:rsidR="00021535" w:rsidRPr="00384818" w:rsidRDefault="00021535" w:rsidP="00FC5CBE">
      <w:pPr>
        <w:spacing w:line="240" w:lineRule="auto"/>
        <w:ind w:left="680" w:hanging="720"/>
        <w:rPr>
          <w:rFonts w:asciiTheme="minorBidi" w:eastAsia="system-ui" w:hAnsiTheme="minorBidi"/>
          <w:color w:val="000000" w:themeColor="text1"/>
          <w:sz w:val="24"/>
          <w:szCs w:val="24"/>
        </w:rPr>
      </w:pPr>
      <w:r w:rsidRPr="00384818">
        <w:rPr>
          <w:rFonts w:asciiTheme="minorBidi" w:eastAsia="system-ui" w:hAnsiTheme="minorBidi"/>
          <w:color w:val="000000" w:themeColor="text1"/>
          <w:sz w:val="24"/>
          <w:szCs w:val="24"/>
        </w:rPr>
        <w:t xml:space="preserve">Krause, K. L., &amp; Coates, H. (2008). </w:t>
      </w:r>
      <w:r w:rsidR="00EF65CA" w:rsidRPr="00F93681">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Students’ engagement in first</w:t>
      </w:r>
      <w:r w:rsidRPr="00384818">
        <w:rPr>
          <w:rFonts w:ascii="Cambria Math" w:eastAsia="system-ui" w:hAnsi="Cambria Math" w:cs="Cambria Math"/>
          <w:color w:val="000000" w:themeColor="text1"/>
          <w:sz w:val="24"/>
          <w:szCs w:val="24"/>
        </w:rPr>
        <w:t>‐</w:t>
      </w:r>
      <w:r w:rsidRPr="00384818">
        <w:rPr>
          <w:rFonts w:asciiTheme="minorBidi" w:eastAsia="system-ui" w:hAnsiTheme="minorBidi"/>
          <w:color w:val="000000" w:themeColor="text1"/>
          <w:sz w:val="24"/>
          <w:szCs w:val="24"/>
        </w:rPr>
        <w:t>year university.</w:t>
      </w:r>
      <w:r w:rsidR="00EF65CA" w:rsidRPr="00F93681">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 xml:space="preserve"> </w:t>
      </w:r>
      <w:r w:rsidRPr="00384818">
        <w:rPr>
          <w:rFonts w:asciiTheme="minorBidi" w:eastAsia="system-ui" w:hAnsiTheme="minorBidi"/>
          <w:i/>
          <w:iCs/>
          <w:color w:val="000000" w:themeColor="text1"/>
          <w:sz w:val="24"/>
          <w:szCs w:val="24"/>
        </w:rPr>
        <w:t>Assessment &amp; Evaluation in Higher Education</w:t>
      </w:r>
      <w:r w:rsidRPr="00384818">
        <w:rPr>
          <w:rFonts w:asciiTheme="minorBidi" w:eastAsia="system-ui" w:hAnsiTheme="minorBidi"/>
          <w:color w:val="000000" w:themeColor="text1"/>
          <w:sz w:val="24"/>
          <w:szCs w:val="24"/>
        </w:rPr>
        <w:t>, 33(5), 493-505.</w:t>
      </w:r>
    </w:p>
    <w:p w14:paraId="1EEB2DDA" w14:textId="53961A73" w:rsidR="00021535" w:rsidRPr="00384818" w:rsidRDefault="00021535" w:rsidP="00FC5CBE">
      <w:pPr>
        <w:spacing w:line="240" w:lineRule="auto"/>
        <w:ind w:left="680" w:hanging="720"/>
        <w:rPr>
          <w:rFonts w:asciiTheme="minorBidi" w:eastAsia="system-ui" w:hAnsiTheme="minorBidi"/>
          <w:color w:val="000000" w:themeColor="text1"/>
          <w:sz w:val="24"/>
          <w:szCs w:val="24"/>
        </w:rPr>
      </w:pPr>
      <w:r w:rsidRPr="00384818">
        <w:rPr>
          <w:rFonts w:asciiTheme="minorBidi" w:eastAsia="system-ui" w:hAnsiTheme="minorBidi"/>
          <w:color w:val="000000" w:themeColor="text1"/>
          <w:sz w:val="24"/>
          <w:szCs w:val="24"/>
        </w:rPr>
        <w:t xml:space="preserve">Kuh, G. D. (2009). </w:t>
      </w:r>
      <w:r w:rsidR="00EF65CA" w:rsidRPr="00F93681">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What student engagement data tell us about college readiness.</w:t>
      </w:r>
      <w:r w:rsidR="00EF65CA" w:rsidRPr="00F93681">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 xml:space="preserve"> </w:t>
      </w:r>
      <w:r w:rsidRPr="00384818">
        <w:rPr>
          <w:rFonts w:asciiTheme="minorBidi" w:eastAsia="system-ui" w:hAnsiTheme="minorBidi"/>
          <w:i/>
          <w:iCs/>
          <w:color w:val="000000" w:themeColor="text1"/>
          <w:sz w:val="24"/>
          <w:szCs w:val="24"/>
        </w:rPr>
        <w:t>Peer Review</w:t>
      </w:r>
      <w:r w:rsidRPr="00384818">
        <w:rPr>
          <w:rFonts w:asciiTheme="minorBidi" w:eastAsia="system-ui" w:hAnsiTheme="minorBidi"/>
          <w:color w:val="000000" w:themeColor="text1"/>
          <w:sz w:val="24"/>
          <w:szCs w:val="24"/>
        </w:rPr>
        <w:t>, 11(4), 6-9.</w:t>
      </w:r>
    </w:p>
    <w:p w14:paraId="3577197A"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Leach, L. (2016). ‘Student engagement: A driver of academic success.’ </w:t>
      </w:r>
      <w:r w:rsidRPr="00F93681">
        <w:rPr>
          <w:rFonts w:asciiTheme="minorBidi" w:eastAsia="system-ui" w:hAnsiTheme="minorBidi"/>
          <w:i/>
          <w:iCs/>
          <w:color w:val="000000" w:themeColor="text1"/>
          <w:sz w:val="24"/>
          <w:szCs w:val="24"/>
        </w:rPr>
        <w:t xml:space="preserve">Journal of Higher Education Management and Policy, </w:t>
      </w:r>
      <w:r w:rsidRPr="0099000F">
        <w:rPr>
          <w:rFonts w:asciiTheme="minorBidi" w:eastAsia="system-ui" w:hAnsiTheme="minorBidi"/>
          <w:color w:val="000000" w:themeColor="text1"/>
          <w:sz w:val="24"/>
          <w:szCs w:val="24"/>
        </w:rPr>
        <w:t>38(4), 387–398.</w:t>
      </w:r>
    </w:p>
    <w:p w14:paraId="35193A28"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Lu, J., Hallinger, P and Showanasai, P. (2014). ‘Using digital games to enhance student engagement in higher education.’ </w:t>
      </w:r>
      <w:r w:rsidRPr="004E3658">
        <w:rPr>
          <w:rFonts w:asciiTheme="minorBidi" w:eastAsia="system-ui" w:hAnsiTheme="minorBidi"/>
          <w:i/>
          <w:iCs/>
          <w:color w:val="000000" w:themeColor="text1"/>
          <w:sz w:val="24"/>
          <w:szCs w:val="24"/>
        </w:rPr>
        <w:t xml:space="preserve">Journal of Educational Technology &amp; Society, </w:t>
      </w:r>
      <w:r w:rsidRPr="0099000F">
        <w:rPr>
          <w:rFonts w:asciiTheme="minorBidi" w:eastAsia="system-ui" w:hAnsiTheme="minorBidi"/>
          <w:color w:val="000000" w:themeColor="text1"/>
          <w:sz w:val="24"/>
          <w:szCs w:val="24"/>
        </w:rPr>
        <w:t>17(1), 3–11.</w:t>
      </w:r>
    </w:p>
    <w:p w14:paraId="53F1ACB1"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lastRenderedPageBreak/>
        <w:t xml:space="preserve">Mansouri, M and Piki, A. (2016). ‘Blogging and students’ engagement: An empirical investigation with university students.’ </w:t>
      </w:r>
      <w:r w:rsidRPr="004E3658">
        <w:rPr>
          <w:rFonts w:asciiTheme="minorBidi" w:eastAsia="system-ui" w:hAnsiTheme="minorBidi"/>
          <w:i/>
          <w:iCs/>
          <w:color w:val="000000" w:themeColor="text1"/>
          <w:sz w:val="24"/>
          <w:szCs w:val="24"/>
        </w:rPr>
        <w:t>Journal of Educational Computing Research</w:t>
      </w:r>
      <w:r w:rsidRPr="0099000F">
        <w:rPr>
          <w:rFonts w:asciiTheme="minorBidi" w:eastAsia="system-ui" w:hAnsiTheme="minorBidi"/>
          <w:color w:val="000000" w:themeColor="text1"/>
          <w:sz w:val="24"/>
          <w:szCs w:val="24"/>
        </w:rPr>
        <w:t>, 54(4), 494–518.</w:t>
      </w:r>
    </w:p>
    <w:p w14:paraId="797ADF82"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Marriott, R., Tan, M and Marriott, S. (2015). ‘Evaluating the use of a serious game to develop emotional well-being and critical thinking in higher education: A narrative perspective.’ </w:t>
      </w:r>
      <w:r w:rsidRPr="004E3658">
        <w:rPr>
          <w:rFonts w:asciiTheme="minorBidi" w:eastAsia="system-ui" w:hAnsiTheme="minorBidi"/>
          <w:i/>
          <w:iCs/>
          <w:color w:val="000000" w:themeColor="text1"/>
          <w:sz w:val="24"/>
          <w:szCs w:val="24"/>
        </w:rPr>
        <w:t>Journal of Applied Research in Higher Education</w:t>
      </w:r>
      <w:r w:rsidRPr="0099000F">
        <w:rPr>
          <w:rFonts w:asciiTheme="minorBidi" w:eastAsia="system-ui" w:hAnsiTheme="minorBidi"/>
          <w:color w:val="000000" w:themeColor="text1"/>
          <w:sz w:val="24"/>
          <w:szCs w:val="24"/>
        </w:rPr>
        <w:t>, 7(3), 328–341.</w:t>
      </w:r>
    </w:p>
    <w:p w14:paraId="79DD7CED" w14:textId="77777777" w:rsidR="00021535" w:rsidRPr="004E3658"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McClenney, K. M., Marti, C. N and Adkins, C. D. (2012). ‘The relationship between student engagement and student success: The role of learning strategies and self-</w:t>
      </w:r>
      <w:r w:rsidRPr="004E3658">
        <w:rPr>
          <w:rFonts w:asciiTheme="minorBidi" w:eastAsia="system-ui" w:hAnsiTheme="minorBidi"/>
          <w:color w:val="000000" w:themeColor="text1"/>
          <w:sz w:val="24"/>
          <w:szCs w:val="24"/>
        </w:rPr>
        <w:t xml:space="preserve">regulation.’ </w:t>
      </w:r>
      <w:r w:rsidRPr="004E3658">
        <w:rPr>
          <w:rFonts w:asciiTheme="minorBidi" w:eastAsia="system-ui" w:hAnsiTheme="minorBidi"/>
          <w:i/>
          <w:iCs/>
          <w:color w:val="000000" w:themeColor="text1"/>
          <w:sz w:val="24"/>
          <w:szCs w:val="24"/>
        </w:rPr>
        <w:t>Journal of College Student Development,</w:t>
      </w:r>
      <w:r w:rsidRPr="004E3658">
        <w:rPr>
          <w:rFonts w:asciiTheme="minorBidi" w:eastAsia="system-ui" w:hAnsiTheme="minorBidi"/>
          <w:color w:val="000000" w:themeColor="text1"/>
          <w:sz w:val="24"/>
          <w:szCs w:val="24"/>
        </w:rPr>
        <w:t xml:space="preserve"> 53(5), pp. 623–633.</w:t>
      </w:r>
    </w:p>
    <w:p w14:paraId="410E964B" w14:textId="18144CA1" w:rsidR="00021535" w:rsidRPr="00384818" w:rsidRDefault="00021535" w:rsidP="00FC5CBE">
      <w:pPr>
        <w:spacing w:line="240" w:lineRule="auto"/>
        <w:ind w:left="680" w:hanging="720"/>
        <w:rPr>
          <w:rFonts w:asciiTheme="minorBidi" w:eastAsia="system-ui" w:hAnsiTheme="minorBidi"/>
          <w:color w:val="000000" w:themeColor="text1"/>
          <w:sz w:val="24"/>
          <w:szCs w:val="24"/>
        </w:rPr>
      </w:pPr>
      <w:r w:rsidRPr="00384818">
        <w:rPr>
          <w:rFonts w:asciiTheme="minorBidi" w:eastAsia="system-ui" w:hAnsiTheme="minorBidi"/>
          <w:color w:val="000000" w:themeColor="text1"/>
          <w:sz w:val="24"/>
          <w:szCs w:val="24"/>
        </w:rPr>
        <w:t>McCormik, R</w:t>
      </w:r>
      <w:r w:rsidR="004E3658" w:rsidRPr="004E3658">
        <w:rPr>
          <w:rFonts w:asciiTheme="minorBidi" w:eastAsia="system-ui" w:hAnsiTheme="minorBidi"/>
          <w:color w:val="000000" w:themeColor="text1"/>
          <w:sz w:val="24"/>
          <w:szCs w:val="24"/>
        </w:rPr>
        <w:t xml:space="preserve"> and</w:t>
      </w:r>
      <w:r w:rsidRPr="00384818">
        <w:rPr>
          <w:rFonts w:asciiTheme="minorBidi" w:eastAsia="system-ui" w:hAnsiTheme="minorBidi"/>
          <w:color w:val="000000" w:themeColor="text1"/>
          <w:sz w:val="24"/>
          <w:szCs w:val="24"/>
        </w:rPr>
        <w:t xml:space="preserve"> Scrimshaw, P. (2001). </w:t>
      </w:r>
      <w:r w:rsidR="004E3658" w:rsidRPr="004E3658">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Computer Supported Collaborative Learning: The Role of the Facilitator.</w:t>
      </w:r>
      <w:r w:rsidR="004E3658" w:rsidRPr="004E3658">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 xml:space="preserve"> </w:t>
      </w:r>
      <w:r w:rsidRPr="00384818">
        <w:rPr>
          <w:rFonts w:asciiTheme="minorBidi" w:eastAsia="system-ui" w:hAnsiTheme="minorBidi"/>
          <w:i/>
          <w:iCs/>
          <w:color w:val="000000" w:themeColor="text1"/>
          <w:sz w:val="24"/>
          <w:szCs w:val="24"/>
        </w:rPr>
        <w:t>Education and Information Technologies,</w:t>
      </w:r>
      <w:r w:rsidRPr="00384818">
        <w:rPr>
          <w:rFonts w:asciiTheme="minorBidi" w:eastAsia="system-ui" w:hAnsiTheme="minorBidi"/>
          <w:color w:val="000000" w:themeColor="text1"/>
          <w:sz w:val="24"/>
          <w:szCs w:val="24"/>
        </w:rPr>
        <w:t xml:space="preserve"> 6(3), 177-188.</w:t>
      </w:r>
    </w:p>
    <w:p w14:paraId="4B43A974" w14:textId="26A26C12" w:rsidR="00021535" w:rsidRPr="00A05A9D" w:rsidRDefault="00021535" w:rsidP="00FC5CBE">
      <w:pPr>
        <w:spacing w:line="240" w:lineRule="auto"/>
        <w:ind w:left="680" w:hanging="720"/>
        <w:rPr>
          <w:rFonts w:asciiTheme="minorBidi" w:eastAsia="system-ui" w:hAnsiTheme="minorBidi"/>
          <w:color w:val="000000" w:themeColor="text1"/>
          <w:sz w:val="24"/>
          <w:szCs w:val="24"/>
        </w:rPr>
      </w:pPr>
      <w:r w:rsidRPr="00A05A9D">
        <w:rPr>
          <w:rFonts w:asciiTheme="minorBidi" w:eastAsia="system-ui" w:hAnsiTheme="minorBidi"/>
          <w:color w:val="000000" w:themeColor="text1"/>
          <w:sz w:val="24"/>
          <w:szCs w:val="24"/>
        </w:rPr>
        <w:t>Means, B., Toyama, Y., Murphy, R., Bakia, M</w:t>
      </w:r>
      <w:r w:rsidR="004E3658" w:rsidRPr="00A05A9D">
        <w:rPr>
          <w:rFonts w:asciiTheme="minorBidi" w:eastAsia="system-ui" w:hAnsiTheme="minorBidi"/>
          <w:color w:val="000000" w:themeColor="text1"/>
          <w:sz w:val="24"/>
          <w:szCs w:val="24"/>
        </w:rPr>
        <w:t xml:space="preserve"> and</w:t>
      </w:r>
      <w:r w:rsidRPr="00A05A9D">
        <w:rPr>
          <w:rFonts w:asciiTheme="minorBidi" w:eastAsia="system-ui" w:hAnsiTheme="minorBidi"/>
          <w:color w:val="000000" w:themeColor="text1"/>
          <w:sz w:val="24"/>
          <w:szCs w:val="24"/>
        </w:rPr>
        <w:t xml:space="preserve"> Jones, K. (2013). </w:t>
      </w:r>
      <w:r w:rsidRPr="00A05A9D">
        <w:rPr>
          <w:rFonts w:asciiTheme="minorBidi" w:eastAsia="system-ui" w:hAnsiTheme="minorBidi"/>
          <w:i/>
          <w:iCs/>
          <w:color w:val="000000" w:themeColor="text1"/>
          <w:sz w:val="24"/>
          <w:szCs w:val="24"/>
        </w:rPr>
        <w:t>Evaluation of Evidence-Based Practices in Online Learning: A Meta-Analysis and Review of Online Learning Studies</w:t>
      </w:r>
      <w:r w:rsidRPr="00A05A9D">
        <w:rPr>
          <w:rFonts w:asciiTheme="minorBidi" w:eastAsia="system-ui" w:hAnsiTheme="minorBidi"/>
          <w:color w:val="000000" w:themeColor="text1"/>
          <w:sz w:val="24"/>
          <w:szCs w:val="24"/>
        </w:rPr>
        <w:t>.</w:t>
      </w:r>
      <w:r w:rsidR="00A05A9D" w:rsidRPr="00A05A9D">
        <w:rPr>
          <w:rFonts w:asciiTheme="minorBidi" w:eastAsia="system-ui" w:hAnsiTheme="minorBidi"/>
          <w:color w:val="000000" w:themeColor="text1"/>
          <w:sz w:val="24"/>
          <w:szCs w:val="24"/>
        </w:rPr>
        <w:t>USA:</w:t>
      </w:r>
      <w:r w:rsidRPr="00A05A9D">
        <w:rPr>
          <w:rFonts w:asciiTheme="minorBidi" w:eastAsia="system-ui" w:hAnsiTheme="minorBidi"/>
          <w:color w:val="000000" w:themeColor="text1"/>
          <w:sz w:val="24"/>
          <w:szCs w:val="24"/>
        </w:rPr>
        <w:t xml:space="preserve"> U.S. Department of Education.</w:t>
      </w:r>
    </w:p>
    <w:p w14:paraId="7DC8AF36" w14:textId="23E24FD7" w:rsidR="00021535" w:rsidRPr="00A05A9D" w:rsidRDefault="00021535" w:rsidP="00FC5CBE">
      <w:pPr>
        <w:spacing w:line="240" w:lineRule="auto"/>
        <w:ind w:left="680" w:hanging="720"/>
        <w:rPr>
          <w:rFonts w:asciiTheme="minorBidi" w:eastAsia="system-ui" w:hAnsiTheme="minorBidi"/>
          <w:color w:val="000000" w:themeColor="text1"/>
          <w:sz w:val="24"/>
          <w:szCs w:val="24"/>
        </w:rPr>
      </w:pPr>
      <w:r w:rsidRPr="00A05A9D">
        <w:rPr>
          <w:rFonts w:asciiTheme="minorBidi" w:eastAsia="system-ui" w:hAnsiTheme="minorBidi"/>
          <w:color w:val="000000" w:themeColor="text1"/>
          <w:sz w:val="24"/>
          <w:szCs w:val="24"/>
        </w:rPr>
        <w:t>Mishra, P</w:t>
      </w:r>
      <w:r w:rsidR="00A05A9D" w:rsidRPr="00A05A9D">
        <w:rPr>
          <w:rFonts w:asciiTheme="minorBidi" w:eastAsia="system-ui" w:hAnsiTheme="minorBidi"/>
          <w:color w:val="000000" w:themeColor="text1"/>
          <w:sz w:val="24"/>
          <w:szCs w:val="24"/>
        </w:rPr>
        <w:t xml:space="preserve"> and</w:t>
      </w:r>
      <w:r w:rsidRPr="00A05A9D">
        <w:rPr>
          <w:rFonts w:asciiTheme="minorBidi" w:eastAsia="system-ui" w:hAnsiTheme="minorBidi"/>
          <w:color w:val="000000" w:themeColor="text1"/>
          <w:sz w:val="24"/>
          <w:szCs w:val="24"/>
        </w:rPr>
        <w:t xml:space="preserve"> Koehler, M. J. (2006). </w:t>
      </w:r>
      <w:r w:rsidR="00A05A9D" w:rsidRPr="00A05A9D">
        <w:rPr>
          <w:rFonts w:asciiTheme="minorBidi" w:eastAsia="system-ui" w:hAnsiTheme="minorBidi"/>
          <w:color w:val="000000" w:themeColor="text1"/>
          <w:sz w:val="24"/>
          <w:szCs w:val="24"/>
        </w:rPr>
        <w:t>‘</w:t>
      </w:r>
      <w:r w:rsidRPr="00A05A9D">
        <w:rPr>
          <w:rFonts w:asciiTheme="minorBidi" w:eastAsia="system-ui" w:hAnsiTheme="minorBidi"/>
          <w:color w:val="000000" w:themeColor="text1"/>
          <w:sz w:val="24"/>
          <w:szCs w:val="24"/>
        </w:rPr>
        <w:t>Technological pedagogical content knowledge: A framework for teacher knowledge.</w:t>
      </w:r>
      <w:r w:rsidR="00A05A9D" w:rsidRPr="00A05A9D">
        <w:rPr>
          <w:rFonts w:asciiTheme="minorBidi" w:eastAsia="system-ui" w:hAnsiTheme="minorBidi"/>
          <w:color w:val="000000" w:themeColor="text1"/>
          <w:sz w:val="24"/>
          <w:szCs w:val="24"/>
        </w:rPr>
        <w:t xml:space="preserve">’ </w:t>
      </w:r>
      <w:r w:rsidRPr="00A05A9D">
        <w:rPr>
          <w:rFonts w:asciiTheme="minorBidi" w:eastAsia="system-ui" w:hAnsiTheme="minorBidi"/>
          <w:i/>
          <w:iCs/>
          <w:color w:val="000000" w:themeColor="text1"/>
          <w:sz w:val="24"/>
          <w:szCs w:val="24"/>
        </w:rPr>
        <w:t>Teachers College Record,</w:t>
      </w:r>
      <w:r w:rsidRPr="00A05A9D">
        <w:rPr>
          <w:rFonts w:asciiTheme="minorBidi" w:eastAsia="system-ui" w:hAnsiTheme="minorBidi"/>
          <w:color w:val="000000" w:themeColor="text1"/>
          <w:sz w:val="24"/>
          <w:szCs w:val="24"/>
        </w:rPr>
        <w:t xml:space="preserve"> 108(6), 1017-1054.</w:t>
      </w:r>
    </w:p>
    <w:p w14:paraId="16F6B649" w14:textId="77777777" w:rsidR="00021535" w:rsidRPr="00A05A9D" w:rsidRDefault="00021535" w:rsidP="00FC5CBE">
      <w:pPr>
        <w:spacing w:line="240" w:lineRule="auto"/>
        <w:ind w:left="680" w:hanging="720"/>
        <w:rPr>
          <w:rFonts w:asciiTheme="minorBidi" w:eastAsia="system-ui" w:hAnsiTheme="minorBidi"/>
          <w:color w:val="000000" w:themeColor="text1"/>
          <w:sz w:val="24"/>
          <w:szCs w:val="24"/>
        </w:rPr>
      </w:pPr>
      <w:r w:rsidRPr="00A05A9D">
        <w:rPr>
          <w:rFonts w:asciiTheme="minorBidi" w:eastAsia="system-ui" w:hAnsiTheme="minorBidi"/>
          <w:color w:val="000000" w:themeColor="text1"/>
          <w:sz w:val="24"/>
          <w:szCs w:val="24"/>
        </w:rPr>
        <w:t xml:space="preserve">Neuman, D.L and Hood, M. (2009). ‘The effects of using a wiki on student engagement and learning of report writing skills in a university statistics course.’ </w:t>
      </w:r>
      <w:r w:rsidRPr="00A05A9D">
        <w:rPr>
          <w:rFonts w:asciiTheme="minorBidi" w:eastAsia="system-ui" w:hAnsiTheme="minorBidi"/>
          <w:i/>
          <w:iCs/>
          <w:color w:val="000000" w:themeColor="text1"/>
          <w:sz w:val="24"/>
          <w:szCs w:val="24"/>
        </w:rPr>
        <w:t>Australas Journal of Education Technology,</w:t>
      </w:r>
      <w:r w:rsidRPr="00A05A9D">
        <w:rPr>
          <w:rFonts w:asciiTheme="minorBidi" w:eastAsia="system-ui" w:hAnsiTheme="minorBidi"/>
          <w:color w:val="000000" w:themeColor="text1"/>
          <w:sz w:val="24"/>
          <w:szCs w:val="24"/>
        </w:rPr>
        <w:t xml:space="preserve"> 25, pp. 382–398.</w:t>
      </w:r>
    </w:p>
    <w:p w14:paraId="11BBD82D" w14:textId="77777777" w:rsidR="00021535" w:rsidRPr="00A05A9D" w:rsidRDefault="00021535" w:rsidP="00FC5CBE">
      <w:pPr>
        <w:spacing w:line="240" w:lineRule="auto"/>
        <w:ind w:left="680" w:hanging="720"/>
        <w:rPr>
          <w:rFonts w:asciiTheme="minorBidi" w:eastAsia="system-ui" w:hAnsiTheme="minorBidi"/>
          <w:color w:val="000000" w:themeColor="text1"/>
          <w:sz w:val="24"/>
          <w:szCs w:val="24"/>
        </w:rPr>
      </w:pPr>
      <w:r w:rsidRPr="00A05A9D">
        <w:rPr>
          <w:rFonts w:asciiTheme="minorBidi" w:eastAsia="system-ui" w:hAnsiTheme="minorBidi"/>
          <w:color w:val="000000" w:themeColor="text1"/>
          <w:sz w:val="24"/>
          <w:szCs w:val="24"/>
        </w:rPr>
        <w:t xml:space="preserve">OECD. (2019). </w:t>
      </w:r>
      <w:r w:rsidRPr="00A05A9D">
        <w:rPr>
          <w:rFonts w:asciiTheme="minorBidi" w:eastAsia="system-ui" w:hAnsiTheme="minorBidi"/>
          <w:i/>
          <w:iCs/>
          <w:color w:val="000000" w:themeColor="text1"/>
          <w:sz w:val="24"/>
          <w:szCs w:val="24"/>
        </w:rPr>
        <w:t>OECD education policy outlook 2019: Working together to harness the power of education</w:t>
      </w:r>
      <w:r w:rsidRPr="00A05A9D">
        <w:rPr>
          <w:rFonts w:asciiTheme="minorBidi" w:eastAsia="system-ui" w:hAnsiTheme="minorBidi"/>
          <w:color w:val="000000" w:themeColor="text1"/>
          <w:sz w:val="24"/>
          <w:szCs w:val="24"/>
        </w:rPr>
        <w:t>. OECD Publishing.</w:t>
      </w:r>
    </w:p>
    <w:p w14:paraId="6E60FF07"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Pandita, D and Kiran, R. (2023). ‘Exploring the nexus between technology interface and student engagement for sustainable student satisfaction.’ </w:t>
      </w:r>
      <w:r w:rsidRPr="00A05A9D">
        <w:rPr>
          <w:rFonts w:asciiTheme="minorBidi" w:eastAsia="system-ui" w:hAnsiTheme="minorBidi"/>
          <w:i/>
          <w:iCs/>
          <w:color w:val="000000" w:themeColor="text1"/>
          <w:sz w:val="24"/>
          <w:szCs w:val="24"/>
        </w:rPr>
        <w:t>Sustainability,</w:t>
      </w:r>
      <w:r w:rsidRPr="0099000F">
        <w:rPr>
          <w:rFonts w:asciiTheme="minorBidi" w:eastAsia="system-ui" w:hAnsiTheme="minorBidi"/>
          <w:color w:val="000000" w:themeColor="text1"/>
          <w:sz w:val="24"/>
          <w:szCs w:val="24"/>
        </w:rPr>
        <w:t xml:space="preserve"> 15(10), p. 7923.</w:t>
      </w:r>
    </w:p>
    <w:p w14:paraId="1A2490BA" w14:textId="77777777" w:rsidR="00021535" w:rsidRPr="00BE4094"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Parsons, J.; Taylor, L. ‘Improving student engagement.’ </w:t>
      </w:r>
      <w:r w:rsidRPr="00A05A9D">
        <w:rPr>
          <w:rFonts w:asciiTheme="minorBidi" w:eastAsia="system-ui" w:hAnsiTheme="minorBidi"/>
          <w:i/>
          <w:iCs/>
          <w:color w:val="000000" w:themeColor="text1"/>
          <w:sz w:val="24"/>
          <w:szCs w:val="24"/>
        </w:rPr>
        <w:t>Current Issues in Education,</w:t>
      </w:r>
      <w:r w:rsidRPr="0099000F">
        <w:rPr>
          <w:rFonts w:asciiTheme="minorBidi" w:eastAsia="system-ui" w:hAnsiTheme="minorBidi"/>
          <w:color w:val="000000" w:themeColor="text1"/>
          <w:sz w:val="24"/>
          <w:szCs w:val="24"/>
        </w:rPr>
        <w:t xml:space="preserve"> </w:t>
      </w:r>
      <w:r w:rsidRPr="00BE4094">
        <w:rPr>
          <w:rFonts w:asciiTheme="minorBidi" w:eastAsia="system-ui" w:hAnsiTheme="minorBidi"/>
          <w:color w:val="000000" w:themeColor="text1"/>
          <w:sz w:val="24"/>
          <w:szCs w:val="24"/>
        </w:rPr>
        <w:t xml:space="preserve">14. </w:t>
      </w:r>
    </w:p>
    <w:p w14:paraId="07D0F9AE" w14:textId="353B636D" w:rsidR="00021535" w:rsidRPr="00BE4094" w:rsidRDefault="00021535" w:rsidP="00FC5CBE">
      <w:pPr>
        <w:spacing w:line="240" w:lineRule="auto"/>
        <w:ind w:left="680" w:hanging="720"/>
        <w:rPr>
          <w:rFonts w:asciiTheme="minorBidi" w:eastAsia="system-ui" w:hAnsiTheme="minorBidi"/>
          <w:color w:val="000000" w:themeColor="text1"/>
          <w:sz w:val="24"/>
          <w:szCs w:val="24"/>
        </w:rPr>
      </w:pPr>
      <w:r w:rsidRPr="00BE4094">
        <w:rPr>
          <w:rFonts w:asciiTheme="minorBidi" w:eastAsia="system-ui" w:hAnsiTheme="minorBidi"/>
          <w:color w:val="000000" w:themeColor="text1"/>
          <w:sz w:val="24"/>
          <w:szCs w:val="24"/>
        </w:rPr>
        <w:t>Patsios, D</w:t>
      </w:r>
      <w:r w:rsidR="005E63EB" w:rsidRPr="00BE4094">
        <w:rPr>
          <w:rFonts w:asciiTheme="minorBidi" w:eastAsia="system-ui" w:hAnsiTheme="minorBidi"/>
          <w:color w:val="000000" w:themeColor="text1"/>
          <w:sz w:val="24"/>
          <w:szCs w:val="24"/>
        </w:rPr>
        <w:t xml:space="preserve"> and</w:t>
      </w:r>
      <w:r w:rsidRPr="00BE4094">
        <w:rPr>
          <w:rFonts w:asciiTheme="minorBidi" w:eastAsia="system-ui" w:hAnsiTheme="minorBidi"/>
          <w:color w:val="000000" w:themeColor="text1"/>
          <w:sz w:val="24"/>
          <w:szCs w:val="24"/>
        </w:rPr>
        <w:t xml:space="preserve"> Venkatesh, V. (2020). ‘Digital learning artifacts and student satisfaction with online </w:t>
      </w:r>
      <w:proofErr w:type="gramStart"/>
      <w:r w:rsidRPr="00BE4094">
        <w:rPr>
          <w:rFonts w:asciiTheme="minorBidi" w:eastAsia="system-ui" w:hAnsiTheme="minorBidi"/>
          <w:color w:val="000000" w:themeColor="text1"/>
          <w:sz w:val="24"/>
          <w:szCs w:val="24"/>
        </w:rPr>
        <w:t>courses’</w:t>
      </w:r>
      <w:proofErr w:type="gramEnd"/>
      <w:r w:rsidRPr="00BE4094">
        <w:rPr>
          <w:rFonts w:asciiTheme="minorBidi" w:eastAsia="system-ui" w:hAnsiTheme="minorBidi"/>
          <w:color w:val="000000" w:themeColor="text1"/>
          <w:sz w:val="24"/>
          <w:szCs w:val="24"/>
        </w:rPr>
        <w:t xml:space="preserve">. </w:t>
      </w:r>
      <w:r w:rsidRPr="00BE4094">
        <w:rPr>
          <w:rFonts w:asciiTheme="minorBidi" w:eastAsia="system-ui" w:hAnsiTheme="minorBidi"/>
          <w:i/>
          <w:iCs/>
          <w:color w:val="000000" w:themeColor="text1"/>
          <w:sz w:val="24"/>
          <w:szCs w:val="24"/>
        </w:rPr>
        <w:t xml:space="preserve">Computers in Human </w:t>
      </w:r>
      <w:r w:rsidR="005E63EB" w:rsidRPr="00BE4094">
        <w:rPr>
          <w:rFonts w:asciiTheme="minorBidi" w:eastAsia="system-ui" w:hAnsiTheme="minorBidi"/>
          <w:i/>
          <w:iCs/>
          <w:color w:val="000000" w:themeColor="text1"/>
          <w:sz w:val="24"/>
          <w:szCs w:val="24"/>
        </w:rPr>
        <w:t>Behaviour</w:t>
      </w:r>
      <w:r w:rsidRPr="00BE4094">
        <w:rPr>
          <w:rFonts w:asciiTheme="minorBidi" w:eastAsia="system-ui" w:hAnsiTheme="minorBidi"/>
          <w:color w:val="000000" w:themeColor="text1"/>
          <w:sz w:val="24"/>
          <w:szCs w:val="24"/>
        </w:rPr>
        <w:t>, 112, 106481.</w:t>
      </w:r>
    </w:p>
    <w:p w14:paraId="77072DF9" w14:textId="045906B3" w:rsidR="00021535" w:rsidRPr="00384818" w:rsidRDefault="00021535" w:rsidP="00FC5CBE">
      <w:pPr>
        <w:spacing w:line="240" w:lineRule="auto"/>
        <w:ind w:left="680" w:hanging="720"/>
        <w:rPr>
          <w:rFonts w:asciiTheme="minorBidi" w:eastAsia="system-ui" w:hAnsiTheme="minorBidi"/>
          <w:color w:val="000000" w:themeColor="text1"/>
          <w:sz w:val="24"/>
          <w:szCs w:val="24"/>
        </w:rPr>
      </w:pPr>
      <w:r w:rsidRPr="00384818">
        <w:rPr>
          <w:rFonts w:asciiTheme="minorBidi" w:eastAsia="system-ui" w:hAnsiTheme="minorBidi"/>
          <w:color w:val="000000" w:themeColor="text1"/>
          <w:sz w:val="24"/>
          <w:szCs w:val="24"/>
        </w:rPr>
        <w:t>Peterson, M</w:t>
      </w:r>
      <w:r w:rsidR="005E63EB" w:rsidRPr="00BE4094">
        <w:rPr>
          <w:rFonts w:asciiTheme="minorBidi" w:eastAsia="system-ui" w:hAnsiTheme="minorBidi"/>
          <w:color w:val="000000" w:themeColor="text1"/>
          <w:sz w:val="24"/>
          <w:szCs w:val="24"/>
        </w:rPr>
        <w:t xml:space="preserve"> and</w:t>
      </w:r>
      <w:r w:rsidRPr="00384818">
        <w:rPr>
          <w:rFonts w:asciiTheme="minorBidi" w:eastAsia="system-ui" w:hAnsiTheme="minorBidi"/>
          <w:color w:val="000000" w:themeColor="text1"/>
          <w:sz w:val="24"/>
          <w:szCs w:val="24"/>
        </w:rPr>
        <w:t xml:space="preserve"> McClay, J. (2012). </w:t>
      </w:r>
      <w:r w:rsidR="005E63EB" w:rsidRPr="00BE4094">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Teaching with Interactive Whiteboards: Engaging Students with Interactive Technology.</w:t>
      </w:r>
      <w:r w:rsidR="005E63EB" w:rsidRPr="00BE4094">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 xml:space="preserve"> </w:t>
      </w:r>
      <w:r w:rsidRPr="00384818">
        <w:rPr>
          <w:rFonts w:asciiTheme="minorBidi" w:eastAsia="system-ui" w:hAnsiTheme="minorBidi"/>
          <w:i/>
          <w:iCs/>
          <w:color w:val="000000" w:themeColor="text1"/>
          <w:sz w:val="24"/>
          <w:szCs w:val="24"/>
        </w:rPr>
        <w:t>Journal of Educational Technology Systems</w:t>
      </w:r>
      <w:r w:rsidRPr="00384818">
        <w:rPr>
          <w:rFonts w:asciiTheme="minorBidi" w:eastAsia="system-ui" w:hAnsiTheme="minorBidi"/>
          <w:color w:val="000000" w:themeColor="text1"/>
          <w:sz w:val="24"/>
          <w:szCs w:val="24"/>
        </w:rPr>
        <w:t>, 41(1), 25-47.</w:t>
      </w:r>
    </w:p>
    <w:p w14:paraId="697B9846" w14:textId="0CBEB1A0" w:rsidR="00021535" w:rsidRPr="00BE4094" w:rsidRDefault="00021535" w:rsidP="00FC5CBE">
      <w:pPr>
        <w:spacing w:line="240" w:lineRule="auto"/>
        <w:ind w:left="680" w:hanging="720"/>
        <w:rPr>
          <w:rFonts w:asciiTheme="minorBidi" w:eastAsia="system-ui" w:hAnsiTheme="minorBidi"/>
          <w:color w:val="000000" w:themeColor="text1"/>
          <w:sz w:val="24"/>
          <w:szCs w:val="24"/>
        </w:rPr>
      </w:pPr>
      <w:r w:rsidRPr="00BE4094">
        <w:rPr>
          <w:rFonts w:asciiTheme="minorBidi" w:eastAsia="system-ui" w:hAnsiTheme="minorBidi"/>
          <w:color w:val="000000" w:themeColor="text1"/>
          <w:sz w:val="24"/>
          <w:szCs w:val="24"/>
        </w:rPr>
        <w:t xml:space="preserve">Pritchard, R. J. (2018). ‘Understanding Education Policy: The ‘Four Education Orientations’ Framework’. </w:t>
      </w:r>
      <w:r w:rsidRPr="00BE4094">
        <w:rPr>
          <w:rFonts w:asciiTheme="minorBidi" w:eastAsia="system-ui" w:hAnsiTheme="minorBidi"/>
          <w:i/>
          <w:iCs/>
          <w:color w:val="000000" w:themeColor="text1"/>
          <w:sz w:val="24"/>
          <w:szCs w:val="24"/>
        </w:rPr>
        <w:t>Educational Research</w:t>
      </w:r>
      <w:r w:rsidRPr="00BE4094">
        <w:rPr>
          <w:rFonts w:asciiTheme="minorBidi" w:eastAsia="system-ui" w:hAnsiTheme="minorBidi"/>
          <w:color w:val="000000" w:themeColor="text1"/>
          <w:sz w:val="24"/>
          <w:szCs w:val="24"/>
        </w:rPr>
        <w:t xml:space="preserve">, 60(4), 393–411. </w:t>
      </w:r>
      <w:r w:rsidR="005E63EB" w:rsidRPr="00BE4094">
        <w:rPr>
          <w:rFonts w:asciiTheme="minorBidi" w:eastAsia="system-ui" w:hAnsiTheme="minorBidi"/>
          <w:color w:val="000000" w:themeColor="text1"/>
          <w:sz w:val="24"/>
          <w:szCs w:val="24"/>
        </w:rPr>
        <w:t xml:space="preserve">DOI: </w:t>
      </w:r>
      <w:hyperlink r:id="rId16" w:history="1">
        <w:r w:rsidR="005E63EB" w:rsidRPr="00BE4094">
          <w:rPr>
            <w:rStyle w:val="Hyperlink"/>
            <w:rFonts w:asciiTheme="minorBidi" w:eastAsia="system-ui" w:hAnsiTheme="minorBidi"/>
            <w:sz w:val="24"/>
            <w:szCs w:val="24"/>
          </w:rPr>
          <w:t>https://doi.org/10.1080/00131881.2018.1506996</w:t>
        </w:r>
      </w:hyperlink>
    </w:p>
    <w:p w14:paraId="458DA825" w14:textId="4F83A102" w:rsidR="00021535" w:rsidRPr="00FC5CBE" w:rsidRDefault="00021535" w:rsidP="00FC5CBE">
      <w:pPr>
        <w:spacing w:line="240" w:lineRule="auto"/>
        <w:ind w:left="680" w:hanging="720"/>
        <w:rPr>
          <w:rStyle w:val="Hyperlink"/>
          <w:rFonts w:asciiTheme="minorBidi" w:eastAsia="system-ui" w:hAnsiTheme="minorBidi"/>
          <w:sz w:val="24"/>
          <w:szCs w:val="24"/>
        </w:rPr>
      </w:pPr>
      <w:r w:rsidRPr="00FC5CBE">
        <w:rPr>
          <w:rFonts w:asciiTheme="minorBidi" w:eastAsia="system-ui" w:hAnsiTheme="minorBidi"/>
          <w:color w:val="000000" w:themeColor="text1"/>
          <w:sz w:val="24"/>
          <w:szCs w:val="24"/>
          <w:lang w:val="fr-FR"/>
        </w:rPr>
        <w:t xml:space="preserve">Qualifications Wales. (2022). </w:t>
      </w:r>
      <w:r w:rsidRPr="00FC5CBE">
        <w:rPr>
          <w:rFonts w:asciiTheme="minorBidi" w:eastAsia="system-ui" w:hAnsiTheme="minorBidi"/>
          <w:i/>
          <w:iCs/>
          <w:color w:val="000000" w:themeColor="text1"/>
          <w:sz w:val="24"/>
          <w:szCs w:val="24"/>
          <w:lang w:val="fr-FR"/>
        </w:rPr>
        <w:t>Post-16 qualifications review</w:t>
      </w:r>
      <w:r w:rsidRPr="00FC5CBE">
        <w:rPr>
          <w:rFonts w:asciiTheme="minorBidi" w:eastAsia="system-ui" w:hAnsiTheme="minorBidi"/>
          <w:color w:val="000000" w:themeColor="text1"/>
          <w:sz w:val="24"/>
          <w:szCs w:val="24"/>
          <w:lang w:val="fr-FR"/>
        </w:rPr>
        <w:t xml:space="preserve">. </w:t>
      </w:r>
      <w:r w:rsidRPr="00FC5CBE">
        <w:rPr>
          <w:rFonts w:asciiTheme="minorBidi" w:eastAsia="system-ui" w:hAnsiTheme="minorBidi"/>
          <w:color w:val="000000" w:themeColor="text1"/>
          <w:sz w:val="24"/>
          <w:szCs w:val="24"/>
        </w:rPr>
        <w:t xml:space="preserve">Available at: </w:t>
      </w:r>
      <w:hyperlink r:id="rId17">
        <w:r w:rsidRPr="00FC5CBE">
          <w:rPr>
            <w:rStyle w:val="Hyperlink"/>
            <w:rFonts w:asciiTheme="minorBidi" w:eastAsia="system-ui" w:hAnsiTheme="minorBidi"/>
            <w:sz w:val="24"/>
            <w:szCs w:val="24"/>
          </w:rPr>
          <w:t>https://www.qualificationswales.org/english/improving-qualifications/post-16-qualifications-review/</w:t>
        </w:r>
      </w:hyperlink>
      <w:r w:rsidR="005E63EB" w:rsidRPr="00FC5CBE">
        <w:rPr>
          <w:rStyle w:val="Hyperlink"/>
          <w:rFonts w:asciiTheme="minorBidi" w:eastAsia="system-ui" w:hAnsiTheme="minorBidi"/>
          <w:sz w:val="24"/>
          <w:szCs w:val="24"/>
        </w:rPr>
        <w:t xml:space="preserve"> </w:t>
      </w:r>
      <w:r w:rsidR="00BE4094" w:rsidRPr="00FC5CBE">
        <w:rPr>
          <w:rStyle w:val="Hyperlink"/>
          <w:rFonts w:asciiTheme="minorBidi" w:eastAsia="system-ui" w:hAnsiTheme="minorBidi"/>
          <w:color w:val="auto"/>
          <w:sz w:val="24"/>
          <w:szCs w:val="24"/>
          <w:u w:val="none"/>
        </w:rPr>
        <w:t xml:space="preserve">(Accessed: </w:t>
      </w:r>
      <w:r w:rsidR="0099722E" w:rsidRPr="00FC5CBE">
        <w:rPr>
          <w:rStyle w:val="Hyperlink"/>
          <w:rFonts w:asciiTheme="minorBidi" w:eastAsia="system-ui" w:hAnsiTheme="minorBidi"/>
          <w:color w:val="auto"/>
          <w:sz w:val="24"/>
          <w:szCs w:val="24"/>
          <w:u w:val="none"/>
        </w:rPr>
        <w:t>11 March 2024)</w:t>
      </w:r>
    </w:p>
    <w:p w14:paraId="667870CD"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lastRenderedPageBreak/>
        <w:t xml:space="preserve">Rosen, L. D., Carrier, L. M and Cheever, N. A. (2015). ‘Multitasking across generations: Multitasking choices and difficulty ratings in three generations of Americans.’ </w:t>
      </w:r>
      <w:r w:rsidRPr="0099722E">
        <w:rPr>
          <w:rFonts w:asciiTheme="minorBidi" w:eastAsia="system-ui" w:hAnsiTheme="minorBidi"/>
          <w:i/>
          <w:iCs/>
          <w:color w:val="000000" w:themeColor="text1"/>
          <w:sz w:val="24"/>
          <w:szCs w:val="24"/>
        </w:rPr>
        <w:t>Computers in Human Behaviour</w:t>
      </w:r>
      <w:r w:rsidRPr="0099000F">
        <w:rPr>
          <w:rFonts w:asciiTheme="minorBidi" w:eastAsia="system-ui" w:hAnsiTheme="minorBidi"/>
          <w:color w:val="000000" w:themeColor="text1"/>
          <w:sz w:val="24"/>
          <w:szCs w:val="24"/>
        </w:rPr>
        <w:t>, 51, pp. 273-280.</w:t>
      </w:r>
    </w:p>
    <w:p w14:paraId="358C4EC0" w14:textId="2CA9AC16"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F00526">
        <w:rPr>
          <w:rFonts w:asciiTheme="minorBidi" w:eastAsia="system-ui" w:hAnsiTheme="minorBidi"/>
          <w:color w:val="000000" w:themeColor="text1"/>
          <w:sz w:val="24"/>
          <w:szCs w:val="24"/>
        </w:rPr>
        <w:t>Rosen, L. D., Carrier, L. M</w:t>
      </w:r>
      <w:r w:rsidR="0099722E" w:rsidRPr="00F00526">
        <w:rPr>
          <w:rFonts w:asciiTheme="minorBidi" w:eastAsia="system-ui" w:hAnsiTheme="minorBidi"/>
          <w:color w:val="000000" w:themeColor="text1"/>
          <w:sz w:val="24"/>
          <w:szCs w:val="24"/>
        </w:rPr>
        <w:t xml:space="preserve"> and</w:t>
      </w:r>
      <w:r w:rsidRPr="00F00526">
        <w:rPr>
          <w:rFonts w:asciiTheme="minorBidi" w:eastAsia="system-ui" w:hAnsiTheme="minorBidi"/>
          <w:color w:val="000000" w:themeColor="text1"/>
          <w:sz w:val="24"/>
          <w:szCs w:val="24"/>
        </w:rPr>
        <w:t xml:space="preserve"> Cheever, N. A. (2018). </w:t>
      </w:r>
      <w:r w:rsidRPr="0099000F">
        <w:rPr>
          <w:rFonts w:asciiTheme="minorBidi" w:eastAsia="system-ui" w:hAnsiTheme="minorBidi"/>
          <w:color w:val="000000" w:themeColor="text1"/>
          <w:sz w:val="24"/>
          <w:szCs w:val="24"/>
        </w:rPr>
        <w:t xml:space="preserve">‘Facebook and texting made me do it: Media-induced task-switching while studying.’ </w:t>
      </w:r>
      <w:r w:rsidRPr="00F00526">
        <w:rPr>
          <w:rFonts w:asciiTheme="minorBidi" w:eastAsia="system-ui" w:hAnsiTheme="minorBidi"/>
          <w:i/>
          <w:iCs/>
          <w:color w:val="000000" w:themeColor="text1"/>
          <w:sz w:val="24"/>
          <w:szCs w:val="24"/>
        </w:rPr>
        <w:t xml:space="preserve">Computers in Human </w:t>
      </w:r>
      <w:r w:rsidR="00F00526" w:rsidRPr="00F00526">
        <w:rPr>
          <w:rFonts w:asciiTheme="minorBidi" w:eastAsia="system-ui" w:hAnsiTheme="minorBidi"/>
          <w:i/>
          <w:iCs/>
          <w:color w:val="000000" w:themeColor="text1"/>
          <w:sz w:val="24"/>
          <w:szCs w:val="24"/>
        </w:rPr>
        <w:t>Behaviour</w:t>
      </w:r>
      <w:r w:rsidRPr="00F00526">
        <w:rPr>
          <w:rFonts w:asciiTheme="minorBidi" w:eastAsia="system-ui" w:hAnsiTheme="minorBidi"/>
          <w:i/>
          <w:iCs/>
          <w:color w:val="000000" w:themeColor="text1"/>
          <w:sz w:val="24"/>
          <w:szCs w:val="24"/>
        </w:rPr>
        <w:t>,</w:t>
      </w:r>
      <w:r w:rsidRPr="0099000F">
        <w:rPr>
          <w:rFonts w:asciiTheme="minorBidi" w:eastAsia="system-ui" w:hAnsiTheme="minorBidi"/>
          <w:color w:val="000000" w:themeColor="text1"/>
          <w:sz w:val="24"/>
          <w:szCs w:val="24"/>
        </w:rPr>
        <w:t xml:space="preserve"> 82, pp. 156-164.</w:t>
      </w:r>
    </w:p>
    <w:p w14:paraId="62B5F344" w14:textId="67CC436F"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hint="eastAsia"/>
          <w:color w:val="000000" w:themeColor="text1"/>
          <w:sz w:val="24"/>
          <w:szCs w:val="24"/>
        </w:rPr>
        <w:t>Selwyn, N and Bulfin, S. (2018)</w:t>
      </w:r>
      <w:r w:rsidR="00F00526">
        <w:rPr>
          <w:rFonts w:asciiTheme="minorBidi" w:eastAsia="system-ui" w:hAnsiTheme="minorBidi"/>
          <w:color w:val="000000" w:themeColor="text1"/>
          <w:sz w:val="24"/>
          <w:szCs w:val="24"/>
        </w:rPr>
        <w:t xml:space="preserve"> ‘</w:t>
      </w:r>
      <w:r w:rsidRPr="0099000F">
        <w:rPr>
          <w:rFonts w:asciiTheme="minorBidi" w:eastAsia="system-ui" w:hAnsiTheme="minorBidi" w:hint="eastAsia"/>
          <w:color w:val="000000" w:themeColor="text1"/>
          <w:sz w:val="24"/>
          <w:szCs w:val="24"/>
        </w:rPr>
        <w:t>Exploring school</w:t>
      </w:r>
      <w:r w:rsidRPr="0099000F">
        <w:rPr>
          <w:rFonts w:asciiTheme="minorBidi" w:eastAsia="system-ui" w:hAnsiTheme="minorBidi" w:hint="eastAsia"/>
          <w:color w:val="000000" w:themeColor="text1"/>
          <w:sz w:val="24"/>
          <w:szCs w:val="24"/>
        </w:rPr>
        <w:t>‐</w:t>
      </w:r>
      <w:r w:rsidRPr="0099000F">
        <w:rPr>
          <w:rFonts w:asciiTheme="minorBidi" w:eastAsia="system-ui" w:hAnsiTheme="minorBidi" w:hint="eastAsia"/>
          <w:color w:val="000000" w:themeColor="text1"/>
          <w:sz w:val="24"/>
          <w:szCs w:val="24"/>
        </w:rPr>
        <w:t>based technology use from a critical perspective: A sociomaterial approach.</w:t>
      </w:r>
      <w:r w:rsidR="00F00526">
        <w:rPr>
          <w:rFonts w:asciiTheme="minorBidi" w:hAnsiTheme="minorBidi"/>
          <w:color w:val="000000" w:themeColor="text1"/>
          <w:sz w:val="24"/>
          <w:szCs w:val="24"/>
        </w:rPr>
        <w:t xml:space="preserve">’ </w:t>
      </w:r>
      <w:r w:rsidRPr="00F00526">
        <w:rPr>
          <w:rFonts w:asciiTheme="minorBidi" w:eastAsia="system-ui" w:hAnsiTheme="minorBidi" w:hint="eastAsia"/>
          <w:i/>
          <w:iCs/>
          <w:color w:val="000000" w:themeColor="text1"/>
          <w:sz w:val="24"/>
          <w:szCs w:val="24"/>
        </w:rPr>
        <w:t>Oxford Review of Education</w:t>
      </w:r>
      <w:r w:rsidRPr="0099000F">
        <w:rPr>
          <w:rFonts w:asciiTheme="minorBidi" w:eastAsia="system-ui" w:hAnsiTheme="minorBidi" w:hint="eastAsia"/>
          <w:color w:val="000000" w:themeColor="text1"/>
          <w:sz w:val="24"/>
          <w:szCs w:val="24"/>
        </w:rPr>
        <w:t>, 44(3), 303</w:t>
      </w:r>
      <w:r w:rsidRPr="0099000F">
        <w:rPr>
          <w:rFonts w:asciiTheme="minorBidi" w:eastAsia="system-ui" w:hAnsiTheme="minorBidi" w:hint="eastAsia"/>
          <w:color w:val="000000" w:themeColor="text1"/>
          <w:sz w:val="24"/>
          <w:szCs w:val="24"/>
        </w:rPr>
        <w:t>–</w:t>
      </w:r>
      <w:r w:rsidRPr="0099000F">
        <w:rPr>
          <w:rFonts w:asciiTheme="minorBidi" w:eastAsia="system-ui" w:hAnsiTheme="minorBidi" w:hint="eastAsia"/>
          <w:color w:val="000000" w:themeColor="text1"/>
          <w:sz w:val="24"/>
          <w:szCs w:val="24"/>
        </w:rPr>
        <w:t>318.</w:t>
      </w:r>
    </w:p>
    <w:p w14:paraId="79425789"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Selwyn, N. (2016). </w:t>
      </w:r>
      <w:r w:rsidRPr="00F00526">
        <w:rPr>
          <w:rFonts w:asciiTheme="minorBidi" w:eastAsia="system-ui" w:hAnsiTheme="minorBidi"/>
          <w:i/>
          <w:iCs/>
          <w:color w:val="000000" w:themeColor="text1"/>
          <w:sz w:val="24"/>
          <w:szCs w:val="24"/>
        </w:rPr>
        <w:t>Education and technology: Key issues and debates</w:t>
      </w:r>
      <w:r w:rsidRPr="0099000F">
        <w:rPr>
          <w:rFonts w:asciiTheme="minorBidi" w:eastAsia="system-ui" w:hAnsiTheme="minorBidi"/>
          <w:color w:val="000000" w:themeColor="text1"/>
          <w:sz w:val="24"/>
          <w:szCs w:val="24"/>
        </w:rPr>
        <w:t>. Bloomsbury Publishing.</w:t>
      </w:r>
    </w:p>
    <w:p w14:paraId="012508D3" w14:textId="11139AA2"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Sharma, P and Tietjen, P. (2016).’ Examining patterns of participation and meaning making in student blogs: A case study in higher education.’ </w:t>
      </w:r>
      <w:r w:rsidRPr="00F00526">
        <w:rPr>
          <w:rFonts w:asciiTheme="minorBidi" w:eastAsia="system-ui" w:hAnsiTheme="minorBidi"/>
          <w:i/>
          <w:iCs/>
          <w:color w:val="000000" w:themeColor="text1"/>
          <w:sz w:val="24"/>
          <w:szCs w:val="24"/>
        </w:rPr>
        <w:t>American Journal of Distance Education</w:t>
      </w:r>
      <w:r w:rsidRPr="0099000F">
        <w:rPr>
          <w:rFonts w:asciiTheme="minorBidi" w:eastAsia="system-ui" w:hAnsiTheme="minorBidi"/>
          <w:color w:val="000000" w:themeColor="text1"/>
          <w:sz w:val="24"/>
          <w:szCs w:val="24"/>
        </w:rPr>
        <w:t xml:space="preserve">, 30(1), 2–13 </w:t>
      </w:r>
      <w:r w:rsidR="00F00526">
        <w:rPr>
          <w:rFonts w:asciiTheme="minorBidi" w:eastAsia="system-ui" w:hAnsiTheme="minorBidi"/>
          <w:color w:val="000000" w:themeColor="text1"/>
          <w:sz w:val="24"/>
          <w:szCs w:val="24"/>
        </w:rPr>
        <w:t xml:space="preserve">DOI: </w:t>
      </w:r>
      <w:r w:rsidRPr="0099000F">
        <w:rPr>
          <w:rFonts w:asciiTheme="minorBidi" w:eastAsia="system-ui" w:hAnsiTheme="minorBidi"/>
          <w:color w:val="000000" w:themeColor="text1"/>
          <w:sz w:val="24"/>
          <w:szCs w:val="24"/>
        </w:rPr>
        <w:t>http://dx.doi.org/10.1080/08923647.2016. 1119605</w:t>
      </w:r>
    </w:p>
    <w:p w14:paraId="04D0496B"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Sharma, S. K and Tietjen, B. J. (2016). ‘Integrating blogs into the curriculum: A practical approach.’ Decision Sciences </w:t>
      </w:r>
      <w:r w:rsidRPr="00F00526">
        <w:rPr>
          <w:rFonts w:asciiTheme="minorBidi" w:eastAsia="system-ui" w:hAnsiTheme="minorBidi"/>
          <w:i/>
          <w:iCs/>
          <w:color w:val="000000" w:themeColor="text1"/>
          <w:sz w:val="24"/>
          <w:szCs w:val="24"/>
        </w:rPr>
        <w:t>Journal of Innovative Education,</w:t>
      </w:r>
      <w:r w:rsidRPr="0099000F">
        <w:rPr>
          <w:rFonts w:asciiTheme="minorBidi" w:eastAsia="system-ui" w:hAnsiTheme="minorBidi"/>
          <w:color w:val="000000" w:themeColor="text1"/>
          <w:sz w:val="24"/>
          <w:szCs w:val="24"/>
        </w:rPr>
        <w:t xml:space="preserve"> 14(4), pp. 453–474.</w:t>
      </w:r>
    </w:p>
    <w:p w14:paraId="459D3B47" w14:textId="77777777" w:rsidR="00021535" w:rsidRPr="00F63C9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Siddique, S., Ling, K. C., Roberson, D. N., Xu, L., and Geng, X. (2013). ‘Role of </w:t>
      </w:r>
      <w:r w:rsidRPr="00F63C9F">
        <w:rPr>
          <w:rFonts w:asciiTheme="minorBidi" w:eastAsia="system-ui" w:hAnsiTheme="minorBidi"/>
          <w:color w:val="000000" w:themeColor="text1"/>
          <w:sz w:val="24"/>
          <w:szCs w:val="24"/>
        </w:rPr>
        <w:t xml:space="preserve">motivation in car simulator game-based learning.’ </w:t>
      </w:r>
      <w:r w:rsidRPr="00F63C9F">
        <w:rPr>
          <w:rFonts w:asciiTheme="minorBidi" w:eastAsia="system-ui" w:hAnsiTheme="minorBidi"/>
          <w:i/>
          <w:iCs/>
          <w:color w:val="000000" w:themeColor="text1"/>
          <w:sz w:val="24"/>
          <w:szCs w:val="24"/>
        </w:rPr>
        <w:t>Computers and Education</w:t>
      </w:r>
      <w:r w:rsidRPr="00F63C9F">
        <w:rPr>
          <w:rFonts w:asciiTheme="minorBidi" w:eastAsia="system-ui" w:hAnsiTheme="minorBidi"/>
          <w:color w:val="000000" w:themeColor="text1"/>
          <w:sz w:val="24"/>
          <w:szCs w:val="24"/>
        </w:rPr>
        <w:t>, 60(1), 31–44.</w:t>
      </w:r>
    </w:p>
    <w:p w14:paraId="3BF7FAFA" w14:textId="77777777" w:rsidR="00021535" w:rsidRPr="00F63C9F" w:rsidRDefault="00021535" w:rsidP="00FC5CBE">
      <w:pPr>
        <w:spacing w:line="240" w:lineRule="auto"/>
        <w:ind w:left="680" w:hanging="720"/>
        <w:rPr>
          <w:rFonts w:asciiTheme="minorBidi" w:eastAsia="system-ui" w:hAnsiTheme="minorBidi"/>
          <w:color w:val="000000" w:themeColor="text1"/>
          <w:sz w:val="24"/>
          <w:szCs w:val="24"/>
        </w:rPr>
      </w:pPr>
      <w:r w:rsidRPr="00F63C9F">
        <w:rPr>
          <w:rFonts w:asciiTheme="minorBidi" w:eastAsia="system-ui" w:hAnsiTheme="minorBidi"/>
          <w:color w:val="000000" w:themeColor="text1"/>
          <w:sz w:val="24"/>
          <w:szCs w:val="24"/>
        </w:rPr>
        <w:t xml:space="preserve">Siddique, Z., Ling, C., Roberson, P., Xu, Y and Geng, X. (2013). ‘Facilitating higher-order learning through computer games.’ </w:t>
      </w:r>
      <w:r w:rsidRPr="00F63C9F">
        <w:rPr>
          <w:rFonts w:asciiTheme="minorBidi" w:eastAsia="system-ui" w:hAnsiTheme="minorBidi"/>
          <w:i/>
          <w:iCs/>
          <w:color w:val="000000" w:themeColor="text1"/>
          <w:sz w:val="24"/>
          <w:szCs w:val="24"/>
        </w:rPr>
        <w:t>Journal of Mechanical Design</w:t>
      </w:r>
      <w:r w:rsidRPr="00F63C9F">
        <w:rPr>
          <w:rFonts w:asciiTheme="minorBidi" w:eastAsia="system-ui" w:hAnsiTheme="minorBidi"/>
          <w:color w:val="000000" w:themeColor="text1"/>
          <w:sz w:val="24"/>
          <w:szCs w:val="24"/>
        </w:rPr>
        <w:t>, 135(12).</w:t>
      </w:r>
    </w:p>
    <w:p w14:paraId="33641DCA" w14:textId="30FD64CF" w:rsidR="00021535" w:rsidRPr="00F63C9F" w:rsidRDefault="00021535" w:rsidP="00FC5CBE">
      <w:pPr>
        <w:spacing w:line="240" w:lineRule="auto"/>
        <w:ind w:left="680" w:hanging="720"/>
        <w:rPr>
          <w:rFonts w:asciiTheme="minorBidi" w:eastAsia="system-ui" w:hAnsiTheme="minorBidi"/>
          <w:color w:val="000000" w:themeColor="text1"/>
          <w:sz w:val="24"/>
          <w:szCs w:val="24"/>
        </w:rPr>
      </w:pPr>
      <w:r w:rsidRPr="00F63C9F">
        <w:rPr>
          <w:rFonts w:asciiTheme="minorBidi" w:eastAsia="system-ui" w:hAnsiTheme="minorBidi"/>
          <w:color w:val="000000" w:themeColor="text1"/>
          <w:sz w:val="24"/>
          <w:szCs w:val="24"/>
          <w:lang w:val="de-DE"/>
        </w:rPr>
        <w:t>Sitzmann, T., Kraiger, K., Stewart, D</w:t>
      </w:r>
      <w:r w:rsidR="00F00526" w:rsidRPr="00F63C9F">
        <w:rPr>
          <w:rFonts w:asciiTheme="minorBidi" w:eastAsia="system-ui" w:hAnsiTheme="minorBidi"/>
          <w:color w:val="000000" w:themeColor="text1"/>
          <w:sz w:val="24"/>
          <w:szCs w:val="24"/>
          <w:lang w:val="de-DE"/>
        </w:rPr>
        <w:t xml:space="preserve"> and</w:t>
      </w:r>
      <w:r w:rsidRPr="00F63C9F">
        <w:rPr>
          <w:rFonts w:asciiTheme="minorBidi" w:eastAsia="system-ui" w:hAnsiTheme="minorBidi"/>
          <w:color w:val="000000" w:themeColor="text1"/>
          <w:sz w:val="24"/>
          <w:szCs w:val="24"/>
          <w:lang w:val="de-DE"/>
        </w:rPr>
        <w:t xml:space="preserve"> Wisher, R. (2006). </w:t>
      </w:r>
      <w:r w:rsidR="00F00526" w:rsidRPr="00F63C9F">
        <w:rPr>
          <w:rFonts w:asciiTheme="minorBidi" w:eastAsia="system-ui" w:hAnsiTheme="minorBidi"/>
          <w:color w:val="000000" w:themeColor="text1"/>
          <w:sz w:val="24"/>
          <w:szCs w:val="24"/>
        </w:rPr>
        <w:t>‚</w:t>
      </w:r>
      <w:r w:rsidRPr="00F63C9F">
        <w:rPr>
          <w:rFonts w:asciiTheme="minorBidi" w:eastAsia="system-ui" w:hAnsiTheme="minorBidi"/>
          <w:color w:val="000000" w:themeColor="text1"/>
          <w:sz w:val="24"/>
          <w:szCs w:val="24"/>
        </w:rPr>
        <w:t>Using Technology to Increase Student Engagement in Postsecondary Education: A Meta-Analysis.</w:t>
      </w:r>
      <w:r w:rsidR="00F00526" w:rsidRPr="00F63C9F">
        <w:rPr>
          <w:rFonts w:asciiTheme="minorBidi" w:eastAsia="system-ui" w:hAnsiTheme="minorBidi"/>
          <w:color w:val="000000" w:themeColor="text1"/>
          <w:sz w:val="24"/>
          <w:szCs w:val="24"/>
        </w:rPr>
        <w:t>’</w:t>
      </w:r>
      <w:r w:rsidRPr="00F63C9F">
        <w:rPr>
          <w:rFonts w:asciiTheme="minorBidi" w:eastAsia="system-ui" w:hAnsiTheme="minorBidi"/>
          <w:color w:val="000000" w:themeColor="text1"/>
          <w:sz w:val="24"/>
          <w:szCs w:val="24"/>
        </w:rPr>
        <w:t xml:space="preserve"> </w:t>
      </w:r>
      <w:r w:rsidRPr="00F63C9F">
        <w:rPr>
          <w:rFonts w:asciiTheme="minorBidi" w:eastAsia="system-ui" w:hAnsiTheme="minorBidi"/>
          <w:i/>
          <w:iCs/>
          <w:color w:val="000000" w:themeColor="text1"/>
          <w:sz w:val="24"/>
          <w:szCs w:val="24"/>
        </w:rPr>
        <w:t>Review of Educational Research.</w:t>
      </w:r>
    </w:p>
    <w:p w14:paraId="22D7A77A" w14:textId="15920138" w:rsidR="00021535" w:rsidRPr="00384818" w:rsidRDefault="00021535" w:rsidP="00FC5CBE">
      <w:pPr>
        <w:spacing w:line="240" w:lineRule="auto"/>
        <w:ind w:left="680" w:hanging="720"/>
        <w:rPr>
          <w:rFonts w:asciiTheme="minorBidi" w:eastAsia="system-ui" w:hAnsiTheme="minorBidi"/>
          <w:color w:val="000000" w:themeColor="text1"/>
          <w:sz w:val="24"/>
          <w:szCs w:val="24"/>
        </w:rPr>
      </w:pPr>
      <w:r w:rsidRPr="00384818">
        <w:rPr>
          <w:rFonts w:asciiTheme="minorBidi" w:eastAsia="system-ui" w:hAnsiTheme="minorBidi"/>
          <w:color w:val="000000" w:themeColor="text1"/>
          <w:sz w:val="24"/>
          <w:szCs w:val="24"/>
        </w:rPr>
        <w:t xml:space="preserve">Somekh, B. (2007). </w:t>
      </w:r>
      <w:r w:rsidR="00F00526" w:rsidRPr="00F63C9F">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Factors Affecting Teachers' Pedagogical Adoption of ICT.</w:t>
      </w:r>
      <w:r w:rsidR="00F00526" w:rsidRPr="00F63C9F">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 xml:space="preserve"> In J. Voogt &amp; G. Knezek (Eds), </w:t>
      </w:r>
      <w:r w:rsidRPr="00384818">
        <w:rPr>
          <w:rFonts w:asciiTheme="minorBidi" w:eastAsia="system-ui" w:hAnsiTheme="minorBidi"/>
          <w:i/>
          <w:iCs/>
          <w:color w:val="000000" w:themeColor="text1"/>
          <w:sz w:val="24"/>
          <w:szCs w:val="24"/>
        </w:rPr>
        <w:t>International Handbook of Information Technology in Primary and Secondary Education</w:t>
      </w:r>
      <w:r w:rsidRPr="00384818">
        <w:rPr>
          <w:rFonts w:asciiTheme="minorBidi" w:eastAsia="system-ui" w:hAnsiTheme="minorBidi"/>
          <w:color w:val="000000" w:themeColor="text1"/>
          <w:sz w:val="24"/>
          <w:szCs w:val="24"/>
        </w:rPr>
        <w:t xml:space="preserve"> (pp. 449-460).</w:t>
      </w:r>
      <w:r w:rsidR="00F63C9F" w:rsidRPr="00F63C9F">
        <w:rPr>
          <w:rFonts w:asciiTheme="minorBidi" w:eastAsia="system-ui" w:hAnsiTheme="minorBidi"/>
          <w:color w:val="000000" w:themeColor="text1"/>
          <w:sz w:val="24"/>
          <w:szCs w:val="24"/>
        </w:rPr>
        <w:t xml:space="preserve"> USA:</w:t>
      </w:r>
      <w:r w:rsidRPr="00384818">
        <w:rPr>
          <w:rFonts w:asciiTheme="minorBidi" w:eastAsia="system-ui" w:hAnsiTheme="minorBidi"/>
          <w:color w:val="000000" w:themeColor="text1"/>
          <w:sz w:val="24"/>
          <w:szCs w:val="24"/>
        </w:rPr>
        <w:t xml:space="preserve"> Springer.</w:t>
      </w:r>
    </w:p>
    <w:p w14:paraId="4640A5AC"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Squire, K and Jenkins, H. (2003). ‘Harnessing the power of games in education.’ Insight, 3(1), 5–33.</w:t>
      </w:r>
    </w:p>
    <w:p w14:paraId="392093B9" w14:textId="62A867E8" w:rsidR="00021535" w:rsidRPr="00F63C9F" w:rsidRDefault="00021535" w:rsidP="00FC5CBE">
      <w:pPr>
        <w:spacing w:line="240" w:lineRule="auto"/>
        <w:ind w:left="680" w:hanging="720"/>
        <w:rPr>
          <w:rFonts w:asciiTheme="minorBidi" w:eastAsia="system-ui" w:hAnsiTheme="minorBidi"/>
          <w:color w:val="000000" w:themeColor="text1"/>
          <w:sz w:val="24"/>
          <w:szCs w:val="24"/>
        </w:rPr>
      </w:pPr>
      <w:r w:rsidRPr="00F63C9F">
        <w:rPr>
          <w:rFonts w:asciiTheme="minorBidi" w:eastAsia="system-ui" w:hAnsiTheme="minorBidi"/>
          <w:color w:val="000000" w:themeColor="text1"/>
          <w:sz w:val="24"/>
          <w:szCs w:val="24"/>
        </w:rPr>
        <w:t>Tang, Y</w:t>
      </w:r>
      <w:r w:rsidR="00F63C9F" w:rsidRPr="00F63C9F">
        <w:rPr>
          <w:rFonts w:asciiTheme="minorBidi" w:eastAsia="system-ui" w:hAnsiTheme="minorBidi"/>
          <w:color w:val="000000" w:themeColor="text1"/>
          <w:sz w:val="24"/>
          <w:szCs w:val="24"/>
        </w:rPr>
        <w:t xml:space="preserve"> and</w:t>
      </w:r>
      <w:r w:rsidRPr="00F63C9F">
        <w:rPr>
          <w:rFonts w:asciiTheme="minorBidi" w:eastAsia="system-ui" w:hAnsiTheme="minorBidi"/>
          <w:color w:val="000000" w:themeColor="text1"/>
          <w:sz w:val="24"/>
          <w:szCs w:val="24"/>
        </w:rPr>
        <w:t xml:space="preserve"> Hew, K. F. (2021). ‘Factors influencing students’ engaging and disengaging behaviors in a flipped classroom environment’. </w:t>
      </w:r>
      <w:r w:rsidRPr="00F63C9F">
        <w:rPr>
          <w:rFonts w:asciiTheme="minorBidi" w:eastAsia="system-ui" w:hAnsiTheme="minorBidi"/>
          <w:i/>
          <w:iCs/>
          <w:color w:val="000000" w:themeColor="text1"/>
          <w:sz w:val="24"/>
          <w:szCs w:val="24"/>
        </w:rPr>
        <w:t>Interactive Learning Environments,</w:t>
      </w:r>
      <w:r w:rsidRPr="00F63C9F">
        <w:rPr>
          <w:rFonts w:asciiTheme="minorBidi" w:eastAsia="system-ui" w:hAnsiTheme="minorBidi"/>
          <w:color w:val="000000" w:themeColor="text1"/>
          <w:sz w:val="24"/>
          <w:szCs w:val="24"/>
        </w:rPr>
        <w:t xml:space="preserve"> 1–17.</w:t>
      </w:r>
    </w:p>
    <w:p w14:paraId="31CFEAB0" w14:textId="2A82D32A" w:rsidR="00021535" w:rsidRPr="00384818" w:rsidRDefault="00021535" w:rsidP="00FC5CBE">
      <w:pPr>
        <w:spacing w:line="240" w:lineRule="auto"/>
        <w:ind w:left="680" w:hanging="720"/>
        <w:rPr>
          <w:rFonts w:asciiTheme="minorBidi" w:eastAsia="system-ui" w:hAnsiTheme="minorBidi"/>
          <w:color w:val="000000" w:themeColor="text1"/>
          <w:sz w:val="24"/>
          <w:szCs w:val="24"/>
        </w:rPr>
      </w:pPr>
      <w:r w:rsidRPr="00384818">
        <w:rPr>
          <w:rFonts w:asciiTheme="minorBidi" w:eastAsia="system-ui" w:hAnsiTheme="minorBidi"/>
          <w:color w:val="000000" w:themeColor="text1"/>
          <w:sz w:val="24"/>
          <w:szCs w:val="24"/>
        </w:rPr>
        <w:t xml:space="preserve">Taylor, J. (2000). </w:t>
      </w:r>
      <w:r w:rsidR="00F63C9F" w:rsidRPr="00F63C9F">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Developing the Web as an Educational Tool: Strategies for Higher Education.</w:t>
      </w:r>
      <w:r w:rsidR="00F63C9F" w:rsidRPr="00F63C9F">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 xml:space="preserve"> </w:t>
      </w:r>
      <w:r w:rsidRPr="00384818">
        <w:rPr>
          <w:rFonts w:asciiTheme="minorBidi" w:eastAsia="system-ui" w:hAnsiTheme="minorBidi"/>
          <w:i/>
          <w:iCs/>
          <w:color w:val="000000" w:themeColor="text1"/>
          <w:sz w:val="24"/>
          <w:szCs w:val="24"/>
        </w:rPr>
        <w:t>Information Services and Use</w:t>
      </w:r>
      <w:r w:rsidRPr="00384818">
        <w:rPr>
          <w:rFonts w:asciiTheme="minorBidi" w:eastAsia="system-ui" w:hAnsiTheme="minorBidi"/>
          <w:color w:val="000000" w:themeColor="text1"/>
          <w:sz w:val="24"/>
          <w:szCs w:val="24"/>
        </w:rPr>
        <w:t>, 20(2/3), 139-147.</w:t>
      </w:r>
    </w:p>
    <w:p w14:paraId="106B2A8C"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The Scottish Government (2015) Literature Review on the Impact of Digital Technology on Learning and Teaching. Available at: https://dera.ioe.ac.uk/id/eprint/24843/1/00489224.pdf (Accessed: 15 March 2024)</w:t>
      </w:r>
    </w:p>
    <w:p w14:paraId="7A4BF0B5" w14:textId="77777777" w:rsidR="00021535" w:rsidRPr="00F63C9F" w:rsidRDefault="00021535" w:rsidP="00FC5CBE">
      <w:pPr>
        <w:spacing w:line="240" w:lineRule="auto"/>
        <w:ind w:left="680" w:hanging="720"/>
        <w:rPr>
          <w:rFonts w:asciiTheme="minorBidi" w:eastAsia="system-ui" w:hAnsiTheme="minorBidi"/>
          <w:color w:val="000000" w:themeColor="text1"/>
          <w:sz w:val="24"/>
          <w:szCs w:val="24"/>
        </w:rPr>
      </w:pPr>
      <w:r w:rsidRPr="00F63C9F">
        <w:rPr>
          <w:rFonts w:asciiTheme="minorBidi" w:eastAsia="system-ui" w:hAnsiTheme="minorBidi"/>
          <w:color w:val="000000" w:themeColor="text1"/>
          <w:sz w:val="24"/>
          <w:szCs w:val="24"/>
        </w:rPr>
        <w:lastRenderedPageBreak/>
        <w:t xml:space="preserve">Thompson, R. (2021). ‘Teaching strategies in an online classroom: Exploring the experiences of teachers using the Zoom platform during the COVID-19 pandemic’. </w:t>
      </w:r>
      <w:r w:rsidRPr="00F63C9F">
        <w:rPr>
          <w:rFonts w:asciiTheme="minorBidi" w:eastAsia="system-ui" w:hAnsiTheme="minorBidi"/>
          <w:i/>
          <w:iCs/>
          <w:color w:val="000000" w:themeColor="text1"/>
          <w:sz w:val="24"/>
          <w:szCs w:val="24"/>
        </w:rPr>
        <w:t>Journal of Teaching and Learning with Technology</w:t>
      </w:r>
      <w:r w:rsidRPr="00F63C9F">
        <w:rPr>
          <w:rFonts w:asciiTheme="minorBidi" w:eastAsia="system-ui" w:hAnsiTheme="minorBidi"/>
          <w:color w:val="000000" w:themeColor="text1"/>
          <w:sz w:val="24"/>
          <w:szCs w:val="24"/>
        </w:rPr>
        <w:t>, 10(1), 47–59.</w:t>
      </w:r>
    </w:p>
    <w:p w14:paraId="4E5E4444" w14:textId="01DE9E39" w:rsidR="00021535" w:rsidRPr="00F63C9F" w:rsidRDefault="00021535" w:rsidP="00FC5CBE">
      <w:pPr>
        <w:spacing w:line="240" w:lineRule="auto"/>
        <w:ind w:left="680" w:hanging="720"/>
        <w:rPr>
          <w:rFonts w:asciiTheme="minorBidi" w:eastAsia="system-ui" w:hAnsiTheme="minorBidi"/>
          <w:i/>
          <w:iCs/>
          <w:color w:val="000000" w:themeColor="text1"/>
          <w:sz w:val="24"/>
          <w:szCs w:val="24"/>
        </w:rPr>
      </w:pPr>
      <w:r w:rsidRPr="00F63C9F">
        <w:rPr>
          <w:rFonts w:asciiTheme="minorBidi" w:eastAsia="system-ui" w:hAnsiTheme="minorBidi"/>
          <w:color w:val="000000" w:themeColor="text1"/>
          <w:sz w:val="24"/>
          <w:szCs w:val="24"/>
        </w:rPr>
        <w:t>Tosuntaş, Ş. B</w:t>
      </w:r>
      <w:r w:rsidR="00F63C9F" w:rsidRPr="00F63C9F">
        <w:rPr>
          <w:rFonts w:asciiTheme="minorBidi" w:eastAsia="system-ui" w:hAnsiTheme="minorBidi"/>
          <w:color w:val="000000" w:themeColor="text1"/>
          <w:sz w:val="24"/>
          <w:szCs w:val="24"/>
        </w:rPr>
        <w:t xml:space="preserve"> and</w:t>
      </w:r>
      <w:r w:rsidRPr="00F63C9F">
        <w:rPr>
          <w:rFonts w:asciiTheme="minorBidi" w:eastAsia="system-ui" w:hAnsiTheme="minorBidi"/>
          <w:color w:val="000000" w:themeColor="text1"/>
          <w:sz w:val="24"/>
          <w:szCs w:val="24"/>
        </w:rPr>
        <w:t xml:space="preserve"> Karadağ, E. (2018). </w:t>
      </w:r>
      <w:r w:rsidR="00F63C9F" w:rsidRPr="00F63C9F">
        <w:rPr>
          <w:rFonts w:asciiTheme="minorBidi" w:eastAsia="system-ui" w:hAnsiTheme="minorBidi"/>
          <w:color w:val="000000" w:themeColor="text1"/>
          <w:sz w:val="24"/>
          <w:szCs w:val="24"/>
        </w:rPr>
        <w:t>‘</w:t>
      </w:r>
      <w:r w:rsidRPr="00F63C9F">
        <w:rPr>
          <w:rFonts w:asciiTheme="minorBidi" w:eastAsia="system-ui" w:hAnsiTheme="minorBidi"/>
          <w:color w:val="000000" w:themeColor="text1"/>
          <w:sz w:val="24"/>
          <w:szCs w:val="24"/>
        </w:rPr>
        <w:t>The Impact of Online Learning on Undergraduate Students' Engagement in Higher Education: A Review of the Literature.</w:t>
      </w:r>
      <w:r w:rsidR="00F63C9F" w:rsidRPr="00F63C9F">
        <w:rPr>
          <w:rFonts w:asciiTheme="minorBidi" w:eastAsia="system-ui" w:hAnsiTheme="minorBidi"/>
          <w:color w:val="000000" w:themeColor="text1"/>
          <w:sz w:val="24"/>
          <w:szCs w:val="24"/>
        </w:rPr>
        <w:t>’</w:t>
      </w:r>
      <w:r w:rsidRPr="00F63C9F">
        <w:rPr>
          <w:rFonts w:asciiTheme="minorBidi" w:eastAsia="system-ui" w:hAnsiTheme="minorBidi"/>
          <w:color w:val="000000" w:themeColor="text1"/>
          <w:sz w:val="24"/>
          <w:szCs w:val="24"/>
        </w:rPr>
        <w:t xml:space="preserve"> </w:t>
      </w:r>
      <w:r w:rsidRPr="00F63C9F">
        <w:rPr>
          <w:rFonts w:asciiTheme="minorBidi" w:eastAsia="system-ui" w:hAnsiTheme="minorBidi"/>
          <w:i/>
          <w:iCs/>
          <w:color w:val="000000" w:themeColor="text1"/>
          <w:sz w:val="24"/>
          <w:szCs w:val="24"/>
        </w:rPr>
        <w:t>European Journal of Open, Distance and E-Learning.</w:t>
      </w:r>
    </w:p>
    <w:p w14:paraId="116DCFEE"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Trowler, V and Trowler, P. (2010). Student engagement literature review. The Higher Education Academy.</w:t>
      </w:r>
    </w:p>
    <w:p w14:paraId="3CCE8E2A"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 xml:space="preserve">Uhls, Y. T., Ellison, N. B and Subrahmanyam, K. (2014). ‘Benefits and costs of social media in adolescence.’ </w:t>
      </w:r>
      <w:r w:rsidRPr="006B2FD7">
        <w:rPr>
          <w:rFonts w:asciiTheme="minorBidi" w:eastAsia="system-ui" w:hAnsiTheme="minorBidi"/>
          <w:i/>
          <w:iCs/>
          <w:color w:val="000000" w:themeColor="text1"/>
          <w:sz w:val="24"/>
          <w:szCs w:val="24"/>
        </w:rPr>
        <w:t>Paediatrics,</w:t>
      </w:r>
      <w:r w:rsidRPr="0099000F">
        <w:rPr>
          <w:rFonts w:asciiTheme="minorBidi" w:eastAsia="system-ui" w:hAnsiTheme="minorBidi"/>
          <w:color w:val="000000" w:themeColor="text1"/>
          <w:sz w:val="24"/>
          <w:szCs w:val="24"/>
        </w:rPr>
        <w:t xml:space="preserve"> 132.</w:t>
      </w:r>
    </w:p>
    <w:p w14:paraId="77E83B5B" w14:textId="746EC0F1" w:rsidR="00021535" w:rsidRPr="006B2FD7" w:rsidRDefault="00021535" w:rsidP="00FC5CBE">
      <w:pPr>
        <w:spacing w:line="240" w:lineRule="auto"/>
        <w:ind w:left="680" w:hanging="720"/>
        <w:rPr>
          <w:rFonts w:asciiTheme="minorBidi" w:eastAsia="system-ui" w:hAnsiTheme="minorBidi"/>
          <w:sz w:val="24"/>
          <w:szCs w:val="24"/>
        </w:rPr>
      </w:pPr>
      <w:r w:rsidRPr="006B2FD7">
        <w:rPr>
          <w:rFonts w:asciiTheme="minorBidi" w:eastAsia="system-ui" w:hAnsiTheme="minorBidi"/>
          <w:color w:val="000000" w:themeColor="text1"/>
          <w:sz w:val="24"/>
          <w:szCs w:val="24"/>
        </w:rPr>
        <w:t xml:space="preserve">UNESCO. (2021). </w:t>
      </w:r>
      <w:r w:rsidRPr="006B2FD7">
        <w:rPr>
          <w:rFonts w:asciiTheme="minorBidi" w:eastAsia="system-ui" w:hAnsiTheme="minorBidi"/>
          <w:i/>
          <w:iCs/>
          <w:color w:val="000000" w:themeColor="text1"/>
          <w:sz w:val="24"/>
          <w:szCs w:val="24"/>
        </w:rPr>
        <w:t>Education sector responses to COVID-19: An encyclopedia of policy responses.</w:t>
      </w:r>
      <w:r w:rsidRPr="006B2FD7">
        <w:rPr>
          <w:rFonts w:asciiTheme="minorBidi" w:eastAsia="system-ui" w:hAnsiTheme="minorBidi"/>
          <w:color w:val="000000" w:themeColor="text1"/>
          <w:sz w:val="24"/>
          <w:szCs w:val="24"/>
        </w:rPr>
        <w:t xml:space="preserve"> </w:t>
      </w:r>
      <w:r w:rsidR="006B2FD7" w:rsidRPr="006B2FD7">
        <w:rPr>
          <w:rFonts w:asciiTheme="minorBidi" w:eastAsia="system-ui" w:hAnsiTheme="minorBidi"/>
          <w:color w:val="000000" w:themeColor="text1"/>
          <w:sz w:val="24"/>
          <w:szCs w:val="24"/>
        </w:rPr>
        <w:t xml:space="preserve">Available at: </w:t>
      </w:r>
      <w:hyperlink r:id="rId18">
        <w:r w:rsidRPr="006B2FD7">
          <w:rPr>
            <w:rStyle w:val="Hyperlink"/>
            <w:rFonts w:asciiTheme="minorBidi" w:eastAsia="system-ui" w:hAnsiTheme="minorBidi"/>
            <w:sz w:val="24"/>
            <w:szCs w:val="24"/>
          </w:rPr>
          <w:t>https://en.unesco.org/covid19/educationresponse/countermeasures</w:t>
        </w:r>
      </w:hyperlink>
      <w:r w:rsidR="006B2FD7" w:rsidRPr="006B2FD7">
        <w:rPr>
          <w:rStyle w:val="Hyperlink"/>
          <w:rFonts w:asciiTheme="minorBidi" w:eastAsia="system-ui" w:hAnsiTheme="minorBidi"/>
          <w:sz w:val="24"/>
          <w:szCs w:val="24"/>
        </w:rPr>
        <w:t xml:space="preserve"> </w:t>
      </w:r>
      <w:r w:rsidR="006B2FD7" w:rsidRPr="006B2FD7">
        <w:rPr>
          <w:rStyle w:val="Hyperlink"/>
          <w:rFonts w:asciiTheme="minorBidi" w:eastAsia="system-ui" w:hAnsiTheme="minorBidi"/>
          <w:color w:val="auto"/>
          <w:sz w:val="24"/>
          <w:szCs w:val="24"/>
          <w:u w:val="none"/>
        </w:rPr>
        <w:t>(Accessed: 2 March 2023)</w:t>
      </w:r>
    </w:p>
    <w:p w14:paraId="2339F8CA" w14:textId="5D44EFEE" w:rsidR="00021535" w:rsidRPr="006B2FD7" w:rsidRDefault="00021535" w:rsidP="00FC5CBE">
      <w:pPr>
        <w:spacing w:line="240" w:lineRule="auto"/>
        <w:ind w:left="680" w:hanging="720"/>
        <w:rPr>
          <w:rFonts w:asciiTheme="minorBidi" w:eastAsia="system-ui" w:hAnsiTheme="minorBidi"/>
          <w:color w:val="000000" w:themeColor="text1"/>
          <w:sz w:val="24"/>
          <w:szCs w:val="24"/>
        </w:rPr>
      </w:pPr>
      <w:r w:rsidRPr="006B2FD7">
        <w:rPr>
          <w:rFonts w:asciiTheme="minorBidi" w:eastAsia="system-ui" w:hAnsiTheme="minorBidi"/>
          <w:color w:val="000000" w:themeColor="text1"/>
          <w:sz w:val="24"/>
          <w:szCs w:val="24"/>
        </w:rPr>
        <w:t>Vaughn, L. M., Baker, R. C</w:t>
      </w:r>
      <w:r w:rsidR="006B2FD7" w:rsidRPr="006B2FD7">
        <w:rPr>
          <w:rFonts w:asciiTheme="minorBidi" w:eastAsia="system-ui" w:hAnsiTheme="minorBidi"/>
          <w:color w:val="000000" w:themeColor="text1"/>
          <w:sz w:val="24"/>
          <w:szCs w:val="24"/>
        </w:rPr>
        <w:t xml:space="preserve"> and</w:t>
      </w:r>
      <w:r w:rsidRPr="006B2FD7">
        <w:rPr>
          <w:rFonts w:asciiTheme="minorBidi" w:eastAsia="system-ui" w:hAnsiTheme="minorBidi"/>
          <w:color w:val="000000" w:themeColor="text1"/>
          <w:sz w:val="24"/>
          <w:szCs w:val="24"/>
        </w:rPr>
        <w:t xml:space="preserve"> Burlew, L. D. (2019). </w:t>
      </w:r>
      <w:r w:rsidR="006B2FD7" w:rsidRPr="006B2FD7">
        <w:rPr>
          <w:rFonts w:asciiTheme="minorBidi" w:eastAsia="system-ui" w:hAnsiTheme="minorBidi"/>
          <w:color w:val="000000" w:themeColor="text1"/>
          <w:sz w:val="24"/>
          <w:szCs w:val="24"/>
        </w:rPr>
        <w:t>‘</w:t>
      </w:r>
      <w:r w:rsidRPr="006B2FD7">
        <w:rPr>
          <w:rFonts w:asciiTheme="minorBidi" w:eastAsia="system-ui" w:hAnsiTheme="minorBidi"/>
          <w:color w:val="000000" w:themeColor="text1"/>
          <w:sz w:val="24"/>
          <w:szCs w:val="24"/>
        </w:rPr>
        <w:t>The effect of technology-based interventions on student engagement in rural schools.</w:t>
      </w:r>
      <w:r w:rsidR="006B2FD7" w:rsidRPr="006B2FD7">
        <w:rPr>
          <w:rFonts w:asciiTheme="minorBidi" w:eastAsia="system-ui" w:hAnsiTheme="minorBidi"/>
          <w:color w:val="000000" w:themeColor="text1"/>
          <w:sz w:val="24"/>
          <w:szCs w:val="24"/>
        </w:rPr>
        <w:t>’</w:t>
      </w:r>
      <w:r w:rsidRPr="006B2FD7">
        <w:rPr>
          <w:rFonts w:asciiTheme="minorBidi" w:eastAsia="system-ui" w:hAnsiTheme="minorBidi"/>
          <w:color w:val="000000" w:themeColor="text1"/>
          <w:sz w:val="24"/>
          <w:szCs w:val="24"/>
        </w:rPr>
        <w:t xml:space="preserve"> </w:t>
      </w:r>
      <w:r w:rsidRPr="006B2FD7">
        <w:rPr>
          <w:rFonts w:asciiTheme="minorBidi" w:eastAsia="system-ui" w:hAnsiTheme="minorBidi"/>
          <w:i/>
          <w:iCs/>
          <w:color w:val="000000" w:themeColor="text1"/>
          <w:sz w:val="24"/>
          <w:szCs w:val="24"/>
        </w:rPr>
        <w:t>The Journal of Rural Health,</w:t>
      </w:r>
      <w:r w:rsidRPr="006B2FD7">
        <w:rPr>
          <w:rFonts w:asciiTheme="minorBidi" w:eastAsia="system-ui" w:hAnsiTheme="minorBidi"/>
          <w:color w:val="000000" w:themeColor="text1"/>
          <w:sz w:val="24"/>
          <w:szCs w:val="24"/>
        </w:rPr>
        <w:t xml:space="preserve"> 35(4), 474-481.</w:t>
      </w:r>
    </w:p>
    <w:p w14:paraId="020A1210" w14:textId="67F68A8C" w:rsidR="00021535" w:rsidRPr="006B2FD7" w:rsidRDefault="00021535" w:rsidP="00FC5CBE">
      <w:pPr>
        <w:spacing w:line="240" w:lineRule="auto"/>
        <w:ind w:left="680" w:hanging="720"/>
        <w:rPr>
          <w:rFonts w:asciiTheme="minorBidi" w:eastAsia="system-ui" w:hAnsiTheme="minorBidi"/>
          <w:color w:val="000000" w:themeColor="text1"/>
          <w:sz w:val="24"/>
          <w:szCs w:val="24"/>
        </w:rPr>
      </w:pPr>
      <w:r w:rsidRPr="006B2FD7">
        <w:rPr>
          <w:rFonts w:asciiTheme="minorBidi" w:eastAsia="system-ui" w:hAnsiTheme="minorBidi"/>
          <w:color w:val="000000" w:themeColor="text1"/>
          <w:sz w:val="24"/>
          <w:szCs w:val="24"/>
        </w:rPr>
        <w:t>Veletsianos, G</w:t>
      </w:r>
      <w:r w:rsidR="006B2FD7" w:rsidRPr="006B2FD7">
        <w:rPr>
          <w:rFonts w:asciiTheme="minorBidi" w:eastAsia="system-ui" w:hAnsiTheme="minorBidi"/>
          <w:color w:val="000000" w:themeColor="text1"/>
          <w:sz w:val="24"/>
          <w:szCs w:val="24"/>
        </w:rPr>
        <w:t xml:space="preserve"> and</w:t>
      </w:r>
      <w:r w:rsidRPr="006B2FD7">
        <w:rPr>
          <w:rFonts w:asciiTheme="minorBidi" w:eastAsia="system-ui" w:hAnsiTheme="minorBidi"/>
          <w:color w:val="000000" w:themeColor="text1"/>
          <w:sz w:val="24"/>
          <w:szCs w:val="24"/>
        </w:rPr>
        <w:t xml:space="preserve"> Shepherdson, P. (2020). ‘A systematic analysis and synthesis of the empirical MOOC literature published in 2013–2015’. </w:t>
      </w:r>
      <w:r w:rsidRPr="006B2FD7">
        <w:rPr>
          <w:rFonts w:asciiTheme="minorBidi" w:eastAsia="system-ui" w:hAnsiTheme="minorBidi"/>
          <w:i/>
          <w:iCs/>
          <w:color w:val="000000" w:themeColor="text1"/>
          <w:sz w:val="24"/>
          <w:szCs w:val="24"/>
        </w:rPr>
        <w:t>The Internet and Higher Education,</w:t>
      </w:r>
      <w:r w:rsidRPr="006B2FD7">
        <w:rPr>
          <w:rFonts w:asciiTheme="minorBidi" w:eastAsia="system-ui" w:hAnsiTheme="minorBidi"/>
          <w:color w:val="000000" w:themeColor="text1"/>
          <w:sz w:val="24"/>
          <w:szCs w:val="24"/>
        </w:rPr>
        <w:t xml:space="preserve"> 42, 100772.</w:t>
      </w:r>
    </w:p>
    <w:p w14:paraId="57639786"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t>Warschauer, M. (2016). Learning in the cloud: How (and why) to transform schools with digital media. Teachers College Press.</w:t>
      </w:r>
    </w:p>
    <w:p w14:paraId="22B8D3DD" w14:textId="77777777" w:rsidR="00021535" w:rsidRDefault="00021535" w:rsidP="00FC5CBE">
      <w:pPr>
        <w:spacing w:line="240" w:lineRule="auto"/>
        <w:ind w:left="680" w:hanging="720"/>
        <w:rPr>
          <w:rFonts w:asciiTheme="minorBidi" w:hAnsiTheme="minorBidi"/>
          <w:sz w:val="24"/>
          <w:szCs w:val="24"/>
        </w:rPr>
      </w:pPr>
      <w:r w:rsidRPr="00937F78">
        <w:rPr>
          <w:rFonts w:asciiTheme="minorBidi" w:eastAsia="system-ui" w:hAnsiTheme="minorBidi"/>
          <w:color w:val="0D0D0D" w:themeColor="text1" w:themeTint="F2"/>
          <w:sz w:val="24"/>
          <w:szCs w:val="24"/>
        </w:rPr>
        <w:t xml:space="preserve">Welsh Government (2019). </w:t>
      </w:r>
      <w:r w:rsidRPr="00937F78">
        <w:rPr>
          <w:rFonts w:asciiTheme="minorBidi" w:eastAsia="system-ui" w:hAnsiTheme="minorBidi"/>
          <w:i/>
          <w:iCs/>
          <w:color w:val="0D0D0D" w:themeColor="text1" w:themeTint="F2"/>
          <w:sz w:val="24"/>
          <w:szCs w:val="24"/>
        </w:rPr>
        <w:t>Digital 2030: A strategic framework for post-16 digital learning in Wales.</w:t>
      </w:r>
      <w:r w:rsidRPr="00937F78">
        <w:rPr>
          <w:rFonts w:asciiTheme="minorBidi" w:eastAsia="system-ui" w:hAnsiTheme="minorBidi"/>
          <w:color w:val="0D0D0D" w:themeColor="text1" w:themeTint="F2"/>
          <w:sz w:val="24"/>
          <w:szCs w:val="24"/>
        </w:rPr>
        <w:t xml:space="preserve"> Available at: </w:t>
      </w:r>
      <w:hyperlink r:id="rId19" w:history="1">
        <w:r w:rsidRPr="00937F78">
          <w:rPr>
            <w:rStyle w:val="Hyperlink"/>
            <w:rFonts w:asciiTheme="minorBidi" w:hAnsiTheme="minorBidi"/>
            <w:sz w:val="24"/>
            <w:szCs w:val="24"/>
          </w:rPr>
          <w:t>digital-2030-a-strategic-framework-for-post-16-digital-learning-in-wales.pdf (gov.wales)</w:t>
        </w:r>
      </w:hyperlink>
      <w:r w:rsidRPr="00937F78">
        <w:rPr>
          <w:rFonts w:asciiTheme="minorBidi" w:hAnsiTheme="minorBidi"/>
          <w:sz w:val="24"/>
          <w:szCs w:val="24"/>
        </w:rPr>
        <w:t xml:space="preserve"> (Accessed: 5 March 2024)</w:t>
      </w:r>
    </w:p>
    <w:p w14:paraId="27A48A25" w14:textId="488B2E15" w:rsidR="00021535" w:rsidRPr="00314EB3" w:rsidRDefault="00021535" w:rsidP="00FC5CBE">
      <w:pPr>
        <w:spacing w:line="240" w:lineRule="auto"/>
        <w:ind w:left="680" w:hanging="720"/>
        <w:rPr>
          <w:rFonts w:asciiTheme="minorBidi" w:hAnsiTheme="minorBidi"/>
          <w:sz w:val="24"/>
          <w:szCs w:val="24"/>
        </w:rPr>
      </w:pPr>
      <w:r w:rsidRPr="00314EB3">
        <w:rPr>
          <w:rFonts w:asciiTheme="minorBidi" w:eastAsia="system-ui" w:hAnsiTheme="minorBidi"/>
          <w:color w:val="000000" w:themeColor="text1"/>
          <w:sz w:val="24"/>
          <w:szCs w:val="24"/>
        </w:rPr>
        <w:t xml:space="preserve">Welsh Government. (2022). </w:t>
      </w:r>
      <w:r w:rsidRPr="00314EB3">
        <w:rPr>
          <w:rFonts w:asciiTheme="minorBidi" w:eastAsia="system-ui" w:hAnsiTheme="minorBidi"/>
          <w:i/>
          <w:iCs/>
          <w:color w:val="000000" w:themeColor="text1"/>
          <w:sz w:val="24"/>
          <w:szCs w:val="24"/>
        </w:rPr>
        <w:t>Digital Competence Framework</w:t>
      </w:r>
      <w:r w:rsidRPr="00314EB3">
        <w:rPr>
          <w:rFonts w:asciiTheme="minorBidi" w:eastAsia="system-ui" w:hAnsiTheme="minorBidi"/>
          <w:color w:val="000000" w:themeColor="text1"/>
          <w:sz w:val="24"/>
          <w:szCs w:val="24"/>
        </w:rPr>
        <w:t>.</w:t>
      </w:r>
      <w:r w:rsidR="00FC5CBE" w:rsidRPr="00314EB3">
        <w:rPr>
          <w:rFonts w:asciiTheme="minorBidi" w:eastAsia="system-ui" w:hAnsiTheme="minorBidi"/>
          <w:color w:val="000000" w:themeColor="text1"/>
          <w:sz w:val="24"/>
          <w:szCs w:val="24"/>
        </w:rPr>
        <w:t xml:space="preserve"> </w:t>
      </w:r>
      <w:r w:rsidRPr="00314EB3">
        <w:rPr>
          <w:rFonts w:asciiTheme="minorBidi" w:eastAsia="system-ui" w:hAnsiTheme="minorBidi"/>
          <w:color w:val="000000" w:themeColor="text1"/>
          <w:sz w:val="24"/>
          <w:szCs w:val="24"/>
        </w:rPr>
        <w:t xml:space="preserve">Available at: </w:t>
      </w:r>
      <w:hyperlink r:id="rId20">
        <w:r w:rsidRPr="00314EB3">
          <w:rPr>
            <w:rStyle w:val="Hyperlink"/>
            <w:rFonts w:asciiTheme="minorBidi" w:eastAsia="system-ui" w:hAnsiTheme="minorBidi"/>
            <w:sz w:val="24"/>
            <w:szCs w:val="24"/>
          </w:rPr>
          <w:t>https://hwb.gov.wales/professional-development/digital-competence-framework</w:t>
        </w:r>
      </w:hyperlink>
      <w:r w:rsidR="00FC5CBE" w:rsidRPr="00314EB3">
        <w:rPr>
          <w:rStyle w:val="Hyperlink"/>
          <w:rFonts w:asciiTheme="minorBidi" w:eastAsia="system-ui" w:hAnsiTheme="minorBidi"/>
          <w:sz w:val="24"/>
          <w:szCs w:val="24"/>
        </w:rPr>
        <w:t xml:space="preserve"> </w:t>
      </w:r>
      <w:r w:rsidR="00FC5CBE" w:rsidRPr="00314EB3">
        <w:rPr>
          <w:rFonts w:asciiTheme="minorBidi" w:hAnsiTheme="minorBidi"/>
          <w:sz w:val="24"/>
          <w:szCs w:val="24"/>
        </w:rPr>
        <w:t>(Accessed: 2 March 2024)</w:t>
      </w:r>
    </w:p>
    <w:p w14:paraId="6E548481" w14:textId="5592D6FD" w:rsidR="00021535" w:rsidRPr="00314EB3" w:rsidRDefault="00021535" w:rsidP="00FC5CBE">
      <w:pPr>
        <w:spacing w:line="240" w:lineRule="auto"/>
        <w:ind w:left="680" w:hanging="720"/>
        <w:rPr>
          <w:rFonts w:asciiTheme="minorBidi" w:hAnsiTheme="minorBidi"/>
          <w:sz w:val="24"/>
          <w:szCs w:val="24"/>
        </w:rPr>
      </w:pPr>
      <w:r w:rsidRPr="00314EB3">
        <w:rPr>
          <w:rFonts w:asciiTheme="minorBidi" w:eastAsia="system-ui" w:hAnsiTheme="minorBidi"/>
          <w:color w:val="000000" w:themeColor="text1"/>
          <w:sz w:val="24"/>
          <w:szCs w:val="24"/>
        </w:rPr>
        <w:t xml:space="preserve">Welsh Government. (2022). </w:t>
      </w:r>
      <w:r w:rsidRPr="00314EB3">
        <w:rPr>
          <w:rFonts w:asciiTheme="minorBidi" w:eastAsia="system-ui" w:hAnsiTheme="minorBidi"/>
          <w:i/>
          <w:iCs/>
          <w:color w:val="000000" w:themeColor="text1"/>
          <w:sz w:val="24"/>
          <w:szCs w:val="24"/>
        </w:rPr>
        <w:t>Education in Wales: Our National Mission</w:t>
      </w:r>
      <w:r w:rsidRPr="00314EB3">
        <w:rPr>
          <w:rFonts w:asciiTheme="minorBidi" w:eastAsia="system-ui" w:hAnsiTheme="minorBidi"/>
          <w:color w:val="000000" w:themeColor="text1"/>
          <w:sz w:val="24"/>
          <w:szCs w:val="24"/>
        </w:rPr>
        <w:t xml:space="preserve">. Available at: </w:t>
      </w:r>
      <w:hyperlink r:id="rId21" w:history="1">
        <w:r w:rsidR="00FC5CBE" w:rsidRPr="00314EB3">
          <w:rPr>
            <w:rStyle w:val="Hyperlink"/>
            <w:rFonts w:asciiTheme="minorBidi" w:eastAsia="system-ui" w:hAnsiTheme="minorBidi"/>
            <w:sz w:val="24"/>
            <w:szCs w:val="24"/>
          </w:rPr>
          <w:t>https://gov.wales/sites/default/files/publications/202202/education-in-wales-our-national-mission.pdf</w:t>
        </w:r>
      </w:hyperlink>
      <w:r w:rsidR="00FC5CBE" w:rsidRPr="00314EB3">
        <w:rPr>
          <w:rFonts w:asciiTheme="minorBidi" w:eastAsia="system-ui" w:hAnsiTheme="minorBidi"/>
          <w:sz w:val="24"/>
          <w:szCs w:val="24"/>
        </w:rPr>
        <w:t xml:space="preserve"> </w:t>
      </w:r>
      <w:r w:rsidR="00FC5CBE" w:rsidRPr="00314EB3">
        <w:rPr>
          <w:rFonts w:asciiTheme="minorBidi" w:hAnsiTheme="minorBidi"/>
          <w:sz w:val="24"/>
          <w:szCs w:val="24"/>
        </w:rPr>
        <w:t>(Accessed: 10 March 2024)</w:t>
      </w:r>
    </w:p>
    <w:p w14:paraId="3B6C4B9D" w14:textId="4E3CC2CF" w:rsidR="00021535" w:rsidRPr="00314EB3" w:rsidRDefault="00021535" w:rsidP="00FC5CBE">
      <w:pPr>
        <w:spacing w:line="240" w:lineRule="auto"/>
        <w:ind w:left="680" w:hanging="720"/>
        <w:rPr>
          <w:rFonts w:asciiTheme="minorBidi" w:hAnsiTheme="minorBidi"/>
          <w:sz w:val="24"/>
          <w:szCs w:val="24"/>
        </w:rPr>
      </w:pPr>
      <w:r w:rsidRPr="00314EB3">
        <w:rPr>
          <w:rFonts w:asciiTheme="minorBidi" w:eastAsia="system-ui" w:hAnsiTheme="minorBidi"/>
          <w:color w:val="000000" w:themeColor="text1"/>
          <w:sz w:val="24"/>
          <w:szCs w:val="24"/>
        </w:rPr>
        <w:t xml:space="preserve">Welsh Government. (2022). </w:t>
      </w:r>
      <w:r w:rsidRPr="00314EB3">
        <w:rPr>
          <w:rFonts w:asciiTheme="minorBidi" w:eastAsia="system-ui" w:hAnsiTheme="minorBidi"/>
          <w:i/>
          <w:iCs/>
          <w:color w:val="000000" w:themeColor="text1"/>
          <w:sz w:val="24"/>
          <w:szCs w:val="24"/>
        </w:rPr>
        <w:t>National eLearning Offer</w:t>
      </w:r>
      <w:r w:rsidRPr="00314EB3">
        <w:rPr>
          <w:rFonts w:asciiTheme="minorBidi" w:eastAsia="system-ui" w:hAnsiTheme="minorBidi"/>
          <w:color w:val="000000" w:themeColor="text1"/>
          <w:sz w:val="24"/>
          <w:szCs w:val="24"/>
        </w:rPr>
        <w:t xml:space="preserve">. Available at: </w:t>
      </w:r>
      <w:hyperlink r:id="rId22">
        <w:r w:rsidRPr="00314EB3">
          <w:rPr>
            <w:rStyle w:val="Hyperlink"/>
            <w:rFonts w:asciiTheme="minorBidi" w:eastAsia="system-ui" w:hAnsiTheme="minorBidi"/>
            <w:sz w:val="24"/>
            <w:szCs w:val="24"/>
          </w:rPr>
          <w:t>https://gov.wales/national-elearning-offer</w:t>
        </w:r>
      </w:hyperlink>
      <w:r w:rsidR="00FC5CBE" w:rsidRPr="00314EB3">
        <w:rPr>
          <w:rStyle w:val="Hyperlink"/>
          <w:rFonts w:asciiTheme="minorBidi" w:eastAsia="system-ui" w:hAnsiTheme="minorBidi"/>
          <w:sz w:val="24"/>
          <w:szCs w:val="24"/>
        </w:rPr>
        <w:t xml:space="preserve"> </w:t>
      </w:r>
      <w:r w:rsidR="00FC5CBE" w:rsidRPr="00314EB3">
        <w:rPr>
          <w:rFonts w:asciiTheme="minorBidi" w:hAnsiTheme="minorBidi"/>
          <w:sz w:val="24"/>
          <w:szCs w:val="24"/>
        </w:rPr>
        <w:t>(Accessed: 10 March 2024)</w:t>
      </w:r>
    </w:p>
    <w:p w14:paraId="449D9E87" w14:textId="31B9210D" w:rsidR="00021535" w:rsidRPr="00FC5CBE" w:rsidRDefault="00021535" w:rsidP="00FC5CBE">
      <w:pPr>
        <w:spacing w:line="240" w:lineRule="auto"/>
        <w:ind w:left="680" w:hanging="720"/>
        <w:rPr>
          <w:rFonts w:asciiTheme="minorBidi" w:hAnsiTheme="minorBidi"/>
          <w:sz w:val="24"/>
          <w:szCs w:val="24"/>
        </w:rPr>
      </w:pPr>
      <w:r w:rsidRPr="00314EB3">
        <w:rPr>
          <w:rFonts w:asciiTheme="minorBidi" w:eastAsia="system-ui" w:hAnsiTheme="minorBidi"/>
          <w:color w:val="000000" w:themeColor="text1"/>
          <w:sz w:val="24"/>
          <w:szCs w:val="24"/>
        </w:rPr>
        <w:t xml:space="preserve">Welsh Government. (2022). </w:t>
      </w:r>
      <w:r w:rsidRPr="00314EB3">
        <w:rPr>
          <w:rFonts w:asciiTheme="minorBidi" w:eastAsia="system-ui" w:hAnsiTheme="minorBidi"/>
          <w:i/>
          <w:iCs/>
          <w:color w:val="000000" w:themeColor="text1"/>
          <w:sz w:val="24"/>
          <w:szCs w:val="24"/>
        </w:rPr>
        <w:t>Professional Learning for Teachers</w:t>
      </w:r>
      <w:r w:rsidRPr="00314EB3">
        <w:rPr>
          <w:rFonts w:asciiTheme="minorBidi" w:eastAsia="system-ui" w:hAnsiTheme="minorBidi"/>
          <w:color w:val="000000" w:themeColor="text1"/>
          <w:sz w:val="24"/>
          <w:szCs w:val="24"/>
        </w:rPr>
        <w:t xml:space="preserve">. Available at: </w:t>
      </w:r>
      <w:hyperlink r:id="rId23">
        <w:r w:rsidRPr="00314EB3">
          <w:rPr>
            <w:rStyle w:val="Hyperlink"/>
            <w:rFonts w:asciiTheme="minorBidi" w:eastAsia="system-ui" w:hAnsiTheme="minorBidi"/>
            <w:sz w:val="24"/>
            <w:szCs w:val="24"/>
          </w:rPr>
          <w:t>https://gov.wales/professional-learning-teachers</w:t>
        </w:r>
      </w:hyperlink>
      <w:r w:rsidR="00FC5CBE" w:rsidRPr="00314EB3">
        <w:rPr>
          <w:rStyle w:val="Hyperlink"/>
          <w:rFonts w:asciiTheme="minorBidi" w:eastAsia="system-ui" w:hAnsiTheme="minorBidi"/>
          <w:sz w:val="24"/>
          <w:szCs w:val="24"/>
        </w:rPr>
        <w:t xml:space="preserve"> </w:t>
      </w:r>
      <w:r w:rsidR="00FC5CBE" w:rsidRPr="00314EB3">
        <w:rPr>
          <w:rFonts w:asciiTheme="minorBidi" w:hAnsiTheme="minorBidi"/>
          <w:sz w:val="24"/>
          <w:szCs w:val="24"/>
        </w:rPr>
        <w:t>(Accessed</w:t>
      </w:r>
      <w:r w:rsidR="00FC5CBE" w:rsidRPr="00937F78">
        <w:rPr>
          <w:rFonts w:asciiTheme="minorBidi" w:hAnsiTheme="minorBidi"/>
          <w:sz w:val="24"/>
          <w:szCs w:val="24"/>
        </w:rPr>
        <w:t xml:space="preserve">: </w:t>
      </w:r>
      <w:r w:rsidR="00FC5CBE">
        <w:rPr>
          <w:rFonts w:asciiTheme="minorBidi" w:hAnsiTheme="minorBidi"/>
          <w:sz w:val="24"/>
          <w:szCs w:val="24"/>
        </w:rPr>
        <w:t>10</w:t>
      </w:r>
      <w:r w:rsidR="00FC5CBE" w:rsidRPr="00937F78">
        <w:rPr>
          <w:rFonts w:asciiTheme="minorBidi" w:hAnsiTheme="minorBidi"/>
          <w:sz w:val="24"/>
          <w:szCs w:val="24"/>
        </w:rPr>
        <w:t xml:space="preserve"> March 2024)</w:t>
      </w:r>
    </w:p>
    <w:p w14:paraId="6DD7685F" w14:textId="41EFB5AD" w:rsidR="00021535" w:rsidRPr="00384818" w:rsidRDefault="00021535" w:rsidP="00FC5CBE">
      <w:pPr>
        <w:spacing w:line="240" w:lineRule="auto"/>
        <w:ind w:left="680" w:hanging="720"/>
        <w:rPr>
          <w:rFonts w:asciiTheme="minorBidi" w:eastAsia="system-ui" w:hAnsiTheme="minorBidi"/>
          <w:color w:val="000000" w:themeColor="text1"/>
          <w:sz w:val="24"/>
          <w:szCs w:val="24"/>
        </w:rPr>
      </w:pPr>
      <w:r w:rsidRPr="00384818">
        <w:rPr>
          <w:rFonts w:asciiTheme="minorBidi" w:eastAsia="system-ui" w:hAnsiTheme="minorBidi"/>
          <w:color w:val="000000" w:themeColor="text1"/>
          <w:sz w:val="24"/>
          <w:szCs w:val="24"/>
          <w:lang w:val="de-DE"/>
        </w:rPr>
        <w:t>Wimpenny, K</w:t>
      </w:r>
      <w:r w:rsidR="006B2FD7" w:rsidRPr="006B2FD7">
        <w:rPr>
          <w:rFonts w:asciiTheme="minorBidi" w:eastAsia="system-ui" w:hAnsiTheme="minorBidi"/>
          <w:color w:val="000000" w:themeColor="text1"/>
          <w:sz w:val="24"/>
          <w:szCs w:val="24"/>
          <w:lang w:val="de-DE"/>
        </w:rPr>
        <w:t xml:space="preserve"> and</w:t>
      </w:r>
      <w:r w:rsidRPr="00384818">
        <w:rPr>
          <w:rFonts w:asciiTheme="minorBidi" w:eastAsia="system-ui" w:hAnsiTheme="minorBidi"/>
          <w:color w:val="000000" w:themeColor="text1"/>
          <w:sz w:val="24"/>
          <w:szCs w:val="24"/>
          <w:lang w:val="de-DE"/>
        </w:rPr>
        <w:t xml:space="preserve">Savin-Baden, M. (2013). </w:t>
      </w:r>
      <w:r w:rsidR="006B2FD7" w:rsidRPr="006B2FD7">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Alienation, agency and authenticity: A synthesis of the literature on student engagement.</w:t>
      </w:r>
      <w:r w:rsidR="006B2FD7" w:rsidRPr="006B2FD7">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 xml:space="preserve"> </w:t>
      </w:r>
      <w:r w:rsidRPr="00384818">
        <w:rPr>
          <w:rFonts w:asciiTheme="minorBidi" w:eastAsia="system-ui" w:hAnsiTheme="minorBidi"/>
          <w:i/>
          <w:iCs/>
          <w:color w:val="000000" w:themeColor="text1"/>
          <w:sz w:val="24"/>
          <w:szCs w:val="24"/>
        </w:rPr>
        <w:t>Teaching in Higher Education</w:t>
      </w:r>
      <w:r w:rsidRPr="00384818">
        <w:rPr>
          <w:rFonts w:asciiTheme="minorBidi" w:eastAsia="system-ui" w:hAnsiTheme="minorBidi"/>
          <w:color w:val="000000" w:themeColor="text1"/>
          <w:sz w:val="24"/>
          <w:szCs w:val="24"/>
        </w:rPr>
        <w:t>, 18(3), 311–326.</w:t>
      </w:r>
    </w:p>
    <w:p w14:paraId="5C6AB766" w14:textId="109EAFC6" w:rsidR="00021535" w:rsidRPr="00384818" w:rsidRDefault="00021535" w:rsidP="00FC5CBE">
      <w:pPr>
        <w:spacing w:line="240" w:lineRule="auto"/>
        <w:ind w:left="680" w:hanging="720"/>
        <w:rPr>
          <w:rFonts w:asciiTheme="minorBidi" w:eastAsia="system-ui" w:hAnsiTheme="minorBidi"/>
          <w:color w:val="000000" w:themeColor="text1"/>
          <w:sz w:val="24"/>
          <w:szCs w:val="24"/>
        </w:rPr>
      </w:pPr>
      <w:r w:rsidRPr="00384818">
        <w:rPr>
          <w:rFonts w:asciiTheme="minorBidi" w:eastAsia="system-ui" w:hAnsiTheme="minorBidi"/>
          <w:color w:val="000000" w:themeColor="text1"/>
          <w:sz w:val="24"/>
          <w:szCs w:val="24"/>
        </w:rPr>
        <w:t xml:space="preserve">Zepke, N., &amp; Leach, L. (2010). </w:t>
      </w:r>
      <w:r w:rsidR="006B2FD7" w:rsidRPr="006B2FD7">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Improving student engagement: Ten proposals for action.</w:t>
      </w:r>
      <w:r w:rsidR="006B2FD7" w:rsidRPr="006B2FD7">
        <w:rPr>
          <w:rFonts w:asciiTheme="minorBidi" w:eastAsia="system-ui" w:hAnsiTheme="minorBidi"/>
          <w:color w:val="000000" w:themeColor="text1"/>
          <w:sz w:val="24"/>
          <w:szCs w:val="24"/>
        </w:rPr>
        <w:t>’</w:t>
      </w:r>
      <w:r w:rsidRPr="00384818">
        <w:rPr>
          <w:rFonts w:asciiTheme="minorBidi" w:eastAsia="system-ui" w:hAnsiTheme="minorBidi"/>
          <w:color w:val="000000" w:themeColor="text1"/>
          <w:sz w:val="24"/>
          <w:szCs w:val="24"/>
        </w:rPr>
        <w:t xml:space="preserve"> </w:t>
      </w:r>
      <w:r w:rsidRPr="00384818">
        <w:rPr>
          <w:rFonts w:asciiTheme="minorBidi" w:eastAsia="system-ui" w:hAnsiTheme="minorBidi"/>
          <w:i/>
          <w:iCs/>
          <w:color w:val="000000" w:themeColor="text1"/>
          <w:sz w:val="24"/>
          <w:szCs w:val="24"/>
        </w:rPr>
        <w:t>Active Learning in Higher Education</w:t>
      </w:r>
      <w:r w:rsidRPr="00384818">
        <w:rPr>
          <w:rFonts w:asciiTheme="minorBidi" w:eastAsia="system-ui" w:hAnsiTheme="minorBidi"/>
          <w:color w:val="000000" w:themeColor="text1"/>
          <w:sz w:val="24"/>
          <w:szCs w:val="24"/>
        </w:rPr>
        <w:t>, 11(3), 167–177.</w:t>
      </w:r>
    </w:p>
    <w:p w14:paraId="060A0CD4" w14:textId="77777777" w:rsidR="00021535" w:rsidRPr="0099000F" w:rsidRDefault="00021535" w:rsidP="00FC5CBE">
      <w:pPr>
        <w:spacing w:line="240" w:lineRule="auto"/>
        <w:ind w:left="680" w:hanging="720"/>
        <w:rPr>
          <w:rFonts w:asciiTheme="minorBidi" w:eastAsia="system-ui" w:hAnsiTheme="minorBidi"/>
          <w:color w:val="000000" w:themeColor="text1"/>
          <w:sz w:val="24"/>
          <w:szCs w:val="24"/>
        </w:rPr>
      </w:pPr>
      <w:r w:rsidRPr="0099000F">
        <w:rPr>
          <w:rFonts w:asciiTheme="minorBidi" w:eastAsia="system-ui" w:hAnsiTheme="minorBidi"/>
          <w:color w:val="000000" w:themeColor="text1"/>
          <w:sz w:val="24"/>
          <w:szCs w:val="24"/>
        </w:rPr>
        <w:lastRenderedPageBreak/>
        <w:t>Zimmermann, M. (2013). ‘Digital game-based learning and the 21st century skills development in higher education: A systematic review.’ Digital Education Review, 24, pp. 1–18.</w:t>
      </w:r>
    </w:p>
    <w:p w14:paraId="45D52E35" w14:textId="77777777" w:rsidR="00384818" w:rsidRPr="00384818" w:rsidRDefault="00384818" w:rsidP="00FC5CBE">
      <w:pPr>
        <w:ind w:left="680" w:hanging="720"/>
        <w:rPr>
          <w:rFonts w:asciiTheme="minorBidi" w:eastAsia="system-ui" w:hAnsiTheme="minorBidi"/>
          <w:color w:val="000000" w:themeColor="text1"/>
          <w:sz w:val="24"/>
          <w:szCs w:val="24"/>
          <w:highlight w:val="yellow"/>
        </w:rPr>
      </w:pPr>
    </w:p>
    <w:p w14:paraId="5C14D38B" w14:textId="77777777" w:rsidR="00937F78" w:rsidRPr="00937F78" w:rsidRDefault="00937F78" w:rsidP="00FC5CBE">
      <w:pPr>
        <w:ind w:left="680" w:hanging="720"/>
        <w:rPr>
          <w:rFonts w:asciiTheme="minorBidi" w:eastAsia="system-ui" w:hAnsiTheme="minorBidi"/>
          <w:color w:val="000000" w:themeColor="text1"/>
          <w:sz w:val="24"/>
          <w:szCs w:val="24"/>
          <w:highlight w:val="yellow"/>
        </w:rPr>
      </w:pPr>
    </w:p>
    <w:p w14:paraId="260459E8" w14:textId="77777777" w:rsidR="00937F78" w:rsidRPr="00937F78" w:rsidRDefault="00937F78" w:rsidP="00FC5CBE">
      <w:pPr>
        <w:ind w:left="680" w:hanging="720"/>
        <w:rPr>
          <w:rFonts w:asciiTheme="minorBidi" w:eastAsia="system-ui" w:hAnsiTheme="minorBidi"/>
          <w:color w:val="000000" w:themeColor="text1"/>
          <w:sz w:val="24"/>
          <w:szCs w:val="24"/>
          <w:highlight w:val="yellow"/>
        </w:rPr>
      </w:pPr>
    </w:p>
    <w:p w14:paraId="0FF9EE07" w14:textId="77777777" w:rsidR="00937F78" w:rsidRPr="00937F78" w:rsidRDefault="00937F78" w:rsidP="00FC5CBE">
      <w:pPr>
        <w:ind w:left="680" w:hanging="720"/>
        <w:rPr>
          <w:rFonts w:asciiTheme="minorBidi" w:eastAsia="system-ui" w:hAnsiTheme="minorBidi"/>
          <w:color w:val="000000" w:themeColor="text1"/>
          <w:sz w:val="24"/>
          <w:szCs w:val="24"/>
          <w:highlight w:val="yellow"/>
        </w:rPr>
      </w:pPr>
    </w:p>
    <w:p w14:paraId="6220DCF2" w14:textId="77777777" w:rsidR="00A312E2" w:rsidRPr="00937F78" w:rsidRDefault="00A312E2" w:rsidP="00FC5CBE">
      <w:pPr>
        <w:ind w:left="680"/>
        <w:rPr>
          <w:rFonts w:asciiTheme="minorBidi" w:hAnsiTheme="minorBidi"/>
          <w:sz w:val="24"/>
          <w:szCs w:val="24"/>
        </w:rPr>
      </w:pPr>
    </w:p>
    <w:sectPr w:rsidR="00A312E2" w:rsidRPr="00937F78" w:rsidSect="007B64C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78FA0" w14:textId="77777777" w:rsidR="007B64C9" w:rsidRDefault="007B64C9" w:rsidP="00C65104">
      <w:pPr>
        <w:spacing w:after="0" w:line="240" w:lineRule="auto"/>
      </w:pPr>
      <w:r>
        <w:separator/>
      </w:r>
    </w:p>
  </w:endnote>
  <w:endnote w:type="continuationSeparator" w:id="0">
    <w:p w14:paraId="04E9719E" w14:textId="77777777" w:rsidR="007B64C9" w:rsidRDefault="007B64C9" w:rsidP="00C65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ystem-ui">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21BC0" w14:textId="77777777" w:rsidR="007B64C9" w:rsidRDefault="007B64C9" w:rsidP="00C65104">
      <w:pPr>
        <w:spacing w:after="0" w:line="240" w:lineRule="auto"/>
      </w:pPr>
      <w:r>
        <w:separator/>
      </w:r>
    </w:p>
  </w:footnote>
  <w:footnote w:type="continuationSeparator" w:id="0">
    <w:p w14:paraId="1153B228" w14:textId="77777777" w:rsidR="007B64C9" w:rsidRDefault="007B64C9" w:rsidP="00C651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E24AF"/>
    <w:multiLevelType w:val="multilevel"/>
    <w:tmpl w:val="AE80D724"/>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4A6CC788"/>
    <w:multiLevelType w:val="hybridMultilevel"/>
    <w:tmpl w:val="281C286A"/>
    <w:lvl w:ilvl="0" w:tplc="B8B0C008">
      <w:start w:val="1"/>
      <w:numFmt w:val="bullet"/>
      <w:lvlText w:val=""/>
      <w:lvlJc w:val="left"/>
      <w:pPr>
        <w:ind w:left="720" w:hanging="360"/>
      </w:pPr>
      <w:rPr>
        <w:rFonts w:ascii="Symbol" w:hAnsi="Symbol" w:hint="default"/>
      </w:rPr>
    </w:lvl>
    <w:lvl w:ilvl="1" w:tplc="6C3218F8">
      <w:start w:val="1"/>
      <w:numFmt w:val="bullet"/>
      <w:lvlText w:val="o"/>
      <w:lvlJc w:val="left"/>
      <w:pPr>
        <w:ind w:left="1440" w:hanging="360"/>
      </w:pPr>
      <w:rPr>
        <w:rFonts w:ascii="Courier New" w:hAnsi="Courier New" w:cs="Times New Roman" w:hint="default"/>
      </w:rPr>
    </w:lvl>
    <w:lvl w:ilvl="2" w:tplc="3F82D126">
      <w:start w:val="1"/>
      <w:numFmt w:val="bullet"/>
      <w:lvlText w:val=""/>
      <w:lvlJc w:val="left"/>
      <w:pPr>
        <w:ind w:left="2160" w:hanging="360"/>
      </w:pPr>
      <w:rPr>
        <w:rFonts w:ascii="Wingdings" w:hAnsi="Wingdings" w:hint="default"/>
      </w:rPr>
    </w:lvl>
    <w:lvl w:ilvl="3" w:tplc="2DFC9E3E">
      <w:start w:val="1"/>
      <w:numFmt w:val="bullet"/>
      <w:lvlText w:val=""/>
      <w:lvlJc w:val="left"/>
      <w:pPr>
        <w:ind w:left="2880" w:hanging="360"/>
      </w:pPr>
      <w:rPr>
        <w:rFonts w:ascii="Symbol" w:hAnsi="Symbol" w:hint="default"/>
      </w:rPr>
    </w:lvl>
    <w:lvl w:ilvl="4" w:tplc="3278B5E8">
      <w:start w:val="1"/>
      <w:numFmt w:val="bullet"/>
      <w:lvlText w:val="o"/>
      <w:lvlJc w:val="left"/>
      <w:pPr>
        <w:ind w:left="3600" w:hanging="360"/>
      </w:pPr>
      <w:rPr>
        <w:rFonts w:ascii="Courier New" w:hAnsi="Courier New" w:cs="Times New Roman" w:hint="default"/>
      </w:rPr>
    </w:lvl>
    <w:lvl w:ilvl="5" w:tplc="1AF8DD4A">
      <w:start w:val="1"/>
      <w:numFmt w:val="bullet"/>
      <w:lvlText w:val=""/>
      <w:lvlJc w:val="left"/>
      <w:pPr>
        <w:ind w:left="4320" w:hanging="360"/>
      </w:pPr>
      <w:rPr>
        <w:rFonts w:ascii="Wingdings" w:hAnsi="Wingdings" w:hint="default"/>
      </w:rPr>
    </w:lvl>
    <w:lvl w:ilvl="6" w:tplc="F0EE6910">
      <w:start w:val="1"/>
      <w:numFmt w:val="bullet"/>
      <w:lvlText w:val=""/>
      <w:lvlJc w:val="left"/>
      <w:pPr>
        <w:ind w:left="5040" w:hanging="360"/>
      </w:pPr>
      <w:rPr>
        <w:rFonts w:ascii="Symbol" w:hAnsi="Symbol" w:hint="default"/>
      </w:rPr>
    </w:lvl>
    <w:lvl w:ilvl="7" w:tplc="E25CA284">
      <w:start w:val="1"/>
      <w:numFmt w:val="bullet"/>
      <w:lvlText w:val="o"/>
      <w:lvlJc w:val="left"/>
      <w:pPr>
        <w:ind w:left="5760" w:hanging="360"/>
      </w:pPr>
      <w:rPr>
        <w:rFonts w:ascii="Courier New" w:hAnsi="Courier New" w:cs="Times New Roman" w:hint="default"/>
      </w:rPr>
    </w:lvl>
    <w:lvl w:ilvl="8" w:tplc="283CEA72">
      <w:start w:val="1"/>
      <w:numFmt w:val="bullet"/>
      <w:lvlText w:val=""/>
      <w:lvlJc w:val="left"/>
      <w:pPr>
        <w:ind w:left="6480" w:hanging="360"/>
      </w:pPr>
      <w:rPr>
        <w:rFonts w:ascii="Wingdings" w:hAnsi="Wingdings" w:hint="default"/>
      </w:rPr>
    </w:lvl>
  </w:abstractNum>
  <w:num w:numId="1" w16cid:durableId="293996332">
    <w:abstractNumId w:val="0"/>
  </w:num>
  <w:num w:numId="2" w16cid:durableId="14505166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EFA"/>
    <w:rsid w:val="00021535"/>
    <w:rsid w:val="000A7F0D"/>
    <w:rsid w:val="000E435A"/>
    <w:rsid w:val="001F47B1"/>
    <w:rsid w:val="00227FB7"/>
    <w:rsid w:val="00257343"/>
    <w:rsid w:val="002A492F"/>
    <w:rsid w:val="002D4E16"/>
    <w:rsid w:val="002F4564"/>
    <w:rsid w:val="00314EB3"/>
    <w:rsid w:val="00362C40"/>
    <w:rsid w:val="00384818"/>
    <w:rsid w:val="004E3658"/>
    <w:rsid w:val="00517E2D"/>
    <w:rsid w:val="005E63EB"/>
    <w:rsid w:val="00652458"/>
    <w:rsid w:val="006B2FD7"/>
    <w:rsid w:val="006C7017"/>
    <w:rsid w:val="006D650C"/>
    <w:rsid w:val="007B2554"/>
    <w:rsid w:val="007B64C9"/>
    <w:rsid w:val="00803C87"/>
    <w:rsid w:val="00822B72"/>
    <w:rsid w:val="00827A5B"/>
    <w:rsid w:val="00872A28"/>
    <w:rsid w:val="00937F78"/>
    <w:rsid w:val="0099000F"/>
    <w:rsid w:val="0099722E"/>
    <w:rsid w:val="009D07D1"/>
    <w:rsid w:val="009D5C5D"/>
    <w:rsid w:val="00A05A9D"/>
    <w:rsid w:val="00A312E2"/>
    <w:rsid w:val="00A43632"/>
    <w:rsid w:val="00A524EC"/>
    <w:rsid w:val="00A62EFA"/>
    <w:rsid w:val="00AA75E1"/>
    <w:rsid w:val="00AC0C87"/>
    <w:rsid w:val="00B558CB"/>
    <w:rsid w:val="00BD5165"/>
    <w:rsid w:val="00BE4094"/>
    <w:rsid w:val="00C52876"/>
    <w:rsid w:val="00C65104"/>
    <w:rsid w:val="00C662EF"/>
    <w:rsid w:val="00C8262E"/>
    <w:rsid w:val="00D31407"/>
    <w:rsid w:val="00E13EE1"/>
    <w:rsid w:val="00ED3710"/>
    <w:rsid w:val="00EF65CA"/>
    <w:rsid w:val="00F00526"/>
    <w:rsid w:val="00F63C9F"/>
    <w:rsid w:val="00F83960"/>
    <w:rsid w:val="00F93681"/>
    <w:rsid w:val="00FA24FC"/>
    <w:rsid w:val="00FC5CBE"/>
    <w:rsid w:val="02B41656"/>
    <w:rsid w:val="03FFB98C"/>
    <w:rsid w:val="05DDF490"/>
    <w:rsid w:val="0699D03F"/>
    <w:rsid w:val="06E85719"/>
    <w:rsid w:val="0949287C"/>
    <w:rsid w:val="096250D9"/>
    <w:rsid w:val="09C0151B"/>
    <w:rsid w:val="0A9B4131"/>
    <w:rsid w:val="0B2D51E4"/>
    <w:rsid w:val="0BBB4937"/>
    <w:rsid w:val="0C80C93E"/>
    <w:rsid w:val="0C8E1AC9"/>
    <w:rsid w:val="0C9786E1"/>
    <w:rsid w:val="0D27D0AA"/>
    <w:rsid w:val="0DE44244"/>
    <w:rsid w:val="0DE90675"/>
    <w:rsid w:val="0E4E68FF"/>
    <w:rsid w:val="0F84D6D6"/>
    <w:rsid w:val="1039AE8E"/>
    <w:rsid w:val="1048D977"/>
    <w:rsid w:val="1120A737"/>
    <w:rsid w:val="12A3FDEA"/>
    <w:rsid w:val="12FD5C4D"/>
    <w:rsid w:val="1397122E"/>
    <w:rsid w:val="14992CAE"/>
    <w:rsid w:val="14E43A7F"/>
    <w:rsid w:val="177E37AB"/>
    <w:rsid w:val="186A8351"/>
    <w:rsid w:val="18A60401"/>
    <w:rsid w:val="19CC7397"/>
    <w:rsid w:val="1AE9E1D0"/>
    <w:rsid w:val="1BA22413"/>
    <w:rsid w:val="1BB290D1"/>
    <w:rsid w:val="1D3DF474"/>
    <w:rsid w:val="1DDD9DB1"/>
    <w:rsid w:val="1F473B12"/>
    <w:rsid w:val="1FBD10F3"/>
    <w:rsid w:val="22734690"/>
    <w:rsid w:val="22E93F98"/>
    <w:rsid w:val="231B6D9D"/>
    <w:rsid w:val="24A9EC73"/>
    <w:rsid w:val="24B73DFE"/>
    <w:rsid w:val="253A3524"/>
    <w:rsid w:val="26530E5F"/>
    <w:rsid w:val="29256471"/>
    <w:rsid w:val="29E7F216"/>
    <w:rsid w:val="2A246502"/>
    <w:rsid w:val="2BC03563"/>
    <w:rsid w:val="2CCE6323"/>
    <w:rsid w:val="2CD5C538"/>
    <w:rsid w:val="2D8F98EE"/>
    <w:rsid w:val="2F2B3182"/>
    <w:rsid w:val="30B5FED9"/>
    <w:rsid w:val="30E73BF5"/>
    <w:rsid w:val="324947D8"/>
    <w:rsid w:val="333DA4A7"/>
    <w:rsid w:val="33FEDA72"/>
    <w:rsid w:val="356717A9"/>
    <w:rsid w:val="359AAAD3"/>
    <w:rsid w:val="37DD82A0"/>
    <w:rsid w:val="38D24B95"/>
    <w:rsid w:val="39795301"/>
    <w:rsid w:val="3B48B68C"/>
    <w:rsid w:val="3CB0F3C3"/>
    <w:rsid w:val="3E4CC424"/>
    <w:rsid w:val="3EF551D3"/>
    <w:rsid w:val="3F418D19"/>
    <w:rsid w:val="3FE89485"/>
    <w:rsid w:val="40241535"/>
    <w:rsid w:val="42812997"/>
    <w:rsid w:val="43129E4A"/>
    <w:rsid w:val="435BB5F7"/>
    <w:rsid w:val="4474BFB8"/>
    <w:rsid w:val="464D029C"/>
    <w:rsid w:val="46829A83"/>
    <w:rsid w:val="4777938C"/>
    <w:rsid w:val="4815FEBD"/>
    <w:rsid w:val="49033839"/>
    <w:rsid w:val="4980619F"/>
    <w:rsid w:val="4A6C53AF"/>
    <w:rsid w:val="4B5EDA56"/>
    <w:rsid w:val="4D02983D"/>
    <w:rsid w:val="4D22894C"/>
    <w:rsid w:val="4D83529F"/>
    <w:rsid w:val="4DE867D6"/>
    <w:rsid w:val="4E9E689E"/>
    <w:rsid w:val="4EDE93BF"/>
    <w:rsid w:val="51926F64"/>
    <w:rsid w:val="51C53F2F"/>
    <w:rsid w:val="51D60960"/>
    <w:rsid w:val="531D30B4"/>
    <w:rsid w:val="532E11C2"/>
    <w:rsid w:val="5371D9C1"/>
    <w:rsid w:val="53891FB0"/>
    <w:rsid w:val="53D505F1"/>
    <w:rsid w:val="53FF18B8"/>
    <w:rsid w:val="54F481C5"/>
    <w:rsid w:val="56A01EA0"/>
    <w:rsid w:val="57763B71"/>
    <w:rsid w:val="58500CDE"/>
    <w:rsid w:val="5AB1955D"/>
    <w:rsid w:val="5B284299"/>
    <w:rsid w:val="5B8857B8"/>
    <w:rsid w:val="5C21B98F"/>
    <w:rsid w:val="5CC45A1A"/>
    <w:rsid w:val="5D10CE81"/>
    <w:rsid w:val="5D18BC07"/>
    <w:rsid w:val="5D6F6FEB"/>
    <w:rsid w:val="5E3E8D55"/>
    <w:rsid w:val="5EAC9EE2"/>
    <w:rsid w:val="5ED0E670"/>
    <w:rsid w:val="5F4E2E4D"/>
    <w:rsid w:val="5FA2DF3A"/>
    <w:rsid w:val="5FDF03FB"/>
    <w:rsid w:val="61E43FA4"/>
    <w:rsid w:val="61EEEE1C"/>
    <w:rsid w:val="625914D7"/>
    <w:rsid w:val="626A760C"/>
    <w:rsid w:val="634A56DE"/>
    <w:rsid w:val="636ED52E"/>
    <w:rsid w:val="64D7F5F4"/>
    <w:rsid w:val="657F1FD3"/>
    <w:rsid w:val="691CE0E7"/>
    <w:rsid w:val="69974CAA"/>
    <w:rsid w:val="6A1FB5EC"/>
    <w:rsid w:val="6A9F4C7D"/>
    <w:rsid w:val="6BA99972"/>
    <w:rsid w:val="6D36B4DC"/>
    <w:rsid w:val="6DA0DB97"/>
    <w:rsid w:val="6E097A67"/>
    <w:rsid w:val="6ECAB032"/>
    <w:rsid w:val="6F8C226B"/>
    <w:rsid w:val="72CBB0B3"/>
    <w:rsid w:val="72EE2661"/>
    <w:rsid w:val="74ACA61F"/>
    <w:rsid w:val="74F88C60"/>
    <w:rsid w:val="7520C959"/>
    <w:rsid w:val="7539F1B6"/>
    <w:rsid w:val="77B05CAD"/>
    <w:rsid w:val="780663BC"/>
    <w:rsid w:val="7B89FB63"/>
    <w:rsid w:val="7C35E51F"/>
    <w:rsid w:val="7CDF1FB7"/>
    <w:rsid w:val="7EEC1ABC"/>
    <w:rsid w:val="7FE645E6"/>
    <w:rsid w:val="7FF46CDF"/>
    <w:rsid w:val="7FFE48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C8395B"/>
  <w15:chartTrackingRefBased/>
  <w15:docId w15:val="{F7F8D784-740C-472C-8321-EA23B3925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EFA"/>
  </w:style>
  <w:style w:type="paragraph" w:styleId="Heading1">
    <w:name w:val="heading 1"/>
    <w:basedOn w:val="Normal"/>
    <w:next w:val="Normal"/>
    <w:link w:val="Heading1Char"/>
    <w:uiPriority w:val="9"/>
    <w:qFormat/>
    <w:rsid w:val="00A62E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62E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2EFA"/>
    <w:rPr>
      <w:color w:val="0563C1" w:themeColor="hyperlink"/>
      <w:u w:val="single"/>
    </w:rPr>
  </w:style>
  <w:style w:type="character" w:styleId="FollowedHyperlink">
    <w:name w:val="FollowedHyperlink"/>
    <w:basedOn w:val="DefaultParagraphFont"/>
    <w:uiPriority w:val="99"/>
    <w:semiHidden/>
    <w:unhideWhenUsed/>
    <w:rsid w:val="00A62EFA"/>
    <w:rPr>
      <w:color w:val="954F72" w:themeColor="followedHyperlink"/>
      <w:u w:val="single"/>
    </w:rPr>
  </w:style>
  <w:style w:type="character" w:customStyle="1" w:styleId="Heading1Char">
    <w:name w:val="Heading 1 Char"/>
    <w:basedOn w:val="DefaultParagraphFont"/>
    <w:link w:val="Heading1"/>
    <w:uiPriority w:val="9"/>
    <w:rsid w:val="00A62EF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62EFA"/>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A62EFA"/>
    <w:rPr>
      <w:color w:val="605E5C"/>
      <w:shd w:val="clear" w:color="auto" w:fill="E1DFDD"/>
    </w:rPr>
  </w:style>
  <w:style w:type="paragraph" w:styleId="Header">
    <w:name w:val="header"/>
    <w:basedOn w:val="Normal"/>
    <w:link w:val="HeaderChar"/>
    <w:uiPriority w:val="99"/>
    <w:unhideWhenUsed/>
    <w:rsid w:val="00C651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104"/>
  </w:style>
  <w:style w:type="paragraph" w:styleId="Footer">
    <w:name w:val="footer"/>
    <w:basedOn w:val="Normal"/>
    <w:link w:val="FooterChar"/>
    <w:uiPriority w:val="99"/>
    <w:unhideWhenUsed/>
    <w:rsid w:val="00C651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104"/>
  </w:style>
  <w:style w:type="paragraph" w:styleId="NoSpacing">
    <w:name w:val="No Spacing"/>
    <w:link w:val="NoSpacingChar"/>
    <w:uiPriority w:val="1"/>
    <w:qFormat/>
    <w:rsid w:val="00C65104"/>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C65104"/>
    <w:rPr>
      <w:kern w:val="0"/>
      <w:lang w:val="en-US" w:eastAsia="en-US"/>
      <w14:ligatures w14:val="none"/>
    </w:rPr>
  </w:style>
  <w:style w:type="paragraph" w:styleId="ListParagraph">
    <w:name w:val="List Paragraph"/>
    <w:basedOn w:val="Normal"/>
    <w:uiPriority w:val="34"/>
    <w:qFormat/>
    <w:rsid w:val="00F83960"/>
    <w:pPr>
      <w:spacing w:line="256" w:lineRule="auto"/>
      <w:ind w:left="720"/>
      <w:contextualSpacing/>
    </w:pPr>
    <w:rPr>
      <w:rFonts w:eastAsiaTheme="minorHAnsi"/>
      <w:kern w:val="0"/>
      <w:lang w:eastAsia="en-US"/>
      <w14:ligatures w14:val="non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795334">
      <w:bodyDiv w:val="1"/>
      <w:marLeft w:val="0"/>
      <w:marRight w:val="0"/>
      <w:marTop w:val="0"/>
      <w:marBottom w:val="0"/>
      <w:divBdr>
        <w:top w:val="none" w:sz="0" w:space="0" w:color="auto"/>
        <w:left w:val="none" w:sz="0" w:space="0" w:color="auto"/>
        <w:bottom w:val="none" w:sz="0" w:space="0" w:color="auto"/>
        <w:right w:val="none" w:sz="0" w:space="0" w:color="auto"/>
      </w:divBdr>
    </w:div>
    <w:div w:id="953949185">
      <w:bodyDiv w:val="1"/>
      <w:marLeft w:val="0"/>
      <w:marRight w:val="0"/>
      <w:marTop w:val="0"/>
      <w:marBottom w:val="0"/>
      <w:divBdr>
        <w:top w:val="none" w:sz="0" w:space="0" w:color="auto"/>
        <w:left w:val="none" w:sz="0" w:space="0" w:color="auto"/>
        <w:bottom w:val="none" w:sz="0" w:space="0" w:color="auto"/>
        <w:right w:val="none" w:sz="0" w:space="0" w:color="auto"/>
      </w:divBdr>
    </w:div>
    <w:div w:id="1045720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hyperlink" Target="https://www.sciencedirect.com/journal/sustainable-operations-and-computers" TargetMode="External"/><Relationship Id="rId18" Type="http://schemas.openxmlformats.org/officeDocument/2006/relationships/hyperlink" Target="https://en.unesco.org/covid19/educationresponse/countermeasures" TargetMode="External"/><Relationship Id="rId3" Type="http://schemas.openxmlformats.org/officeDocument/2006/relationships/settings" Target="settings.xml"/><Relationship Id="rId21" Type="http://schemas.openxmlformats.org/officeDocument/2006/relationships/hyperlink" Target="https://gov.wales/sites/default/files/publications/202202/education-in-wales-our-national-mission.pdf" TargetMode="External"/><Relationship Id="rId7" Type="http://schemas.openxmlformats.org/officeDocument/2006/relationships/image" Target="media/image1.png"/><Relationship Id="rId12" Type="http://schemas.openxmlformats.org/officeDocument/2006/relationships/hyperlink" Target="https://ec.europa.eu/education/education-in-the-eu/digital-education-action-plan_en" TargetMode="External"/><Relationship Id="rId17" Type="http://schemas.openxmlformats.org/officeDocument/2006/relationships/hyperlink" Target="https://www.qualificationswales.org/english/improving-qualifications/post-16-qualifications-review/"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80/00131881.2018.1506996" TargetMode="External"/><Relationship Id="rId20" Type="http://schemas.openxmlformats.org/officeDocument/2006/relationships/hyperlink" Target="https://hwb.gov.wales/professional-development/digital-competence-framewor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sse.indiana.edu/"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ssets.publishing.service.gov.uk/media/60d44b09d3bf7f4bd11a249f/online_and_blended_delivery_in_further_education.pdf" TargetMode="External"/><Relationship Id="rId23" Type="http://schemas.openxmlformats.org/officeDocument/2006/relationships/hyperlink" Target="https://gov.wales/professional-learning-teachers" TargetMode="External"/><Relationship Id="rId10" Type="http://schemas.openxmlformats.org/officeDocument/2006/relationships/hyperlink" Target="https://doi.org/10.1007/s12528-013-9077-3" TargetMode="External"/><Relationship Id="rId19" Type="http://schemas.openxmlformats.org/officeDocument/2006/relationships/hyperlink" Target="https://www.gov.wales/sites/default/files/publications/2019-06/digital-2030-a-strategic-framework-for-post-16-digital-learning-in-wales.pdf" TargetMode="External"/><Relationship Id="rId4" Type="http://schemas.openxmlformats.org/officeDocument/2006/relationships/webSettings" Target="webSettings.xml"/><Relationship Id="rId9" Type="http://schemas.openxmlformats.org/officeDocument/2006/relationships/hyperlink" Target="https://doi.org/10.1177/21582440231154417" TargetMode="External"/><Relationship Id="rId14" Type="http://schemas.openxmlformats.org/officeDocument/2006/relationships/hyperlink" Target="https://doi.org/10.1016/j.susoc.2022.05.004" TargetMode="External"/><Relationship Id="rId22" Type="http://schemas.openxmlformats.org/officeDocument/2006/relationships/hyperlink" Target="https://gov.wales/national-elearning-off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24</Pages>
  <Words>6126</Words>
  <Characters>39904</Characters>
  <Application>Microsoft Office Word</Application>
  <DocSecurity>0</DocSecurity>
  <Lines>735</Lines>
  <Paragraphs>153</Paragraphs>
  <ScaleCrop>false</ScaleCrop>
  <Company>University of Wales Trinity Saint David</Company>
  <LinksUpToDate>false</LinksUpToDate>
  <CharactersWithSpaces>45870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Action Research Project</dc:title>
  <dc:subject>ECPT6009                                        Lecturer: Mark Flagg                      Word Count:4053</dc:subject>
  <dc:creator>Cerimarie Jones                                   1806930</dc:creator>
  <cp:keywords/>
  <dc:description/>
  <cp:lastModifiedBy>Ceri Marie Jones (1806930)</cp:lastModifiedBy>
  <cp:revision>2</cp:revision>
  <dcterms:created xsi:type="dcterms:W3CDTF">2024-03-27T19:52:00Z</dcterms:created>
  <dcterms:modified xsi:type="dcterms:W3CDTF">2024-03-27T19:52:00Z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92c95743-5374-4f8d-9e06-bbb010422198</vt:lpwstr>
  </property>
</Properties>
</file>