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22B61" w14:textId="77777777" w:rsidR="007C7541" w:rsidRPr="007C7541" w:rsidRDefault="007C7541" w:rsidP="007C7541">
      <w:pPr>
        <w:rPr>
          <w:b/>
          <w:bCs/>
        </w:rPr>
      </w:pPr>
      <w:r w:rsidRPr="007C7541">
        <w:rPr>
          <w:b/>
          <w:bCs/>
        </w:rPr>
        <w:t>Task 1(a): Report on Essential Academic and Employment Skills</w:t>
      </w:r>
    </w:p>
    <w:p w14:paraId="2467126A" w14:textId="77777777" w:rsidR="007C7541" w:rsidRPr="007C7541" w:rsidRDefault="007C7541" w:rsidP="007C7541">
      <w:pPr>
        <w:rPr>
          <w:b/>
          <w:bCs/>
        </w:rPr>
      </w:pPr>
      <w:r w:rsidRPr="007C7541">
        <w:rPr>
          <w:b/>
          <w:bCs/>
        </w:rPr>
        <w:t>1. Introduction &amp; The Importance of Digital Literacy</w:t>
      </w:r>
    </w:p>
    <w:p w14:paraId="213A2ED2" w14:textId="77777777" w:rsidR="007C7541" w:rsidRPr="007C7541" w:rsidRDefault="007C7541" w:rsidP="007C7541">
      <w:r w:rsidRPr="007C7541">
        <w:t xml:space="preserve">In today's technology-driven environment, foundational literacy—the ability to read and write—must be combined with robust digital skills. Because modern business operations rely heavily on the internet, understanding web technologies, such as website creation and e-portfolio development, is invaluable. Navigating online environments efficiently, managing multiple browser windows simultaneously, and retrieving real-time information are critical competencies for the contemporary workplace [1]. Modern digital learning platforms provide flexible, cost-effective access to continuous education, ensuring that working professionals stay </w:t>
      </w:r>
      <w:proofErr w:type="gramStart"/>
      <w:r w:rsidRPr="007C7541">
        <w:t>up-to-date</w:t>
      </w:r>
      <w:proofErr w:type="gramEnd"/>
      <w:r w:rsidRPr="007C7541">
        <w:t xml:space="preserve"> with industry standards.</w:t>
      </w:r>
    </w:p>
    <w:p w14:paraId="5022FE9D" w14:textId="77777777" w:rsidR="007C7541" w:rsidRPr="007C7541" w:rsidRDefault="007C7541" w:rsidP="007C7541">
      <w:pPr>
        <w:rPr>
          <w:b/>
          <w:bCs/>
        </w:rPr>
      </w:pPr>
      <w:r w:rsidRPr="007C7541">
        <w:rPr>
          <w:b/>
          <w:bCs/>
        </w:rPr>
        <w:t>2. Practical Workplace Applications &amp; Operational Skills</w:t>
      </w:r>
    </w:p>
    <w:p w14:paraId="698E9C15" w14:textId="77777777" w:rsidR="007C7541" w:rsidRPr="007C7541" w:rsidRDefault="007C7541" w:rsidP="007C7541">
      <w:r w:rsidRPr="007C7541">
        <w:t>As an Advance Team Member (ATM), mastering routine computer operations has significantly enhanced my workplace efficiency and operational confidence. Core technical proficiencies—such as employing essential keyboard shortcuts (e.g., Ctrl + A to select all, Ctrl + C to copy, Ctrl + V to paste, and Ctrl + Z to undo)—have streamlined day-to-day administrative tasks.</w:t>
      </w:r>
    </w:p>
    <w:p w14:paraId="1F06C3AC" w14:textId="77777777" w:rsidR="007C7541" w:rsidRPr="007C7541" w:rsidRDefault="007C7541" w:rsidP="007C7541">
      <w:r w:rsidRPr="007C7541">
        <w:t>These foundational digital abilities allow for the execution of critical operational responsibilities, including:</w:t>
      </w:r>
    </w:p>
    <w:p w14:paraId="618D627E" w14:textId="77777777" w:rsidR="007C7541" w:rsidRPr="007C7541" w:rsidRDefault="007C7541" w:rsidP="007C7541">
      <w:pPr>
        <w:numPr>
          <w:ilvl w:val="0"/>
          <w:numId w:val="1"/>
        </w:numPr>
      </w:pPr>
      <w:r w:rsidRPr="007C7541">
        <w:rPr>
          <w:b/>
          <w:bCs/>
        </w:rPr>
        <w:t>End-of-Shift Reporting:</w:t>
      </w:r>
      <w:r w:rsidRPr="007C7541">
        <w:t xml:space="preserve"> Compiling accurate, structured summaries of daily operations.</w:t>
      </w:r>
    </w:p>
    <w:p w14:paraId="080860C8" w14:textId="77777777" w:rsidR="007C7541" w:rsidRPr="007C7541" w:rsidRDefault="007C7541" w:rsidP="007C7541">
      <w:pPr>
        <w:numPr>
          <w:ilvl w:val="0"/>
          <w:numId w:val="1"/>
        </w:numPr>
      </w:pPr>
      <w:r w:rsidRPr="007C7541">
        <w:rPr>
          <w:b/>
          <w:bCs/>
        </w:rPr>
        <w:t>Standard Operating Procedures (SOPs):</w:t>
      </w:r>
      <w:r w:rsidRPr="007C7541">
        <w:t xml:space="preserve"> Drafting clear guidelines using word processing applications (e.g., Microsoft Word) to structure headings, format body text, and insert necessary visual elements.</w:t>
      </w:r>
    </w:p>
    <w:p w14:paraId="44758670" w14:textId="77777777" w:rsidR="007C7541" w:rsidRPr="007C7541" w:rsidRDefault="007C7541" w:rsidP="007C7541">
      <w:pPr>
        <w:numPr>
          <w:ilvl w:val="0"/>
          <w:numId w:val="1"/>
        </w:numPr>
      </w:pPr>
      <w:r w:rsidRPr="007C7541">
        <w:rPr>
          <w:b/>
          <w:bCs/>
        </w:rPr>
        <w:t>Data Management and Analysis:</w:t>
      </w:r>
      <w:r w:rsidRPr="007C7541">
        <w:t xml:space="preserve"> Utilizing spreadsheet software (e.g., Microsoft Excel) to automate complex numerical calculations through formulas and functions, eliminating manual, repetitive data entry [2].</w:t>
      </w:r>
    </w:p>
    <w:p w14:paraId="6BB34FDA" w14:textId="77777777" w:rsidR="007C7541" w:rsidRPr="007C7541" w:rsidRDefault="007C7541" w:rsidP="007C7541">
      <w:pPr>
        <w:rPr>
          <w:b/>
          <w:bCs/>
        </w:rPr>
      </w:pPr>
      <w:r w:rsidRPr="007C7541">
        <w:rPr>
          <w:b/>
          <w:bCs/>
        </w:rPr>
        <w:t>3. Critical Thinking and Future Career Readiness</w:t>
      </w:r>
    </w:p>
    <w:p w14:paraId="590B3DE1" w14:textId="77777777" w:rsidR="007C7541" w:rsidRPr="007C7541" w:rsidRDefault="007C7541" w:rsidP="007C7541">
      <w:r w:rsidRPr="007C7541">
        <w:t xml:space="preserve">Beyond software proficiency, success in the modern workforce requires cognitive adaptability. Critical thinking and analytical problem-solving skills enable professionals to assess workplace challenges systematically and implement effective solutions [3]. By combining practical software competencies with structured problem-solving techniques, individuals are fully equipped to meet the evolving demands of technology-driven careers [4]. </w:t>
      </w:r>
    </w:p>
    <w:p w14:paraId="1F51B8EE" w14:textId="77777777" w:rsidR="007C7541" w:rsidRPr="007C7541" w:rsidRDefault="007C7541" w:rsidP="007C7541">
      <w:pPr>
        <w:rPr>
          <w:b/>
          <w:bCs/>
        </w:rPr>
      </w:pPr>
      <w:r w:rsidRPr="007C7541">
        <w:rPr>
          <w:b/>
          <w:bCs/>
        </w:rPr>
        <w:t>IEEE Reference List</w:t>
      </w:r>
    </w:p>
    <w:p w14:paraId="1D305449" w14:textId="77777777" w:rsidR="007C7541" w:rsidRPr="007C7541" w:rsidRDefault="007C7541" w:rsidP="007C7541">
      <w:r w:rsidRPr="007C7541">
        <w:lastRenderedPageBreak/>
        <w:t xml:space="preserve">[1] R. </w:t>
      </w:r>
      <w:proofErr w:type="spellStart"/>
      <w:r w:rsidRPr="007C7541">
        <w:t>Vuorikari</w:t>
      </w:r>
      <w:proofErr w:type="spellEnd"/>
      <w:r w:rsidRPr="007C7541">
        <w:t xml:space="preserve">, S. </w:t>
      </w:r>
      <w:proofErr w:type="spellStart"/>
      <w:r w:rsidRPr="007C7541">
        <w:t>Kluzer</w:t>
      </w:r>
      <w:proofErr w:type="spellEnd"/>
      <w:r w:rsidRPr="007C7541">
        <w:t xml:space="preserve">, and Y. Punie, </w:t>
      </w:r>
      <w:r w:rsidRPr="007C7541">
        <w:rPr>
          <w:i/>
          <w:iCs/>
        </w:rPr>
        <w:t>"</w:t>
      </w:r>
      <w:proofErr w:type="spellStart"/>
      <w:r w:rsidRPr="007C7541">
        <w:rPr>
          <w:i/>
          <w:iCs/>
        </w:rPr>
        <w:t>DigComp</w:t>
      </w:r>
      <w:proofErr w:type="spellEnd"/>
      <w:r w:rsidRPr="007C7541">
        <w:rPr>
          <w:i/>
          <w:iCs/>
        </w:rPr>
        <w:t xml:space="preserve"> 2.2: The Digital Competence Framework for Citizens,"</w:t>
      </w:r>
      <w:r w:rsidRPr="007C7541">
        <w:t xml:space="preserve"> Publications Office of the European Union, Luxembourg, Rep. EUR 31088 EN, 2022. </w:t>
      </w:r>
      <w:proofErr w:type="spellStart"/>
      <w:r w:rsidRPr="007C7541">
        <w:t>doi</w:t>
      </w:r>
      <w:proofErr w:type="spellEnd"/>
      <w:r w:rsidRPr="007C7541">
        <w:t>: 10.2760/115370.</w:t>
      </w:r>
    </w:p>
    <w:p w14:paraId="621E357B" w14:textId="77777777" w:rsidR="007C7541" w:rsidRPr="007C7541" w:rsidRDefault="007C7541" w:rsidP="007C7541">
      <w:r w:rsidRPr="007C7541">
        <w:t xml:space="preserve">[2] T. P. Lee and S. B. Bowyer, </w:t>
      </w:r>
      <w:r w:rsidRPr="007C7541">
        <w:rPr>
          <w:i/>
          <w:iCs/>
        </w:rPr>
        <w:t>"Spreadsheet usage, data literacy, and decision support in the digital workplace,"</w:t>
      </w:r>
      <w:r w:rsidRPr="007C7541">
        <w:t xml:space="preserve"> </w:t>
      </w:r>
      <w:r w:rsidRPr="007C7541">
        <w:rPr>
          <w:i/>
          <w:iCs/>
        </w:rPr>
        <w:t>IEEE Transactions on Professional Communication</w:t>
      </w:r>
      <w:r w:rsidRPr="007C7541">
        <w:t>, vol. 65, no. 3, pp. 312–326, Sep. 2022.</w:t>
      </w:r>
    </w:p>
    <w:p w14:paraId="3BF69C08" w14:textId="77777777" w:rsidR="007C7541" w:rsidRPr="007C7541" w:rsidRDefault="007C7541" w:rsidP="007C7541">
      <w:r w:rsidRPr="007C7541">
        <w:t xml:space="preserve">[3] M. A. A. Agni, M. </w:t>
      </w:r>
      <w:proofErr w:type="spellStart"/>
      <w:r w:rsidRPr="007C7541">
        <w:t>Giatman</w:t>
      </w:r>
      <w:proofErr w:type="spellEnd"/>
      <w:r w:rsidRPr="007C7541">
        <w:t xml:space="preserve">, and S. Islami, </w:t>
      </w:r>
      <w:r w:rsidRPr="007C7541">
        <w:rPr>
          <w:i/>
          <w:iCs/>
        </w:rPr>
        <w:t>"Enhancing critical thinking and teamwork through project-based learning in technical education,"</w:t>
      </w:r>
      <w:r w:rsidRPr="007C7541">
        <w:t xml:space="preserve"> </w:t>
      </w:r>
      <w:r w:rsidRPr="007C7541">
        <w:rPr>
          <w:i/>
          <w:iCs/>
        </w:rPr>
        <w:t>IEEE Transactions on Education</w:t>
      </w:r>
      <w:r w:rsidRPr="007C7541">
        <w:t>, vol. 67, no. 1, pp. 45–54, Feb. 2024.</w:t>
      </w:r>
    </w:p>
    <w:p w14:paraId="7ECCAB68" w14:textId="77777777" w:rsidR="007C7541" w:rsidRPr="007C7541" w:rsidRDefault="007C7541" w:rsidP="007C7541">
      <w:r w:rsidRPr="007C7541">
        <w:t xml:space="preserve">[4] S. J. </w:t>
      </w:r>
      <w:proofErr w:type="spellStart"/>
      <w:r w:rsidRPr="007C7541">
        <w:t>Tsiligiris</w:t>
      </w:r>
      <w:proofErr w:type="spellEnd"/>
      <w:r w:rsidRPr="007C7541">
        <w:t xml:space="preserve"> and D. Bowyer, </w:t>
      </w:r>
      <w:r w:rsidRPr="007C7541">
        <w:rPr>
          <w:i/>
          <w:iCs/>
        </w:rPr>
        <w:t>"Exploring the impact of digital transformation on graduate employability skills,"</w:t>
      </w:r>
      <w:r w:rsidRPr="007C7541">
        <w:t xml:space="preserve"> </w:t>
      </w:r>
      <w:r w:rsidRPr="007C7541">
        <w:rPr>
          <w:i/>
          <w:iCs/>
        </w:rPr>
        <w:t>IEEE Access</w:t>
      </w:r>
      <w:r w:rsidRPr="007C7541">
        <w:t xml:space="preserve">, vol. 9, pp. 115200–115212, 2021. </w:t>
      </w:r>
      <w:proofErr w:type="spellStart"/>
      <w:r w:rsidRPr="007C7541">
        <w:t>doi</w:t>
      </w:r>
      <w:proofErr w:type="spellEnd"/>
      <w:r w:rsidRPr="007C7541">
        <w:t>: 10.1109/ACCESS.2021.3105432.</w:t>
      </w:r>
    </w:p>
    <w:p w14:paraId="72C52FEB" w14:textId="77777777" w:rsidR="00C36F90" w:rsidRPr="007C7541" w:rsidRDefault="00C36F90" w:rsidP="007C7541"/>
    <w:sectPr w:rsidR="00C36F90" w:rsidRPr="007C7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F2E92"/>
    <w:multiLevelType w:val="multilevel"/>
    <w:tmpl w:val="95068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306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F90"/>
    <w:rsid w:val="00394E76"/>
    <w:rsid w:val="007C7541"/>
    <w:rsid w:val="00C36F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819B1"/>
  <w15:chartTrackingRefBased/>
  <w15:docId w15:val="{637A54AF-E57F-4262-B619-BAC4F9B84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F90"/>
    <w:rPr>
      <w:rFonts w:eastAsiaTheme="majorEastAsia" w:cstheme="majorBidi"/>
      <w:color w:val="272727" w:themeColor="text1" w:themeTint="D8"/>
    </w:rPr>
  </w:style>
  <w:style w:type="paragraph" w:styleId="Title">
    <w:name w:val="Title"/>
    <w:basedOn w:val="Normal"/>
    <w:next w:val="Normal"/>
    <w:link w:val="TitleChar"/>
    <w:uiPriority w:val="10"/>
    <w:qFormat/>
    <w:rsid w:val="00C36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F90"/>
    <w:pPr>
      <w:spacing w:before="160"/>
      <w:jc w:val="center"/>
    </w:pPr>
    <w:rPr>
      <w:i/>
      <w:iCs/>
      <w:color w:val="404040" w:themeColor="text1" w:themeTint="BF"/>
    </w:rPr>
  </w:style>
  <w:style w:type="character" w:customStyle="1" w:styleId="QuoteChar">
    <w:name w:val="Quote Char"/>
    <w:basedOn w:val="DefaultParagraphFont"/>
    <w:link w:val="Quote"/>
    <w:uiPriority w:val="29"/>
    <w:rsid w:val="00C36F90"/>
    <w:rPr>
      <w:i/>
      <w:iCs/>
      <w:color w:val="404040" w:themeColor="text1" w:themeTint="BF"/>
    </w:rPr>
  </w:style>
  <w:style w:type="paragraph" w:styleId="ListParagraph">
    <w:name w:val="List Paragraph"/>
    <w:basedOn w:val="Normal"/>
    <w:uiPriority w:val="34"/>
    <w:qFormat/>
    <w:rsid w:val="00C36F90"/>
    <w:pPr>
      <w:ind w:left="720"/>
      <w:contextualSpacing/>
    </w:pPr>
  </w:style>
  <w:style w:type="character" w:styleId="IntenseEmphasis">
    <w:name w:val="Intense Emphasis"/>
    <w:basedOn w:val="DefaultParagraphFont"/>
    <w:uiPriority w:val="21"/>
    <w:qFormat/>
    <w:rsid w:val="00C36F90"/>
    <w:rPr>
      <w:i/>
      <w:iCs/>
      <w:color w:val="0F4761" w:themeColor="accent1" w:themeShade="BF"/>
    </w:rPr>
  </w:style>
  <w:style w:type="paragraph" w:styleId="IntenseQuote">
    <w:name w:val="Intense Quote"/>
    <w:basedOn w:val="Normal"/>
    <w:next w:val="Normal"/>
    <w:link w:val="IntenseQuoteChar"/>
    <w:uiPriority w:val="30"/>
    <w:qFormat/>
    <w:rsid w:val="00C36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F90"/>
    <w:rPr>
      <w:i/>
      <w:iCs/>
      <w:color w:val="0F4761" w:themeColor="accent1" w:themeShade="BF"/>
    </w:rPr>
  </w:style>
  <w:style w:type="character" w:styleId="IntenseReference">
    <w:name w:val="Intense Reference"/>
    <w:basedOn w:val="DefaultParagraphFont"/>
    <w:uiPriority w:val="32"/>
    <w:qFormat/>
    <w:rsid w:val="00C36F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470</Words>
  <Characters>2683</Characters>
  <Application>Microsoft Office Word</Application>
  <DocSecurity>0</DocSecurity>
  <Lines>22</Lines>
  <Paragraphs>6</Paragraphs>
  <ScaleCrop>false</ScaleCrop>
  <Company/>
  <LinksUpToDate>false</LinksUpToDate>
  <CharactersWithSpaces>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Kofi Dennis Adorsoo (2540934)</dc:creator>
  <cp:keywords/>
  <dc:description/>
  <cp:lastModifiedBy>Kofi Dennis Adorsoo (2540934)</cp:lastModifiedBy>
  <cp:revision>2</cp:revision>
  <dcterms:created xsi:type="dcterms:W3CDTF">2026-07-23T09:27:00Z</dcterms:created>
  <dcterms:modified xsi:type="dcterms:W3CDTF">2026-07-23T09:36:00Z</dcterms:modified>
</cp:coreProperties>
</file>