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19008975" w:displacedByCustomXml="next"/>
    <w:sdt>
      <w:sdtPr>
        <w:rPr>
          <w:rFonts w:eastAsiaTheme="minorHAnsi"/>
          <w:color w:val="4472C4" w:themeColor="accent1"/>
          <w:lang w:val="en-GB"/>
        </w:rPr>
        <w:id w:val="-710813685"/>
        <w:docPartObj>
          <w:docPartGallery w:val="Cover Pages"/>
          <w:docPartUnique/>
        </w:docPartObj>
      </w:sdtPr>
      <w:sdtEndPr>
        <w:rPr>
          <w:color w:val="auto"/>
          <w:sz w:val="28"/>
          <w:szCs w:val="28"/>
        </w:rPr>
      </w:sdtEndPr>
      <w:sdtContent>
        <w:p w14:paraId="264DFFA8" w14:textId="14C1D339" w:rsidR="00FD4F6E" w:rsidRPr="00AE616F" w:rsidRDefault="00FD4F6E">
          <w:pPr>
            <w:pStyle w:val="NoSpacing"/>
            <w:spacing w:before="1540" w:after="240"/>
            <w:jc w:val="center"/>
          </w:pPr>
          <w:r w:rsidRPr="00AE616F">
            <w:rPr>
              <w:noProof/>
            </w:rPr>
            <w:drawing>
              <wp:inline distT="0" distB="0" distL="0" distR="0" wp14:anchorId="53B5EFD0" wp14:editId="05BDECF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41424078773A46F888EE0BC0EEAF130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9559053" w14:textId="726010B9" w:rsidR="00FD4F6E" w:rsidRPr="00AE616F" w:rsidRDefault="00FD4F6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sidRPr="00AE616F">
                <w:rPr>
                  <w:rFonts w:asciiTheme="majorHAnsi" w:eastAsiaTheme="majorEastAsia" w:hAnsiTheme="majorHAnsi" w:cstheme="majorBidi"/>
                  <w:caps/>
                  <w:sz w:val="72"/>
                  <w:szCs w:val="72"/>
                </w:rPr>
                <w:t>Legal and contract responsibilities in the Built Environment</w:t>
              </w:r>
            </w:p>
          </w:sdtContent>
        </w:sdt>
        <w:sdt>
          <w:sdtPr>
            <w:rPr>
              <w:sz w:val="28"/>
              <w:szCs w:val="28"/>
            </w:rPr>
            <w:alias w:val="Subtitle"/>
            <w:tag w:val=""/>
            <w:id w:val="328029620"/>
            <w:placeholder>
              <w:docPart w:val="08C63327B600430C887F2EA06F790E25"/>
            </w:placeholder>
            <w:dataBinding w:prefixMappings="xmlns:ns0='http://purl.org/dc/elements/1.1/' xmlns:ns1='http://schemas.openxmlformats.org/package/2006/metadata/core-properties' " w:xpath="/ns1:coreProperties[1]/ns0:subject[1]" w:storeItemID="{6C3C8BC8-F283-45AE-878A-BAB7291924A1}"/>
            <w:text/>
          </w:sdtPr>
          <w:sdtContent>
            <w:p w14:paraId="028E6DCA" w14:textId="4898EE88" w:rsidR="00FD4F6E" w:rsidRPr="00AE616F" w:rsidRDefault="00605E5F">
              <w:pPr>
                <w:pStyle w:val="NoSpacing"/>
                <w:jc w:val="center"/>
                <w:rPr>
                  <w:sz w:val="28"/>
                  <w:szCs w:val="28"/>
                </w:rPr>
              </w:pPr>
              <w:r w:rsidRPr="00AE616F">
                <w:rPr>
                  <w:sz w:val="28"/>
                  <w:szCs w:val="28"/>
                </w:rPr>
                <w:t>Negligence in Construction</w:t>
              </w:r>
            </w:p>
          </w:sdtContent>
        </w:sdt>
        <w:p w14:paraId="2D168340" w14:textId="77777777" w:rsidR="00FD4F6E" w:rsidRPr="00AE616F" w:rsidRDefault="00FD4F6E">
          <w:pPr>
            <w:pStyle w:val="NoSpacing"/>
            <w:spacing w:before="480"/>
            <w:jc w:val="center"/>
          </w:pPr>
          <w:r w:rsidRPr="00AE616F">
            <w:rPr>
              <w:noProof/>
            </w:rPr>
            <mc:AlternateContent>
              <mc:Choice Requires="wps">
                <w:drawing>
                  <wp:anchor distT="0" distB="0" distL="114300" distR="114300" simplePos="0" relativeHeight="251659264" behindDoc="0" locked="0" layoutInCell="1" allowOverlap="1" wp14:anchorId="623755A7" wp14:editId="7FDDD6C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2-11-30T00:00:00Z">
                                    <w:dateFormat w:val="MMMM d, yyyy"/>
                                    <w:lid w:val="en-US"/>
                                    <w:storeMappedDataAs w:val="dateTime"/>
                                    <w:calendar w:val="gregorian"/>
                                  </w:date>
                                </w:sdtPr>
                                <w:sdtContent>
                                  <w:p w14:paraId="4C940FE6" w14:textId="73689D38" w:rsidR="00FD4F6E" w:rsidRPr="00C10BE1" w:rsidRDefault="00AD64D6">
                                    <w:pPr>
                                      <w:pStyle w:val="NoSpacing"/>
                                      <w:spacing w:after="40"/>
                                      <w:jc w:val="center"/>
                                      <w:rPr>
                                        <w:caps/>
                                        <w:sz w:val="28"/>
                                        <w:szCs w:val="28"/>
                                      </w:rPr>
                                    </w:pPr>
                                    <w:r w:rsidRPr="00C10BE1">
                                      <w:rPr>
                                        <w:caps/>
                                        <w:sz w:val="28"/>
                                        <w:szCs w:val="28"/>
                                      </w:rPr>
                                      <w:t>November 30, 2022</w:t>
                                    </w:r>
                                  </w:p>
                                </w:sdtContent>
                              </w:sdt>
                              <w:p w14:paraId="6732D89F" w14:textId="1D8B96F7" w:rsidR="00FD4F6E" w:rsidRPr="00C10BE1" w:rsidRDefault="00000000">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00EA7EA1" w:rsidRPr="00C10BE1">
                                      <w:rPr>
                                        <w:caps/>
                                      </w:rPr>
                                      <w:t xml:space="preserve">Word Count: </w:t>
                                    </w:r>
                                    <w:r w:rsidR="004D0890" w:rsidRPr="00C10BE1">
                                      <w:rPr>
                                        <w:caps/>
                                      </w:rPr>
                                      <w:t>215</w:t>
                                    </w:r>
                                    <w:r w:rsidR="00B87EBA" w:rsidRPr="00C10BE1">
                                      <w:rPr>
                                        <w:caps/>
                                      </w:rPr>
                                      <w:t>2</w:t>
                                    </w:r>
                                  </w:sdtContent>
                                </w:sdt>
                              </w:p>
                              <w:p w14:paraId="24AD4572" w14:textId="04BEB2CC" w:rsidR="00FD4F6E" w:rsidRPr="00C10BE1" w:rsidRDefault="00000000">
                                <w:pPr>
                                  <w:pStyle w:val="NoSpacing"/>
                                  <w:jc w:val="center"/>
                                </w:pPr>
                                <w:sdt>
                                  <w:sdt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D4F6E" w:rsidRPr="00C10BE1">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23755A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2-11-30T00:00:00Z">
                              <w:dateFormat w:val="MMMM d, yyyy"/>
                              <w:lid w:val="en-US"/>
                              <w:storeMappedDataAs w:val="dateTime"/>
                              <w:calendar w:val="gregorian"/>
                            </w:date>
                          </w:sdtPr>
                          <w:sdtContent>
                            <w:p w14:paraId="4C940FE6" w14:textId="73689D38" w:rsidR="00FD4F6E" w:rsidRPr="00C10BE1" w:rsidRDefault="00AD64D6">
                              <w:pPr>
                                <w:pStyle w:val="NoSpacing"/>
                                <w:spacing w:after="40"/>
                                <w:jc w:val="center"/>
                                <w:rPr>
                                  <w:caps/>
                                  <w:sz w:val="28"/>
                                  <w:szCs w:val="28"/>
                                </w:rPr>
                              </w:pPr>
                              <w:r w:rsidRPr="00C10BE1">
                                <w:rPr>
                                  <w:caps/>
                                  <w:sz w:val="28"/>
                                  <w:szCs w:val="28"/>
                                </w:rPr>
                                <w:t>November 30, 2022</w:t>
                              </w:r>
                            </w:p>
                          </w:sdtContent>
                        </w:sdt>
                        <w:p w14:paraId="6732D89F" w14:textId="1D8B96F7" w:rsidR="00FD4F6E" w:rsidRPr="00C10BE1" w:rsidRDefault="00000000">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00EA7EA1" w:rsidRPr="00C10BE1">
                                <w:rPr>
                                  <w:caps/>
                                </w:rPr>
                                <w:t xml:space="preserve">Word Count: </w:t>
                              </w:r>
                              <w:r w:rsidR="004D0890" w:rsidRPr="00C10BE1">
                                <w:rPr>
                                  <w:caps/>
                                </w:rPr>
                                <w:t>215</w:t>
                              </w:r>
                              <w:r w:rsidR="00B87EBA" w:rsidRPr="00C10BE1">
                                <w:rPr>
                                  <w:caps/>
                                </w:rPr>
                                <w:t>2</w:t>
                              </w:r>
                            </w:sdtContent>
                          </w:sdt>
                        </w:p>
                        <w:p w14:paraId="24AD4572" w14:textId="04BEB2CC" w:rsidR="00FD4F6E" w:rsidRPr="00C10BE1" w:rsidRDefault="00000000">
                          <w:pPr>
                            <w:pStyle w:val="NoSpacing"/>
                            <w:jc w:val="center"/>
                          </w:pPr>
                          <w:sdt>
                            <w:sdt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D4F6E" w:rsidRPr="00C10BE1">
                                <w:t xml:space="preserve">     </w:t>
                              </w:r>
                            </w:sdtContent>
                          </w:sdt>
                        </w:p>
                      </w:txbxContent>
                    </v:textbox>
                    <w10:wrap anchorx="margin" anchory="page"/>
                  </v:shape>
                </w:pict>
              </mc:Fallback>
            </mc:AlternateContent>
          </w:r>
          <w:r w:rsidRPr="00AE616F">
            <w:rPr>
              <w:noProof/>
            </w:rPr>
            <w:drawing>
              <wp:inline distT="0" distB="0" distL="0" distR="0" wp14:anchorId="7C85C52B" wp14:editId="32E9EF0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C2E7038" w14:textId="5C286544" w:rsidR="00FD4F6E" w:rsidRPr="00AE616F" w:rsidRDefault="00FD4F6E">
          <w:pPr>
            <w:rPr>
              <w:rFonts w:eastAsiaTheme="minorEastAsia"/>
              <w:sz w:val="28"/>
              <w:szCs w:val="28"/>
              <w:lang w:val="en-US"/>
            </w:rPr>
          </w:pPr>
          <w:r w:rsidRPr="00AE616F">
            <w:rPr>
              <w:rFonts w:eastAsiaTheme="minorEastAsia"/>
              <w:sz w:val="28"/>
              <w:szCs w:val="28"/>
              <w:lang w:val="en-US"/>
            </w:rPr>
            <w:br w:type="page"/>
          </w:r>
        </w:p>
      </w:sdtContent>
    </w:sdt>
    <w:p w14:paraId="1A11F4A0" w14:textId="0ACCC1AB" w:rsidR="00AA5296" w:rsidRPr="005076F3" w:rsidRDefault="00AA5296" w:rsidP="00AA5296">
      <w:pPr>
        <w:ind w:left="2880" w:firstLine="720"/>
        <w:rPr>
          <w:rFonts w:ascii="Arial" w:hAnsi="Arial" w:cs="Arial"/>
          <w:sz w:val="24"/>
          <w:szCs w:val="24"/>
        </w:rPr>
      </w:pPr>
      <w:r w:rsidRPr="005076F3">
        <w:rPr>
          <w:rFonts w:ascii="Arial" w:hAnsi="Arial" w:cs="Arial"/>
          <w:sz w:val="24"/>
          <w:szCs w:val="24"/>
        </w:rPr>
        <w:lastRenderedPageBreak/>
        <w:t>A report focussing on:</w:t>
      </w:r>
      <w:bookmarkEnd w:id="0"/>
    </w:p>
    <w:p w14:paraId="3DE2653B" w14:textId="77777777" w:rsidR="00AA5296" w:rsidRPr="005076F3" w:rsidRDefault="00AA5296" w:rsidP="00AA5296">
      <w:pPr>
        <w:spacing w:after="240"/>
        <w:jc w:val="center"/>
        <w:rPr>
          <w:rFonts w:ascii="Arial" w:hAnsi="Arial" w:cs="Arial"/>
          <w:sz w:val="24"/>
          <w:szCs w:val="24"/>
        </w:rPr>
      </w:pPr>
    </w:p>
    <w:p w14:paraId="315270BC" w14:textId="77777777" w:rsidR="00AA5296" w:rsidRPr="005076F3" w:rsidRDefault="00AA5296" w:rsidP="00AA5296">
      <w:pPr>
        <w:spacing w:after="240"/>
        <w:jc w:val="center"/>
        <w:rPr>
          <w:rFonts w:ascii="Arial" w:hAnsi="Arial" w:cs="Arial"/>
          <w:bCs/>
          <w:sz w:val="24"/>
          <w:szCs w:val="24"/>
        </w:rPr>
      </w:pPr>
      <w:r w:rsidRPr="005076F3">
        <w:rPr>
          <w:rFonts w:ascii="Arial" w:hAnsi="Arial" w:cs="Arial"/>
          <w:bCs/>
          <w:sz w:val="24"/>
          <w:szCs w:val="24"/>
        </w:rPr>
        <w:t>Legal and contract responsibilities in the Built Environment</w:t>
      </w:r>
    </w:p>
    <w:p w14:paraId="42BBB024" w14:textId="77777777" w:rsidR="00AA5296" w:rsidRPr="005076F3" w:rsidRDefault="00AA5296" w:rsidP="00AA5296">
      <w:pPr>
        <w:spacing w:after="240"/>
        <w:jc w:val="center"/>
        <w:rPr>
          <w:rFonts w:ascii="Arial" w:hAnsi="Arial" w:cs="Arial"/>
          <w:sz w:val="24"/>
          <w:szCs w:val="24"/>
        </w:rPr>
      </w:pPr>
    </w:p>
    <w:p w14:paraId="356138BC" w14:textId="77777777" w:rsidR="00AA5296" w:rsidRPr="005076F3" w:rsidRDefault="00AA5296" w:rsidP="00AA5296">
      <w:pPr>
        <w:spacing w:after="240"/>
        <w:jc w:val="center"/>
        <w:rPr>
          <w:rFonts w:ascii="Arial" w:hAnsi="Arial" w:cs="Arial"/>
          <w:sz w:val="24"/>
          <w:szCs w:val="24"/>
        </w:rPr>
      </w:pPr>
      <w:r w:rsidRPr="005076F3">
        <w:rPr>
          <w:rFonts w:ascii="Arial" w:hAnsi="Arial" w:cs="Arial"/>
          <w:sz w:val="24"/>
          <w:szCs w:val="24"/>
        </w:rPr>
        <w:t>Prepared for:</w:t>
      </w:r>
    </w:p>
    <w:p w14:paraId="6DCA4E19" w14:textId="77777777" w:rsidR="00AA5296" w:rsidRPr="005076F3" w:rsidRDefault="00AA5296" w:rsidP="00AA5296">
      <w:pPr>
        <w:spacing w:after="240"/>
        <w:jc w:val="center"/>
        <w:rPr>
          <w:rFonts w:ascii="Arial" w:hAnsi="Arial" w:cs="Arial"/>
          <w:sz w:val="24"/>
          <w:szCs w:val="24"/>
        </w:rPr>
      </w:pPr>
    </w:p>
    <w:p w14:paraId="05231211" w14:textId="77777777" w:rsidR="00AA5296" w:rsidRPr="005076F3" w:rsidRDefault="00AA5296" w:rsidP="005353B3">
      <w:pPr>
        <w:spacing w:after="240" w:line="360" w:lineRule="auto"/>
        <w:jc w:val="center"/>
        <w:rPr>
          <w:rFonts w:ascii="Arial" w:hAnsi="Arial" w:cs="Arial"/>
          <w:sz w:val="24"/>
          <w:szCs w:val="24"/>
          <w:u w:val="single"/>
        </w:rPr>
      </w:pPr>
      <w:r w:rsidRPr="005076F3">
        <w:rPr>
          <w:rFonts w:ascii="Arial" w:hAnsi="Arial" w:cs="Arial"/>
          <w:sz w:val="24"/>
          <w:szCs w:val="24"/>
          <w:u w:val="single"/>
        </w:rPr>
        <w:t xml:space="preserve">Lara Hopkinson - </w:t>
      </w:r>
      <w:hyperlink r:id="rId10" w:history="1">
        <w:r w:rsidRPr="005076F3">
          <w:rPr>
            <w:rStyle w:val="Hyperlink"/>
            <w:rFonts w:ascii="Arial" w:hAnsi="Arial" w:cs="Arial"/>
            <w:color w:val="auto"/>
            <w:sz w:val="24"/>
            <w:szCs w:val="24"/>
          </w:rPr>
          <w:t>lara.hopkinson@uwtsd.ac.uk</w:t>
        </w:r>
      </w:hyperlink>
    </w:p>
    <w:p w14:paraId="2D78C8C1" w14:textId="77777777" w:rsidR="00AA5296" w:rsidRPr="005076F3" w:rsidRDefault="00AA5296" w:rsidP="005353B3">
      <w:pPr>
        <w:spacing w:after="240" w:line="360" w:lineRule="auto"/>
        <w:jc w:val="center"/>
        <w:rPr>
          <w:rFonts w:ascii="Arial" w:hAnsi="Arial" w:cs="Arial"/>
          <w:sz w:val="24"/>
          <w:szCs w:val="24"/>
        </w:rPr>
      </w:pPr>
    </w:p>
    <w:p w14:paraId="0DBA5EE5" w14:textId="77777777" w:rsidR="00AA5296" w:rsidRPr="005076F3" w:rsidRDefault="00AA5296" w:rsidP="005353B3">
      <w:pPr>
        <w:spacing w:after="240" w:line="360" w:lineRule="auto"/>
        <w:jc w:val="center"/>
        <w:rPr>
          <w:rFonts w:ascii="Arial" w:hAnsi="Arial" w:cs="Arial"/>
          <w:sz w:val="24"/>
          <w:szCs w:val="24"/>
        </w:rPr>
      </w:pPr>
    </w:p>
    <w:p w14:paraId="7824E16D" w14:textId="77777777" w:rsidR="00AA5296" w:rsidRPr="005076F3" w:rsidRDefault="00AA5296" w:rsidP="005353B3">
      <w:pPr>
        <w:spacing w:after="240" w:line="360" w:lineRule="auto"/>
        <w:jc w:val="center"/>
        <w:rPr>
          <w:rFonts w:ascii="Arial" w:hAnsi="Arial" w:cs="Arial"/>
          <w:sz w:val="24"/>
          <w:szCs w:val="24"/>
        </w:rPr>
      </w:pPr>
      <w:r w:rsidRPr="005076F3">
        <w:rPr>
          <w:rFonts w:ascii="Arial" w:hAnsi="Arial" w:cs="Arial"/>
          <w:sz w:val="24"/>
          <w:szCs w:val="24"/>
        </w:rPr>
        <w:t>Created by:</w:t>
      </w:r>
    </w:p>
    <w:p w14:paraId="39E9089C" w14:textId="77777777" w:rsidR="00AA5296" w:rsidRPr="005076F3" w:rsidRDefault="00AA5296" w:rsidP="005353B3">
      <w:pPr>
        <w:spacing w:after="240" w:line="360" w:lineRule="auto"/>
        <w:jc w:val="center"/>
        <w:rPr>
          <w:rFonts w:ascii="Arial" w:hAnsi="Arial" w:cs="Arial"/>
          <w:sz w:val="24"/>
          <w:szCs w:val="24"/>
          <w:u w:val="single"/>
        </w:rPr>
      </w:pPr>
      <w:r w:rsidRPr="005076F3">
        <w:rPr>
          <w:rFonts w:ascii="Arial" w:hAnsi="Arial" w:cs="Arial"/>
          <w:sz w:val="24"/>
          <w:szCs w:val="24"/>
          <w:u w:val="single"/>
        </w:rPr>
        <w:t>Mr Cerith Edwards (2219938) – Trainee Quantity Surveyor for Premier Forecourt and Construction</w:t>
      </w:r>
    </w:p>
    <w:p w14:paraId="3BFC25CF" w14:textId="77777777" w:rsidR="00AA5296" w:rsidRPr="005076F3" w:rsidRDefault="00AA5296" w:rsidP="005353B3">
      <w:pPr>
        <w:spacing w:after="240" w:line="360" w:lineRule="auto"/>
        <w:jc w:val="center"/>
        <w:rPr>
          <w:rFonts w:ascii="Arial" w:hAnsi="Arial" w:cs="Arial"/>
          <w:sz w:val="24"/>
          <w:szCs w:val="24"/>
        </w:rPr>
      </w:pPr>
    </w:p>
    <w:p w14:paraId="53434792" w14:textId="1012911B" w:rsidR="00AA5296" w:rsidRPr="005076F3" w:rsidRDefault="00AA5296" w:rsidP="005353B3">
      <w:pPr>
        <w:spacing w:after="240" w:line="360" w:lineRule="auto"/>
        <w:rPr>
          <w:rFonts w:ascii="Arial" w:hAnsi="Arial" w:cs="Arial"/>
          <w:sz w:val="24"/>
          <w:szCs w:val="24"/>
        </w:rPr>
      </w:pPr>
      <w:r w:rsidRPr="005076F3">
        <w:rPr>
          <w:rFonts w:ascii="Arial" w:hAnsi="Arial" w:cs="Arial"/>
          <w:sz w:val="24"/>
          <w:szCs w:val="24"/>
        </w:rPr>
        <w:tab/>
      </w:r>
      <w:r w:rsidRPr="005076F3">
        <w:rPr>
          <w:rFonts w:ascii="Arial" w:hAnsi="Arial" w:cs="Arial"/>
          <w:sz w:val="24"/>
          <w:szCs w:val="24"/>
        </w:rPr>
        <w:tab/>
      </w:r>
      <w:r w:rsidRPr="005076F3">
        <w:rPr>
          <w:rFonts w:ascii="Arial" w:hAnsi="Arial" w:cs="Arial"/>
          <w:sz w:val="24"/>
          <w:szCs w:val="24"/>
        </w:rPr>
        <w:tab/>
      </w:r>
      <w:r w:rsidRPr="005076F3">
        <w:rPr>
          <w:rFonts w:ascii="Arial" w:hAnsi="Arial" w:cs="Arial"/>
          <w:sz w:val="24"/>
          <w:szCs w:val="24"/>
        </w:rPr>
        <w:tab/>
      </w:r>
      <w:r w:rsidRPr="005076F3">
        <w:rPr>
          <w:rFonts w:ascii="Arial" w:hAnsi="Arial" w:cs="Arial"/>
          <w:sz w:val="24"/>
          <w:szCs w:val="24"/>
        </w:rPr>
        <w:tab/>
      </w:r>
      <w:r w:rsidRPr="005076F3">
        <w:rPr>
          <w:rFonts w:ascii="Arial" w:hAnsi="Arial" w:cs="Arial"/>
          <w:sz w:val="24"/>
          <w:szCs w:val="24"/>
        </w:rPr>
        <w:tab/>
      </w:r>
      <w:r w:rsidRPr="005076F3">
        <w:rPr>
          <w:rFonts w:ascii="Arial" w:hAnsi="Arial" w:cs="Arial"/>
          <w:sz w:val="24"/>
          <w:szCs w:val="24"/>
        </w:rPr>
        <w:tab/>
      </w:r>
      <w:r w:rsidRPr="005076F3">
        <w:rPr>
          <w:rFonts w:ascii="Arial" w:hAnsi="Arial" w:cs="Arial"/>
          <w:sz w:val="24"/>
          <w:szCs w:val="24"/>
        </w:rPr>
        <w:tab/>
      </w:r>
    </w:p>
    <w:p w14:paraId="24270915" w14:textId="33556159" w:rsidR="00AA5296" w:rsidRPr="005076F3" w:rsidRDefault="00AA5296" w:rsidP="005353B3">
      <w:pPr>
        <w:spacing w:after="240" w:line="360" w:lineRule="auto"/>
        <w:jc w:val="center"/>
        <w:rPr>
          <w:rFonts w:ascii="Arial" w:hAnsi="Arial" w:cs="Arial"/>
          <w:sz w:val="24"/>
          <w:szCs w:val="24"/>
        </w:rPr>
      </w:pPr>
    </w:p>
    <w:p w14:paraId="6D845112" w14:textId="77777777" w:rsidR="00406DB2" w:rsidRPr="005076F3" w:rsidRDefault="00406DB2" w:rsidP="005353B3">
      <w:pPr>
        <w:spacing w:after="240" w:line="360" w:lineRule="auto"/>
        <w:jc w:val="center"/>
        <w:rPr>
          <w:rFonts w:ascii="Arial" w:hAnsi="Arial" w:cs="Arial"/>
          <w:sz w:val="24"/>
          <w:szCs w:val="24"/>
        </w:rPr>
      </w:pPr>
    </w:p>
    <w:p w14:paraId="78528913" w14:textId="6A76B27B" w:rsidR="005076F3" w:rsidRPr="005076F3" w:rsidRDefault="00AA5296" w:rsidP="005076F3">
      <w:pPr>
        <w:spacing w:after="240" w:line="360" w:lineRule="auto"/>
        <w:jc w:val="center"/>
        <w:rPr>
          <w:rFonts w:ascii="Arial" w:hAnsi="Arial" w:cs="Arial"/>
          <w:sz w:val="24"/>
          <w:szCs w:val="24"/>
        </w:rPr>
      </w:pPr>
      <w:r w:rsidRPr="005076F3">
        <w:rPr>
          <w:rFonts w:ascii="Arial" w:hAnsi="Arial" w:cs="Arial"/>
          <w:sz w:val="24"/>
          <w:szCs w:val="24"/>
        </w:rPr>
        <w:t>Date completed:</w:t>
      </w:r>
      <w:r w:rsidR="005076F3" w:rsidRPr="005076F3">
        <w:rPr>
          <w:rFonts w:ascii="Arial" w:hAnsi="Arial" w:cs="Arial"/>
          <w:sz w:val="24"/>
          <w:szCs w:val="24"/>
        </w:rPr>
        <w:t xml:space="preserve"> 29/11/2022</w:t>
      </w:r>
    </w:p>
    <w:p w14:paraId="089434E3" w14:textId="1161A800" w:rsidR="00AA5296" w:rsidRPr="005076F3" w:rsidRDefault="00AA5296" w:rsidP="005353B3">
      <w:pPr>
        <w:spacing w:after="240" w:line="360" w:lineRule="auto"/>
        <w:jc w:val="center"/>
        <w:rPr>
          <w:rFonts w:ascii="Arial" w:hAnsi="Arial" w:cs="Arial"/>
          <w:sz w:val="24"/>
          <w:szCs w:val="24"/>
        </w:rPr>
      </w:pPr>
    </w:p>
    <w:p w14:paraId="5F611B8F" w14:textId="63A5D247" w:rsidR="00AA5296" w:rsidRPr="005076F3" w:rsidRDefault="00AA5296" w:rsidP="005353B3">
      <w:pPr>
        <w:spacing w:after="240" w:line="360" w:lineRule="auto"/>
        <w:rPr>
          <w:rFonts w:ascii="Arial" w:hAnsi="Arial" w:cs="Arial"/>
          <w:sz w:val="24"/>
          <w:szCs w:val="24"/>
        </w:rPr>
      </w:pPr>
    </w:p>
    <w:p w14:paraId="6B80C96E" w14:textId="258B214B" w:rsidR="000C1EF6" w:rsidRPr="005076F3" w:rsidRDefault="00406DB2" w:rsidP="005353B3">
      <w:pPr>
        <w:spacing w:after="240" w:line="360" w:lineRule="auto"/>
        <w:rPr>
          <w:rFonts w:ascii="Arial" w:hAnsi="Arial" w:cs="Arial"/>
          <w:sz w:val="24"/>
          <w:szCs w:val="24"/>
        </w:rPr>
      </w:pPr>
      <w:r w:rsidRPr="005076F3">
        <w:rPr>
          <w:rFonts w:ascii="Arial" w:hAnsi="Arial" w:cs="Arial"/>
          <w:sz w:val="24"/>
          <w:szCs w:val="24"/>
        </w:rPr>
        <w:tab/>
      </w:r>
      <w:r w:rsidRPr="005076F3">
        <w:rPr>
          <w:rFonts w:ascii="Arial" w:hAnsi="Arial" w:cs="Arial"/>
          <w:sz w:val="24"/>
          <w:szCs w:val="24"/>
        </w:rPr>
        <w:tab/>
      </w:r>
      <w:r w:rsidRPr="005076F3">
        <w:rPr>
          <w:rFonts w:ascii="Arial" w:hAnsi="Arial" w:cs="Arial"/>
          <w:sz w:val="24"/>
          <w:szCs w:val="24"/>
        </w:rPr>
        <w:tab/>
      </w:r>
    </w:p>
    <w:p w14:paraId="468412FC" w14:textId="30645331" w:rsidR="00AA5296" w:rsidRPr="005076F3" w:rsidRDefault="00406DB2" w:rsidP="005076F3">
      <w:pPr>
        <w:spacing w:after="240" w:line="360" w:lineRule="auto"/>
        <w:jc w:val="center"/>
        <w:rPr>
          <w:rFonts w:ascii="Arial" w:hAnsi="Arial" w:cs="Arial"/>
          <w:sz w:val="24"/>
          <w:szCs w:val="24"/>
        </w:rPr>
      </w:pPr>
      <w:r w:rsidRPr="005076F3">
        <w:rPr>
          <w:rFonts w:ascii="Arial" w:hAnsi="Arial" w:cs="Arial"/>
          <w:sz w:val="24"/>
          <w:szCs w:val="24"/>
        </w:rPr>
        <w:t>Submission Deadline: 0</w:t>
      </w:r>
      <w:r w:rsidR="005A2A81">
        <w:rPr>
          <w:rFonts w:ascii="Arial" w:hAnsi="Arial" w:cs="Arial"/>
          <w:sz w:val="24"/>
          <w:szCs w:val="24"/>
        </w:rPr>
        <w:t>2</w:t>
      </w:r>
      <w:r w:rsidRPr="005076F3">
        <w:rPr>
          <w:rFonts w:ascii="Arial" w:hAnsi="Arial" w:cs="Arial"/>
          <w:sz w:val="24"/>
          <w:szCs w:val="24"/>
        </w:rPr>
        <w:t>/12/22</w:t>
      </w:r>
    </w:p>
    <w:p w14:paraId="53D931BA" w14:textId="77777777" w:rsidR="00AA5296" w:rsidRPr="00AE616F" w:rsidRDefault="00AA5296" w:rsidP="005353B3">
      <w:pPr>
        <w:spacing w:line="360" w:lineRule="auto"/>
        <w:rPr>
          <w:rFonts w:ascii="Arial" w:hAnsi="Arial" w:cs="Arial"/>
          <w:sz w:val="24"/>
          <w:szCs w:val="24"/>
        </w:rPr>
      </w:pPr>
    </w:p>
    <w:sdt>
      <w:sdtPr>
        <w:rPr>
          <w:rFonts w:ascii="Arial" w:eastAsiaTheme="minorHAnsi" w:hAnsi="Arial" w:cs="Arial"/>
          <w:color w:val="auto"/>
          <w:sz w:val="24"/>
          <w:szCs w:val="24"/>
          <w:lang w:val="en-GB"/>
        </w:rPr>
        <w:id w:val="-1145424402"/>
        <w:docPartObj>
          <w:docPartGallery w:val="Table of Contents"/>
          <w:docPartUnique/>
        </w:docPartObj>
      </w:sdtPr>
      <w:sdtEndPr>
        <w:rPr>
          <w:b/>
          <w:bCs/>
          <w:noProof/>
        </w:rPr>
      </w:sdtEndPr>
      <w:sdtContent>
        <w:p w14:paraId="4E5580CA" w14:textId="77777777" w:rsidR="00AA5296" w:rsidRPr="0088088E" w:rsidRDefault="00AA5296" w:rsidP="0088088E">
          <w:pPr>
            <w:pStyle w:val="TOCHeading"/>
            <w:spacing w:line="360" w:lineRule="auto"/>
            <w:rPr>
              <w:rFonts w:ascii="Arial" w:hAnsi="Arial" w:cs="Arial"/>
              <w:color w:val="auto"/>
              <w:sz w:val="24"/>
              <w:szCs w:val="24"/>
              <w:u w:val="single"/>
            </w:rPr>
          </w:pPr>
          <w:r w:rsidRPr="0088088E">
            <w:rPr>
              <w:rFonts w:ascii="Arial" w:hAnsi="Arial" w:cs="Arial"/>
              <w:color w:val="auto"/>
              <w:sz w:val="24"/>
              <w:szCs w:val="24"/>
              <w:u w:val="single"/>
            </w:rPr>
            <w:t>Table of Contents</w:t>
          </w:r>
        </w:p>
        <w:p w14:paraId="5418117C" w14:textId="5D93426C" w:rsidR="0088088E" w:rsidRPr="0088088E" w:rsidRDefault="00AA5296" w:rsidP="0088088E">
          <w:pPr>
            <w:pStyle w:val="TOC1"/>
            <w:tabs>
              <w:tab w:val="right" w:leader="dot" w:pos="9016"/>
            </w:tabs>
            <w:spacing w:line="360" w:lineRule="auto"/>
            <w:rPr>
              <w:rFonts w:ascii="Arial" w:eastAsiaTheme="minorEastAsia" w:hAnsi="Arial" w:cs="Arial"/>
              <w:noProof/>
              <w:sz w:val="24"/>
              <w:szCs w:val="24"/>
              <w:lang w:eastAsia="en-GB"/>
            </w:rPr>
          </w:pPr>
          <w:r w:rsidRPr="0088088E">
            <w:rPr>
              <w:rFonts w:ascii="Arial" w:hAnsi="Arial" w:cs="Arial"/>
              <w:sz w:val="24"/>
              <w:szCs w:val="24"/>
            </w:rPr>
            <w:fldChar w:fldCharType="begin"/>
          </w:r>
          <w:r w:rsidRPr="0088088E">
            <w:rPr>
              <w:rFonts w:ascii="Arial" w:hAnsi="Arial" w:cs="Arial"/>
              <w:sz w:val="24"/>
              <w:szCs w:val="24"/>
            </w:rPr>
            <w:instrText xml:space="preserve"> TOC \o "1-3" \h \z \u </w:instrText>
          </w:r>
          <w:r w:rsidRPr="0088088E">
            <w:rPr>
              <w:rFonts w:ascii="Arial" w:hAnsi="Arial" w:cs="Arial"/>
              <w:sz w:val="24"/>
              <w:szCs w:val="24"/>
            </w:rPr>
            <w:fldChar w:fldCharType="separate"/>
          </w:r>
          <w:hyperlink w:anchor="_Toc120813661" w:history="1">
            <w:r w:rsidR="0088088E" w:rsidRPr="0088088E">
              <w:rPr>
                <w:rStyle w:val="Hyperlink"/>
                <w:rFonts w:ascii="Arial" w:hAnsi="Arial" w:cs="Arial"/>
                <w:noProof/>
                <w:color w:val="auto"/>
                <w:sz w:val="24"/>
                <w:szCs w:val="24"/>
              </w:rPr>
              <w:t>The Tort of Negligence</w:t>
            </w:r>
            <w:r w:rsidR="0088088E" w:rsidRPr="0088088E">
              <w:rPr>
                <w:rFonts w:ascii="Arial" w:hAnsi="Arial" w:cs="Arial"/>
                <w:noProof/>
                <w:webHidden/>
                <w:sz w:val="24"/>
                <w:szCs w:val="24"/>
              </w:rPr>
              <w:tab/>
            </w:r>
            <w:r w:rsidR="0088088E" w:rsidRPr="0088088E">
              <w:rPr>
                <w:rFonts w:ascii="Arial" w:hAnsi="Arial" w:cs="Arial"/>
                <w:noProof/>
                <w:webHidden/>
                <w:sz w:val="24"/>
                <w:szCs w:val="24"/>
              </w:rPr>
              <w:fldChar w:fldCharType="begin"/>
            </w:r>
            <w:r w:rsidR="0088088E" w:rsidRPr="0088088E">
              <w:rPr>
                <w:rFonts w:ascii="Arial" w:hAnsi="Arial" w:cs="Arial"/>
                <w:noProof/>
                <w:webHidden/>
                <w:sz w:val="24"/>
                <w:szCs w:val="24"/>
              </w:rPr>
              <w:instrText xml:space="preserve"> PAGEREF _Toc120813661 \h </w:instrText>
            </w:r>
            <w:r w:rsidR="0088088E" w:rsidRPr="0088088E">
              <w:rPr>
                <w:rFonts w:ascii="Arial" w:hAnsi="Arial" w:cs="Arial"/>
                <w:noProof/>
                <w:webHidden/>
                <w:sz w:val="24"/>
                <w:szCs w:val="24"/>
              </w:rPr>
            </w:r>
            <w:r w:rsidR="0088088E" w:rsidRPr="0088088E">
              <w:rPr>
                <w:rFonts w:ascii="Arial" w:hAnsi="Arial" w:cs="Arial"/>
                <w:noProof/>
                <w:webHidden/>
                <w:sz w:val="24"/>
                <w:szCs w:val="24"/>
              </w:rPr>
              <w:fldChar w:fldCharType="separate"/>
            </w:r>
            <w:r w:rsidR="0088088E" w:rsidRPr="0088088E">
              <w:rPr>
                <w:rFonts w:ascii="Arial" w:hAnsi="Arial" w:cs="Arial"/>
                <w:noProof/>
                <w:webHidden/>
                <w:sz w:val="24"/>
                <w:szCs w:val="24"/>
              </w:rPr>
              <w:t>4</w:t>
            </w:r>
            <w:r w:rsidR="0088088E" w:rsidRPr="0088088E">
              <w:rPr>
                <w:rFonts w:ascii="Arial" w:hAnsi="Arial" w:cs="Arial"/>
                <w:noProof/>
                <w:webHidden/>
                <w:sz w:val="24"/>
                <w:szCs w:val="24"/>
              </w:rPr>
              <w:fldChar w:fldCharType="end"/>
            </w:r>
          </w:hyperlink>
        </w:p>
        <w:p w14:paraId="3A639B96" w14:textId="673767C1" w:rsidR="0088088E" w:rsidRPr="0088088E" w:rsidRDefault="00000000" w:rsidP="0088088E">
          <w:pPr>
            <w:pStyle w:val="TOC1"/>
            <w:tabs>
              <w:tab w:val="right" w:leader="dot" w:pos="9016"/>
            </w:tabs>
            <w:spacing w:line="360" w:lineRule="auto"/>
            <w:rPr>
              <w:rFonts w:ascii="Arial" w:eastAsiaTheme="minorEastAsia" w:hAnsi="Arial" w:cs="Arial"/>
              <w:noProof/>
              <w:sz w:val="24"/>
              <w:szCs w:val="24"/>
              <w:lang w:eastAsia="en-GB"/>
            </w:rPr>
          </w:pPr>
          <w:hyperlink w:anchor="_Toc120813662" w:history="1">
            <w:r w:rsidR="0088088E" w:rsidRPr="0088088E">
              <w:rPr>
                <w:rStyle w:val="Hyperlink"/>
                <w:rFonts w:ascii="Arial" w:hAnsi="Arial" w:cs="Arial"/>
                <w:noProof/>
                <w:color w:val="auto"/>
                <w:sz w:val="24"/>
                <w:szCs w:val="24"/>
              </w:rPr>
              <w:t>Case law - Negligence Donough V Stevenson</w:t>
            </w:r>
            <w:r w:rsidR="0088088E" w:rsidRPr="0088088E">
              <w:rPr>
                <w:rFonts w:ascii="Arial" w:hAnsi="Arial" w:cs="Arial"/>
                <w:noProof/>
                <w:webHidden/>
                <w:sz w:val="24"/>
                <w:szCs w:val="24"/>
              </w:rPr>
              <w:tab/>
            </w:r>
            <w:r w:rsidR="0088088E" w:rsidRPr="0088088E">
              <w:rPr>
                <w:rFonts w:ascii="Arial" w:hAnsi="Arial" w:cs="Arial"/>
                <w:noProof/>
                <w:webHidden/>
                <w:sz w:val="24"/>
                <w:szCs w:val="24"/>
              </w:rPr>
              <w:fldChar w:fldCharType="begin"/>
            </w:r>
            <w:r w:rsidR="0088088E" w:rsidRPr="0088088E">
              <w:rPr>
                <w:rFonts w:ascii="Arial" w:hAnsi="Arial" w:cs="Arial"/>
                <w:noProof/>
                <w:webHidden/>
                <w:sz w:val="24"/>
                <w:szCs w:val="24"/>
              </w:rPr>
              <w:instrText xml:space="preserve"> PAGEREF _Toc120813662 \h </w:instrText>
            </w:r>
            <w:r w:rsidR="0088088E" w:rsidRPr="0088088E">
              <w:rPr>
                <w:rFonts w:ascii="Arial" w:hAnsi="Arial" w:cs="Arial"/>
                <w:noProof/>
                <w:webHidden/>
                <w:sz w:val="24"/>
                <w:szCs w:val="24"/>
              </w:rPr>
            </w:r>
            <w:r w:rsidR="0088088E" w:rsidRPr="0088088E">
              <w:rPr>
                <w:rFonts w:ascii="Arial" w:hAnsi="Arial" w:cs="Arial"/>
                <w:noProof/>
                <w:webHidden/>
                <w:sz w:val="24"/>
                <w:szCs w:val="24"/>
              </w:rPr>
              <w:fldChar w:fldCharType="separate"/>
            </w:r>
            <w:r w:rsidR="0088088E" w:rsidRPr="0088088E">
              <w:rPr>
                <w:rFonts w:ascii="Arial" w:hAnsi="Arial" w:cs="Arial"/>
                <w:noProof/>
                <w:webHidden/>
                <w:sz w:val="24"/>
                <w:szCs w:val="24"/>
              </w:rPr>
              <w:t>5</w:t>
            </w:r>
            <w:r w:rsidR="0088088E" w:rsidRPr="0088088E">
              <w:rPr>
                <w:rFonts w:ascii="Arial" w:hAnsi="Arial" w:cs="Arial"/>
                <w:noProof/>
                <w:webHidden/>
                <w:sz w:val="24"/>
                <w:szCs w:val="24"/>
              </w:rPr>
              <w:fldChar w:fldCharType="end"/>
            </w:r>
          </w:hyperlink>
        </w:p>
        <w:p w14:paraId="1A54A5A8" w14:textId="268554B5" w:rsidR="0088088E" w:rsidRPr="0088088E" w:rsidRDefault="00000000" w:rsidP="0088088E">
          <w:pPr>
            <w:pStyle w:val="TOC1"/>
            <w:tabs>
              <w:tab w:val="right" w:leader="dot" w:pos="9016"/>
            </w:tabs>
            <w:spacing w:line="360" w:lineRule="auto"/>
            <w:rPr>
              <w:rFonts w:ascii="Arial" w:eastAsiaTheme="minorEastAsia" w:hAnsi="Arial" w:cs="Arial"/>
              <w:noProof/>
              <w:sz w:val="24"/>
              <w:szCs w:val="24"/>
              <w:lang w:eastAsia="en-GB"/>
            </w:rPr>
          </w:pPr>
          <w:hyperlink w:anchor="_Toc120813663" w:history="1">
            <w:r w:rsidR="0088088E" w:rsidRPr="0088088E">
              <w:rPr>
                <w:rStyle w:val="Hyperlink"/>
                <w:rFonts w:ascii="Arial" w:hAnsi="Arial" w:cs="Arial"/>
                <w:noProof/>
                <w:color w:val="auto"/>
                <w:sz w:val="24"/>
                <w:szCs w:val="24"/>
              </w:rPr>
              <w:t>Construction Case Law - Anns v MLBC (1978)</w:t>
            </w:r>
            <w:r w:rsidR="0088088E" w:rsidRPr="0088088E">
              <w:rPr>
                <w:rFonts w:ascii="Arial" w:hAnsi="Arial" w:cs="Arial"/>
                <w:noProof/>
                <w:webHidden/>
                <w:sz w:val="24"/>
                <w:szCs w:val="24"/>
              </w:rPr>
              <w:tab/>
            </w:r>
            <w:r w:rsidR="0088088E" w:rsidRPr="0088088E">
              <w:rPr>
                <w:rFonts w:ascii="Arial" w:hAnsi="Arial" w:cs="Arial"/>
                <w:noProof/>
                <w:webHidden/>
                <w:sz w:val="24"/>
                <w:szCs w:val="24"/>
              </w:rPr>
              <w:fldChar w:fldCharType="begin"/>
            </w:r>
            <w:r w:rsidR="0088088E" w:rsidRPr="0088088E">
              <w:rPr>
                <w:rFonts w:ascii="Arial" w:hAnsi="Arial" w:cs="Arial"/>
                <w:noProof/>
                <w:webHidden/>
                <w:sz w:val="24"/>
                <w:szCs w:val="24"/>
              </w:rPr>
              <w:instrText xml:space="preserve"> PAGEREF _Toc120813663 \h </w:instrText>
            </w:r>
            <w:r w:rsidR="0088088E" w:rsidRPr="0088088E">
              <w:rPr>
                <w:rFonts w:ascii="Arial" w:hAnsi="Arial" w:cs="Arial"/>
                <w:noProof/>
                <w:webHidden/>
                <w:sz w:val="24"/>
                <w:szCs w:val="24"/>
              </w:rPr>
            </w:r>
            <w:r w:rsidR="0088088E" w:rsidRPr="0088088E">
              <w:rPr>
                <w:rFonts w:ascii="Arial" w:hAnsi="Arial" w:cs="Arial"/>
                <w:noProof/>
                <w:webHidden/>
                <w:sz w:val="24"/>
                <w:szCs w:val="24"/>
              </w:rPr>
              <w:fldChar w:fldCharType="separate"/>
            </w:r>
            <w:r w:rsidR="0088088E" w:rsidRPr="0088088E">
              <w:rPr>
                <w:rFonts w:ascii="Arial" w:hAnsi="Arial" w:cs="Arial"/>
                <w:noProof/>
                <w:webHidden/>
                <w:sz w:val="24"/>
                <w:szCs w:val="24"/>
              </w:rPr>
              <w:t>6</w:t>
            </w:r>
            <w:r w:rsidR="0088088E" w:rsidRPr="0088088E">
              <w:rPr>
                <w:rFonts w:ascii="Arial" w:hAnsi="Arial" w:cs="Arial"/>
                <w:noProof/>
                <w:webHidden/>
                <w:sz w:val="24"/>
                <w:szCs w:val="24"/>
              </w:rPr>
              <w:fldChar w:fldCharType="end"/>
            </w:r>
          </w:hyperlink>
        </w:p>
        <w:p w14:paraId="3C63E18B" w14:textId="79196153" w:rsidR="0088088E" w:rsidRPr="0088088E" w:rsidRDefault="00000000" w:rsidP="0088088E">
          <w:pPr>
            <w:pStyle w:val="TOC2"/>
            <w:tabs>
              <w:tab w:val="right" w:leader="dot" w:pos="9016"/>
            </w:tabs>
            <w:spacing w:line="360" w:lineRule="auto"/>
            <w:rPr>
              <w:rFonts w:ascii="Arial" w:eastAsiaTheme="minorEastAsia" w:hAnsi="Arial" w:cs="Arial"/>
              <w:noProof/>
              <w:sz w:val="24"/>
              <w:szCs w:val="24"/>
              <w:lang w:eastAsia="en-GB"/>
            </w:rPr>
          </w:pPr>
          <w:hyperlink w:anchor="_Toc120813664" w:history="1">
            <w:r w:rsidR="0088088E" w:rsidRPr="0088088E">
              <w:rPr>
                <w:rStyle w:val="Hyperlink"/>
                <w:rFonts w:ascii="Arial" w:hAnsi="Arial" w:cs="Arial"/>
                <w:noProof/>
                <w:color w:val="auto"/>
                <w:sz w:val="24"/>
                <w:szCs w:val="24"/>
                <w:shd w:val="clear" w:color="auto" w:fill="FFFFFF"/>
              </w:rPr>
              <w:t>Importance of law in Construction</w:t>
            </w:r>
            <w:r w:rsidR="0088088E" w:rsidRPr="0088088E">
              <w:rPr>
                <w:rFonts w:ascii="Arial" w:hAnsi="Arial" w:cs="Arial"/>
                <w:noProof/>
                <w:webHidden/>
                <w:sz w:val="24"/>
                <w:szCs w:val="24"/>
              </w:rPr>
              <w:tab/>
            </w:r>
            <w:r w:rsidR="0088088E" w:rsidRPr="0088088E">
              <w:rPr>
                <w:rFonts w:ascii="Arial" w:hAnsi="Arial" w:cs="Arial"/>
                <w:noProof/>
                <w:webHidden/>
                <w:sz w:val="24"/>
                <w:szCs w:val="24"/>
              </w:rPr>
              <w:fldChar w:fldCharType="begin"/>
            </w:r>
            <w:r w:rsidR="0088088E" w:rsidRPr="0088088E">
              <w:rPr>
                <w:rFonts w:ascii="Arial" w:hAnsi="Arial" w:cs="Arial"/>
                <w:noProof/>
                <w:webHidden/>
                <w:sz w:val="24"/>
                <w:szCs w:val="24"/>
              </w:rPr>
              <w:instrText xml:space="preserve"> PAGEREF _Toc120813664 \h </w:instrText>
            </w:r>
            <w:r w:rsidR="0088088E" w:rsidRPr="0088088E">
              <w:rPr>
                <w:rFonts w:ascii="Arial" w:hAnsi="Arial" w:cs="Arial"/>
                <w:noProof/>
                <w:webHidden/>
                <w:sz w:val="24"/>
                <w:szCs w:val="24"/>
              </w:rPr>
            </w:r>
            <w:r w:rsidR="0088088E" w:rsidRPr="0088088E">
              <w:rPr>
                <w:rFonts w:ascii="Arial" w:hAnsi="Arial" w:cs="Arial"/>
                <w:noProof/>
                <w:webHidden/>
                <w:sz w:val="24"/>
                <w:szCs w:val="24"/>
              </w:rPr>
              <w:fldChar w:fldCharType="separate"/>
            </w:r>
            <w:r w:rsidR="0088088E" w:rsidRPr="0088088E">
              <w:rPr>
                <w:rFonts w:ascii="Arial" w:hAnsi="Arial" w:cs="Arial"/>
                <w:noProof/>
                <w:webHidden/>
                <w:sz w:val="24"/>
                <w:szCs w:val="24"/>
              </w:rPr>
              <w:t>6</w:t>
            </w:r>
            <w:r w:rsidR="0088088E" w:rsidRPr="0088088E">
              <w:rPr>
                <w:rFonts w:ascii="Arial" w:hAnsi="Arial" w:cs="Arial"/>
                <w:noProof/>
                <w:webHidden/>
                <w:sz w:val="24"/>
                <w:szCs w:val="24"/>
              </w:rPr>
              <w:fldChar w:fldCharType="end"/>
            </w:r>
          </w:hyperlink>
        </w:p>
        <w:p w14:paraId="5ED05E39" w14:textId="657BDBE3" w:rsidR="0088088E" w:rsidRPr="0088088E" w:rsidRDefault="00000000" w:rsidP="0088088E">
          <w:pPr>
            <w:pStyle w:val="TOC2"/>
            <w:tabs>
              <w:tab w:val="right" w:leader="dot" w:pos="9016"/>
            </w:tabs>
            <w:spacing w:line="360" w:lineRule="auto"/>
            <w:rPr>
              <w:rFonts w:ascii="Arial" w:eastAsiaTheme="minorEastAsia" w:hAnsi="Arial" w:cs="Arial"/>
              <w:noProof/>
              <w:sz w:val="24"/>
              <w:szCs w:val="24"/>
              <w:lang w:eastAsia="en-GB"/>
            </w:rPr>
          </w:pPr>
          <w:hyperlink w:anchor="_Toc120813665" w:history="1">
            <w:r w:rsidR="0088088E" w:rsidRPr="0088088E">
              <w:rPr>
                <w:rStyle w:val="Hyperlink"/>
                <w:rFonts w:ascii="Arial" w:hAnsi="Arial" w:cs="Arial"/>
                <w:noProof/>
                <w:color w:val="auto"/>
                <w:sz w:val="24"/>
                <w:szCs w:val="24"/>
                <w:shd w:val="clear" w:color="auto" w:fill="FFFFFF"/>
              </w:rPr>
              <w:t>Projects progression</w:t>
            </w:r>
            <w:r w:rsidR="0088088E" w:rsidRPr="0088088E">
              <w:rPr>
                <w:rFonts w:ascii="Arial" w:hAnsi="Arial" w:cs="Arial"/>
                <w:noProof/>
                <w:webHidden/>
                <w:sz w:val="24"/>
                <w:szCs w:val="24"/>
              </w:rPr>
              <w:tab/>
            </w:r>
            <w:r w:rsidR="0088088E" w:rsidRPr="0088088E">
              <w:rPr>
                <w:rFonts w:ascii="Arial" w:hAnsi="Arial" w:cs="Arial"/>
                <w:noProof/>
                <w:webHidden/>
                <w:sz w:val="24"/>
                <w:szCs w:val="24"/>
              </w:rPr>
              <w:fldChar w:fldCharType="begin"/>
            </w:r>
            <w:r w:rsidR="0088088E" w:rsidRPr="0088088E">
              <w:rPr>
                <w:rFonts w:ascii="Arial" w:hAnsi="Arial" w:cs="Arial"/>
                <w:noProof/>
                <w:webHidden/>
                <w:sz w:val="24"/>
                <w:szCs w:val="24"/>
              </w:rPr>
              <w:instrText xml:space="preserve"> PAGEREF _Toc120813665 \h </w:instrText>
            </w:r>
            <w:r w:rsidR="0088088E" w:rsidRPr="0088088E">
              <w:rPr>
                <w:rFonts w:ascii="Arial" w:hAnsi="Arial" w:cs="Arial"/>
                <w:noProof/>
                <w:webHidden/>
                <w:sz w:val="24"/>
                <w:szCs w:val="24"/>
              </w:rPr>
            </w:r>
            <w:r w:rsidR="0088088E" w:rsidRPr="0088088E">
              <w:rPr>
                <w:rFonts w:ascii="Arial" w:hAnsi="Arial" w:cs="Arial"/>
                <w:noProof/>
                <w:webHidden/>
                <w:sz w:val="24"/>
                <w:szCs w:val="24"/>
              </w:rPr>
              <w:fldChar w:fldCharType="separate"/>
            </w:r>
            <w:r w:rsidR="0088088E" w:rsidRPr="0088088E">
              <w:rPr>
                <w:rFonts w:ascii="Arial" w:hAnsi="Arial" w:cs="Arial"/>
                <w:noProof/>
                <w:webHidden/>
                <w:sz w:val="24"/>
                <w:szCs w:val="24"/>
              </w:rPr>
              <w:t>7</w:t>
            </w:r>
            <w:r w:rsidR="0088088E" w:rsidRPr="0088088E">
              <w:rPr>
                <w:rFonts w:ascii="Arial" w:hAnsi="Arial" w:cs="Arial"/>
                <w:noProof/>
                <w:webHidden/>
                <w:sz w:val="24"/>
                <w:szCs w:val="24"/>
              </w:rPr>
              <w:fldChar w:fldCharType="end"/>
            </w:r>
          </w:hyperlink>
        </w:p>
        <w:p w14:paraId="7ABB8A8B" w14:textId="1FEE09FA" w:rsidR="0088088E" w:rsidRPr="0088088E" w:rsidRDefault="00000000" w:rsidP="0088088E">
          <w:pPr>
            <w:pStyle w:val="TOC1"/>
            <w:tabs>
              <w:tab w:val="right" w:leader="dot" w:pos="9016"/>
            </w:tabs>
            <w:spacing w:line="360" w:lineRule="auto"/>
            <w:rPr>
              <w:rFonts w:ascii="Arial" w:eastAsiaTheme="minorEastAsia" w:hAnsi="Arial" w:cs="Arial"/>
              <w:noProof/>
              <w:sz w:val="24"/>
              <w:szCs w:val="24"/>
              <w:lang w:eastAsia="en-GB"/>
            </w:rPr>
          </w:pPr>
          <w:hyperlink w:anchor="_Toc120813666" w:history="1">
            <w:r w:rsidR="0088088E" w:rsidRPr="0088088E">
              <w:rPr>
                <w:rStyle w:val="Hyperlink"/>
                <w:rFonts w:ascii="Arial" w:hAnsi="Arial" w:cs="Arial"/>
                <w:noProof/>
                <w:color w:val="auto"/>
                <w:sz w:val="24"/>
                <w:szCs w:val="24"/>
              </w:rPr>
              <w:t xml:space="preserve">Vinci </w:t>
            </w:r>
            <w:r w:rsidR="0088088E" w:rsidRPr="0088088E">
              <w:rPr>
                <w:rStyle w:val="Hyperlink"/>
                <w:rFonts w:ascii="Arial" w:hAnsi="Arial" w:cs="Arial"/>
                <w:noProof/>
                <w:color w:val="auto"/>
                <w:sz w:val="24"/>
                <w:szCs w:val="24"/>
                <w:shd w:val="clear" w:color="auto" w:fill="FFFFFF"/>
              </w:rPr>
              <w:t>Construction UK Ltd v Beumer Group UK Ltd</w:t>
            </w:r>
            <w:r w:rsidR="0088088E" w:rsidRPr="0088088E">
              <w:rPr>
                <w:rFonts w:ascii="Arial" w:hAnsi="Arial" w:cs="Arial"/>
                <w:noProof/>
                <w:webHidden/>
                <w:sz w:val="24"/>
                <w:szCs w:val="24"/>
              </w:rPr>
              <w:tab/>
            </w:r>
            <w:r w:rsidR="0088088E" w:rsidRPr="0088088E">
              <w:rPr>
                <w:rFonts w:ascii="Arial" w:hAnsi="Arial" w:cs="Arial"/>
                <w:noProof/>
                <w:webHidden/>
                <w:sz w:val="24"/>
                <w:szCs w:val="24"/>
              </w:rPr>
              <w:fldChar w:fldCharType="begin"/>
            </w:r>
            <w:r w:rsidR="0088088E" w:rsidRPr="0088088E">
              <w:rPr>
                <w:rFonts w:ascii="Arial" w:hAnsi="Arial" w:cs="Arial"/>
                <w:noProof/>
                <w:webHidden/>
                <w:sz w:val="24"/>
                <w:szCs w:val="24"/>
              </w:rPr>
              <w:instrText xml:space="preserve"> PAGEREF _Toc120813666 \h </w:instrText>
            </w:r>
            <w:r w:rsidR="0088088E" w:rsidRPr="0088088E">
              <w:rPr>
                <w:rFonts w:ascii="Arial" w:hAnsi="Arial" w:cs="Arial"/>
                <w:noProof/>
                <w:webHidden/>
                <w:sz w:val="24"/>
                <w:szCs w:val="24"/>
              </w:rPr>
            </w:r>
            <w:r w:rsidR="0088088E" w:rsidRPr="0088088E">
              <w:rPr>
                <w:rFonts w:ascii="Arial" w:hAnsi="Arial" w:cs="Arial"/>
                <w:noProof/>
                <w:webHidden/>
                <w:sz w:val="24"/>
                <w:szCs w:val="24"/>
              </w:rPr>
              <w:fldChar w:fldCharType="separate"/>
            </w:r>
            <w:r w:rsidR="0088088E" w:rsidRPr="0088088E">
              <w:rPr>
                <w:rFonts w:ascii="Arial" w:hAnsi="Arial" w:cs="Arial"/>
                <w:noProof/>
                <w:webHidden/>
                <w:sz w:val="24"/>
                <w:szCs w:val="24"/>
              </w:rPr>
              <w:t>8</w:t>
            </w:r>
            <w:r w:rsidR="0088088E" w:rsidRPr="0088088E">
              <w:rPr>
                <w:rFonts w:ascii="Arial" w:hAnsi="Arial" w:cs="Arial"/>
                <w:noProof/>
                <w:webHidden/>
                <w:sz w:val="24"/>
                <w:szCs w:val="24"/>
              </w:rPr>
              <w:fldChar w:fldCharType="end"/>
            </w:r>
          </w:hyperlink>
        </w:p>
        <w:p w14:paraId="07BEEE89" w14:textId="5955689C" w:rsidR="0088088E" w:rsidRPr="0088088E" w:rsidRDefault="00000000" w:rsidP="0088088E">
          <w:pPr>
            <w:pStyle w:val="TOC1"/>
            <w:tabs>
              <w:tab w:val="right" w:leader="dot" w:pos="9016"/>
            </w:tabs>
            <w:spacing w:line="360" w:lineRule="auto"/>
            <w:rPr>
              <w:rFonts w:ascii="Arial" w:eastAsiaTheme="minorEastAsia" w:hAnsi="Arial" w:cs="Arial"/>
              <w:noProof/>
              <w:sz w:val="24"/>
              <w:szCs w:val="24"/>
              <w:lang w:eastAsia="en-GB"/>
            </w:rPr>
          </w:pPr>
          <w:hyperlink w:anchor="_Toc120813667" w:history="1">
            <w:r w:rsidR="0088088E" w:rsidRPr="0088088E">
              <w:rPr>
                <w:rStyle w:val="Hyperlink"/>
                <w:rFonts w:ascii="Arial" w:hAnsi="Arial" w:cs="Arial"/>
                <w:noProof/>
                <w:color w:val="auto"/>
                <w:sz w:val="24"/>
                <w:szCs w:val="24"/>
              </w:rPr>
              <w:t>Referenc</w:t>
            </w:r>
            <w:r w:rsidR="0088088E" w:rsidRPr="0088088E">
              <w:rPr>
                <w:rStyle w:val="Hyperlink"/>
                <w:rFonts w:ascii="Arial" w:hAnsi="Arial" w:cs="Arial"/>
                <w:noProof/>
                <w:color w:val="auto"/>
                <w:sz w:val="24"/>
                <w:szCs w:val="24"/>
              </w:rPr>
              <w:t>e</w:t>
            </w:r>
            <w:r w:rsidR="0088088E" w:rsidRPr="0088088E">
              <w:rPr>
                <w:rFonts w:ascii="Arial" w:hAnsi="Arial" w:cs="Arial"/>
                <w:noProof/>
                <w:webHidden/>
                <w:sz w:val="24"/>
                <w:szCs w:val="24"/>
              </w:rPr>
              <w:tab/>
            </w:r>
            <w:r w:rsidR="0088088E" w:rsidRPr="0088088E">
              <w:rPr>
                <w:rFonts w:ascii="Arial" w:hAnsi="Arial" w:cs="Arial"/>
                <w:noProof/>
                <w:webHidden/>
                <w:sz w:val="24"/>
                <w:szCs w:val="24"/>
              </w:rPr>
              <w:fldChar w:fldCharType="begin"/>
            </w:r>
            <w:r w:rsidR="0088088E" w:rsidRPr="0088088E">
              <w:rPr>
                <w:rFonts w:ascii="Arial" w:hAnsi="Arial" w:cs="Arial"/>
                <w:noProof/>
                <w:webHidden/>
                <w:sz w:val="24"/>
                <w:szCs w:val="24"/>
              </w:rPr>
              <w:instrText xml:space="preserve"> PAGEREF _Toc120813667 \h </w:instrText>
            </w:r>
            <w:r w:rsidR="0088088E" w:rsidRPr="0088088E">
              <w:rPr>
                <w:rFonts w:ascii="Arial" w:hAnsi="Arial" w:cs="Arial"/>
                <w:noProof/>
                <w:webHidden/>
                <w:sz w:val="24"/>
                <w:szCs w:val="24"/>
              </w:rPr>
            </w:r>
            <w:r w:rsidR="0088088E" w:rsidRPr="0088088E">
              <w:rPr>
                <w:rFonts w:ascii="Arial" w:hAnsi="Arial" w:cs="Arial"/>
                <w:noProof/>
                <w:webHidden/>
                <w:sz w:val="24"/>
                <w:szCs w:val="24"/>
              </w:rPr>
              <w:fldChar w:fldCharType="separate"/>
            </w:r>
            <w:r w:rsidR="0088088E" w:rsidRPr="0088088E">
              <w:rPr>
                <w:rFonts w:ascii="Arial" w:hAnsi="Arial" w:cs="Arial"/>
                <w:noProof/>
                <w:webHidden/>
                <w:sz w:val="24"/>
                <w:szCs w:val="24"/>
              </w:rPr>
              <w:t>10</w:t>
            </w:r>
            <w:r w:rsidR="0088088E" w:rsidRPr="0088088E">
              <w:rPr>
                <w:rFonts w:ascii="Arial" w:hAnsi="Arial" w:cs="Arial"/>
                <w:noProof/>
                <w:webHidden/>
                <w:sz w:val="24"/>
                <w:szCs w:val="24"/>
              </w:rPr>
              <w:fldChar w:fldCharType="end"/>
            </w:r>
          </w:hyperlink>
        </w:p>
        <w:p w14:paraId="009D57BA" w14:textId="42D1B0F2" w:rsidR="00AA5296" w:rsidRPr="00AE616F" w:rsidRDefault="00AA5296" w:rsidP="0088088E">
          <w:pPr>
            <w:spacing w:line="360" w:lineRule="auto"/>
            <w:rPr>
              <w:rFonts w:ascii="Arial" w:hAnsi="Arial" w:cs="Arial"/>
              <w:sz w:val="24"/>
              <w:szCs w:val="24"/>
            </w:rPr>
          </w:pPr>
          <w:r w:rsidRPr="0088088E">
            <w:rPr>
              <w:rFonts w:ascii="Arial" w:hAnsi="Arial" w:cs="Arial"/>
              <w:b/>
              <w:bCs/>
              <w:noProof/>
              <w:sz w:val="24"/>
              <w:szCs w:val="24"/>
            </w:rPr>
            <w:fldChar w:fldCharType="end"/>
          </w:r>
        </w:p>
      </w:sdtContent>
    </w:sdt>
    <w:p w14:paraId="2F3B2308" w14:textId="77777777" w:rsidR="00AA5296" w:rsidRPr="00AE616F" w:rsidRDefault="00AA5296" w:rsidP="00AE616F">
      <w:pPr>
        <w:spacing w:line="360" w:lineRule="auto"/>
        <w:rPr>
          <w:rFonts w:ascii="Arial" w:hAnsi="Arial" w:cs="Arial"/>
          <w:sz w:val="24"/>
          <w:szCs w:val="24"/>
        </w:rPr>
      </w:pPr>
    </w:p>
    <w:p w14:paraId="0ABBC70C" w14:textId="77777777" w:rsidR="00AA5296" w:rsidRPr="00AE616F" w:rsidRDefault="00AA5296" w:rsidP="00AE616F">
      <w:pPr>
        <w:spacing w:line="360" w:lineRule="auto"/>
        <w:rPr>
          <w:rFonts w:ascii="Arial" w:hAnsi="Arial" w:cs="Arial"/>
          <w:sz w:val="24"/>
          <w:szCs w:val="24"/>
          <w:lang w:eastAsia="en-GB"/>
        </w:rPr>
      </w:pPr>
    </w:p>
    <w:p w14:paraId="60CFCDDE" w14:textId="77777777" w:rsidR="00AA5296" w:rsidRPr="00AE616F" w:rsidRDefault="00AA5296" w:rsidP="00AE616F">
      <w:pPr>
        <w:spacing w:line="360" w:lineRule="auto"/>
        <w:rPr>
          <w:rFonts w:ascii="Arial" w:hAnsi="Arial" w:cs="Arial"/>
          <w:sz w:val="24"/>
          <w:szCs w:val="24"/>
          <w:lang w:eastAsia="en-GB"/>
        </w:rPr>
      </w:pPr>
    </w:p>
    <w:p w14:paraId="1F19B02E" w14:textId="77777777" w:rsidR="00AA5296" w:rsidRPr="00AE616F" w:rsidRDefault="00AA5296" w:rsidP="00AE616F">
      <w:pPr>
        <w:spacing w:line="360" w:lineRule="auto"/>
        <w:rPr>
          <w:rFonts w:ascii="Arial" w:hAnsi="Arial" w:cs="Arial"/>
          <w:sz w:val="24"/>
          <w:szCs w:val="24"/>
          <w:lang w:eastAsia="en-GB"/>
        </w:rPr>
      </w:pPr>
    </w:p>
    <w:p w14:paraId="37888D82" w14:textId="77777777" w:rsidR="00AA5296" w:rsidRPr="00AE616F" w:rsidRDefault="00AA5296" w:rsidP="005353B3">
      <w:pPr>
        <w:spacing w:line="360" w:lineRule="auto"/>
        <w:rPr>
          <w:rFonts w:ascii="Arial" w:hAnsi="Arial" w:cs="Arial"/>
          <w:sz w:val="24"/>
          <w:szCs w:val="24"/>
          <w:lang w:eastAsia="en-GB"/>
        </w:rPr>
      </w:pPr>
    </w:p>
    <w:p w14:paraId="0CA981EE" w14:textId="77777777" w:rsidR="00AA5296" w:rsidRPr="00AE616F" w:rsidRDefault="00AA5296" w:rsidP="005353B3">
      <w:pPr>
        <w:spacing w:line="360" w:lineRule="auto"/>
        <w:rPr>
          <w:rFonts w:ascii="Arial" w:hAnsi="Arial" w:cs="Arial"/>
          <w:sz w:val="24"/>
          <w:szCs w:val="24"/>
          <w:lang w:eastAsia="en-GB"/>
        </w:rPr>
      </w:pPr>
    </w:p>
    <w:p w14:paraId="5DEA48CC" w14:textId="77777777" w:rsidR="00AA5296" w:rsidRPr="00AE616F" w:rsidRDefault="00AA5296" w:rsidP="005353B3">
      <w:pPr>
        <w:spacing w:line="360" w:lineRule="auto"/>
        <w:rPr>
          <w:rFonts w:ascii="Arial" w:hAnsi="Arial" w:cs="Arial"/>
          <w:sz w:val="24"/>
          <w:szCs w:val="24"/>
          <w:lang w:eastAsia="en-GB"/>
        </w:rPr>
      </w:pPr>
    </w:p>
    <w:p w14:paraId="7FF7A2EE" w14:textId="77777777" w:rsidR="00AA5296" w:rsidRPr="00AE616F" w:rsidRDefault="00AA5296" w:rsidP="005353B3">
      <w:pPr>
        <w:spacing w:line="360" w:lineRule="auto"/>
        <w:rPr>
          <w:rFonts w:ascii="Arial" w:hAnsi="Arial" w:cs="Arial"/>
          <w:sz w:val="24"/>
          <w:szCs w:val="24"/>
          <w:lang w:eastAsia="en-GB"/>
        </w:rPr>
      </w:pPr>
    </w:p>
    <w:p w14:paraId="5A328915" w14:textId="77777777" w:rsidR="00AA5296" w:rsidRPr="00AE616F" w:rsidRDefault="00AA5296" w:rsidP="005353B3">
      <w:pPr>
        <w:spacing w:line="360" w:lineRule="auto"/>
        <w:rPr>
          <w:rFonts w:ascii="Arial" w:hAnsi="Arial" w:cs="Arial"/>
          <w:sz w:val="24"/>
          <w:szCs w:val="24"/>
          <w:lang w:eastAsia="en-GB"/>
        </w:rPr>
      </w:pPr>
    </w:p>
    <w:p w14:paraId="5FC1D7F3" w14:textId="77777777" w:rsidR="00AA5296" w:rsidRPr="00AE616F" w:rsidRDefault="00AA5296" w:rsidP="005353B3">
      <w:pPr>
        <w:spacing w:line="360" w:lineRule="auto"/>
        <w:rPr>
          <w:rFonts w:ascii="Arial" w:hAnsi="Arial" w:cs="Arial"/>
          <w:sz w:val="24"/>
          <w:szCs w:val="24"/>
          <w:lang w:eastAsia="en-GB"/>
        </w:rPr>
      </w:pPr>
    </w:p>
    <w:p w14:paraId="2A865FA4" w14:textId="77777777" w:rsidR="00AA5296" w:rsidRPr="00AE616F" w:rsidRDefault="00AA5296" w:rsidP="005353B3">
      <w:pPr>
        <w:spacing w:line="360" w:lineRule="auto"/>
        <w:rPr>
          <w:rFonts w:ascii="Arial" w:hAnsi="Arial" w:cs="Arial"/>
          <w:sz w:val="24"/>
          <w:szCs w:val="24"/>
          <w:lang w:eastAsia="en-GB"/>
        </w:rPr>
      </w:pPr>
    </w:p>
    <w:p w14:paraId="000FF2AB" w14:textId="77777777" w:rsidR="00AA5296" w:rsidRPr="00AE616F" w:rsidRDefault="00AA5296" w:rsidP="005353B3">
      <w:pPr>
        <w:spacing w:line="360" w:lineRule="auto"/>
        <w:rPr>
          <w:rFonts w:ascii="Arial" w:hAnsi="Arial" w:cs="Arial"/>
          <w:sz w:val="24"/>
          <w:szCs w:val="24"/>
          <w:lang w:eastAsia="en-GB"/>
        </w:rPr>
      </w:pPr>
    </w:p>
    <w:p w14:paraId="7EDD46A9" w14:textId="77777777" w:rsidR="00AA5296" w:rsidRPr="00AE616F" w:rsidRDefault="00AA5296" w:rsidP="005353B3">
      <w:pPr>
        <w:spacing w:line="360" w:lineRule="auto"/>
        <w:rPr>
          <w:rFonts w:ascii="Arial" w:hAnsi="Arial" w:cs="Arial"/>
          <w:sz w:val="24"/>
          <w:szCs w:val="24"/>
          <w:lang w:eastAsia="en-GB"/>
        </w:rPr>
      </w:pPr>
    </w:p>
    <w:p w14:paraId="09ECB89C" w14:textId="77777777" w:rsidR="00AA5296" w:rsidRPr="00AE616F" w:rsidRDefault="00AA5296" w:rsidP="005353B3">
      <w:pPr>
        <w:spacing w:line="360" w:lineRule="auto"/>
        <w:rPr>
          <w:rFonts w:ascii="Arial" w:hAnsi="Arial" w:cs="Arial"/>
          <w:sz w:val="24"/>
          <w:szCs w:val="24"/>
          <w:lang w:eastAsia="en-GB"/>
        </w:rPr>
      </w:pPr>
    </w:p>
    <w:p w14:paraId="5972F97C" w14:textId="77777777" w:rsidR="00AA5296" w:rsidRPr="00AE616F" w:rsidRDefault="00AA5296" w:rsidP="005353B3">
      <w:pPr>
        <w:spacing w:line="360" w:lineRule="auto"/>
        <w:rPr>
          <w:rFonts w:ascii="Arial" w:hAnsi="Arial" w:cs="Arial"/>
          <w:sz w:val="24"/>
          <w:szCs w:val="24"/>
          <w:lang w:eastAsia="en-GB"/>
        </w:rPr>
      </w:pPr>
    </w:p>
    <w:p w14:paraId="2AD9E875" w14:textId="77777777" w:rsidR="00AA5296" w:rsidRPr="00AE616F" w:rsidRDefault="00AA5296" w:rsidP="005353B3">
      <w:pPr>
        <w:spacing w:line="360" w:lineRule="auto"/>
        <w:rPr>
          <w:rFonts w:ascii="Arial" w:hAnsi="Arial" w:cs="Arial"/>
          <w:sz w:val="24"/>
          <w:szCs w:val="24"/>
          <w:lang w:eastAsia="en-GB"/>
        </w:rPr>
      </w:pPr>
    </w:p>
    <w:p w14:paraId="5F581C86" w14:textId="509096DB" w:rsidR="00AA5296" w:rsidRPr="00AE616F" w:rsidRDefault="00AA5296" w:rsidP="00AE616F">
      <w:pPr>
        <w:pStyle w:val="Heading1"/>
        <w:spacing w:line="360" w:lineRule="auto"/>
        <w:rPr>
          <w:b w:val="0"/>
          <w:bCs w:val="0"/>
          <w:sz w:val="24"/>
          <w:szCs w:val="24"/>
          <w:u w:val="single"/>
        </w:rPr>
      </w:pPr>
      <w:bookmarkStart w:id="1" w:name="_Toc120813661"/>
      <w:r w:rsidRPr="00AE616F">
        <w:rPr>
          <w:b w:val="0"/>
          <w:bCs w:val="0"/>
          <w:sz w:val="24"/>
          <w:szCs w:val="24"/>
          <w:u w:val="single"/>
        </w:rPr>
        <w:lastRenderedPageBreak/>
        <w:t xml:space="preserve">The </w:t>
      </w:r>
      <w:r w:rsidR="00665268" w:rsidRPr="00AE616F">
        <w:rPr>
          <w:b w:val="0"/>
          <w:bCs w:val="0"/>
          <w:sz w:val="24"/>
          <w:szCs w:val="24"/>
          <w:u w:val="single"/>
        </w:rPr>
        <w:t>T</w:t>
      </w:r>
      <w:r w:rsidRPr="00AE616F">
        <w:rPr>
          <w:b w:val="0"/>
          <w:bCs w:val="0"/>
          <w:sz w:val="24"/>
          <w:szCs w:val="24"/>
          <w:u w:val="single"/>
        </w:rPr>
        <w:t>ort of Negligence</w:t>
      </w:r>
      <w:bookmarkEnd w:id="1"/>
    </w:p>
    <w:p w14:paraId="524B350B" w14:textId="6F85BB2C" w:rsidR="00AA5296" w:rsidRPr="00AE616F" w:rsidRDefault="00AA5296" w:rsidP="00AE616F">
      <w:pPr>
        <w:spacing w:after="0" w:line="360" w:lineRule="auto"/>
        <w:jc w:val="both"/>
        <w:rPr>
          <w:rFonts w:ascii="Arial" w:hAnsi="Arial" w:cs="Arial"/>
          <w:sz w:val="24"/>
          <w:szCs w:val="24"/>
        </w:rPr>
      </w:pPr>
      <w:r w:rsidRPr="00AE616F">
        <w:rPr>
          <w:rFonts w:ascii="Arial" w:hAnsi="Arial" w:cs="Arial"/>
          <w:sz w:val="24"/>
          <w:szCs w:val="24"/>
        </w:rPr>
        <w:t xml:space="preserve">The law of tort is a civil law, often defined as a civil </w:t>
      </w:r>
      <w:proofErr w:type="gramStart"/>
      <w:r w:rsidRPr="00AE616F">
        <w:rPr>
          <w:rFonts w:ascii="Arial" w:hAnsi="Arial" w:cs="Arial"/>
          <w:sz w:val="24"/>
          <w:szCs w:val="24"/>
        </w:rPr>
        <w:t>wrong doing</w:t>
      </w:r>
      <w:proofErr w:type="gramEnd"/>
      <w:r w:rsidRPr="00AE616F">
        <w:rPr>
          <w:rFonts w:ascii="Arial" w:hAnsi="Arial" w:cs="Arial"/>
          <w:sz w:val="24"/>
          <w:szCs w:val="24"/>
        </w:rPr>
        <w:t xml:space="preserve">. A tort is described as an action or inaction that causes hurt or injury to another person. </w:t>
      </w:r>
      <w:r w:rsidR="000803BE" w:rsidRPr="00AE616F">
        <w:rPr>
          <w:rFonts w:ascii="Arial" w:hAnsi="Arial" w:cs="Arial"/>
          <w:sz w:val="24"/>
          <w:szCs w:val="24"/>
        </w:rPr>
        <w:t xml:space="preserve">It's a civil wrong that frequently ends in harm or </w:t>
      </w:r>
      <w:r w:rsidR="000803BE" w:rsidRPr="00B87EBA">
        <w:rPr>
          <w:rFonts w:ascii="Arial" w:hAnsi="Arial" w:cs="Arial"/>
          <w:sz w:val="24"/>
          <w:szCs w:val="24"/>
        </w:rPr>
        <w:t>damage to a</w:t>
      </w:r>
      <w:r w:rsidR="00B87EBA" w:rsidRPr="00B87EBA">
        <w:rPr>
          <w:rFonts w:ascii="Arial" w:hAnsi="Arial" w:cs="Arial"/>
          <w:sz w:val="24"/>
          <w:szCs w:val="24"/>
        </w:rPr>
        <w:t xml:space="preserve"> person</w:t>
      </w:r>
      <w:r w:rsidR="000803BE" w:rsidRPr="00B87EBA">
        <w:rPr>
          <w:rFonts w:ascii="Arial" w:hAnsi="Arial" w:cs="Arial"/>
          <w:sz w:val="24"/>
          <w:szCs w:val="24"/>
        </w:rPr>
        <w:t xml:space="preserve"> (the claimant), which leads to that </w:t>
      </w:r>
      <w:r w:rsidR="00B87EBA" w:rsidRPr="00B87EBA">
        <w:rPr>
          <w:rFonts w:ascii="Arial" w:hAnsi="Arial" w:cs="Arial"/>
          <w:sz w:val="24"/>
          <w:szCs w:val="24"/>
        </w:rPr>
        <w:t xml:space="preserve">individual </w:t>
      </w:r>
      <w:r w:rsidR="000803BE" w:rsidRPr="00B87EBA">
        <w:rPr>
          <w:rFonts w:ascii="Arial" w:hAnsi="Arial" w:cs="Arial"/>
          <w:sz w:val="24"/>
          <w:szCs w:val="24"/>
        </w:rPr>
        <w:t xml:space="preserve">assuming legal responsibility for the person or business that committed the </w:t>
      </w:r>
      <w:r w:rsidR="000803BE" w:rsidRPr="00B87EBA">
        <w:rPr>
          <w:rFonts w:ascii="Arial" w:hAnsi="Arial" w:cs="Arial"/>
          <w:i/>
          <w:iCs/>
          <w:sz w:val="24"/>
          <w:szCs w:val="24"/>
        </w:rPr>
        <w:t>"tortious act</w:t>
      </w:r>
      <w:r w:rsidR="007E5D04" w:rsidRPr="00B87EBA">
        <w:rPr>
          <w:rFonts w:ascii="Arial" w:hAnsi="Arial" w:cs="Arial"/>
          <w:i/>
          <w:iCs/>
          <w:sz w:val="24"/>
          <w:szCs w:val="24"/>
        </w:rPr>
        <w:t>”</w:t>
      </w:r>
      <w:r w:rsidR="000803BE" w:rsidRPr="00B87EBA">
        <w:rPr>
          <w:rFonts w:ascii="Arial" w:hAnsi="Arial" w:cs="Arial"/>
          <w:i/>
          <w:iCs/>
          <w:sz w:val="24"/>
          <w:szCs w:val="24"/>
        </w:rPr>
        <w:t>.</w:t>
      </w:r>
      <w:r w:rsidR="000803BE" w:rsidRPr="00B87EBA">
        <w:rPr>
          <w:rFonts w:ascii="Arial" w:hAnsi="Arial" w:cs="Arial"/>
          <w:sz w:val="24"/>
          <w:szCs w:val="24"/>
        </w:rPr>
        <w:t xml:space="preserve"> </w:t>
      </w:r>
      <w:r w:rsidR="007E5D04" w:rsidRPr="00B87EBA">
        <w:rPr>
          <w:rFonts w:ascii="Arial" w:hAnsi="Arial" w:cs="Arial"/>
          <w:i/>
          <w:iCs/>
          <w:sz w:val="24"/>
          <w:szCs w:val="24"/>
        </w:rPr>
        <w:t>(</w:t>
      </w:r>
      <w:r w:rsidR="004D0890" w:rsidRPr="00B87EBA">
        <w:rPr>
          <w:rFonts w:ascii="Arial" w:hAnsi="Arial" w:cs="Arial"/>
          <w:i/>
          <w:iCs/>
          <w:sz w:val="24"/>
          <w:szCs w:val="24"/>
        </w:rPr>
        <w:t>Practical</w:t>
      </w:r>
      <w:r w:rsidR="007E5D04" w:rsidRPr="00B87EBA">
        <w:rPr>
          <w:rFonts w:ascii="Arial" w:hAnsi="Arial" w:cs="Arial"/>
          <w:i/>
          <w:iCs/>
          <w:sz w:val="24"/>
          <w:szCs w:val="24"/>
        </w:rPr>
        <w:t xml:space="preserve"> law, no date). </w:t>
      </w:r>
      <w:r w:rsidRPr="00B87EBA">
        <w:rPr>
          <w:rFonts w:ascii="Arial" w:hAnsi="Arial" w:cs="Arial"/>
          <w:sz w:val="24"/>
          <w:szCs w:val="24"/>
        </w:rPr>
        <w:t>These behaviours infringe on another person's</w:t>
      </w:r>
      <w:r w:rsidRPr="00AE616F">
        <w:rPr>
          <w:rFonts w:ascii="Arial" w:hAnsi="Arial" w:cs="Arial"/>
          <w:sz w:val="24"/>
          <w:szCs w:val="24"/>
        </w:rPr>
        <w:t xml:space="preserve"> rights, yet they are not regarded as crimes. Instead of criminal court, tort cases are heard in civil court. In contrast to criminal court, where the burden of proof is on one side to establish their guilt beyond a reasonable doubt, civil court relies on a balance of probabilities to determine who is accountable.</w:t>
      </w:r>
    </w:p>
    <w:p w14:paraId="5463B415" w14:textId="77777777" w:rsidR="008E4E33" w:rsidRDefault="008E4E33" w:rsidP="00AE616F">
      <w:pPr>
        <w:spacing w:after="0" w:line="360" w:lineRule="auto"/>
        <w:jc w:val="both"/>
        <w:rPr>
          <w:rFonts w:ascii="Arial" w:hAnsi="Arial" w:cs="Arial"/>
          <w:sz w:val="24"/>
          <w:szCs w:val="24"/>
        </w:rPr>
      </w:pPr>
    </w:p>
    <w:p w14:paraId="44F9FD98" w14:textId="58A1DB37" w:rsidR="00AA5296" w:rsidRPr="00AE616F" w:rsidRDefault="00AA5296" w:rsidP="00AE616F">
      <w:pPr>
        <w:spacing w:after="0" w:line="360" w:lineRule="auto"/>
        <w:jc w:val="both"/>
        <w:rPr>
          <w:rFonts w:ascii="Arial" w:hAnsi="Arial" w:cs="Arial"/>
          <w:sz w:val="24"/>
          <w:szCs w:val="24"/>
        </w:rPr>
      </w:pPr>
      <w:r w:rsidRPr="00AE616F">
        <w:rPr>
          <w:rFonts w:ascii="Arial" w:hAnsi="Arial" w:cs="Arial"/>
          <w:sz w:val="24"/>
          <w:szCs w:val="24"/>
        </w:rPr>
        <w:t xml:space="preserve">Negligence is defined as failing to take proper or reasonable care of something. According to the law, negligence is defined as a </w:t>
      </w:r>
      <w:r w:rsidR="00665268" w:rsidRPr="00AE616F">
        <w:rPr>
          <w:rFonts w:ascii="Arial" w:hAnsi="Arial" w:cs="Arial"/>
          <w:sz w:val="24"/>
          <w:szCs w:val="24"/>
        </w:rPr>
        <w:t xml:space="preserve">breach of </w:t>
      </w:r>
      <w:r w:rsidRPr="00AE616F">
        <w:rPr>
          <w:rFonts w:ascii="Arial" w:hAnsi="Arial" w:cs="Arial"/>
          <w:sz w:val="24"/>
          <w:szCs w:val="24"/>
        </w:rPr>
        <w:t xml:space="preserve">duty of care that causes any harm. </w:t>
      </w:r>
      <w:r w:rsidR="00406DB2" w:rsidRPr="00AE616F">
        <w:rPr>
          <w:rFonts w:ascii="Arial" w:hAnsi="Arial" w:cs="Arial"/>
          <w:sz w:val="24"/>
          <w:szCs w:val="24"/>
        </w:rPr>
        <w:t>In</w:t>
      </w:r>
      <w:r w:rsidRPr="00AE616F">
        <w:rPr>
          <w:rFonts w:ascii="Arial" w:hAnsi="Arial" w:cs="Arial"/>
          <w:sz w:val="24"/>
          <w:szCs w:val="24"/>
        </w:rPr>
        <w:t xml:space="preserve"> construction its often referred to as professional negligence, which is the breach of a person's, group's, or company's duty of care. This could be to a wide range of professionals or people, for example it could be to a customer, client or anyone directly involved with the company. It could be something as simple as not locking a gate on site, resulting in the public gaining access, and harming themselves on the site premises.</w:t>
      </w:r>
    </w:p>
    <w:p w14:paraId="30D43DF1" w14:textId="77777777" w:rsidR="00AC65D5" w:rsidRPr="00AE616F" w:rsidRDefault="00AC65D5" w:rsidP="00AE616F">
      <w:pPr>
        <w:spacing w:after="0" w:line="360" w:lineRule="auto"/>
        <w:jc w:val="both"/>
        <w:rPr>
          <w:rFonts w:ascii="Arial" w:hAnsi="Arial" w:cs="Arial"/>
          <w:sz w:val="24"/>
          <w:szCs w:val="24"/>
        </w:rPr>
      </w:pPr>
    </w:p>
    <w:p w14:paraId="3CDA48E8" w14:textId="58427B4D" w:rsidR="00AA5296" w:rsidRPr="00AE616F" w:rsidRDefault="00AA5296" w:rsidP="00AE616F">
      <w:pPr>
        <w:spacing w:after="0" w:line="360" w:lineRule="auto"/>
        <w:jc w:val="both"/>
        <w:rPr>
          <w:rFonts w:ascii="Arial" w:hAnsi="Arial" w:cs="Arial"/>
          <w:sz w:val="24"/>
          <w:szCs w:val="24"/>
          <w:shd w:val="clear" w:color="auto" w:fill="FFFFFF"/>
        </w:rPr>
      </w:pPr>
      <w:r w:rsidRPr="00AE616F">
        <w:rPr>
          <w:rFonts w:ascii="Arial" w:hAnsi="Arial" w:cs="Arial"/>
          <w:sz w:val="24"/>
          <w:szCs w:val="24"/>
        </w:rPr>
        <w:t xml:space="preserve">The most widely recognised type of tort is negligence. </w:t>
      </w:r>
      <w:r w:rsidR="00665268" w:rsidRPr="00AE616F">
        <w:rPr>
          <w:rFonts w:ascii="Arial" w:hAnsi="Arial" w:cs="Arial"/>
          <w:sz w:val="24"/>
          <w:szCs w:val="24"/>
        </w:rPr>
        <w:t>It’s</w:t>
      </w:r>
      <w:r w:rsidRPr="00AE616F">
        <w:rPr>
          <w:rFonts w:ascii="Arial" w:hAnsi="Arial" w:cs="Arial"/>
          <w:sz w:val="24"/>
          <w:szCs w:val="24"/>
        </w:rPr>
        <w:t xml:space="preserve"> one of the laws that is most frequently contested because of its prominence. It connects to unreasonable risk of harm to per</w:t>
      </w:r>
      <w:r w:rsidR="00080642" w:rsidRPr="00AE616F">
        <w:rPr>
          <w:rFonts w:ascii="Arial" w:hAnsi="Arial" w:cs="Arial"/>
          <w:sz w:val="24"/>
          <w:szCs w:val="24"/>
        </w:rPr>
        <w:t>sons</w:t>
      </w:r>
      <w:r w:rsidRPr="00AE616F">
        <w:rPr>
          <w:rFonts w:ascii="Arial" w:hAnsi="Arial" w:cs="Arial"/>
          <w:sz w:val="24"/>
          <w:szCs w:val="24"/>
        </w:rPr>
        <w:t xml:space="preserve"> or properties. </w:t>
      </w:r>
      <w:r w:rsidRPr="00AE616F">
        <w:rPr>
          <w:rFonts w:ascii="Arial" w:hAnsi="Arial" w:cs="Arial"/>
          <w:i/>
          <w:iCs/>
          <w:sz w:val="24"/>
          <w:szCs w:val="24"/>
        </w:rPr>
        <w:t>Lawteacher.net state a “</w:t>
      </w:r>
      <w:r w:rsidRPr="00AE616F">
        <w:rPr>
          <w:rFonts w:ascii="Arial" w:hAnsi="Arial" w:cs="Arial"/>
          <w:i/>
          <w:iCs/>
          <w:sz w:val="24"/>
          <w:szCs w:val="24"/>
          <w:shd w:val="clear" w:color="auto" w:fill="FFFFFF"/>
        </w:rPr>
        <w:t>tort is any wrongful act except breach of trust or contract resulting in injury to another individual’s property and reputation for which the injured individual qualifies to be compensated”</w:t>
      </w:r>
      <w:r w:rsidRPr="00AE616F">
        <w:rPr>
          <w:rFonts w:ascii="Arial" w:hAnsi="Arial" w:cs="Arial"/>
          <w:sz w:val="24"/>
          <w:szCs w:val="24"/>
        </w:rPr>
        <w:t xml:space="preserve">. </w:t>
      </w:r>
      <w:r w:rsidR="00F44523" w:rsidRPr="00AE616F">
        <w:rPr>
          <w:rFonts w:ascii="Arial" w:hAnsi="Arial" w:cs="Arial"/>
          <w:sz w:val="24"/>
          <w:szCs w:val="24"/>
        </w:rPr>
        <w:t xml:space="preserve">For a negligence case to be successful, the claimant must prevail against the defendant. </w:t>
      </w:r>
      <w:r w:rsidRPr="00AE616F">
        <w:rPr>
          <w:rFonts w:ascii="Arial" w:hAnsi="Arial" w:cs="Arial"/>
          <w:sz w:val="24"/>
          <w:szCs w:val="24"/>
          <w:shd w:val="clear" w:color="auto" w:fill="FFFFFF"/>
        </w:rPr>
        <w:t>The tort of negligence has three main components. To</w:t>
      </w:r>
      <w:r w:rsidRPr="00AE616F">
        <w:rPr>
          <w:rFonts w:ascii="Arial" w:hAnsi="Arial" w:cs="Arial"/>
          <w:sz w:val="24"/>
          <w:szCs w:val="24"/>
        </w:rPr>
        <w:t xml:space="preserve"> succeed in a negligence case, the claimant must prove that 3 components are relevant. </w:t>
      </w:r>
      <w:r w:rsidRPr="00AE616F">
        <w:rPr>
          <w:rFonts w:ascii="Arial" w:hAnsi="Arial" w:cs="Arial"/>
          <w:sz w:val="24"/>
          <w:szCs w:val="24"/>
          <w:shd w:val="clear" w:color="auto" w:fill="FFFFFF"/>
        </w:rPr>
        <w:t xml:space="preserve">These are: </w:t>
      </w:r>
    </w:p>
    <w:p w14:paraId="2C24C49F" w14:textId="77777777" w:rsidR="00AA5296" w:rsidRPr="00AE616F" w:rsidRDefault="00AA5296" w:rsidP="00AE616F">
      <w:pPr>
        <w:spacing w:after="0" w:line="360" w:lineRule="auto"/>
        <w:jc w:val="both"/>
        <w:rPr>
          <w:rFonts w:ascii="Arial" w:hAnsi="Arial" w:cs="Arial"/>
          <w:sz w:val="24"/>
          <w:szCs w:val="24"/>
          <w:shd w:val="clear" w:color="auto" w:fill="FFFFFF"/>
        </w:rPr>
      </w:pPr>
    </w:p>
    <w:p w14:paraId="1D2BB304" w14:textId="77777777" w:rsidR="00AA5296" w:rsidRPr="00AE616F" w:rsidRDefault="00AA5296" w:rsidP="00AE616F">
      <w:pPr>
        <w:pStyle w:val="ListParagraph"/>
        <w:numPr>
          <w:ilvl w:val="0"/>
          <w:numId w:val="2"/>
        </w:numPr>
        <w:spacing w:after="0" w:line="360" w:lineRule="auto"/>
        <w:jc w:val="both"/>
        <w:rPr>
          <w:rFonts w:ascii="Arial" w:hAnsi="Arial" w:cs="Arial"/>
          <w:sz w:val="24"/>
          <w:szCs w:val="24"/>
          <w:shd w:val="clear" w:color="auto" w:fill="FFFFFF"/>
        </w:rPr>
      </w:pPr>
      <w:r w:rsidRPr="00AE616F">
        <w:rPr>
          <w:rFonts w:ascii="Arial" w:hAnsi="Arial" w:cs="Arial"/>
          <w:sz w:val="24"/>
          <w:szCs w:val="24"/>
          <w:shd w:val="clear" w:color="auto" w:fill="FFFFFF"/>
        </w:rPr>
        <w:t>The Duty of Care</w:t>
      </w:r>
    </w:p>
    <w:p w14:paraId="307F65EA" w14:textId="77777777" w:rsidR="00AA5296" w:rsidRPr="00AE616F" w:rsidRDefault="00AA5296" w:rsidP="00AE616F">
      <w:pPr>
        <w:pStyle w:val="ListParagraph"/>
        <w:numPr>
          <w:ilvl w:val="0"/>
          <w:numId w:val="2"/>
        </w:numPr>
        <w:spacing w:after="0" w:line="360" w:lineRule="auto"/>
        <w:jc w:val="both"/>
        <w:rPr>
          <w:rFonts w:ascii="Arial" w:hAnsi="Arial" w:cs="Arial"/>
          <w:sz w:val="24"/>
          <w:szCs w:val="24"/>
          <w:shd w:val="clear" w:color="auto" w:fill="FFFFFF"/>
        </w:rPr>
      </w:pPr>
      <w:r w:rsidRPr="00AE616F">
        <w:rPr>
          <w:rFonts w:ascii="Arial" w:hAnsi="Arial" w:cs="Arial"/>
          <w:sz w:val="24"/>
          <w:szCs w:val="24"/>
          <w:shd w:val="clear" w:color="auto" w:fill="FFFFFF"/>
        </w:rPr>
        <w:t>Breach of the Duty of care</w:t>
      </w:r>
    </w:p>
    <w:p w14:paraId="11596E81" w14:textId="1997CBB9" w:rsidR="00AA5296" w:rsidRPr="00AE616F" w:rsidRDefault="00AA5296" w:rsidP="00AE616F">
      <w:pPr>
        <w:pStyle w:val="ListParagraph"/>
        <w:numPr>
          <w:ilvl w:val="0"/>
          <w:numId w:val="2"/>
        </w:numPr>
        <w:spacing w:after="0" w:line="360" w:lineRule="auto"/>
        <w:jc w:val="both"/>
        <w:rPr>
          <w:rFonts w:ascii="Arial" w:hAnsi="Arial" w:cs="Arial"/>
          <w:sz w:val="24"/>
          <w:szCs w:val="24"/>
          <w:shd w:val="clear" w:color="auto" w:fill="FFFFFF"/>
        </w:rPr>
      </w:pPr>
      <w:r w:rsidRPr="00AE616F">
        <w:rPr>
          <w:rFonts w:ascii="Arial" w:hAnsi="Arial" w:cs="Arial"/>
          <w:sz w:val="24"/>
          <w:szCs w:val="24"/>
          <w:shd w:val="clear" w:color="auto" w:fill="FFFFFF"/>
        </w:rPr>
        <w:t>Damages – these must be caused from the breach</w:t>
      </w:r>
    </w:p>
    <w:p w14:paraId="6F6F4861" w14:textId="77777777" w:rsidR="00AA5296" w:rsidRPr="00AE616F" w:rsidRDefault="00AA5296" w:rsidP="00AE616F">
      <w:pPr>
        <w:spacing w:after="0" w:line="360" w:lineRule="auto"/>
        <w:jc w:val="both"/>
        <w:rPr>
          <w:rFonts w:ascii="Arial" w:hAnsi="Arial" w:cs="Arial"/>
          <w:sz w:val="24"/>
          <w:szCs w:val="24"/>
          <w:shd w:val="clear" w:color="auto" w:fill="FFFFFF"/>
        </w:rPr>
      </w:pPr>
    </w:p>
    <w:p w14:paraId="3C4A92BB" w14:textId="43E111E5" w:rsidR="00080642" w:rsidRPr="00AE616F" w:rsidRDefault="00AA5296" w:rsidP="00AE616F">
      <w:pPr>
        <w:spacing w:after="0" w:line="360" w:lineRule="auto"/>
        <w:jc w:val="both"/>
        <w:rPr>
          <w:rFonts w:ascii="Arial" w:hAnsi="Arial" w:cs="Arial"/>
          <w:sz w:val="24"/>
          <w:szCs w:val="24"/>
          <w:shd w:val="clear" w:color="auto" w:fill="FFFFFF"/>
        </w:rPr>
      </w:pPr>
      <w:r w:rsidRPr="00AE616F">
        <w:rPr>
          <w:rFonts w:ascii="Arial" w:hAnsi="Arial" w:cs="Arial"/>
          <w:sz w:val="24"/>
          <w:szCs w:val="24"/>
          <w:shd w:val="clear" w:color="auto" w:fill="FFFFFF"/>
        </w:rPr>
        <w:lastRenderedPageBreak/>
        <w:t xml:space="preserve">The first component of a tort is </w:t>
      </w:r>
      <w:r w:rsidR="00CF60F0" w:rsidRPr="00AE616F">
        <w:rPr>
          <w:rFonts w:ascii="Arial" w:hAnsi="Arial" w:cs="Arial"/>
          <w:sz w:val="24"/>
          <w:szCs w:val="24"/>
          <w:shd w:val="clear" w:color="auto" w:fill="FFFFFF"/>
        </w:rPr>
        <w:t>the</w:t>
      </w:r>
      <w:r w:rsidRPr="00AE616F">
        <w:rPr>
          <w:rFonts w:ascii="Arial" w:hAnsi="Arial" w:cs="Arial"/>
          <w:sz w:val="24"/>
          <w:szCs w:val="24"/>
          <w:shd w:val="clear" w:color="auto" w:fill="FFFFFF"/>
        </w:rPr>
        <w:t xml:space="preserve"> duty of care</w:t>
      </w:r>
      <w:r w:rsidRPr="00B87EBA">
        <w:rPr>
          <w:rFonts w:ascii="Arial" w:hAnsi="Arial" w:cs="Arial"/>
          <w:sz w:val="24"/>
          <w:szCs w:val="24"/>
          <w:shd w:val="clear" w:color="auto" w:fill="FFFFFF"/>
        </w:rPr>
        <w:t>. A person has a responsibility</w:t>
      </w:r>
      <w:r w:rsidRPr="00AE616F">
        <w:rPr>
          <w:rFonts w:ascii="Arial" w:hAnsi="Arial" w:cs="Arial"/>
          <w:sz w:val="24"/>
          <w:szCs w:val="24"/>
          <w:shd w:val="clear" w:color="auto" w:fill="FFFFFF"/>
        </w:rPr>
        <w:t xml:space="preserve"> to constantly use reasonable care. This is </w:t>
      </w:r>
      <w:r w:rsidR="00665268" w:rsidRPr="00AE616F">
        <w:rPr>
          <w:rFonts w:ascii="Arial" w:hAnsi="Arial" w:cs="Arial"/>
          <w:sz w:val="24"/>
          <w:szCs w:val="24"/>
          <w:shd w:val="clear" w:color="auto" w:fill="FFFFFF"/>
        </w:rPr>
        <w:t>to</w:t>
      </w:r>
      <w:r w:rsidRPr="00AE616F">
        <w:rPr>
          <w:rFonts w:ascii="Arial" w:hAnsi="Arial" w:cs="Arial"/>
          <w:sz w:val="24"/>
          <w:szCs w:val="24"/>
          <w:shd w:val="clear" w:color="auto" w:fill="FFFFFF"/>
        </w:rPr>
        <w:t xml:space="preserve"> avoid actions or inactions that can reasonably cause harm </w:t>
      </w:r>
      <w:r w:rsidR="00E573D4" w:rsidRPr="00AE616F">
        <w:rPr>
          <w:rFonts w:ascii="Arial" w:hAnsi="Arial" w:cs="Arial"/>
          <w:sz w:val="24"/>
          <w:szCs w:val="24"/>
          <w:shd w:val="clear" w:color="auto" w:fill="FFFFFF"/>
        </w:rPr>
        <w:t>or</w:t>
      </w:r>
      <w:r w:rsidRPr="00AE616F">
        <w:rPr>
          <w:rFonts w:ascii="Arial" w:hAnsi="Arial" w:cs="Arial"/>
          <w:sz w:val="24"/>
          <w:szCs w:val="24"/>
          <w:shd w:val="clear" w:color="auto" w:fill="FFFFFF"/>
        </w:rPr>
        <w:t xml:space="preserve"> </w:t>
      </w:r>
      <w:r w:rsidR="00E573D4" w:rsidRPr="00AE616F">
        <w:rPr>
          <w:rFonts w:ascii="Arial" w:hAnsi="Arial" w:cs="Arial"/>
          <w:sz w:val="24"/>
          <w:szCs w:val="24"/>
          <w:shd w:val="clear" w:color="auto" w:fill="FFFFFF"/>
        </w:rPr>
        <w:t xml:space="preserve">injure your </w:t>
      </w:r>
      <w:r w:rsidRPr="00AE616F">
        <w:rPr>
          <w:rFonts w:ascii="Arial" w:hAnsi="Arial" w:cs="Arial"/>
          <w:sz w:val="24"/>
          <w:szCs w:val="24"/>
          <w:shd w:val="clear" w:color="auto" w:fill="FFFFFF"/>
        </w:rPr>
        <w:t>neighbou</w:t>
      </w:r>
      <w:r w:rsidR="00B75259" w:rsidRPr="00AE616F">
        <w:rPr>
          <w:rFonts w:ascii="Arial" w:hAnsi="Arial" w:cs="Arial"/>
          <w:sz w:val="24"/>
          <w:szCs w:val="24"/>
          <w:shd w:val="clear" w:color="auto" w:fill="FFFFFF"/>
        </w:rPr>
        <w:t>r</w:t>
      </w:r>
      <w:r w:rsidR="00665268" w:rsidRPr="00AE616F">
        <w:rPr>
          <w:rFonts w:ascii="Arial" w:hAnsi="Arial" w:cs="Arial"/>
          <w:sz w:val="24"/>
          <w:szCs w:val="24"/>
          <w:shd w:val="clear" w:color="auto" w:fill="FFFFFF"/>
        </w:rPr>
        <w:t>.</w:t>
      </w:r>
      <w:r w:rsidR="00B75259" w:rsidRPr="00AE616F">
        <w:rPr>
          <w:rFonts w:ascii="Arial" w:hAnsi="Arial" w:cs="Arial"/>
          <w:sz w:val="24"/>
          <w:szCs w:val="24"/>
          <w:shd w:val="clear" w:color="auto" w:fill="FFFFFF"/>
        </w:rPr>
        <w:t xml:space="preserve"> </w:t>
      </w:r>
    </w:p>
    <w:p w14:paraId="3A510432" w14:textId="0C65F1FE" w:rsidR="00B145C6" w:rsidRPr="00AE616F" w:rsidRDefault="005366FD" w:rsidP="00AE616F">
      <w:pPr>
        <w:spacing w:after="0" w:line="360" w:lineRule="auto"/>
        <w:jc w:val="center"/>
        <w:rPr>
          <w:rFonts w:ascii="Arial" w:hAnsi="Arial" w:cs="Arial"/>
          <w:sz w:val="24"/>
          <w:szCs w:val="24"/>
          <w:shd w:val="clear" w:color="auto" w:fill="FFFFFF"/>
        </w:rPr>
      </w:pPr>
      <w:r w:rsidRPr="00AE616F">
        <w:rPr>
          <w:rFonts w:ascii="Arial" w:hAnsi="Arial" w:cs="Arial"/>
          <w:i/>
          <w:iCs/>
          <w:sz w:val="24"/>
          <w:szCs w:val="24"/>
          <w:shd w:val="clear" w:color="auto" w:fill="FFFFFF"/>
        </w:rPr>
        <w:t>“In</w:t>
      </w:r>
      <w:r w:rsidR="00AA5296" w:rsidRPr="00AE616F">
        <w:rPr>
          <w:rFonts w:ascii="Arial" w:hAnsi="Arial" w:cs="Arial"/>
          <w:i/>
          <w:iCs/>
          <w:sz w:val="24"/>
          <w:szCs w:val="24"/>
          <w:shd w:val="clear" w:color="auto" w:fill="FFFFFF"/>
        </w:rPr>
        <w:t xml:space="preserve"> negligence law, a neighbour is that person who is directly and closely affected by one’s act such that one is supposed to have him/her in contemplation to be affected when directing the mind to the omissions and acts in question.</w:t>
      </w:r>
      <w:r w:rsidR="00AA5296" w:rsidRPr="00AE616F">
        <w:rPr>
          <w:rFonts w:ascii="Arial" w:hAnsi="Arial" w:cs="Arial"/>
          <w:sz w:val="24"/>
          <w:szCs w:val="24"/>
          <w:shd w:val="clear" w:color="auto" w:fill="FFFFFF"/>
        </w:rPr>
        <w:t>” </w:t>
      </w:r>
    </w:p>
    <w:p w14:paraId="3C0A2B8A" w14:textId="06A67130" w:rsidR="00AA5296" w:rsidRPr="00AE616F" w:rsidRDefault="00AA5296" w:rsidP="00AE616F">
      <w:pPr>
        <w:spacing w:after="0" w:line="360" w:lineRule="auto"/>
        <w:jc w:val="right"/>
        <w:rPr>
          <w:rFonts w:ascii="Arial" w:hAnsi="Arial" w:cs="Arial"/>
          <w:sz w:val="24"/>
          <w:szCs w:val="24"/>
          <w:shd w:val="clear" w:color="auto" w:fill="FFFFFF"/>
        </w:rPr>
      </w:pPr>
      <w:r w:rsidRPr="00AE616F">
        <w:rPr>
          <w:rFonts w:ascii="Arial" w:hAnsi="Arial" w:cs="Arial"/>
          <w:i/>
          <w:iCs/>
          <w:sz w:val="24"/>
          <w:szCs w:val="24"/>
          <w:u w:val="single"/>
          <w:shd w:val="clear" w:color="auto" w:fill="FFFFFF"/>
        </w:rPr>
        <w:t xml:space="preserve">(lawteacher.net, </w:t>
      </w:r>
      <w:r w:rsidR="00E573D4" w:rsidRPr="00AE616F">
        <w:rPr>
          <w:rFonts w:ascii="Arial" w:hAnsi="Arial" w:cs="Arial"/>
          <w:i/>
          <w:iCs/>
          <w:sz w:val="24"/>
          <w:szCs w:val="24"/>
          <w:u w:val="single"/>
          <w:shd w:val="clear" w:color="auto" w:fill="FFFFFF"/>
        </w:rPr>
        <w:t>no date</w:t>
      </w:r>
      <w:r w:rsidRPr="00AE616F">
        <w:rPr>
          <w:rFonts w:ascii="Arial" w:hAnsi="Arial" w:cs="Arial"/>
          <w:i/>
          <w:iCs/>
          <w:sz w:val="24"/>
          <w:szCs w:val="24"/>
          <w:u w:val="single"/>
          <w:shd w:val="clear" w:color="auto" w:fill="FFFFFF"/>
        </w:rPr>
        <w:t>)</w:t>
      </w:r>
    </w:p>
    <w:p w14:paraId="5052E22F" w14:textId="77777777" w:rsidR="008F7565" w:rsidRPr="00AE616F" w:rsidRDefault="008F7565" w:rsidP="00AE616F">
      <w:pPr>
        <w:spacing w:after="0" w:line="360" w:lineRule="auto"/>
        <w:jc w:val="both"/>
        <w:rPr>
          <w:rFonts w:ascii="Arial" w:hAnsi="Arial" w:cs="Arial"/>
          <w:sz w:val="24"/>
          <w:szCs w:val="24"/>
          <w:shd w:val="clear" w:color="auto" w:fill="FFFFFF"/>
        </w:rPr>
      </w:pPr>
    </w:p>
    <w:p w14:paraId="1051A05F" w14:textId="7D14D58C" w:rsidR="00AA5296" w:rsidRPr="00AE616F" w:rsidRDefault="00AA5296" w:rsidP="00AE616F">
      <w:pPr>
        <w:spacing w:after="0" w:line="360" w:lineRule="auto"/>
        <w:jc w:val="both"/>
        <w:rPr>
          <w:rFonts w:ascii="Arial" w:hAnsi="Arial" w:cs="Arial"/>
          <w:sz w:val="24"/>
          <w:szCs w:val="24"/>
          <w:shd w:val="clear" w:color="auto" w:fill="FFFFFF"/>
        </w:rPr>
      </w:pPr>
      <w:r w:rsidRPr="00AE616F">
        <w:rPr>
          <w:rFonts w:ascii="Arial" w:hAnsi="Arial" w:cs="Arial"/>
          <w:sz w:val="24"/>
          <w:szCs w:val="24"/>
        </w:rPr>
        <w:t xml:space="preserve">The second is the breach of duty of care, this is when </w:t>
      </w:r>
      <w:r w:rsidRPr="00AE616F">
        <w:rPr>
          <w:rFonts w:ascii="Arial" w:hAnsi="Arial" w:cs="Arial"/>
          <w:sz w:val="24"/>
          <w:szCs w:val="24"/>
          <w:shd w:val="clear" w:color="auto" w:fill="FFFFFF"/>
        </w:rPr>
        <w:t>the duty of care was not applied properly, le</w:t>
      </w:r>
      <w:r w:rsidR="00CF60F0" w:rsidRPr="00AE616F">
        <w:rPr>
          <w:rFonts w:ascii="Arial" w:hAnsi="Arial" w:cs="Arial"/>
          <w:sz w:val="24"/>
          <w:szCs w:val="24"/>
          <w:shd w:val="clear" w:color="auto" w:fill="FFFFFF"/>
        </w:rPr>
        <w:t>ading</w:t>
      </w:r>
      <w:r w:rsidRPr="00AE616F">
        <w:rPr>
          <w:rFonts w:ascii="Arial" w:hAnsi="Arial" w:cs="Arial"/>
          <w:sz w:val="24"/>
          <w:szCs w:val="24"/>
          <w:shd w:val="clear" w:color="auto" w:fill="FFFFFF"/>
        </w:rPr>
        <w:t xml:space="preserve"> to the damage that resulted from the breach. This would be actual harm, building harm, damages etc. </w:t>
      </w:r>
    </w:p>
    <w:p w14:paraId="3FC38B0C" w14:textId="77777777" w:rsidR="00AA5296" w:rsidRPr="00AE616F" w:rsidRDefault="00AA5296" w:rsidP="00AE616F">
      <w:pPr>
        <w:spacing w:after="0" w:line="360" w:lineRule="auto"/>
        <w:jc w:val="both"/>
        <w:rPr>
          <w:rFonts w:ascii="Arial" w:hAnsi="Arial" w:cs="Arial"/>
          <w:sz w:val="24"/>
          <w:szCs w:val="24"/>
          <w:shd w:val="clear" w:color="auto" w:fill="FFFFFF"/>
        </w:rPr>
      </w:pPr>
    </w:p>
    <w:p w14:paraId="6997CED7" w14:textId="77777777" w:rsidR="005B0B4B" w:rsidRPr="00AE616F" w:rsidRDefault="00AA5296" w:rsidP="00AE616F">
      <w:pPr>
        <w:spacing w:after="0" w:line="360" w:lineRule="auto"/>
        <w:jc w:val="both"/>
        <w:rPr>
          <w:rFonts w:ascii="Arial" w:hAnsi="Arial" w:cs="Arial"/>
          <w:sz w:val="24"/>
          <w:szCs w:val="24"/>
          <w:shd w:val="clear" w:color="auto" w:fill="FFFFFF"/>
        </w:rPr>
      </w:pPr>
      <w:r w:rsidRPr="00AE616F">
        <w:rPr>
          <w:rFonts w:ascii="Arial" w:hAnsi="Arial" w:cs="Arial"/>
          <w:sz w:val="24"/>
          <w:szCs w:val="24"/>
          <w:shd w:val="clear" w:color="auto" w:fill="FFFFFF"/>
        </w:rPr>
        <w:t>Thirdly we have the damages, these must be caused by the breach.</w:t>
      </w:r>
    </w:p>
    <w:p w14:paraId="26820965" w14:textId="397EB513" w:rsidR="00AA5296" w:rsidRPr="00AE616F" w:rsidRDefault="00AA5296" w:rsidP="00AE616F">
      <w:pPr>
        <w:spacing w:after="0" w:line="360" w:lineRule="auto"/>
        <w:jc w:val="right"/>
        <w:rPr>
          <w:rFonts w:ascii="Arial" w:hAnsi="Arial" w:cs="Arial"/>
          <w:i/>
          <w:iCs/>
          <w:sz w:val="24"/>
          <w:szCs w:val="24"/>
        </w:rPr>
      </w:pPr>
      <w:r w:rsidRPr="00AE616F">
        <w:rPr>
          <w:rFonts w:ascii="Arial" w:hAnsi="Arial" w:cs="Arial"/>
          <w:sz w:val="24"/>
          <w:szCs w:val="24"/>
          <w:shd w:val="clear" w:color="auto" w:fill="FFFFFF"/>
        </w:rPr>
        <w:t>“</w:t>
      </w:r>
      <w:r w:rsidRPr="00AE616F">
        <w:rPr>
          <w:rFonts w:ascii="Arial" w:hAnsi="Arial" w:cs="Arial"/>
          <w:i/>
          <w:iCs/>
          <w:sz w:val="24"/>
          <w:szCs w:val="24"/>
          <w:shd w:val="clear" w:color="auto" w:fill="FFFFFF"/>
        </w:rPr>
        <w:t>In this element the claimant simply must prove that the loss or damage was a direct consequence of the defendant's breach of duty of care. In other words that there is a chain of causality from the defendant's actions to the claimant's loss or damage” (</w:t>
      </w:r>
      <w:r w:rsidRPr="00AE616F">
        <w:rPr>
          <w:rFonts w:ascii="Arial" w:hAnsi="Arial" w:cs="Arial"/>
          <w:i/>
          <w:iCs/>
          <w:sz w:val="24"/>
          <w:szCs w:val="24"/>
        </w:rPr>
        <w:t>A.C.C.A.- no date)</w:t>
      </w:r>
    </w:p>
    <w:p w14:paraId="0AEA68F3" w14:textId="0B1AADB1" w:rsidR="007D2C5D" w:rsidRPr="00AE616F" w:rsidRDefault="00AA5296" w:rsidP="00AE616F">
      <w:pPr>
        <w:pStyle w:val="Heading1"/>
        <w:spacing w:line="360" w:lineRule="auto"/>
        <w:rPr>
          <w:b w:val="0"/>
          <w:bCs w:val="0"/>
          <w:sz w:val="24"/>
          <w:szCs w:val="24"/>
          <w:u w:val="single"/>
        </w:rPr>
      </w:pPr>
      <w:bookmarkStart w:id="2" w:name="_Toc120813662"/>
      <w:r w:rsidRPr="00AE616F">
        <w:rPr>
          <w:b w:val="0"/>
          <w:bCs w:val="0"/>
          <w:sz w:val="24"/>
          <w:szCs w:val="24"/>
          <w:u w:val="single"/>
        </w:rPr>
        <w:t xml:space="preserve">Case law </w:t>
      </w:r>
      <w:r w:rsidR="00FD4F6E" w:rsidRPr="00AE616F">
        <w:rPr>
          <w:b w:val="0"/>
          <w:bCs w:val="0"/>
          <w:sz w:val="24"/>
          <w:szCs w:val="24"/>
          <w:u w:val="single"/>
        </w:rPr>
        <w:t>- Negligence</w:t>
      </w:r>
      <w:r w:rsidRPr="00AE616F">
        <w:rPr>
          <w:b w:val="0"/>
          <w:bCs w:val="0"/>
          <w:sz w:val="24"/>
          <w:szCs w:val="24"/>
          <w:u w:val="single"/>
        </w:rPr>
        <w:t xml:space="preserve"> Donough V Stevenson</w:t>
      </w:r>
      <w:bookmarkEnd w:id="2"/>
    </w:p>
    <w:p w14:paraId="29886839" w14:textId="1829F577" w:rsidR="00AA5296" w:rsidRPr="00AE616F" w:rsidRDefault="00AA5296" w:rsidP="00AE616F">
      <w:pPr>
        <w:spacing w:line="360" w:lineRule="auto"/>
        <w:jc w:val="both"/>
        <w:rPr>
          <w:rFonts w:ascii="Arial" w:hAnsi="Arial" w:cs="Arial"/>
          <w:sz w:val="24"/>
          <w:szCs w:val="24"/>
        </w:rPr>
      </w:pPr>
      <w:r w:rsidRPr="00AE616F">
        <w:rPr>
          <w:rFonts w:ascii="Arial" w:hAnsi="Arial" w:cs="Arial"/>
          <w:sz w:val="24"/>
          <w:szCs w:val="24"/>
        </w:rPr>
        <w:t>The tort of negligence was introduced in 1932. Donough v Stevenson was heard at the house of Lords in 1932. Known</w:t>
      </w:r>
      <w:r w:rsidR="001632DB">
        <w:rPr>
          <w:rFonts w:ascii="Arial" w:hAnsi="Arial" w:cs="Arial"/>
          <w:sz w:val="24"/>
          <w:szCs w:val="24"/>
        </w:rPr>
        <w:t xml:space="preserve"> more commonly</w:t>
      </w:r>
      <w:r w:rsidRPr="00AE616F">
        <w:rPr>
          <w:rFonts w:ascii="Arial" w:hAnsi="Arial" w:cs="Arial"/>
          <w:sz w:val="24"/>
          <w:szCs w:val="24"/>
        </w:rPr>
        <w:t xml:space="preserve"> as the snail in the bottle case</w:t>
      </w:r>
      <w:r w:rsidR="00CF60F0" w:rsidRPr="00AE616F">
        <w:rPr>
          <w:rFonts w:ascii="Arial" w:hAnsi="Arial" w:cs="Arial"/>
          <w:sz w:val="24"/>
          <w:szCs w:val="24"/>
        </w:rPr>
        <w:t>.</w:t>
      </w:r>
      <w:r w:rsidRPr="00AE616F">
        <w:rPr>
          <w:rFonts w:ascii="Arial" w:hAnsi="Arial" w:cs="Arial"/>
          <w:sz w:val="24"/>
          <w:szCs w:val="24"/>
        </w:rPr>
        <w:t xml:space="preserve"> Lawteacher.net note that </w:t>
      </w:r>
      <w:r w:rsidR="00CF60F0" w:rsidRPr="00AE616F">
        <w:rPr>
          <w:rFonts w:ascii="Arial" w:hAnsi="Arial" w:cs="Arial"/>
          <w:sz w:val="24"/>
          <w:szCs w:val="24"/>
        </w:rPr>
        <w:t xml:space="preserve">Mrs </w:t>
      </w:r>
      <w:r w:rsidRPr="00AE616F">
        <w:rPr>
          <w:rFonts w:ascii="Arial" w:hAnsi="Arial" w:cs="Arial"/>
          <w:sz w:val="24"/>
          <w:szCs w:val="24"/>
        </w:rPr>
        <w:t xml:space="preserve">Donough was out for lunch with a friend at a cafe. The friend purchased Donough a drink </w:t>
      </w:r>
      <w:r w:rsidR="001632DB">
        <w:rPr>
          <w:rFonts w:ascii="Arial" w:hAnsi="Arial" w:cs="Arial"/>
          <w:sz w:val="24"/>
          <w:szCs w:val="24"/>
        </w:rPr>
        <w:t>called the</w:t>
      </w:r>
      <w:r w:rsidRPr="00AE616F">
        <w:rPr>
          <w:rFonts w:ascii="Arial" w:hAnsi="Arial" w:cs="Arial"/>
          <w:sz w:val="24"/>
          <w:szCs w:val="24"/>
        </w:rPr>
        <w:t xml:space="preserve"> </w:t>
      </w:r>
      <w:r w:rsidR="004D0890">
        <w:rPr>
          <w:rFonts w:ascii="Arial" w:hAnsi="Arial" w:cs="Arial"/>
          <w:sz w:val="24"/>
          <w:szCs w:val="24"/>
        </w:rPr>
        <w:t>S</w:t>
      </w:r>
      <w:r w:rsidR="004D0890" w:rsidRPr="00AE616F">
        <w:rPr>
          <w:rFonts w:ascii="Arial" w:hAnsi="Arial" w:cs="Arial"/>
          <w:sz w:val="24"/>
          <w:szCs w:val="24"/>
        </w:rPr>
        <w:t>cotsman</w:t>
      </w:r>
      <w:r w:rsidRPr="00AE616F">
        <w:rPr>
          <w:rFonts w:ascii="Arial" w:hAnsi="Arial" w:cs="Arial"/>
          <w:sz w:val="24"/>
          <w:szCs w:val="24"/>
        </w:rPr>
        <w:t xml:space="preserve"> </w:t>
      </w:r>
      <w:r w:rsidR="00FD4F6E" w:rsidRPr="00AE616F">
        <w:rPr>
          <w:rFonts w:ascii="Arial" w:hAnsi="Arial" w:cs="Arial"/>
          <w:sz w:val="24"/>
          <w:szCs w:val="24"/>
        </w:rPr>
        <w:t>floater;</w:t>
      </w:r>
      <w:r w:rsidRPr="00AE616F">
        <w:rPr>
          <w:rFonts w:ascii="Arial" w:hAnsi="Arial" w:cs="Arial"/>
          <w:sz w:val="24"/>
          <w:szCs w:val="24"/>
        </w:rPr>
        <w:t xml:space="preserve"> </w:t>
      </w:r>
      <w:r w:rsidR="001632DB" w:rsidRPr="00AE616F">
        <w:rPr>
          <w:rFonts w:ascii="Arial" w:hAnsi="Arial" w:cs="Arial"/>
          <w:sz w:val="24"/>
          <w:szCs w:val="24"/>
        </w:rPr>
        <w:t>it</w:t>
      </w:r>
      <w:r w:rsidR="001632DB">
        <w:rPr>
          <w:rFonts w:ascii="Arial" w:hAnsi="Arial" w:cs="Arial"/>
          <w:sz w:val="24"/>
          <w:szCs w:val="24"/>
        </w:rPr>
        <w:t>’s</w:t>
      </w:r>
      <w:r w:rsidRPr="00AE616F">
        <w:rPr>
          <w:rFonts w:ascii="Arial" w:hAnsi="Arial" w:cs="Arial"/>
          <w:sz w:val="24"/>
          <w:szCs w:val="24"/>
        </w:rPr>
        <w:t xml:space="preserve"> a ginger beer with an ice cream topping. When the bottle of ginger</w:t>
      </w:r>
      <w:r w:rsidR="00CF60F0" w:rsidRPr="00AE616F">
        <w:rPr>
          <w:rFonts w:ascii="Arial" w:hAnsi="Arial" w:cs="Arial"/>
          <w:sz w:val="24"/>
          <w:szCs w:val="24"/>
        </w:rPr>
        <w:t>-</w:t>
      </w:r>
      <w:r w:rsidRPr="00AE616F">
        <w:rPr>
          <w:rFonts w:ascii="Arial" w:hAnsi="Arial" w:cs="Arial"/>
          <w:sz w:val="24"/>
          <w:szCs w:val="24"/>
        </w:rPr>
        <w:t xml:space="preserve">beer arrived at the table, the café owner poured some of contents of the bottle into a glass then allowed Donough and her friend to enjoy their meal. </w:t>
      </w:r>
      <w:r w:rsidR="00FD4F6E" w:rsidRPr="00AE616F">
        <w:rPr>
          <w:rFonts w:ascii="Arial" w:hAnsi="Arial" w:cs="Arial"/>
          <w:sz w:val="24"/>
          <w:szCs w:val="24"/>
        </w:rPr>
        <w:t>However,</w:t>
      </w:r>
      <w:r w:rsidRPr="00AE616F">
        <w:rPr>
          <w:rFonts w:ascii="Arial" w:hAnsi="Arial" w:cs="Arial"/>
          <w:sz w:val="24"/>
          <w:szCs w:val="24"/>
        </w:rPr>
        <w:t xml:space="preserve"> when Donough poured the remainder of her drink (a brown glassed bottle with the writing </w:t>
      </w:r>
      <w:r w:rsidR="009E520A" w:rsidRPr="00AE616F">
        <w:rPr>
          <w:rFonts w:ascii="Arial" w:hAnsi="Arial" w:cs="Arial"/>
          <w:sz w:val="24"/>
          <w:szCs w:val="24"/>
        </w:rPr>
        <w:t>S</w:t>
      </w:r>
      <w:r w:rsidR="009E520A">
        <w:rPr>
          <w:rFonts w:ascii="Arial" w:hAnsi="Arial" w:cs="Arial"/>
          <w:sz w:val="24"/>
          <w:szCs w:val="24"/>
        </w:rPr>
        <w:t>t</w:t>
      </w:r>
      <w:r w:rsidR="009E520A" w:rsidRPr="00AE616F">
        <w:rPr>
          <w:rFonts w:ascii="Arial" w:hAnsi="Arial" w:cs="Arial"/>
          <w:sz w:val="24"/>
          <w:szCs w:val="24"/>
        </w:rPr>
        <w:t>evenson</w:t>
      </w:r>
      <w:r w:rsidRPr="00AE616F">
        <w:rPr>
          <w:rFonts w:ascii="Arial" w:hAnsi="Arial" w:cs="Arial"/>
          <w:sz w:val="24"/>
          <w:szCs w:val="24"/>
        </w:rPr>
        <w:t xml:space="preserve">, a untransparent bottle) a decomposed snail dropped </w:t>
      </w:r>
      <w:r w:rsidR="009E520A">
        <w:rPr>
          <w:rFonts w:ascii="Arial" w:hAnsi="Arial" w:cs="Arial"/>
          <w:sz w:val="24"/>
          <w:szCs w:val="24"/>
        </w:rPr>
        <w:t>from</w:t>
      </w:r>
      <w:r w:rsidRPr="00AE616F">
        <w:rPr>
          <w:rFonts w:ascii="Arial" w:hAnsi="Arial" w:cs="Arial"/>
          <w:sz w:val="24"/>
          <w:szCs w:val="24"/>
        </w:rPr>
        <w:t xml:space="preserve"> the bottle, causing Donough to gag while starting to feel unwell. Donough decided to sue, however who was she going to sue? Donough wanted to take legal action against “Stevenson” who were the company that produced the ginger beer. Donough faced several issues, firstly the bottle was bought by </w:t>
      </w:r>
      <w:r w:rsidR="00CF60F0" w:rsidRPr="00AE616F">
        <w:rPr>
          <w:rFonts w:ascii="Arial" w:hAnsi="Arial" w:cs="Arial"/>
          <w:sz w:val="24"/>
          <w:szCs w:val="24"/>
        </w:rPr>
        <w:t>her</w:t>
      </w:r>
      <w:r w:rsidRPr="00AE616F">
        <w:rPr>
          <w:rFonts w:ascii="Arial" w:hAnsi="Arial" w:cs="Arial"/>
          <w:sz w:val="24"/>
          <w:szCs w:val="24"/>
        </w:rPr>
        <w:t xml:space="preserve"> friend, so Donough had no direct contract to the purchase of her ginger</w:t>
      </w:r>
      <w:r w:rsidR="00CF60F0" w:rsidRPr="00AE616F">
        <w:rPr>
          <w:rFonts w:ascii="Arial" w:hAnsi="Arial" w:cs="Arial"/>
          <w:sz w:val="24"/>
          <w:szCs w:val="24"/>
        </w:rPr>
        <w:t>-</w:t>
      </w:r>
      <w:r w:rsidRPr="00AE616F">
        <w:rPr>
          <w:rFonts w:ascii="Arial" w:hAnsi="Arial" w:cs="Arial"/>
          <w:sz w:val="24"/>
          <w:szCs w:val="24"/>
        </w:rPr>
        <w:t xml:space="preserve">beer, so there was no breach in contract. Secondly Donough could not prove that Stevenson had sold her a defected product, or knowingly sold a product with a snail in it. </w:t>
      </w:r>
    </w:p>
    <w:p w14:paraId="33A8BF15" w14:textId="19B69C10" w:rsidR="00AA5296" w:rsidRPr="00AE616F" w:rsidRDefault="00AA5296" w:rsidP="00AE616F">
      <w:pPr>
        <w:spacing w:line="360" w:lineRule="auto"/>
        <w:jc w:val="both"/>
        <w:rPr>
          <w:rFonts w:ascii="Arial" w:hAnsi="Arial" w:cs="Arial"/>
          <w:sz w:val="24"/>
          <w:szCs w:val="24"/>
        </w:rPr>
      </w:pPr>
      <w:r w:rsidRPr="00AE616F">
        <w:rPr>
          <w:rFonts w:ascii="Arial" w:hAnsi="Arial" w:cs="Arial"/>
          <w:sz w:val="24"/>
          <w:szCs w:val="24"/>
        </w:rPr>
        <w:lastRenderedPageBreak/>
        <w:t xml:space="preserve">Donough solicitor claimed Stevenson owed the public a duty to take reasonable care, ensuring </w:t>
      </w:r>
      <w:r w:rsidR="009E520A">
        <w:rPr>
          <w:rFonts w:ascii="Arial" w:hAnsi="Arial" w:cs="Arial"/>
          <w:sz w:val="24"/>
          <w:szCs w:val="24"/>
        </w:rPr>
        <w:t>the</w:t>
      </w:r>
      <w:r w:rsidRPr="00AE616F">
        <w:rPr>
          <w:rFonts w:ascii="Arial" w:hAnsi="Arial" w:cs="Arial"/>
          <w:sz w:val="24"/>
          <w:szCs w:val="24"/>
        </w:rPr>
        <w:t xml:space="preserve"> product w</w:t>
      </w:r>
      <w:r w:rsidR="009E520A">
        <w:rPr>
          <w:rFonts w:ascii="Arial" w:hAnsi="Arial" w:cs="Arial"/>
          <w:sz w:val="24"/>
          <w:szCs w:val="24"/>
        </w:rPr>
        <w:t>as</w:t>
      </w:r>
      <w:r w:rsidRPr="00AE616F">
        <w:rPr>
          <w:rFonts w:ascii="Arial" w:hAnsi="Arial" w:cs="Arial"/>
          <w:sz w:val="24"/>
          <w:szCs w:val="24"/>
        </w:rPr>
        <w:t xml:space="preserve"> safe for all to drink. Although this started in the standard court system who originally ruled in favour of Stevenson, this case was escalated to the house of lords, where the judge </w:t>
      </w:r>
      <w:r w:rsidR="00CF60F0" w:rsidRPr="00AE616F">
        <w:rPr>
          <w:rFonts w:ascii="Arial" w:hAnsi="Arial" w:cs="Arial"/>
          <w:sz w:val="24"/>
          <w:szCs w:val="24"/>
        </w:rPr>
        <w:t xml:space="preserve">finally </w:t>
      </w:r>
      <w:r w:rsidRPr="00AE616F">
        <w:rPr>
          <w:rFonts w:ascii="Arial" w:hAnsi="Arial" w:cs="Arial"/>
          <w:sz w:val="24"/>
          <w:szCs w:val="24"/>
        </w:rPr>
        <w:t xml:space="preserve">ruled in favour of Donough. In the house of </w:t>
      </w:r>
      <w:r w:rsidR="004D0890" w:rsidRPr="00AE616F">
        <w:rPr>
          <w:rFonts w:ascii="Arial" w:hAnsi="Arial" w:cs="Arial"/>
          <w:sz w:val="24"/>
          <w:szCs w:val="24"/>
        </w:rPr>
        <w:t>lords,</w:t>
      </w:r>
      <w:r w:rsidRPr="00AE616F">
        <w:rPr>
          <w:rFonts w:ascii="Arial" w:hAnsi="Arial" w:cs="Arial"/>
          <w:sz w:val="24"/>
          <w:szCs w:val="24"/>
        </w:rPr>
        <w:t xml:space="preserve"> </w:t>
      </w:r>
      <w:r w:rsidR="006A72A2" w:rsidRPr="00AE616F">
        <w:rPr>
          <w:rFonts w:ascii="Arial" w:hAnsi="Arial" w:cs="Arial"/>
          <w:sz w:val="24"/>
          <w:szCs w:val="24"/>
        </w:rPr>
        <w:t>a</w:t>
      </w:r>
      <w:r w:rsidRPr="00AE616F">
        <w:rPr>
          <w:rFonts w:ascii="Arial" w:hAnsi="Arial" w:cs="Arial"/>
          <w:sz w:val="24"/>
          <w:szCs w:val="24"/>
        </w:rPr>
        <w:t xml:space="preserve"> decision was made by the judge </w:t>
      </w:r>
      <w:r w:rsidR="009E520A">
        <w:rPr>
          <w:rFonts w:ascii="Arial" w:hAnsi="Arial" w:cs="Arial"/>
          <w:sz w:val="24"/>
          <w:szCs w:val="24"/>
        </w:rPr>
        <w:t>to</w:t>
      </w:r>
      <w:r w:rsidRPr="00AE616F">
        <w:rPr>
          <w:rFonts w:ascii="Arial" w:hAnsi="Arial" w:cs="Arial"/>
          <w:sz w:val="24"/>
          <w:szCs w:val="24"/>
        </w:rPr>
        <w:t xml:space="preserve"> change</w:t>
      </w:r>
      <w:r w:rsidR="006A72A2" w:rsidRPr="00AE616F">
        <w:rPr>
          <w:rFonts w:ascii="Arial" w:hAnsi="Arial" w:cs="Arial"/>
          <w:sz w:val="24"/>
          <w:szCs w:val="24"/>
        </w:rPr>
        <w:t xml:space="preserve"> </w:t>
      </w:r>
      <w:r w:rsidRPr="00AE616F">
        <w:rPr>
          <w:rFonts w:ascii="Arial" w:hAnsi="Arial" w:cs="Arial"/>
          <w:sz w:val="24"/>
          <w:szCs w:val="24"/>
        </w:rPr>
        <w:t xml:space="preserve">the statement </w:t>
      </w:r>
      <w:r w:rsidR="00FD4F6E" w:rsidRPr="00AE616F">
        <w:rPr>
          <w:rFonts w:ascii="Arial" w:hAnsi="Arial" w:cs="Arial"/>
          <w:sz w:val="24"/>
          <w:szCs w:val="24"/>
        </w:rPr>
        <w:t>‘</w:t>
      </w:r>
      <w:r w:rsidRPr="00AE616F">
        <w:rPr>
          <w:rFonts w:ascii="Arial" w:hAnsi="Arial" w:cs="Arial"/>
          <w:sz w:val="24"/>
          <w:szCs w:val="24"/>
        </w:rPr>
        <w:t>thou shall not kill thy neighbour</w:t>
      </w:r>
      <w:r w:rsidR="00FD4F6E" w:rsidRPr="00AE616F">
        <w:rPr>
          <w:rFonts w:ascii="Arial" w:hAnsi="Arial" w:cs="Arial"/>
          <w:sz w:val="24"/>
          <w:szCs w:val="24"/>
        </w:rPr>
        <w:t>’</w:t>
      </w:r>
      <w:r w:rsidRPr="00AE616F">
        <w:rPr>
          <w:rFonts w:ascii="Arial" w:hAnsi="Arial" w:cs="Arial"/>
          <w:sz w:val="24"/>
          <w:szCs w:val="24"/>
        </w:rPr>
        <w:t xml:space="preserve"> to </w:t>
      </w:r>
      <w:r w:rsidR="00FD4F6E" w:rsidRPr="00AE616F">
        <w:rPr>
          <w:rFonts w:ascii="Arial" w:hAnsi="Arial" w:cs="Arial"/>
          <w:sz w:val="24"/>
          <w:szCs w:val="24"/>
        </w:rPr>
        <w:t>‘</w:t>
      </w:r>
      <w:r w:rsidRPr="00AE616F">
        <w:rPr>
          <w:rFonts w:ascii="Arial" w:hAnsi="Arial" w:cs="Arial"/>
          <w:sz w:val="24"/>
          <w:szCs w:val="24"/>
        </w:rPr>
        <w:t>thou shall not harm thy neighbour</w:t>
      </w:r>
      <w:r w:rsidR="00FD4F6E" w:rsidRPr="00AE616F">
        <w:rPr>
          <w:rFonts w:ascii="Arial" w:hAnsi="Arial" w:cs="Arial"/>
          <w:sz w:val="24"/>
          <w:szCs w:val="24"/>
        </w:rPr>
        <w:t>’</w:t>
      </w:r>
      <w:r w:rsidRPr="00AE616F">
        <w:rPr>
          <w:rFonts w:ascii="Arial" w:hAnsi="Arial" w:cs="Arial"/>
          <w:sz w:val="24"/>
          <w:szCs w:val="24"/>
        </w:rPr>
        <w:t>. Stevenson and Donough were connected through the neighbour and proximity principle. The judge considered Donough as a neighbour as she consumed the Stevenson product,</w:t>
      </w:r>
      <w:r w:rsidR="00FD4F6E" w:rsidRPr="00AE616F">
        <w:rPr>
          <w:rFonts w:ascii="Arial" w:hAnsi="Arial" w:cs="Arial"/>
          <w:sz w:val="24"/>
          <w:szCs w:val="24"/>
        </w:rPr>
        <w:t xml:space="preserve"> </w:t>
      </w:r>
      <w:r w:rsidRPr="00AE616F">
        <w:rPr>
          <w:rFonts w:ascii="Arial" w:hAnsi="Arial" w:cs="Arial"/>
          <w:sz w:val="24"/>
          <w:szCs w:val="24"/>
        </w:rPr>
        <w:t>the judge applied the neighbour law, resulting in Donough being compensated.</w:t>
      </w:r>
      <w:r w:rsidR="00FD4F6E" w:rsidRPr="00AE616F">
        <w:rPr>
          <w:rFonts w:ascii="Arial" w:hAnsi="Arial" w:cs="Arial"/>
          <w:sz w:val="24"/>
          <w:szCs w:val="24"/>
        </w:rPr>
        <w:t xml:space="preserve"> </w:t>
      </w:r>
      <w:r w:rsidRPr="00AE616F">
        <w:rPr>
          <w:rFonts w:ascii="Arial" w:hAnsi="Arial" w:cs="Arial"/>
          <w:sz w:val="24"/>
          <w:szCs w:val="24"/>
        </w:rPr>
        <w:t xml:space="preserve">This case set the judicial precedence for negligence and </w:t>
      </w:r>
      <w:r w:rsidR="006A72A2" w:rsidRPr="00AE616F">
        <w:rPr>
          <w:rFonts w:ascii="Arial" w:hAnsi="Arial" w:cs="Arial"/>
          <w:sz w:val="24"/>
          <w:szCs w:val="24"/>
        </w:rPr>
        <w:t>has been</w:t>
      </w:r>
      <w:r w:rsidRPr="00AE616F">
        <w:rPr>
          <w:rFonts w:ascii="Arial" w:hAnsi="Arial" w:cs="Arial"/>
          <w:sz w:val="24"/>
          <w:szCs w:val="24"/>
        </w:rPr>
        <w:t xml:space="preserve"> used/referenced in case law studies </w:t>
      </w:r>
      <w:r w:rsidR="009E520A">
        <w:rPr>
          <w:rFonts w:ascii="Arial" w:hAnsi="Arial" w:cs="Arial"/>
          <w:sz w:val="24"/>
          <w:szCs w:val="24"/>
        </w:rPr>
        <w:t>since</w:t>
      </w:r>
      <w:r w:rsidRPr="00AE616F">
        <w:rPr>
          <w:rFonts w:ascii="Arial" w:hAnsi="Arial" w:cs="Arial"/>
          <w:sz w:val="24"/>
          <w:szCs w:val="24"/>
        </w:rPr>
        <w:t>.</w:t>
      </w:r>
    </w:p>
    <w:p w14:paraId="743CE92C" w14:textId="5709326C" w:rsidR="005B0B4B" w:rsidRDefault="00B145C6" w:rsidP="009E520A">
      <w:pPr>
        <w:pStyle w:val="Heading1"/>
        <w:rPr>
          <w:b w:val="0"/>
          <w:bCs w:val="0"/>
          <w:sz w:val="24"/>
          <w:szCs w:val="24"/>
          <w:u w:val="single"/>
        </w:rPr>
      </w:pPr>
      <w:bookmarkStart w:id="3" w:name="_Toc120813663"/>
      <w:r w:rsidRPr="009E520A">
        <w:rPr>
          <w:b w:val="0"/>
          <w:bCs w:val="0"/>
          <w:sz w:val="24"/>
          <w:szCs w:val="24"/>
          <w:u w:val="single"/>
        </w:rPr>
        <w:t>Construction Case Law - Anns v MLBC (1978)</w:t>
      </w:r>
      <w:bookmarkEnd w:id="3"/>
    </w:p>
    <w:p w14:paraId="67BF1299" w14:textId="6DA69867" w:rsidR="00AA5296" w:rsidRPr="00AE616F" w:rsidRDefault="00AA5296" w:rsidP="00AE616F">
      <w:pPr>
        <w:spacing w:line="360" w:lineRule="auto"/>
        <w:jc w:val="both"/>
        <w:rPr>
          <w:rFonts w:ascii="Arial" w:hAnsi="Arial" w:cs="Arial"/>
          <w:i/>
          <w:iCs/>
          <w:sz w:val="24"/>
          <w:szCs w:val="24"/>
          <w:shd w:val="clear" w:color="auto" w:fill="FFFFFF"/>
        </w:rPr>
      </w:pPr>
      <w:r w:rsidRPr="00AE616F">
        <w:rPr>
          <w:rFonts w:ascii="Arial" w:hAnsi="Arial" w:cs="Arial"/>
          <w:sz w:val="24"/>
          <w:szCs w:val="24"/>
        </w:rPr>
        <w:t xml:space="preserve">Donough v Stevenson created the future </w:t>
      </w:r>
      <w:r w:rsidR="009E520A">
        <w:rPr>
          <w:rFonts w:ascii="Arial" w:hAnsi="Arial" w:cs="Arial"/>
          <w:sz w:val="24"/>
          <w:szCs w:val="24"/>
        </w:rPr>
        <w:t>of</w:t>
      </w:r>
      <w:r w:rsidRPr="00AE616F">
        <w:rPr>
          <w:rFonts w:ascii="Arial" w:hAnsi="Arial" w:cs="Arial"/>
          <w:sz w:val="24"/>
          <w:szCs w:val="24"/>
        </w:rPr>
        <w:t xml:space="preserve"> tort negligence, </w:t>
      </w:r>
      <w:r w:rsidR="009E520A">
        <w:rPr>
          <w:rFonts w:ascii="Arial" w:hAnsi="Arial" w:cs="Arial"/>
          <w:sz w:val="24"/>
          <w:szCs w:val="24"/>
        </w:rPr>
        <w:t>often</w:t>
      </w:r>
      <w:r w:rsidRPr="00AE616F">
        <w:rPr>
          <w:rFonts w:ascii="Arial" w:hAnsi="Arial" w:cs="Arial"/>
          <w:sz w:val="24"/>
          <w:szCs w:val="24"/>
        </w:rPr>
        <w:t xml:space="preserve"> used in the construction industry as case law.</w:t>
      </w:r>
      <w:r w:rsidR="00600F7D" w:rsidRPr="00AE616F">
        <w:rPr>
          <w:rFonts w:ascii="Arial" w:hAnsi="Arial" w:cs="Arial"/>
          <w:sz w:val="24"/>
          <w:szCs w:val="24"/>
        </w:rPr>
        <w:t xml:space="preserve"> Anns v. Merton London Borough Council (MLBC), was heard in the house of lords in 1978, a construction case involving tort negligence</w:t>
      </w:r>
      <w:r w:rsidRPr="00AE616F">
        <w:rPr>
          <w:rFonts w:ascii="Arial" w:hAnsi="Arial" w:cs="Arial"/>
          <w:sz w:val="24"/>
          <w:szCs w:val="24"/>
        </w:rPr>
        <w:t>. During this case, t</w:t>
      </w:r>
      <w:r w:rsidRPr="00AE616F">
        <w:rPr>
          <w:rFonts w:ascii="Arial" w:hAnsi="Arial" w:cs="Arial"/>
          <w:sz w:val="24"/>
          <w:szCs w:val="24"/>
          <w:shd w:val="clear" w:color="auto" w:fill="FFFFFF"/>
        </w:rPr>
        <w:t xml:space="preserve">he foundations for a block of </w:t>
      </w:r>
      <w:r w:rsidR="00171CE7" w:rsidRPr="00AE616F">
        <w:rPr>
          <w:rFonts w:ascii="Arial" w:hAnsi="Arial" w:cs="Arial"/>
          <w:sz w:val="24"/>
          <w:szCs w:val="24"/>
          <w:shd w:val="clear" w:color="auto" w:fill="FFFFFF"/>
        </w:rPr>
        <w:t xml:space="preserve">flats </w:t>
      </w:r>
      <w:r w:rsidRPr="00AE616F">
        <w:rPr>
          <w:rFonts w:ascii="Arial" w:hAnsi="Arial" w:cs="Arial"/>
          <w:sz w:val="24"/>
          <w:szCs w:val="24"/>
          <w:shd w:val="clear" w:color="auto" w:fill="FFFFFF"/>
        </w:rPr>
        <w:t xml:space="preserve">were </w:t>
      </w:r>
      <w:r w:rsidR="00171CE7" w:rsidRPr="00AE616F">
        <w:rPr>
          <w:rFonts w:ascii="Arial" w:hAnsi="Arial" w:cs="Arial"/>
          <w:sz w:val="24"/>
          <w:szCs w:val="24"/>
          <w:shd w:val="clear" w:color="auto" w:fill="FFFFFF"/>
        </w:rPr>
        <w:t>required to be built to a depth of 3</w:t>
      </w:r>
      <w:r w:rsidR="009E520A">
        <w:rPr>
          <w:rFonts w:ascii="Arial" w:hAnsi="Arial" w:cs="Arial"/>
          <w:sz w:val="24"/>
          <w:szCs w:val="24"/>
          <w:shd w:val="clear" w:color="auto" w:fill="FFFFFF"/>
        </w:rPr>
        <w:t>ft</w:t>
      </w:r>
      <w:r w:rsidR="00171CE7" w:rsidRPr="00AE616F">
        <w:rPr>
          <w:rFonts w:ascii="Arial" w:hAnsi="Arial" w:cs="Arial"/>
          <w:sz w:val="24"/>
          <w:szCs w:val="24"/>
          <w:shd w:val="clear" w:color="auto" w:fill="FFFFFF"/>
        </w:rPr>
        <w:t>.</w:t>
      </w:r>
      <w:r w:rsidR="009E520A">
        <w:rPr>
          <w:rFonts w:ascii="Arial" w:hAnsi="Arial" w:cs="Arial"/>
          <w:sz w:val="24"/>
          <w:szCs w:val="24"/>
          <w:shd w:val="clear" w:color="auto" w:fill="FFFFFF"/>
        </w:rPr>
        <w:t xml:space="preserve"> </w:t>
      </w:r>
      <w:r w:rsidR="00171CE7" w:rsidRPr="00AE616F">
        <w:rPr>
          <w:rFonts w:ascii="Arial" w:hAnsi="Arial" w:cs="Arial"/>
          <w:sz w:val="24"/>
          <w:szCs w:val="24"/>
          <w:shd w:val="clear" w:color="auto" w:fill="FFFFFF"/>
        </w:rPr>
        <w:t xml:space="preserve"> Upon investigation they were only </w:t>
      </w:r>
      <w:r w:rsidRPr="00AE616F">
        <w:rPr>
          <w:rFonts w:ascii="Arial" w:hAnsi="Arial" w:cs="Arial"/>
          <w:sz w:val="24"/>
          <w:szCs w:val="24"/>
          <w:shd w:val="clear" w:color="auto" w:fill="FFFFFF"/>
        </w:rPr>
        <w:t>built</w:t>
      </w:r>
      <w:r w:rsidR="00171CE7" w:rsidRPr="00AE616F">
        <w:rPr>
          <w:rFonts w:ascii="Arial" w:hAnsi="Arial" w:cs="Arial"/>
          <w:sz w:val="24"/>
          <w:szCs w:val="24"/>
          <w:shd w:val="clear" w:color="auto" w:fill="FFFFFF"/>
        </w:rPr>
        <w:t xml:space="preserve"> to a depth of</w:t>
      </w:r>
      <w:r w:rsidRPr="00AE616F">
        <w:rPr>
          <w:rFonts w:ascii="Arial" w:hAnsi="Arial" w:cs="Arial"/>
          <w:sz w:val="24"/>
          <w:szCs w:val="24"/>
          <w:shd w:val="clear" w:color="auto" w:fill="FFFFFF"/>
        </w:rPr>
        <w:t xml:space="preserve"> 2</w:t>
      </w:r>
      <w:r w:rsidR="009E520A">
        <w:rPr>
          <w:rFonts w:ascii="Arial" w:hAnsi="Arial" w:cs="Arial"/>
          <w:sz w:val="24"/>
          <w:szCs w:val="24"/>
          <w:shd w:val="clear" w:color="auto" w:fill="FFFFFF"/>
        </w:rPr>
        <w:t>ft</w:t>
      </w:r>
      <w:r w:rsidR="006B0E84" w:rsidRPr="00AE616F">
        <w:rPr>
          <w:rFonts w:ascii="Arial" w:hAnsi="Arial" w:cs="Arial"/>
          <w:sz w:val="24"/>
          <w:szCs w:val="24"/>
          <w:shd w:val="clear" w:color="auto" w:fill="FFFFFF"/>
        </w:rPr>
        <w:t xml:space="preserve"> and</w:t>
      </w:r>
      <w:r w:rsidRPr="00AE616F">
        <w:rPr>
          <w:rFonts w:ascii="Arial" w:hAnsi="Arial" w:cs="Arial"/>
          <w:sz w:val="24"/>
          <w:szCs w:val="24"/>
          <w:shd w:val="clear" w:color="auto" w:fill="FFFFFF"/>
        </w:rPr>
        <w:t xml:space="preserve"> 6 inches</w:t>
      </w:r>
      <w:r w:rsidR="009E520A">
        <w:rPr>
          <w:rFonts w:ascii="Arial" w:hAnsi="Arial" w:cs="Arial"/>
          <w:sz w:val="24"/>
          <w:szCs w:val="24"/>
          <w:shd w:val="clear" w:color="auto" w:fill="FFFFFF"/>
        </w:rPr>
        <w:t>, not</w:t>
      </w:r>
      <w:r w:rsidR="00171CE7" w:rsidRPr="00AE616F">
        <w:rPr>
          <w:rFonts w:ascii="Arial" w:hAnsi="Arial" w:cs="Arial"/>
          <w:sz w:val="24"/>
          <w:szCs w:val="24"/>
          <w:shd w:val="clear" w:color="auto" w:fill="FFFFFF"/>
        </w:rPr>
        <w:t xml:space="preserve"> meet</w:t>
      </w:r>
      <w:r w:rsidR="009E520A">
        <w:rPr>
          <w:rFonts w:ascii="Arial" w:hAnsi="Arial" w:cs="Arial"/>
          <w:sz w:val="24"/>
          <w:szCs w:val="24"/>
          <w:shd w:val="clear" w:color="auto" w:fill="FFFFFF"/>
        </w:rPr>
        <w:t>ing</w:t>
      </w:r>
      <w:r w:rsidR="00171CE7" w:rsidRPr="00AE616F">
        <w:rPr>
          <w:rFonts w:ascii="Arial" w:hAnsi="Arial" w:cs="Arial"/>
          <w:sz w:val="24"/>
          <w:szCs w:val="24"/>
          <w:shd w:val="clear" w:color="auto" w:fill="FFFFFF"/>
        </w:rPr>
        <w:t xml:space="preserve"> the required standards</w:t>
      </w:r>
      <w:r w:rsidR="009E520A">
        <w:rPr>
          <w:rFonts w:ascii="Arial" w:hAnsi="Arial" w:cs="Arial"/>
          <w:sz w:val="24"/>
          <w:szCs w:val="24"/>
          <w:shd w:val="clear" w:color="auto" w:fill="FFFFFF"/>
        </w:rPr>
        <w:t>, which</w:t>
      </w:r>
      <w:r w:rsidR="00171CE7" w:rsidRPr="00AE616F">
        <w:rPr>
          <w:rFonts w:ascii="Arial" w:hAnsi="Arial" w:cs="Arial"/>
          <w:sz w:val="24"/>
          <w:szCs w:val="24"/>
          <w:shd w:val="clear" w:color="auto" w:fill="FFFFFF"/>
        </w:rPr>
        <w:t xml:space="preserve"> </w:t>
      </w:r>
      <w:r w:rsidRPr="00AE616F">
        <w:rPr>
          <w:rFonts w:ascii="Arial" w:hAnsi="Arial" w:cs="Arial"/>
          <w:sz w:val="24"/>
          <w:szCs w:val="24"/>
          <w:shd w:val="clear" w:color="auto" w:fill="FFFFFF"/>
        </w:rPr>
        <w:t xml:space="preserve">caused the flats structural issues. The tenants of the flats (claimant) blamed the council, they stated that the Council </w:t>
      </w:r>
      <w:r w:rsidR="006B0E84" w:rsidRPr="00AE616F">
        <w:rPr>
          <w:rFonts w:ascii="Arial" w:hAnsi="Arial" w:cs="Arial"/>
          <w:sz w:val="24"/>
          <w:szCs w:val="24"/>
          <w:shd w:val="clear" w:color="auto" w:fill="FFFFFF"/>
        </w:rPr>
        <w:t>had a responsibility to</w:t>
      </w:r>
      <w:r w:rsidRPr="00AE616F">
        <w:rPr>
          <w:rFonts w:ascii="Arial" w:hAnsi="Arial" w:cs="Arial"/>
          <w:sz w:val="24"/>
          <w:szCs w:val="24"/>
          <w:shd w:val="clear" w:color="auto" w:fill="FFFFFF"/>
        </w:rPr>
        <w:t xml:space="preserve"> inspect</w:t>
      </w:r>
      <w:r w:rsidR="006B0E84" w:rsidRPr="00AE616F">
        <w:rPr>
          <w:rFonts w:ascii="Arial" w:hAnsi="Arial" w:cs="Arial"/>
          <w:sz w:val="24"/>
          <w:szCs w:val="24"/>
          <w:shd w:val="clear" w:color="auto" w:fill="FFFFFF"/>
        </w:rPr>
        <w:t xml:space="preserve"> </w:t>
      </w:r>
      <w:r w:rsidRPr="00AE616F">
        <w:rPr>
          <w:rFonts w:ascii="Arial" w:hAnsi="Arial" w:cs="Arial"/>
          <w:sz w:val="24"/>
          <w:szCs w:val="24"/>
          <w:shd w:val="clear" w:color="auto" w:fill="FFFFFF"/>
        </w:rPr>
        <w:t xml:space="preserve">the foundations during </w:t>
      </w:r>
      <w:r w:rsidR="006B0E84" w:rsidRPr="00AE616F">
        <w:rPr>
          <w:rFonts w:ascii="Arial" w:hAnsi="Arial" w:cs="Arial"/>
          <w:sz w:val="24"/>
          <w:szCs w:val="24"/>
          <w:shd w:val="clear" w:color="auto" w:fill="FFFFFF"/>
        </w:rPr>
        <w:t xml:space="preserve">the </w:t>
      </w:r>
      <w:r w:rsidRPr="00AE616F">
        <w:rPr>
          <w:rFonts w:ascii="Arial" w:hAnsi="Arial" w:cs="Arial"/>
          <w:sz w:val="24"/>
          <w:szCs w:val="24"/>
          <w:shd w:val="clear" w:color="auto" w:fill="FFFFFF"/>
        </w:rPr>
        <w:t>construction</w:t>
      </w:r>
      <w:r w:rsidR="006B0E84" w:rsidRPr="00AE616F">
        <w:rPr>
          <w:rFonts w:ascii="Arial" w:hAnsi="Arial" w:cs="Arial"/>
          <w:sz w:val="24"/>
          <w:szCs w:val="24"/>
          <w:shd w:val="clear" w:color="auto" w:fill="FFFFFF"/>
        </w:rPr>
        <w:t xml:space="preserve"> phase</w:t>
      </w:r>
      <w:r w:rsidRPr="00AE616F">
        <w:rPr>
          <w:rFonts w:ascii="Arial" w:hAnsi="Arial" w:cs="Arial"/>
          <w:i/>
          <w:iCs/>
          <w:sz w:val="24"/>
          <w:szCs w:val="24"/>
          <w:shd w:val="clear" w:color="auto" w:fill="FFFFFF"/>
        </w:rPr>
        <w:t xml:space="preserve">. </w:t>
      </w:r>
      <w:r w:rsidR="006B0E84" w:rsidRPr="00AE616F">
        <w:rPr>
          <w:rFonts w:ascii="Arial" w:hAnsi="Arial" w:cs="Arial"/>
          <w:i/>
          <w:iCs/>
          <w:sz w:val="24"/>
          <w:szCs w:val="24"/>
          <w:shd w:val="clear" w:color="auto" w:fill="FFFFFF"/>
        </w:rPr>
        <w:t>“</w:t>
      </w:r>
      <w:r w:rsidRPr="00AE616F">
        <w:rPr>
          <w:rFonts w:ascii="Arial" w:hAnsi="Arial" w:cs="Arial"/>
          <w:i/>
          <w:iCs/>
          <w:sz w:val="24"/>
          <w:szCs w:val="24"/>
          <w:shd w:val="clear" w:color="auto" w:fill="FFFFFF"/>
        </w:rPr>
        <w:t>The House of Lords (the predecessor to the Supreme Court) held that the Council did owe a duty of care to ensure the foundations were at the correct depth.” (</w:t>
      </w:r>
      <w:proofErr w:type="gramStart"/>
      <w:r w:rsidRPr="00AE616F">
        <w:rPr>
          <w:rFonts w:ascii="Arial" w:hAnsi="Arial" w:cs="Arial"/>
          <w:i/>
          <w:iCs/>
          <w:sz w:val="24"/>
          <w:szCs w:val="24"/>
          <w:shd w:val="clear" w:color="auto" w:fill="FFFFFF"/>
        </w:rPr>
        <w:t>professional</w:t>
      </w:r>
      <w:proofErr w:type="gramEnd"/>
      <w:r w:rsidRPr="00AE616F">
        <w:rPr>
          <w:rFonts w:ascii="Arial" w:hAnsi="Arial" w:cs="Arial"/>
          <w:i/>
          <w:iCs/>
          <w:sz w:val="24"/>
          <w:szCs w:val="24"/>
          <w:shd w:val="clear" w:color="auto" w:fill="FFFFFF"/>
        </w:rPr>
        <w:t xml:space="preserve"> negligence claim, no date) </w:t>
      </w:r>
      <w:r w:rsidRPr="00AE616F">
        <w:rPr>
          <w:rFonts w:ascii="Arial" w:hAnsi="Arial" w:cs="Arial"/>
          <w:sz w:val="24"/>
          <w:szCs w:val="24"/>
          <w:shd w:val="clear" w:color="auto" w:fill="FFFFFF"/>
        </w:rPr>
        <w:t xml:space="preserve">Anns V MLBC was a case of tort negligence as it met the </w:t>
      </w:r>
      <w:r w:rsidR="009E520A">
        <w:rPr>
          <w:rFonts w:ascii="Arial" w:hAnsi="Arial" w:cs="Arial"/>
          <w:sz w:val="24"/>
          <w:szCs w:val="24"/>
          <w:shd w:val="clear" w:color="auto" w:fill="FFFFFF"/>
        </w:rPr>
        <w:t>three</w:t>
      </w:r>
      <w:r w:rsidRPr="00AE616F">
        <w:rPr>
          <w:rFonts w:ascii="Arial" w:hAnsi="Arial" w:cs="Arial"/>
          <w:sz w:val="24"/>
          <w:szCs w:val="24"/>
          <w:shd w:val="clear" w:color="auto" w:fill="FFFFFF"/>
        </w:rPr>
        <w:t xml:space="preserve"> components mentioned above. Firstly, there has to some sort of significant relationship between the defendant and the claimant in either terms of ‘neighbour’ or ‘proximity’. The </w:t>
      </w:r>
      <w:r w:rsidR="00F95586">
        <w:rPr>
          <w:rFonts w:ascii="Arial" w:hAnsi="Arial" w:cs="Arial"/>
          <w:sz w:val="24"/>
          <w:szCs w:val="24"/>
          <w:shd w:val="clear" w:color="auto" w:fill="FFFFFF"/>
        </w:rPr>
        <w:t>judge</w:t>
      </w:r>
      <w:r w:rsidRPr="00AE616F">
        <w:rPr>
          <w:rFonts w:ascii="Arial" w:hAnsi="Arial" w:cs="Arial"/>
          <w:sz w:val="24"/>
          <w:szCs w:val="24"/>
          <w:shd w:val="clear" w:color="auto" w:fill="FFFFFF"/>
        </w:rPr>
        <w:t xml:space="preserve"> ruled that the council did have a ‘duty of care’ to check the foundations, a decision that was unanimous due to the neighbour principle (connections). There was also a ‘breach of that duty’ as they did no</w:t>
      </w:r>
      <w:r w:rsidR="00F95586">
        <w:rPr>
          <w:rFonts w:ascii="Arial" w:hAnsi="Arial" w:cs="Arial"/>
          <w:sz w:val="24"/>
          <w:szCs w:val="24"/>
          <w:shd w:val="clear" w:color="auto" w:fill="FFFFFF"/>
        </w:rPr>
        <w:t xml:space="preserve">t </w:t>
      </w:r>
      <w:r w:rsidRPr="00AE616F">
        <w:rPr>
          <w:rFonts w:ascii="Arial" w:hAnsi="Arial" w:cs="Arial"/>
          <w:sz w:val="24"/>
          <w:szCs w:val="24"/>
          <w:shd w:val="clear" w:color="auto" w:fill="FFFFFF"/>
        </w:rPr>
        <w:t xml:space="preserve">check the dimensions of the foundations, although they were not obliged, they had a duty too. Then came the ‘damages’ where the building began to crack, </w:t>
      </w:r>
      <w:proofErr w:type="gramStart"/>
      <w:r w:rsidR="005366FD" w:rsidRPr="00AE616F">
        <w:rPr>
          <w:rFonts w:ascii="Arial" w:hAnsi="Arial" w:cs="Arial"/>
          <w:sz w:val="24"/>
          <w:szCs w:val="24"/>
          <w:shd w:val="clear" w:color="auto" w:fill="FFFFFF"/>
        </w:rPr>
        <w:t>subside</w:t>
      </w:r>
      <w:proofErr w:type="gramEnd"/>
      <w:r w:rsidRPr="00AE616F">
        <w:rPr>
          <w:rFonts w:ascii="Arial" w:hAnsi="Arial" w:cs="Arial"/>
          <w:sz w:val="24"/>
          <w:szCs w:val="24"/>
          <w:shd w:val="clear" w:color="auto" w:fill="FFFFFF"/>
        </w:rPr>
        <w:t xml:space="preserve"> and move.</w:t>
      </w:r>
    </w:p>
    <w:p w14:paraId="63E69A53" w14:textId="2C58FFBA" w:rsidR="00B145C6" w:rsidRPr="00AE616F" w:rsidRDefault="00B145C6" w:rsidP="00AE616F">
      <w:pPr>
        <w:pStyle w:val="Heading2"/>
        <w:spacing w:line="360" w:lineRule="auto"/>
        <w:rPr>
          <w:rFonts w:ascii="Arial" w:hAnsi="Arial" w:cs="Arial"/>
          <w:color w:val="auto"/>
          <w:sz w:val="24"/>
          <w:szCs w:val="24"/>
          <w:u w:val="single"/>
          <w:shd w:val="clear" w:color="auto" w:fill="FFFFFF"/>
        </w:rPr>
      </w:pPr>
      <w:bookmarkStart w:id="4" w:name="_Toc120813664"/>
      <w:r w:rsidRPr="00AE616F">
        <w:rPr>
          <w:rFonts w:ascii="Arial" w:hAnsi="Arial" w:cs="Arial"/>
          <w:color w:val="auto"/>
          <w:sz w:val="24"/>
          <w:szCs w:val="24"/>
          <w:u w:val="single"/>
          <w:shd w:val="clear" w:color="auto" w:fill="FFFFFF"/>
        </w:rPr>
        <w:t>Importance of law in Construction</w:t>
      </w:r>
      <w:bookmarkEnd w:id="4"/>
    </w:p>
    <w:p w14:paraId="1FD93D5F" w14:textId="11B836B5" w:rsidR="00AA5296" w:rsidRPr="00AE616F" w:rsidRDefault="00AA5296" w:rsidP="00AE616F">
      <w:pPr>
        <w:spacing w:line="360" w:lineRule="auto"/>
        <w:jc w:val="both"/>
        <w:rPr>
          <w:rFonts w:ascii="Arial" w:hAnsi="Arial" w:cs="Arial"/>
          <w:i/>
          <w:iCs/>
          <w:sz w:val="24"/>
          <w:szCs w:val="24"/>
          <w:shd w:val="clear" w:color="auto" w:fill="FFFFFF"/>
        </w:rPr>
      </w:pPr>
      <w:r w:rsidRPr="00AE616F">
        <w:rPr>
          <w:rFonts w:ascii="Arial" w:hAnsi="Arial" w:cs="Arial"/>
          <w:sz w:val="24"/>
          <w:szCs w:val="24"/>
          <w:shd w:val="clear" w:color="auto" w:fill="FFFFFF"/>
        </w:rPr>
        <w:t>Law is important in the construction industry</w:t>
      </w:r>
      <w:r w:rsidRPr="00AE616F">
        <w:rPr>
          <w:rFonts w:ascii="Arial" w:hAnsi="Arial" w:cs="Arial"/>
          <w:i/>
          <w:iCs/>
          <w:sz w:val="24"/>
          <w:szCs w:val="24"/>
          <w:shd w:val="clear" w:color="auto" w:fill="FFFFFF"/>
        </w:rPr>
        <w:t>. “It ensures people behave in a similar way” (</w:t>
      </w:r>
      <w:proofErr w:type="spellStart"/>
      <w:r w:rsidRPr="00AE616F">
        <w:rPr>
          <w:rFonts w:ascii="Arial" w:hAnsi="Arial" w:cs="Arial"/>
          <w:i/>
          <w:iCs/>
          <w:sz w:val="24"/>
          <w:szCs w:val="24"/>
          <w:shd w:val="clear" w:color="auto" w:fill="FFFFFF"/>
        </w:rPr>
        <w:t>Hopkinson</w:t>
      </w:r>
      <w:r w:rsidR="004D0890">
        <w:rPr>
          <w:rFonts w:ascii="Arial" w:hAnsi="Arial" w:cs="Arial"/>
          <w:i/>
          <w:iCs/>
          <w:sz w:val="24"/>
          <w:szCs w:val="24"/>
          <w:shd w:val="clear" w:color="auto" w:fill="FFFFFF"/>
        </w:rPr>
        <w:t>.L</w:t>
      </w:r>
      <w:proofErr w:type="spellEnd"/>
      <w:r w:rsidRPr="00AE616F">
        <w:rPr>
          <w:rFonts w:ascii="Arial" w:hAnsi="Arial" w:cs="Arial"/>
          <w:i/>
          <w:iCs/>
          <w:sz w:val="24"/>
          <w:szCs w:val="24"/>
          <w:shd w:val="clear" w:color="auto" w:fill="FFFFFF"/>
        </w:rPr>
        <w:t xml:space="preserve">, </w:t>
      </w:r>
      <w:r w:rsidR="004D0890">
        <w:rPr>
          <w:rFonts w:ascii="Arial" w:hAnsi="Arial" w:cs="Arial"/>
          <w:i/>
          <w:iCs/>
          <w:sz w:val="24"/>
          <w:szCs w:val="24"/>
          <w:shd w:val="clear" w:color="auto" w:fill="FFFFFF"/>
        </w:rPr>
        <w:t>November 2022</w:t>
      </w:r>
      <w:r w:rsidRPr="00AE616F">
        <w:rPr>
          <w:rFonts w:ascii="Arial" w:hAnsi="Arial" w:cs="Arial"/>
          <w:i/>
          <w:iCs/>
          <w:sz w:val="24"/>
          <w:szCs w:val="24"/>
          <w:shd w:val="clear" w:color="auto" w:fill="FFFFFF"/>
        </w:rPr>
        <w:t xml:space="preserve">). </w:t>
      </w:r>
      <w:r w:rsidRPr="00AE616F">
        <w:rPr>
          <w:rFonts w:ascii="Arial" w:hAnsi="Arial" w:cs="Arial"/>
          <w:sz w:val="24"/>
          <w:szCs w:val="24"/>
          <w:shd w:val="clear" w:color="auto" w:fill="FFFFFF"/>
        </w:rPr>
        <w:t xml:space="preserve">Without law/legislation in place there would be nothing to prevent Chaos within the construction industry, law is a system that helps </w:t>
      </w:r>
      <w:r w:rsidRPr="00AE616F">
        <w:rPr>
          <w:rFonts w:ascii="Arial" w:hAnsi="Arial" w:cs="Arial"/>
          <w:sz w:val="24"/>
          <w:szCs w:val="24"/>
          <w:shd w:val="clear" w:color="auto" w:fill="FFFFFF"/>
        </w:rPr>
        <w:lastRenderedPageBreak/>
        <w:t xml:space="preserve">regulate us. Without law there would be disorder, not just for construction but for life in general. For example, if there was no highway code (law) stating you must stop a vehicle when the </w:t>
      </w:r>
      <w:r w:rsidR="00F95586">
        <w:rPr>
          <w:rFonts w:ascii="Arial" w:hAnsi="Arial" w:cs="Arial"/>
          <w:sz w:val="24"/>
          <w:szCs w:val="24"/>
          <w:shd w:val="clear" w:color="auto" w:fill="FFFFFF"/>
        </w:rPr>
        <w:t xml:space="preserve">traffic </w:t>
      </w:r>
      <w:r w:rsidRPr="00AE616F">
        <w:rPr>
          <w:rFonts w:ascii="Arial" w:hAnsi="Arial" w:cs="Arial"/>
          <w:sz w:val="24"/>
          <w:szCs w:val="24"/>
          <w:shd w:val="clear" w:color="auto" w:fill="FFFFFF"/>
        </w:rPr>
        <w:t xml:space="preserve">light </w:t>
      </w:r>
      <w:r w:rsidR="00F95586">
        <w:rPr>
          <w:rFonts w:ascii="Arial" w:hAnsi="Arial" w:cs="Arial"/>
          <w:sz w:val="24"/>
          <w:szCs w:val="24"/>
          <w:shd w:val="clear" w:color="auto" w:fill="FFFFFF"/>
        </w:rPr>
        <w:t>turns red,</w:t>
      </w:r>
      <w:r w:rsidRPr="00AE616F">
        <w:rPr>
          <w:rFonts w:ascii="Arial" w:hAnsi="Arial" w:cs="Arial"/>
          <w:sz w:val="24"/>
          <w:szCs w:val="24"/>
          <w:shd w:val="clear" w:color="auto" w:fill="FFFFFF"/>
        </w:rPr>
        <w:t xml:space="preserve"> drivers would carry on and possibly collide with pedestrians or </w:t>
      </w:r>
      <w:r w:rsidR="00F95586">
        <w:rPr>
          <w:rFonts w:ascii="Arial" w:hAnsi="Arial" w:cs="Arial"/>
          <w:sz w:val="24"/>
          <w:szCs w:val="24"/>
          <w:shd w:val="clear" w:color="auto" w:fill="FFFFFF"/>
        </w:rPr>
        <w:t xml:space="preserve">other </w:t>
      </w:r>
      <w:r w:rsidRPr="00AE616F">
        <w:rPr>
          <w:rFonts w:ascii="Arial" w:hAnsi="Arial" w:cs="Arial"/>
          <w:sz w:val="24"/>
          <w:szCs w:val="24"/>
          <w:shd w:val="clear" w:color="auto" w:fill="FFFFFF"/>
        </w:rPr>
        <w:t>vehicles</w:t>
      </w:r>
      <w:r w:rsidR="00F95586">
        <w:rPr>
          <w:rFonts w:ascii="Arial" w:hAnsi="Arial" w:cs="Arial"/>
          <w:sz w:val="24"/>
          <w:szCs w:val="24"/>
          <w:shd w:val="clear" w:color="auto" w:fill="FFFFFF"/>
        </w:rPr>
        <w:t xml:space="preserve">. </w:t>
      </w:r>
      <w:r w:rsidRPr="00AE616F">
        <w:rPr>
          <w:rFonts w:ascii="Arial" w:hAnsi="Arial" w:cs="Arial"/>
          <w:sz w:val="24"/>
          <w:szCs w:val="24"/>
          <w:shd w:val="clear" w:color="auto" w:fill="FFFFFF"/>
        </w:rPr>
        <w:t>The law is there to obey and prevent chaos. The construction industry take</w:t>
      </w:r>
      <w:r w:rsidR="00F95586">
        <w:rPr>
          <w:rFonts w:ascii="Arial" w:hAnsi="Arial" w:cs="Arial"/>
          <w:sz w:val="24"/>
          <w:szCs w:val="24"/>
          <w:shd w:val="clear" w:color="auto" w:fill="FFFFFF"/>
        </w:rPr>
        <w:t>s</w:t>
      </w:r>
      <w:r w:rsidRPr="00AE616F">
        <w:rPr>
          <w:rFonts w:ascii="Arial" w:hAnsi="Arial" w:cs="Arial"/>
          <w:sz w:val="24"/>
          <w:szCs w:val="24"/>
          <w:shd w:val="clear" w:color="auto" w:fill="FFFFFF"/>
        </w:rPr>
        <w:t xml:space="preserve"> the necessary steps to protect the safety </w:t>
      </w:r>
      <w:r w:rsidR="00F95586" w:rsidRPr="00AE616F">
        <w:rPr>
          <w:rFonts w:ascii="Arial" w:hAnsi="Arial" w:cs="Arial"/>
          <w:sz w:val="24"/>
          <w:szCs w:val="24"/>
          <w:shd w:val="clear" w:color="auto" w:fill="FFFFFF"/>
        </w:rPr>
        <w:t>of its</w:t>
      </w:r>
      <w:r w:rsidRPr="00AE616F">
        <w:rPr>
          <w:rFonts w:ascii="Arial" w:hAnsi="Arial" w:cs="Arial"/>
          <w:sz w:val="24"/>
          <w:szCs w:val="24"/>
          <w:shd w:val="clear" w:color="auto" w:fill="FFFFFF"/>
        </w:rPr>
        <w:t xml:space="preserve"> </w:t>
      </w:r>
      <w:r w:rsidR="00F95586">
        <w:rPr>
          <w:rFonts w:ascii="Arial" w:hAnsi="Arial" w:cs="Arial"/>
          <w:sz w:val="24"/>
          <w:szCs w:val="24"/>
          <w:shd w:val="clear" w:color="auto" w:fill="FFFFFF"/>
        </w:rPr>
        <w:t>workers. T</w:t>
      </w:r>
      <w:r w:rsidRPr="00AE616F">
        <w:rPr>
          <w:rFonts w:ascii="Arial" w:hAnsi="Arial" w:cs="Arial"/>
          <w:sz w:val="24"/>
          <w:szCs w:val="24"/>
          <w:shd w:val="clear" w:color="auto" w:fill="FFFFFF"/>
        </w:rPr>
        <w:t xml:space="preserve">his is </w:t>
      </w:r>
      <w:r w:rsidR="00F95586">
        <w:rPr>
          <w:rFonts w:ascii="Arial" w:hAnsi="Arial" w:cs="Arial"/>
          <w:sz w:val="24"/>
          <w:szCs w:val="24"/>
          <w:shd w:val="clear" w:color="auto" w:fill="FFFFFF"/>
        </w:rPr>
        <w:t xml:space="preserve">another reason </w:t>
      </w:r>
      <w:r w:rsidRPr="00AE616F">
        <w:rPr>
          <w:rFonts w:ascii="Arial" w:hAnsi="Arial" w:cs="Arial"/>
          <w:sz w:val="24"/>
          <w:szCs w:val="24"/>
          <w:shd w:val="clear" w:color="auto" w:fill="FFFFFF"/>
        </w:rPr>
        <w:t>why law and in particular tort negligence is applied</w:t>
      </w:r>
      <w:r w:rsidR="00574F3D" w:rsidRPr="00AE616F">
        <w:rPr>
          <w:rFonts w:ascii="Arial" w:hAnsi="Arial" w:cs="Arial"/>
          <w:sz w:val="24"/>
          <w:szCs w:val="24"/>
          <w:shd w:val="clear" w:color="auto" w:fill="FFFFFF"/>
        </w:rPr>
        <w:t xml:space="preserve"> and abided,</w:t>
      </w:r>
      <w:r w:rsidRPr="00AE616F">
        <w:rPr>
          <w:rFonts w:ascii="Arial" w:hAnsi="Arial" w:cs="Arial"/>
          <w:sz w:val="24"/>
          <w:szCs w:val="24"/>
          <w:shd w:val="clear" w:color="auto" w:fill="FFFFFF"/>
        </w:rPr>
        <w:t xml:space="preserve"> it ensures safety is paramount. </w:t>
      </w:r>
    </w:p>
    <w:p w14:paraId="5DA8FE79" w14:textId="36DCF1DA" w:rsidR="001A5733" w:rsidRPr="00AE616F" w:rsidRDefault="00F95586" w:rsidP="00AE616F">
      <w:pPr>
        <w:shd w:val="clear" w:color="auto" w:fill="FFFFFF"/>
        <w:spacing w:line="360" w:lineRule="auto"/>
        <w:jc w:val="both"/>
        <w:rPr>
          <w:rFonts w:ascii="Arial" w:eastAsia="Times New Roman" w:hAnsi="Arial" w:cs="Arial"/>
          <w:sz w:val="24"/>
          <w:szCs w:val="24"/>
          <w:lang w:eastAsia="en-GB"/>
        </w:rPr>
      </w:pPr>
      <w:r w:rsidRPr="00F95586">
        <w:rPr>
          <w:rFonts w:ascii="Arial" w:hAnsi="Arial" w:cs="Arial"/>
          <w:sz w:val="24"/>
          <w:szCs w:val="24"/>
          <w:shd w:val="clear" w:color="auto" w:fill="FFFFFF"/>
        </w:rPr>
        <w:t>The construction sector needs case law because it can change or clarify the law</w:t>
      </w:r>
      <w:r w:rsidR="00F52304" w:rsidRPr="00AE616F">
        <w:rPr>
          <w:rFonts w:ascii="Arial" w:hAnsi="Arial" w:cs="Arial"/>
          <w:sz w:val="24"/>
          <w:szCs w:val="24"/>
          <w:shd w:val="clear" w:color="auto" w:fill="FFFFFF"/>
        </w:rPr>
        <w:t>,</w:t>
      </w:r>
      <w:r w:rsidR="00C028AC" w:rsidRPr="00C028AC">
        <w:t xml:space="preserve"> </w:t>
      </w:r>
      <w:r w:rsidR="00C028AC" w:rsidRPr="00C028AC">
        <w:rPr>
          <w:rFonts w:ascii="Arial" w:hAnsi="Arial" w:cs="Arial"/>
          <w:sz w:val="24"/>
          <w:szCs w:val="24"/>
          <w:shd w:val="clear" w:color="auto" w:fill="FFFFFF"/>
        </w:rPr>
        <w:t>establishing a rule that other courts must follow or apply in future instances</w:t>
      </w:r>
      <w:r w:rsidR="00F52304" w:rsidRPr="00AE616F">
        <w:rPr>
          <w:rFonts w:ascii="Arial" w:hAnsi="Arial" w:cs="Arial"/>
          <w:sz w:val="24"/>
          <w:szCs w:val="24"/>
          <w:shd w:val="clear" w:color="auto" w:fill="FFFFFF"/>
        </w:rPr>
        <w:t xml:space="preserve">. Tort negligence has changed and </w:t>
      </w:r>
      <w:r w:rsidR="00C028AC" w:rsidRPr="00AE616F">
        <w:rPr>
          <w:rFonts w:ascii="Arial" w:hAnsi="Arial" w:cs="Arial"/>
          <w:sz w:val="24"/>
          <w:szCs w:val="24"/>
          <w:shd w:val="clear" w:color="auto" w:fill="FFFFFF"/>
        </w:rPr>
        <w:t>con</w:t>
      </w:r>
      <w:r w:rsidR="00C028AC">
        <w:rPr>
          <w:rFonts w:ascii="Arial" w:hAnsi="Arial" w:cs="Arial"/>
          <w:sz w:val="24"/>
          <w:szCs w:val="24"/>
          <w:shd w:val="clear" w:color="auto" w:fill="FFFFFF"/>
        </w:rPr>
        <w:t xml:space="preserve">tinuously </w:t>
      </w:r>
      <w:r w:rsidR="00F52304" w:rsidRPr="00AE616F">
        <w:rPr>
          <w:rFonts w:ascii="Arial" w:hAnsi="Arial" w:cs="Arial"/>
          <w:sz w:val="24"/>
          <w:szCs w:val="24"/>
          <w:shd w:val="clear" w:color="auto" w:fill="FFFFFF"/>
        </w:rPr>
        <w:t xml:space="preserve">improved through the years, it started with Donough v Stevenson before being amended in Anns v MLBC and then further amended in 1990 </w:t>
      </w:r>
      <w:r w:rsidR="00C028AC">
        <w:rPr>
          <w:rFonts w:ascii="Arial" w:hAnsi="Arial" w:cs="Arial"/>
          <w:sz w:val="24"/>
          <w:szCs w:val="24"/>
          <w:shd w:val="clear" w:color="auto" w:fill="FFFFFF"/>
        </w:rPr>
        <w:t xml:space="preserve">for </w:t>
      </w:r>
      <w:r w:rsidR="00F52304" w:rsidRPr="00AE616F">
        <w:rPr>
          <w:rFonts w:ascii="Arial" w:hAnsi="Arial" w:cs="Arial"/>
          <w:sz w:val="24"/>
          <w:szCs w:val="24"/>
          <w:shd w:val="clear" w:color="auto" w:fill="FFFFFF"/>
        </w:rPr>
        <w:t xml:space="preserve">Caparo industries v Dickman. </w:t>
      </w:r>
      <w:r w:rsidR="00AA5296" w:rsidRPr="00AE616F">
        <w:rPr>
          <w:rFonts w:ascii="Arial" w:hAnsi="Arial" w:cs="Arial"/>
          <w:sz w:val="24"/>
          <w:szCs w:val="24"/>
          <w:shd w:val="clear" w:color="auto" w:fill="FFFFFF"/>
        </w:rPr>
        <w:t xml:space="preserve">Tort negligence and the above case laws </w:t>
      </w:r>
      <w:r w:rsidR="00E64C91" w:rsidRPr="00AE616F">
        <w:rPr>
          <w:rFonts w:ascii="Arial" w:hAnsi="Arial" w:cs="Arial"/>
          <w:sz w:val="24"/>
          <w:szCs w:val="24"/>
          <w:shd w:val="clear" w:color="auto" w:fill="FFFFFF"/>
        </w:rPr>
        <w:t>have been</w:t>
      </w:r>
      <w:r w:rsidR="00AA5296" w:rsidRPr="00AE616F">
        <w:rPr>
          <w:rFonts w:ascii="Arial" w:hAnsi="Arial" w:cs="Arial"/>
          <w:sz w:val="24"/>
          <w:szCs w:val="24"/>
          <w:shd w:val="clear" w:color="auto" w:fill="FFFFFF"/>
        </w:rPr>
        <w:t xml:space="preserve"> vital in the construction industry</w:t>
      </w:r>
      <w:r w:rsidR="00C028AC">
        <w:rPr>
          <w:rFonts w:ascii="Arial" w:hAnsi="Arial" w:cs="Arial"/>
          <w:sz w:val="24"/>
          <w:szCs w:val="24"/>
          <w:shd w:val="clear" w:color="auto" w:fill="FFFFFF"/>
        </w:rPr>
        <w:t xml:space="preserve">, </w:t>
      </w:r>
      <w:r w:rsidR="00AA5296" w:rsidRPr="00AE616F">
        <w:rPr>
          <w:rFonts w:ascii="Arial" w:hAnsi="Arial" w:cs="Arial"/>
          <w:sz w:val="24"/>
          <w:szCs w:val="24"/>
          <w:shd w:val="clear" w:color="auto" w:fill="FFFFFF"/>
        </w:rPr>
        <w:t>set</w:t>
      </w:r>
      <w:r w:rsidR="00C028AC">
        <w:rPr>
          <w:rFonts w:ascii="Arial" w:hAnsi="Arial" w:cs="Arial"/>
          <w:sz w:val="24"/>
          <w:szCs w:val="24"/>
          <w:shd w:val="clear" w:color="auto" w:fill="FFFFFF"/>
        </w:rPr>
        <w:t>ting</w:t>
      </w:r>
      <w:r w:rsidR="00AA5296" w:rsidRPr="00AE616F">
        <w:rPr>
          <w:rFonts w:ascii="Arial" w:hAnsi="Arial" w:cs="Arial"/>
          <w:sz w:val="24"/>
          <w:szCs w:val="24"/>
          <w:shd w:val="clear" w:color="auto" w:fill="FFFFFF"/>
        </w:rPr>
        <w:t xml:space="preserve"> precedence for future</w:t>
      </w:r>
      <w:r w:rsidR="00C028AC">
        <w:rPr>
          <w:rFonts w:ascii="Arial" w:hAnsi="Arial" w:cs="Arial"/>
          <w:sz w:val="24"/>
          <w:szCs w:val="24"/>
          <w:shd w:val="clear" w:color="auto" w:fill="FFFFFF"/>
        </w:rPr>
        <w:t>/current</w:t>
      </w:r>
      <w:r w:rsidR="00AA5296" w:rsidRPr="00AE616F">
        <w:rPr>
          <w:rFonts w:ascii="Arial" w:hAnsi="Arial" w:cs="Arial"/>
          <w:sz w:val="24"/>
          <w:szCs w:val="24"/>
          <w:shd w:val="clear" w:color="auto" w:fill="FFFFFF"/>
        </w:rPr>
        <w:t xml:space="preserve"> cases</w:t>
      </w:r>
      <w:r w:rsidR="00C028AC">
        <w:rPr>
          <w:rFonts w:ascii="Arial" w:hAnsi="Arial" w:cs="Arial"/>
          <w:sz w:val="24"/>
          <w:szCs w:val="24"/>
          <w:shd w:val="clear" w:color="auto" w:fill="FFFFFF"/>
        </w:rPr>
        <w:t>.</w:t>
      </w:r>
      <w:r w:rsidR="009325AB" w:rsidRPr="00AE616F">
        <w:rPr>
          <w:rFonts w:ascii="Arial" w:hAnsi="Arial" w:cs="Arial"/>
          <w:sz w:val="24"/>
          <w:szCs w:val="24"/>
          <w:shd w:val="clear" w:color="auto" w:fill="FFFFFF"/>
        </w:rPr>
        <w:t xml:space="preserve"> </w:t>
      </w:r>
      <w:r w:rsidR="00C028AC">
        <w:rPr>
          <w:rFonts w:ascii="Arial" w:hAnsi="Arial" w:cs="Arial"/>
          <w:sz w:val="24"/>
          <w:szCs w:val="24"/>
          <w:shd w:val="clear" w:color="auto" w:fill="FFFFFF"/>
        </w:rPr>
        <w:t>W</w:t>
      </w:r>
      <w:r w:rsidR="00AA5296" w:rsidRPr="00AE616F">
        <w:rPr>
          <w:rFonts w:ascii="Arial" w:hAnsi="Arial" w:cs="Arial"/>
          <w:sz w:val="24"/>
          <w:szCs w:val="24"/>
          <w:shd w:val="clear" w:color="auto" w:fill="FFFFFF"/>
        </w:rPr>
        <w:t xml:space="preserve">ithout it there would be no rights or </w:t>
      </w:r>
      <w:r w:rsidR="00F276C8" w:rsidRPr="00AE616F">
        <w:rPr>
          <w:rFonts w:ascii="Arial" w:hAnsi="Arial" w:cs="Arial"/>
          <w:sz w:val="24"/>
          <w:szCs w:val="24"/>
          <w:shd w:val="clear" w:color="auto" w:fill="FFFFFF"/>
        </w:rPr>
        <w:t>responsibilities/</w:t>
      </w:r>
      <w:r w:rsidR="00AA5296" w:rsidRPr="00AE616F">
        <w:rPr>
          <w:rFonts w:ascii="Arial" w:hAnsi="Arial" w:cs="Arial"/>
          <w:sz w:val="24"/>
          <w:szCs w:val="24"/>
          <w:shd w:val="clear" w:color="auto" w:fill="FFFFFF"/>
        </w:rPr>
        <w:t>blame</w:t>
      </w:r>
      <w:r w:rsidR="00C028AC">
        <w:rPr>
          <w:rFonts w:ascii="Arial" w:hAnsi="Arial" w:cs="Arial"/>
          <w:sz w:val="24"/>
          <w:szCs w:val="24"/>
          <w:shd w:val="clear" w:color="auto" w:fill="FFFFFF"/>
        </w:rPr>
        <w:t>, c</w:t>
      </w:r>
      <w:r w:rsidR="00C028AC" w:rsidRPr="00C028AC">
        <w:rPr>
          <w:rFonts w:ascii="Arial" w:hAnsi="Arial" w:cs="Arial"/>
          <w:sz w:val="24"/>
          <w:szCs w:val="24"/>
          <w:shd w:val="clear" w:color="auto" w:fill="FFFFFF"/>
        </w:rPr>
        <w:t xml:space="preserve">onstruction disputes are </w:t>
      </w:r>
      <w:r w:rsidR="00C028AC">
        <w:rPr>
          <w:rFonts w:ascii="Arial" w:hAnsi="Arial" w:cs="Arial"/>
          <w:sz w:val="24"/>
          <w:szCs w:val="24"/>
          <w:shd w:val="clear" w:color="auto" w:fill="FFFFFF"/>
        </w:rPr>
        <w:t>often</w:t>
      </w:r>
      <w:r w:rsidR="00C028AC" w:rsidRPr="00C028AC">
        <w:rPr>
          <w:rFonts w:ascii="Arial" w:hAnsi="Arial" w:cs="Arial"/>
          <w:sz w:val="24"/>
          <w:szCs w:val="24"/>
          <w:shd w:val="clear" w:color="auto" w:fill="FFFFFF"/>
        </w:rPr>
        <w:t xml:space="preserve"> resolved quickly by referencing case law.</w:t>
      </w:r>
    </w:p>
    <w:p w14:paraId="1457FC92" w14:textId="6D575BF5" w:rsidR="00574F3D" w:rsidRPr="00AE616F" w:rsidRDefault="00C54342" w:rsidP="00AE616F">
      <w:pPr>
        <w:pStyle w:val="Heading2"/>
        <w:spacing w:line="360" w:lineRule="auto"/>
        <w:rPr>
          <w:rFonts w:ascii="Arial" w:hAnsi="Arial" w:cs="Arial"/>
          <w:color w:val="auto"/>
          <w:sz w:val="24"/>
          <w:szCs w:val="24"/>
          <w:u w:val="single"/>
          <w:shd w:val="clear" w:color="auto" w:fill="FFFFFF"/>
        </w:rPr>
      </w:pPr>
      <w:bookmarkStart w:id="5" w:name="_Toc120813665"/>
      <w:r w:rsidRPr="00AE616F">
        <w:rPr>
          <w:rFonts w:ascii="Arial" w:hAnsi="Arial" w:cs="Arial"/>
          <w:color w:val="auto"/>
          <w:sz w:val="24"/>
          <w:szCs w:val="24"/>
          <w:u w:val="single"/>
          <w:shd w:val="clear" w:color="auto" w:fill="FFFFFF"/>
        </w:rPr>
        <w:t>P</w:t>
      </w:r>
      <w:r w:rsidR="001A5733" w:rsidRPr="00AE616F">
        <w:rPr>
          <w:rFonts w:ascii="Arial" w:hAnsi="Arial" w:cs="Arial"/>
          <w:color w:val="auto"/>
          <w:sz w:val="24"/>
          <w:szCs w:val="24"/>
          <w:u w:val="single"/>
          <w:shd w:val="clear" w:color="auto" w:fill="FFFFFF"/>
        </w:rPr>
        <w:t>rojects progression</w:t>
      </w:r>
      <w:bookmarkEnd w:id="5"/>
    </w:p>
    <w:p w14:paraId="28152473" w14:textId="4381F1C8" w:rsidR="001A5733" w:rsidRPr="00AE616F" w:rsidRDefault="00C028AC" w:rsidP="00AE616F">
      <w:pPr>
        <w:spacing w:line="360" w:lineRule="auto"/>
        <w:rPr>
          <w:rFonts w:ascii="Arial" w:hAnsi="Arial" w:cs="Arial"/>
          <w:sz w:val="24"/>
          <w:szCs w:val="24"/>
        </w:rPr>
      </w:pPr>
      <w:r w:rsidRPr="00C028AC">
        <w:rPr>
          <w:rFonts w:ascii="Arial" w:hAnsi="Arial" w:cs="Arial"/>
          <w:sz w:val="24"/>
          <w:szCs w:val="24"/>
        </w:rPr>
        <w:t>Noncompliance with the law in the construction business could have several consequences</w:t>
      </w:r>
      <w:r w:rsidR="001A5733" w:rsidRPr="00AE616F">
        <w:rPr>
          <w:rFonts w:ascii="Arial" w:hAnsi="Arial" w:cs="Arial"/>
          <w:sz w:val="24"/>
          <w:szCs w:val="24"/>
        </w:rPr>
        <w:t>, in particular the projects progression. From the claimant's initial point of contact to the exchanges of paperwork, fees to be covered, to the conferences, decisions and possible appeal can be very time consuming</w:t>
      </w:r>
      <w:r w:rsidR="00AA1488" w:rsidRPr="00AE616F">
        <w:rPr>
          <w:rFonts w:ascii="Arial" w:hAnsi="Arial" w:cs="Arial"/>
          <w:sz w:val="24"/>
          <w:szCs w:val="24"/>
        </w:rPr>
        <w:t>, causing delays to a project</w:t>
      </w:r>
      <w:r w:rsidR="001A5733" w:rsidRPr="00AE616F">
        <w:rPr>
          <w:rFonts w:ascii="Arial" w:hAnsi="Arial" w:cs="Arial"/>
          <w:sz w:val="24"/>
          <w:szCs w:val="24"/>
        </w:rPr>
        <w:t xml:space="preserve">. </w:t>
      </w:r>
      <w:r w:rsidR="001A5733" w:rsidRPr="00AE616F">
        <w:rPr>
          <w:rFonts w:ascii="Arial" w:hAnsi="Arial" w:cs="Arial"/>
          <w:i/>
          <w:iCs/>
          <w:sz w:val="24"/>
          <w:szCs w:val="24"/>
        </w:rPr>
        <w:t>(</w:t>
      </w:r>
      <w:proofErr w:type="spellStart"/>
      <w:proofErr w:type="gramStart"/>
      <w:r w:rsidR="00AE616F" w:rsidRPr="00AE616F">
        <w:rPr>
          <w:rFonts w:ascii="Arial" w:hAnsi="Arial" w:cs="Arial"/>
          <w:i/>
          <w:iCs/>
          <w:sz w:val="24"/>
          <w:szCs w:val="24"/>
        </w:rPr>
        <w:t>GOV</w:t>
      </w:r>
      <w:r w:rsidR="001A5733" w:rsidRPr="00AE616F">
        <w:rPr>
          <w:rFonts w:ascii="Arial" w:hAnsi="Arial" w:cs="Arial"/>
          <w:i/>
          <w:iCs/>
          <w:sz w:val="24"/>
          <w:szCs w:val="24"/>
        </w:rPr>
        <w:t>,uk</w:t>
      </w:r>
      <w:proofErr w:type="spellEnd"/>
      <w:proofErr w:type="gramEnd"/>
      <w:r w:rsidR="001A5733" w:rsidRPr="00AE616F">
        <w:rPr>
          <w:rFonts w:ascii="Arial" w:hAnsi="Arial" w:cs="Arial"/>
          <w:i/>
          <w:iCs/>
          <w:sz w:val="24"/>
          <w:szCs w:val="24"/>
        </w:rPr>
        <w:t>, 16.02.2016)</w:t>
      </w:r>
      <w:r w:rsidR="001A5733" w:rsidRPr="00AE616F">
        <w:rPr>
          <w:rFonts w:ascii="Arial" w:hAnsi="Arial" w:cs="Arial"/>
          <w:sz w:val="24"/>
          <w:szCs w:val="24"/>
        </w:rPr>
        <w:t xml:space="preserve">. </w:t>
      </w:r>
      <w:r w:rsidR="00E96AA7" w:rsidRPr="00E96AA7">
        <w:rPr>
          <w:rFonts w:ascii="Arial" w:hAnsi="Arial" w:cs="Arial"/>
          <w:sz w:val="24"/>
          <w:szCs w:val="24"/>
        </w:rPr>
        <w:t xml:space="preserve">Depending on the severity of the incident, a disagreement could </w:t>
      </w:r>
      <w:r w:rsidR="00E96AA7">
        <w:rPr>
          <w:rFonts w:ascii="Arial" w:hAnsi="Arial" w:cs="Arial"/>
          <w:sz w:val="24"/>
          <w:szCs w:val="24"/>
        </w:rPr>
        <w:t>halt</w:t>
      </w:r>
      <w:r w:rsidR="00E96AA7" w:rsidRPr="00E96AA7">
        <w:rPr>
          <w:rFonts w:ascii="Arial" w:hAnsi="Arial" w:cs="Arial"/>
          <w:sz w:val="24"/>
          <w:szCs w:val="24"/>
        </w:rPr>
        <w:t xml:space="preserve"> site construction and job progress</w:t>
      </w:r>
      <w:r w:rsidR="001A5733" w:rsidRPr="00AE616F">
        <w:rPr>
          <w:rFonts w:ascii="Arial" w:hAnsi="Arial" w:cs="Arial"/>
          <w:sz w:val="24"/>
          <w:szCs w:val="24"/>
        </w:rPr>
        <w:t xml:space="preserve">, often delaying the projects progression resulting in financial implications. </w:t>
      </w:r>
      <w:r w:rsidR="00E96AA7">
        <w:rPr>
          <w:rFonts w:ascii="Arial" w:hAnsi="Arial" w:cs="Arial"/>
          <w:sz w:val="24"/>
          <w:szCs w:val="24"/>
        </w:rPr>
        <w:t>C</w:t>
      </w:r>
      <w:r w:rsidR="001A5733" w:rsidRPr="00AE616F">
        <w:rPr>
          <w:rFonts w:ascii="Arial" w:hAnsi="Arial" w:cs="Arial"/>
          <w:sz w:val="24"/>
          <w:szCs w:val="24"/>
        </w:rPr>
        <w:t>ourt case</w:t>
      </w:r>
      <w:r w:rsidR="00E96AA7">
        <w:rPr>
          <w:rFonts w:ascii="Arial" w:hAnsi="Arial" w:cs="Arial"/>
          <w:sz w:val="24"/>
          <w:szCs w:val="24"/>
        </w:rPr>
        <w:t>s</w:t>
      </w:r>
      <w:r w:rsidR="001A5733" w:rsidRPr="00AE616F">
        <w:rPr>
          <w:rFonts w:ascii="Arial" w:hAnsi="Arial" w:cs="Arial"/>
          <w:sz w:val="24"/>
          <w:szCs w:val="24"/>
        </w:rPr>
        <w:t xml:space="preserve"> come </w:t>
      </w:r>
      <w:r w:rsidR="00E96AA7">
        <w:rPr>
          <w:rFonts w:ascii="Arial" w:hAnsi="Arial" w:cs="Arial"/>
          <w:sz w:val="24"/>
          <w:szCs w:val="24"/>
        </w:rPr>
        <w:t>with additional</w:t>
      </w:r>
      <w:r w:rsidR="001A5733" w:rsidRPr="00AE616F">
        <w:rPr>
          <w:rFonts w:ascii="Arial" w:hAnsi="Arial" w:cs="Arial"/>
          <w:sz w:val="24"/>
          <w:szCs w:val="24"/>
        </w:rPr>
        <w:t xml:space="preserve"> cost</w:t>
      </w:r>
      <w:r w:rsidR="00E96AA7">
        <w:rPr>
          <w:rFonts w:ascii="Arial" w:hAnsi="Arial" w:cs="Arial"/>
          <w:sz w:val="24"/>
          <w:szCs w:val="24"/>
        </w:rPr>
        <w:t>s</w:t>
      </w:r>
      <w:r w:rsidR="001A5733" w:rsidRPr="00AE616F">
        <w:rPr>
          <w:rFonts w:ascii="Arial" w:hAnsi="Arial" w:cs="Arial"/>
          <w:sz w:val="24"/>
          <w:szCs w:val="24"/>
        </w:rPr>
        <w:t xml:space="preserve">, however alongside the court case there </w:t>
      </w:r>
      <w:r w:rsidR="00E96AA7">
        <w:rPr>
          <w:rFonts w:ascii="Arial" w:hAnsi="Arial" w:cs="Arial"/>
          <w:sz w:val="24"/>
          <w:szCs w:val="24"/>
        </w:rPr>
        <w:t>are ongoing costs</w:t>
      </w:r>
      <w:r w:rsidR="001A5733" w:rsidRPr="00AE616F">
        <w:rPr>
          <w:rFonts w:ascii="Arial" w:hAnsi="Arial" w:cs="Arial"/>
          <w:sz w:val="24"/>
          <w:szCs w:val="24"/>
        </w:rPr>
        <w:t xml:space="preserve"> </w:t>
      </w:r>
      <w:r w:rsidR="00E96AA7">
        <w:rPr>
          <w:rFonts w:ascii="Arial" w:hAnsi="Arial" w:cs="Arial"/>
          <w:sz w:val="24"/>
          <w:szCs w:val="24"/>
        </w:rPr>
        <w:t>for</w:t>
      </w:r>
      <w:r w:rsidR="001A5733" w:rsidRPr="00AE616F">
        <w:rPr>
          <w:rFonts w:ascii="Arial" w:hAnsi="Arial" w:cs="Arial"/>
          <w:sz w:val="24"/>
          <w:szCs w:val="24"/>
        </w:rPr>
        <w:t xml:space="preserve"> equipment and resource that </w:t>
      </w:r>
      <w:r w:rsidR="00E96AA7">
        <w:rPr>
          <w:rFonts w:ascii="Arial" w:hAnsi="Arial" w:cs="Arial"/>
          <w:sz w:val="24"/>
          <w:szCs w:val="24"/>
        </w:rPr>
        <w:t>would</w:t>
      </w:r>
      <w:r w:rsidR="001A5733" w:rsidRPr="00AE616F">
        <w:rPr>
          <w:rFonts w:ascii="Arial" w:hAnsi="Arial" w:cs="Arial"/>
          <w:sz w:val="24"/>
          <w:szCs w:val="24"/>
        </w:rPr>
        <w:t xml:space="preserve"> still be on site. Often morale is low while cases are ongoing, impact</w:t>
      </w:r>
      <w:r w:rsidR="00E96AA7">
        <w:rPr>
          <w:rFonts w:ascii="Arial" w:hAnsi="Arial" w:cs="Arial"/>
          <w:sz w:val="24"/>
          <w:szCs w:val="24"/>
        </w:rPr>
        <w:t>ing</w:t>
      </w:r>
      <w:r w:rsidR="001A5733" w:rsidRPr="00AE616F">
        <w:rPr>
          <w:rFonts w:ascii="Arial" w:hAnsi="Arial" w:cs="Arial"/>
          <w:sz w:val="24"/>
          <w:szCs w:val="24"/>
        </w:rPr>
        <w:t xml:space="preserve"> productivity and work ethic. The workforce </w:t>
      </w:r>
      <w:r w:rsidR="00E96AA7">
        <w:rPr>
          <w:rFonts w:ascii="Arial" w:hAnsi="Arial" w:cs="Arial"/>
          <w:sz w:val="24"/>
          <w:szCs w:val="24"/>
        </w:rPr>
        <w:t>often</w:t>
      </w:r>
      <w:r w:rsidR="001A5733" w:rsidRPr="00AE616F">
        <w:rPr>
          <w:rFonts w:ascii="Arial" w:hAnsi="Arial" w:cs="Arial"/>
          <w:sz w:val="24"/>
          <w:szCs w:val="24"/>
        </w:rPr>
        <w:t xml:space="preserve"> become</w:t>
      </w:r>
      <w:r w:rsidR="00E96AA7">
        <w:rPr>
          <w:rFonts w:ascii="Arial" w:hAnsi="Arial" w:cs="Arial"/>
          <w:sz w:val="24"/>
          <w:szCs w:val="24"/>
        </w:rPr>
        <w:t>s</w:t>
      </w:r>
      <w:r w:rsidR="001A5733" w:rsidRPr="00AE616F">
        <w:rPr>
          <w:rFonts w:ascii="Arial" w:hAnsi="Arial" w:cs="Arial"/>
          <w:sz w:val="24"/>
          <w:szCs w:val="24"/>
        </w:rPr>
        <w:t xml:space="preserve"> demotivated and an unhappy place, often taking years to </w:t>
      </w:r>
      <w:r w:rsidR="00E96AA7">
        <w:rPr>
          <w:rFonts w:ascii="Arial" w:hAnsi="Arial" w:cs="Arial"/>
          <w:sz w:val="24"/>
          <w:szCs w:val="24"/>
        </w:rPr>
        <w:t>recover the</w:t>
      </w:r>
      <w:r w:rsidR="001A5733" w:rsidRPr="00AE616F">
        <w:rPr>
          <w:rFonts w:ascii="Arial" w:hAnsi="Arial" w:cs="Arial"/>
          <w:sz w:val="24"/>
          <w:szCs w:val="24"/>
        </w:rPr>
        <w:t xml:space="preserve"> culture. It</w:t>
      </w:r>
      <w:r w:rsidR="004D0890">
        <w:rPr>
          <w:rFonts w:ascii="Arial" w:hAnsi="Arial" w:cs="Arial"/>
          <w:sz w:val="24"/>
          <w:szCs w:val="24"/>
        </w:rPr>
        <w:t xml:space="preserve"> can </w:t>
      </w:r>
      <w:r w:rsidR="004D0890" w:rsidRPr="00AE616F">
        <w:rPr>
          <w:rFonts w:ascii="Arial" w:hAnsi="Arial" w:cs="Arial"/>
          <w:sz w:val="24"/>
          <w:szCs w:val="24"/>
        </w:rPr>
        <w:t>damage</w:t>
      </w:r>
      <w:r w:rsidR="001A5733" w:rsidRPr="00AE616F">
        <w:rPr>
          <w:rFonts w:ascii="Arial" w:hAnsi="Arial" w:cs="Arial"/>
          <w:sz w:val="24"/>
          <w:szCs w:val="24"/>
        </w:rPr>
        <w:t xml:space="preserve"> a company’s reputation</w:t>
      </w:r>
      <w:r w:rsidR="00E96AA7">
        <w:rPr>
          <w:rFonts w:ascii="Arial" w:hAnsi="Arial" w:cs="Arial"/>
          <w:sz w:val="24"/>
          <w:szCs w:val="24"/>
        </w:rPr>
        <w:t xml:space="preserve">, which </w:t>
      </w:r>
      <w:r w:rsidR="001A5733" w:rsidRPr="00AE616F">
        <w:rPr>
          <w:rFonts w:ascii="Arial" w:hAnsi="Arial" w:cs="Arial"/>
          <w:sz w:val="24"/>
          <w:szCs w:val="24"/>
        </w:rPr>
        <w:t>can impact the hiring of employees</w:t>
      </w:r>
      <w:r w:rsidR="00E96AA7">
        <w:rPr>
          <w:rFonts w:ascii="Arial" w:hAnsi="Arial" w:cs="Arial"/>
          <w:sz w:val="24"/>
          <w:szCs w:val="24"/>
        </w:rPr>
        <w:t xml:space="preserve"> while</w:t>
      </w:r>
      <w:r w:rsidR="00E64C91" w:rsidRPr="00AE616F">
        <w:rPr>
          <w:rFonts w:ascii="Arial" w:hAnsi="Arial" w:cs="Arial"/>
          <w:sz w:val="24"/>
          <w:szCs w:val="24"/>
        </w:rPr>
        <w:t xml:space="preserve"> </w:t>
      </w:r>
      <w:r w:rsidR="00E96AA7">
        <w:rPr>
          <w:rFonts w:ascii="Arial" w:hAnsi="Arial" w:cs="Arial"/>
          <w:sz w:val="24"/>
          <w:szCs w:val="24"/>
        </w:rPr>
        <w:t>implicating the</w:t>
      </w:r>
      <w:r w:rsidR="00E64C91" w:rsidRPr="00AE616F">
        <w:rPr>
          <w:rFonts w:ascii="Arial" w:hAnsi="Arial" w:cs="Arial"/>
          <w:sz w:val="24"/>
          <w:szCs w:val="24"/>
        </w:rPr>
        <w:t xml:space="preserve"> </w:t>
      </w:r>
      <w:r w:rsidR="001A5733" w:rsidRPr="00AE616F">
        <w:rPr>
          <w:rFonts w:ascii="Arial" w:hAnsi="Arial" w:cs="Arial"/>
          <w:sz w:val="24"/>
          <w:szCs w:val="24"/>
        </w:rPr>
        <w:t xml:space="preserve">relations with current and future customers. Alongside internal stakeholders, outside of the construction industry it can have </w:t>
      </w:r>
      <w:r w:rsidR="00E96AA7" w:rsidRPr="00AE616F">
        <w:rPr>
          <w:rFonts w:ascii="Arial" w:hAnsi="Arial" w:cs="Arial"/>
          <w:sz w:val="24"/>
          <w:szCs w:val="24"/>
        </w:rPr>
        <w:t>repercussions</w:t>
      </w:r>
      <w:r w:rsidR="001A5733" w:rsidRPr="00AE616F">
        <w:rPr>
          <w:rFonts w:ascii="Arial" w:hAnsi="Arial" w:cs="Arial"/>
          <w:sz w:val="24"/>
          <w:szCs w:val="24"/>
        </w:rPr>
        <w:t xml:space="preserve"> on people’s home lives. This frequently results in problems with mental health, growing unhappiness, </w:t>
      </w:r>
      <w:proofErr w:type="gramStart"/>
      <w:r w:rsidR="001A5733" w:rsidRPr="00AE616F">
        <w:rPr>
          <w:rFonts w:ascii="Arial" w:hAnsi="Arial" w:cs="Arial"/>
          <w:sz w:val="24"/>
          <w:szCs w:val="24"/>
        </w:rPr>
        <w:t>stress</w:t>
      </w:r>
      <w:proofErr w:type="gramEnd"/>
      <w:r w:rsidR="001A5733" w:rsidRPr="00AE616F">
        <w:rPr>
          <w:rFonts w:ascii="Arial" w:hAnsi="Arial" w:cs="Arial"/>
          <w:sz w:val="24"/>
          <w:szCs w:val="24"/>
        </w:rPr>
        <w:t xml:space="preserve"> and financial repercussions</w:t>
      </w:r>
      <w:r w:rsidR="00E96AA7">
        <w:rPr>
          <w:rFonts w:ascii="Arial" w:hAnsi="Arial" w:cs="Arial"/>
          <w:sz w:val="24"/>
          <w:szCs w:val="24"/>
        </w:rPr>
        <w:t xml:space="preserve">. </w:t>
      </w:r>
      <w:r w:rsidR="001A5733" w:rsidRPr="00AE616F">
        <w:rPr>
          <w:rFonts w:ascii="Arial" w:hAnsi="Arial" w:cs="Arial"/>
          <w:sz w:val="24"/>
          <w:szCs w:val="24"/>
        </w:rPr>
        <w:t>It can result in staff taking unwanted leave or sickness absences.</w:t>
      </w:r>
    </w:p>
    <w:p w14:paraId="6FD7EFE3" w14:textId="4B6FBA98" w:rsidR="00C54342" w:rsidRPr="00AE616F" w:rsidRDefault="00C54342" w:rsidP="00AE616F">
      <w:pPr>
        <w:pStyle w:val="Heading1"/>
        <w:spacing w:line="360" w:lineRule="auto"/>
        <w:rPr>
          <w:b w:val="0"/>
          <w:bCs w:val="0"/>
          <w:sz w:val="24"/>
          <w:szCs w:val="24"/>
          <w:u w:val="single"/>
          <w:shd w:val="clear" w:color="auto" w:fill="FFFFFF"/>
        </w:rPr>
      </w:pPr>
      <w:bookmarkStart w:id="6" w:name="_Toc120813666"/>
      <w:r w:rsidRPr="00AE616F">
        <w:rPr>
          <w:b w:val="0"/>
          <w:bCs w:val="0"/>
          <w:sz w:val="24"/>
          <w:szCs w:val="24"/>
          <w:u w:val="single"/>
        </w:rPr>
        <w:lastRenderedPageBreak/>
        <w:t>Vinci</w:t>
      </w:r>
      <w:r w:rsidRPr="00AE616F">
        <w:rPr>
          <w:sz w:val="24"/>
          <w:szCs w:val="24"/>
          <w:u w:val="single"/>
        </w:rPr>
        <w:t xml:space="preserve"> </w:t>
      </w:r>
      <w:r w:rsidRPr="00AE616F">
        <w:rPr>
          <w:rStyle w:val="Strong"/>
          <w:sz w:val="24"/>
          <w:szCs w:val="24"/>
          <w:u w:val="single"/>
          <w:shd w:val="clear" w:color="auto" w:fill="FFFFFF"/>
        </w:rPr>
        <w:t>Construction UK Ltd v Beumer Group UK Ltd</w:t>
      </w:r>
      <w:bookmarkEnd w:id="6"/>
      <w:r w:rsidRPr="00AE616F">
        <w:rPr>
          <w:rStyle w:val="Strong"/>
          <w:sz w:val="24"/>
          <w:szCs w:val="24"/>
          <w:u w:val="single"/>
          <w:shd w:val="clear" w:color="auto" w:fill="FFFFFF"/>
        </w:rPr>
        <w:t xml:space="preserve"> </w:t>
      </w:r>
    </w:p>
    <w:p w14:paraId="07B86604" w14:textId="531BB562" w:rsidR="00293D8F" w:rsidRPr="00AE616F" w:rsidRDefault="00293D8F" w:rsidP="00AE616F">
      <w:pPr>
        <w:spacing w:line="360" w:lineRule="auto"/>
        <w:rPr>
          <w:rFonts w:ascii="Arial" w:hAnsi="Arial" w:cs="Arial"/>
          <w:sz w:val="24"/>
          <w:szCs w:val="24"/>
          <w:shd w:val="clear" w:color="auto" w:fill="FFFFFF"/>
        </w:rPr>
      </w:pPr>
      <w:r w:rsidRPr="00AE616F">
        <w:rPr>
          <w:rFonts w:ascii="Arial" w:hAnsi="Arial" w:cs="Arial"/>
          <w:sz w:val="24"/>
          <w:szCs w:val="24"/>
          <w:shd w:val="clear" w:color="auto" w:fill="FFFFFF"/>
        </w:rPr>
        <w:t>An alternative way to solve a dispute is an adjudication, “</w:t>
      </w:r>
      <w:r w:rsidRPr="00AE616F">
        <w:rPr>
          <w:rFonts w:ascii="Arial" w:hAnsi="Arial" w:cs="Arial"/>
          <w:i/>
          <w:iCs/>
          <w:sz w:val="24"/>
          <w:szCs w:val="24"/>
          <w:shd w:val="clear" w:color="auto" w:fill="FFFFFF"/>
        </w:rPr>
        <w:t xml:space="preserve">The objective of adjudication is to reach fair, rapid and cost-effective decisions on disputes arising under construction contracts, usually within a </w:t>
      </w:r>
      <w:r w:rsidR="00574F3D" w:rsidRPr="00AE616F">
        <w:rPr>
          <w:rFonts w:ascii="Arial" w:hAnsi="Arial" w:cs="Arial"/>
          <w:i/>
          <w:iCs/>
          <w:sz w:val="24"/>
          <w:szCs w:val="24"/>
          <w:shd w:val="clear" w:color="auto" w:fill="FFFFFF"/>
        </w:rPr>
        <w:t>28-day</w:t>
      </w:r>
      <w:r w:rsidRPr="00AE616F">
        <w:rPr>
          <w:rFonts w:ascii="Arial" w:hAnsi="Arial" w:cs="Arial"/>
          <w:i/>
          <w:iCs/>
          <w:sz w:val="24"/>
          <w:szCs w:val="24"/>
          <w:shd w:val="clear" w:color="auto" w:fill="FFFFFF"/>
        </w:rPr>
        <w:t xml:space="preserve"> timeframe</w:t>
      </w:r>
      <w:r w:rsidRPr="00AE616F">
        <w:rPr>
          <w:rFonts w:ascii="Arial" w:hAnsi="Arial" w:cs="Arial"/>
          <w:sz w:val="24"/>
          <w:szCs w:val="24"/>
          <w:shd w:val="clear" w:color="auto" w:fill="FFFFFF"/>
        </w:rPr>
        <w:t>”. (</w:t>
      </w:r>
      <w:proofErr w:type="spellStart"/>
      <w:r w:rsidRPr="00AE616F">
        <w:rPr>
          <w:rFonts w:ascii="Arial" w:hAnsi="Arial" w:cs="Arial"/>
          <w:sz w:val="24"/>
          <w:szCs w:val="24"/>
          <w:shd w:val="clear" w:color="auto" w:fill="FFFFFF"/>
        </w:rPr>
        <w:t>Rics</w:t>
      </w:r>
      <w:proofErr w:type="spellEnd"/>
      <w:r w:rsidRPr="00AE616F">
        <w:rPr>
          <w:rFonts w:ascii="Arial" w:hAnsi="Arial" w:cs="Arial"/>
          <w:sz w:val="24"/>
          <w:szCs w:val="24"/>
          <w:shd w:val="clear" w:color="auto" w:fill="FFFFFF"/>
        </w:rPr>
        <w:t>, no date) This decision is made by an adjudicator, an adjudicator</w:t>
      </w:r>
      <w:r w:rsidR="000803BE" w:rsidRPr="00AE616F">
        <w:rPr>
          <w:rFonts w:ascii="Arial" w:hAnsi="Arial" w:cs="Arial"/>
          <w:sz w:val="24"/>
          <w:szCs w:val="24"/>
          <w:shd w:val="clear" w:color="auto" w:fill="FFFFFF"/>
        </w:rPr>
        <w:t>s</w:t>
      </w:r>
      <w:r w:rsidRPr="00AE616F">
        <w:rPr>
          <w:rFonts w:ascii="Arial" w:hAnsi="Arial" w:cs="Arial"/>
          <w:sz w:val="24"/>
          <w:szCs w:val="24"/>
          <w:shd w:val="clear" w:color="auto" w:fill="FFFFFF"/>
        </w:rPr>
        <w:t xml:space="preserve"> role is to review disputes and make </w:t>
      </w:r>
      <w:r w:rsidR="004273B3">
        <w:rPr>
          <w:rFonts w:ascii="Arial" w:hAnsi="Arial" w:cs="Arial"/>
          <w:sz w:val="24"/>
          <w:szCs w:val="24"/>
          <w:shd w:val="clear" w:color="auto" w:fill="FFFFFF"/>
        </w:rPr>
        <w:t xml:space="preserve">legally binding </w:t>
      </w:r>
      <w:r w:rsidRPr="00AE616F">
        <w:rPr>
          <w:rFonts w:ascii="Arial" w:hAnsi="Arial" w:cs="Arial"/>
          <w:sz w:val="24"/>
          <w:szCs w:val="24"/>
          <w:shd w:val="clear" w:color="auto" w:fill="FFFFFF"/>
        </w:rPr>
        <w:t>decisions</w:t>
      </w:r>
      <w:r w:rsidR="004273B3">
        <w:rPr>
          <w:rFonts w:ascii="Arial" w:hAnsi="Arial" w:cs="Arial"/>
          <w:sz w:val="24"/>
          <w:szCs w:val="24"/>
          <w:shd w:val="clear" w:color="auto" w:fill="FFFFFF"/>
        </w:rPr>
        <w:t>.</w:t>
      </w:r>
    </w:p>
    <w:p w14:paraId="482E4F8A" w14:textId="430E0896" w:rsidR="00293D8F" w:rsidRPr="00AE616F" w:rsidRDefault="00293D8F" w:rsidP="00AE616F">
      <w:pPr>
        <w:spacing w:line="360" w:lineRule="auto"/>
        <w:rPr>
          <w:rFonts w:ascii="Arial" w:hAnsi="Arial" w:cs="Arial"/>
          <w:sz w:val="24"/>
          <w:szCs w:val="24"/>
          <w:shd w:val="clear" w:color="auto" w:fill="FFFFFF"/>
        </w:rPr>
      </w:pPr>
      <w:r w:rsidRPr="00AE616F">
        <w:rPr>
          <w:rFonts w:ascii="Arial" w:hAnsi="Arial" w:cs="Arial"/>
          <w:sz w:val="24"/>
          <w:szCs w:val="24"/>
          <w:shd w:val="clear" w:color="auto" w:fill="FFFFFF"/>
        </w:rPr>
        <w:t>Vinci v Beumer is a case that took place in 2018. Beumer a subcontractor working for Vinci were employed to install a baggage handling system at Gatwick airport. A case with several disputes</w:t>
      </w:r>
      <w:r w:rsidR="004273B3">
        <w:rPr>
          <w:rFonts w:ascii="Arial" w:hAnsi="Arial" w:cs="Arial"/>
          <w:sz w:val="24"/>
          <w:szCs w:val="24"/>
          <w:shd w:val="clear" w:color="auto" w:fill="FFFFFF"/>
        </w:rPr>
        <w:t>,</w:t>
      </w:r>
      <w:r w:rsidRPr="00AE616F">
        <w:rPr>
          <w:rFonts w:ascii="Arial" w:hAnsi="Arial" w:cs="Arial"/>
          <w:sz w:val="24"/>
          <w:szCs w:val="24"/>
          <w:shd w:val="clear" w:color="auto" w:fill="FFFFFF"/>
        </w:rPr>
        <w:t xml:space="preserve"> consist</w:t>
      </w:r>
      <w:r w:rsidR="004273B3">
        <w:rPr>
          <w:rFonts w:ascii="Arial" w:hAnsi="Arial" w:cs="Arial"/>
          <w:sz w:val="24"/>
          <w:szCs w:val="24"/>
          <w:shd w:val="clear" w:color="auto" w:fill="FFFFFF"/>
        </w:rPr>
        <w:t>ing</w:t>
      </w:r>
      <w:r w:rsidRPr="00AE616F">
        <w:rPr>
          <w:rFonts w:ascii="Arial" w:hAnsi="Arial" w:cs="Arial"/>
          <w:sz w:val="24"/>
          <w:szCs w:val="24"/>
          <w:shd w:val="clear" w:color="auto" w:fill="FFFFFF"/>
        </w:rPr>
        <w:t xml:space="preserve"> of seven adjudications and three TCC (Technology and construction court) decisions. </w:t>
      </w:r>
      <w:r w:rsidRPr="00AE616F">
        <w:rPr>
          <w:rFonts w:ascii="Arial" w:hAnsi="Arial" w:cs="Arial"/>
          <w:sz w:val="24"/>
          <w:szCs w:val="24"/>
        </w:rPr>
        <w:t>“</w:t>
      </w:r>
      <w:r w:rsidRPr="00AE616F">
        <w:rPr>
          <w:rFonts w:ascii="Arial" w:hAnsi="Arial" w:cs="Arial"/>
          <w:i/>
          <w:iCs/>
          <w:sz w:val="24"/>
          <w:szCs w:val="24"/>
          <w:shd w:val="clear" w:color="auto" w:fill="FFFFFF"/>
        </w:rPr>
        <w:t>The TCC is a specialist court within the King’s Bench Division and is also part of the Business and Property Court.”</w:t>
      </w:r>
      <w:r w:rsidRPr="00AE616F">
        <w:rPr>
          <w:rFonts w:ascii="Arial" w:hAnsi="Arial" w:cs="Arial"/>
          <w:sz w:val="24"/>
          <w:szCs w:val="24"/>
          <w:shd w:val="clear" w:color="auto" w:fill="FFFFFF"/>
        </w:rPr>
        <w:t xml:space="preserve"> </w:t>
      </w:r>
      <w:r w:rsidRPr="00AE616F">
        <w:rPr>
          <w:rFonts w:ascii="Arial" w:hAnsi="Arial" w:cs="Arial"/>
          <w:i/>
          <w:iCs/>
          <w:sz w:val="24"/>
          <w:szCs w:val="24"/>
          <w:shd w:val="clear" w:color="auto" w:fill="FFFFFF"/>
        </w:rPr>
        <w:t xml:space="preserve">(Judiciary.co.uk, no date) </w:t>
      </w:r>
      <w:r w:rsidR="008F7565" w:rsidRPr="004273B3">
        <w:rPr>
          <w:rFonts w:ascii="Arial" w:hAnsi="Arial" w:cs="Arial"/>
          <w:sz w:val="24"/>
          <w:szCs w:val="24"/>
          <w:shd w:val="clear" w:color="auto" w:fill="FFFFFF"/>
        </w:rPr>
        <w:t xml:space="preserve">Although now the King’s bench it was the </w:t>
      </w:r>
      <w:r w:rsidR="009325AB" w:rsidRPr="004273B3">
        <w:rPr>
          <w:rFonts w:ascii="Arial" w:hAnsi="Arial" w:cs="Arial"/>
          <w:sz w:val="24"/>
          <w:szCs w:val="24"/>
          <w:shd w:val="clear" w:color="auto" w:fill="FFFFFF"/>
        </w:rPr>
        <w:t>Queen’s</w:t>
      </w:r>
      <w:r w:rsidR="008F7565" w:rsidRPr="004273B3">
        <w:rPr>
          <w:rFonts w:ascii="Arial" w:hAnsi="Arial" w:cs="Arial"/>
          <w:sz w:val="24"/>
          <w:szCs w:val="24"/>
          <w:shd w:val="clear" w:color="auto" w:fill="FFFFFF"/>
        </w:rPr>
        <w:t xml:space="preserve"> bench in 2018</w:t>
      </w:r>
      <w:r w:rsidR="004273B3" w:rsidRPr="004273B3">
        <w:rPr>
          <w:rFonts w:ascii="Arial" w:hAnsi="Arial" w:cs="Arial"/>
          <w:sz w:val="24"/>
          <w:szCs w:val="24"/>
          <w:shd w:val="clear" w:color="auto" w:fill="FFFFFF"/>
        </w:rPr>
        <w:t>.</w:t>
      </w:r>
      <w:r w:rsidR="008F7565" w:rsidRPr="004273B3">
        <w:rPr>
          <w:rFonts w:ascii="Arial" w:hAnsi="Arial" w:cs="Arial"/>
          <w:sz w:val="24"/>
          <w:szCs w:val="24"/>
          <w:shd w:val="clear" w:color="auto" w:fill="FFFFFF"/>
        </w:rPr>
        <w:t xml:space="preserve"> </w:t>
      </w:r>
      <w:r w:rsidRPr="004273B3">
        <w:rPr>
          <w:rFonts w:ascii="Arial" w:hAnsi="Arial" w:cs="Arial"/>
          <w:sz w:val="24"/>
          <w:szCs w:val="24"/>
          <w:shd w:val="clear" w:color="auto" w:fill="FFFFFF"/>
        </w:rPr>
        <w:t>Vinci tried to enforce a previous adjudicator's ruling</w:t>
      </w:r>
      <w:r w:rsidR="00521A90" w:rsidRPr="004273B3">
        <w:rPr>
          <w:rFonts w:ascii="Arial" w:hAnsi="Arial" w:cs="Arial"/>
          <w:sz w:val="24"/>
          <w:szCs w:val="24"/>
          <w:shd w:val="clear" w:color="auto" w:fill="FFFFFF"/>
        </w:rPr>
        <w:t>. Westlaw state “</w:t>
      </w:r>
      <w:r w:rsidR="00521A90" w:rsidRPr="004273B3">
        <w:rPr>
          <w:rFonts w:ascii="Arial" w:hAnsi="Arial" w:cs="Arial"/>
          <w:i/>
          <w:iCs/>
          <w:sz w:val="24"/>
          <w:szCs w:val="24"/>
          <w:shd w:val="clear" w:color="auto" w:fill="FFFFFF"/>
        </w:rPr>
        <w:t>Vinci wrote to Beumer demanding payment of the sums ordered by the Adjudicator's Decision, namely the sum of £9,671,500 in respect of liquidated damages plus interest</w:t>
      </w:r>
      <w:r w:rsidR="00521A90" w:rsidRPr="004273B3">
        <w:rPr>
          <w:rFonts w:ascii="Arial" w:hAnsi="Arial" w:cs="Arial"/>
          <w:sz w:val="24"/>
          <w:szCs w:val="24"/>
          <w:shd w:val="clear" w:color="auto" w:fill="FFFFFF"/>
        </w:rPr>
        <w:t>”</w:t>
      </w:r>
      <w:r w:rsidRPr="004273B3">
        <w:rPr>
          <w:rFonts w:ascii="Arial" w:hAnsi="Arial" w:cs="Arial"/>
          <w:sz w:val="24"/>
          <w:szCs w:val="24"/>
          <w:shd w:val="clear" w:color="auto" w:fill="FFFFFF"/>
        </w:rPr>
        <w:t>. Beumer did not pay, this resulted in Vinci enforc</w:t>
      </w:r>
      <w:r w:rsidR="00574F3D" w:rsidRPr="004273B3">
        <w:rPr>
          <w:rFonts w:ascii="Arial" w:hAnsi="Arial" w:cs="Arial"/>
          <w:sz w:val="24"/>
          <w:szCs w:val="24"/>
          <w:shd w:val="clear" w:color="auto" w:fill="FFFFFF"/>
        </w:rPr>
        <w:t>ing</w:t>
      </w:r>
      <w:r w:rsidRPr="004273B3">
        <w:rPr>
          <w:rFonts w:ascii="Arial" w:hAnsi="Arial" w:cs="Arial"/>
          <w:sz w:val="24"/>
          <w:szCs w:val="24"/>
          <w:shd w:val="clear" w:color="auto" w:fill="FFFFFF"/>
        </w:rPr>
        <w:t xml:space="preserve"> proceedings to the TCC. Beumer objected to the adjudication due to three separate instances of natural justice being breached. (</w:t>
      </w:r>
      <w:r w:rsidRPr="004273B3">
        <w:rPr>
          <w:rFonts w:ascii="Arial" w:hAnsi="Arial" w:cs="Arial"/>
          <w:sz w:val="24"/>
          <w:szCs w:val="24"/>
        </w:rPr>
        <w:t xml:space="preserve">Drummond, I. 2018) </w:t>
      </w:r>
      <w:r w:rsidRPr="004273B3">
        <w:rPr>
          <w:rFonts w:ascii="Arial" w:hAnsi="Arial" w:cs="Arial"/>
          <w:sz w:val="24"/>
          <w:szCs w:val="24"/>
          <w:shd w:val="clear" w:color="auto" w:fill="FFFFFF"/>
        </w:rPr>
        <w:t>These were raised in the</w:t>
      </w:r>
      <w:r w:rsidRPr="00AE616F">
        <w:rPr>
          <w:rFonts w:ascii="Arial" w:hAnsi="Arial" w:cs="Arial"/>
          <w:sz w:val="24"/>
          <w:szCs w:val="24"/>
          <w:shd w:val="clear" w:color="auto" w:fill="FFFFFF"/>
        </w:rPr>
        <w:t xml:space="preserve"> latest TCC as follows:</w:t>
      </w:r>
    </w:p>
    <w:p w14:paraId="33AE41CB" w14:textId="77777777" w:rsidR="00293D8F" w:rsidRPr="00AE616F" w:rsidRDefault="00293D8F" w:rsidP="00AE616F">
      <w:pPr>
        <w:numPr>
          <w:ilvl w:val="0"/>
          <w:numId w:val="4"/>
        </w:numPr>
        <w:shd w:val="clear" w:color="auto" w:fill="FFFFFF"/>
        <w:spacing w:before="100" w:beforeAutospacing="1" w:after="100" w:afterAutospacing="1" w:line="360" w:lineRule="auto"/>
        <w:rPr>
          <w:rFonts w:ascii="Arial" w:eastAsia="Times New Roman" w:hAnsi="Arial" w:cs="Arial"/>
          <w:sz w:val="24"/>
          <w:szCs w:val="24"/>
          <w:lang w:eastAsia="en-GB"/>
        </w:rPr>
      </w:pPr>
      <w:r w:rsidRPr="00AE616F">
        <w:rPr>
          <w:rFonts w:ascii="Arial" w:eastAsia="Times New Roman" w:hAnsi="Arial" w:cs="Arial"/>
          <w:sz w:val="24"/>
          <w:szCs w:val="24"/>
          <w:lang w:eastAsia="en-GB"/>
        </w:rPr>
        <w:t>The adjudicator's findings were at conflict with those of an earlier adjudication between both parties</w:t>
      </w:r>
    </w:p>
    <w:p w14:paraId="3F1EC85C" w14:textId="462AB8B6" w:rsidR="00293D8F" w:rsidRDefault="00293D8F" w:rsidP="00AE616F">
      <w:pPr>
        <w:numPr>
          <w:ilvl w:val="0"/>
          <w:numId w:val="4"/>
        </w:numPr>
        <w:shd w:val="clear" w:color="auto" w:fill="FFFFFF"/>
        <w:spacing w:before="100" w:beforeAutospacing="1" w:after="100" w:afterAutospacing="1" w:line="360" w:lineRule="auto"/>
        <w:rPr>
          <w:rFonts w:ascii="Arial" w:eastAsia="Times New Roman" w:hAnsi="Arial" w:cs="Arial"/>
          <w:sz w:val="24"/>
          <w:szCs w:val="24"/>
          <w:lang w:eastAsia="en-GB"/>
        </w:rPr>
      </w:pPr>
      <w:r w:rsidRPr="00AE616F">
        <w:rPr>
          <w:rFonts w:ascii="Arial" w:eastAsia="Times New Roman" w:hAnsi="Arial" w:cs="Arial"/>
          <w:sz w:val="24"/>
          <w:szCs w:val="24"/>
          <w:lang w:eastAsia="en-GB"/>
        </w:rPr>
        <w:t>The adjudicator failed to provide any or sufficient explanation for his ruling with relation to the issues in the conflict</w:t>
      </w:r>
    </w:p>
    <w:p w14:paraId="037772CA" w14:textId="2C192B62" w:rsidR="00521A90" w:rsidRPr="00AE616F" w:rsidRDefault="00293D8F" w:rsidP="00AE616F">
      <w:pPr>
        <w:numPr>
          <w:ilvl w:val="0"/>
          <w:numId w:val="4"/>
        </w:numPr>
        <w:shd w:val="clear" w:color="auto" w:fill="FFFFFF"/>
        <w:spacing w:before="100" w:beforeAutospacing="1" w:after="100" w:afterAutospacing="1" w:line="360" w:lineRule="auto"/>
        <w:jc w:val="right"/>
        <w:rPr>
          <w:rFonts w:ascii="Arial" w:eastAsia="Times New Roman" w:hAnsi="Arial" w:cs="Arial"/>
          <w:sz w:val="24"/>
          <w:szCs w:val="24"/>
          <w:lang w:eastAsia="en-GB"/>
        </w:rPr>
      </w:pPr>
      <w:r w:rsidRPr="00AE616F">
        <w:rPr>
          <w:rFonts w:ascii="Arial" w:eastAsia="Times New Roman" w:hAnsi="Arial" w:cs="Arial"/>
          <w:sz w:val="24"/>
          <w:szCs w:val="24"/>
          <w:lang w:eastAsia="en-GB"/>
        </w:rPr>
        <w:t>“</w:t>
      </w:r>
      <w:r w:rsidRPr="00AE616F">
        <w:rPr>
          <w:rFonts w:ascii="Arial" w:hAnsi="Arial" w:cs="Arial"/>
          <w:i/>
          <w:iCs/>
          <w:sz w:val="24"/>
          <w:szCs w:val="24"/>
          <w:shd w:val="clear" w:color="auto" w:fill="FFFFFF"/>
        </w:rPr>
        <w:t xml:space="preserve">Beumer sought to rely on an argument that a breach of justice had occurred based on the fact that the Adjudicator had not ordered Vinci to disclose documents from a 2016 adjudication commenced by another subcontractor against Vinci on the same project in which he was also Adjudicator.” </w:t>
      </w:r>
    </w:p>
    <w:p w14:paraId="1AF9536E" w14:textId="0268A465" w:rsidR="00293D8F" w:rsidRPr="00AE616F" w:rsidRDefault="00293D8F" w:rsidP="00AE616F">
      <w:pPr>
        <w:shd w:val="clear" w:color="auto" w:fill="FFFFFF"/>
        <w:spacing w:before="100" w:beforeAutospacing="1" w:after="100" w:afterAutospacing="1" w:line="360" w:lineRule="auto"/>
        <w:jc w:val="right"/>
        <w:rPr>
          <w:rFonts w:ascii="Arial" w:eastAsia="Times New Roman" w:hAnsi="Arial" w:cs="Arial"/>
          <w:sz w:val="24"/>
          <w:szCs w:val="24"/>
          <w:lang w:eastAsia="en-GB"/>
        </w:rPr>
      </w:pPr>
      <w:r w:rsidRPr="00AE616F">
        <w:rPr>
          <w:rFonts w:ascii="Arial" w:hAnsi="Arial" w:cs="Arial"/>
          <w:i/>
          <w:iCs/>
          <w:sz w:val="24"/>
          <w:szCs w:val="24"/>
          <w:shd w:val="clear" w:color="auto" w:fill="FFFFFF"/>
        </w:rPr>
        <w:t>(</w:t>
      </w:r>
      <w:r w:rsidRPr="00AE616F">
        <w:rPr>
          <w:rFonts w:ascii="Arial" w:hAnsi="Arial" w:cs="Arial"/>
          <w:sz w:val="24"/>
          <w:szCs w:val="24"/>
        </w:rPr>
        <w:t>Morris, E. 2018)</w:t>
      </w:r>
    </w:p>
    <w:p w14:paraId="6A026CEA" w14:textId="119823FF" w:rsidR="00293D8F" w:rsidRPr="00AE616F" w:rsidRDefault="00293D8F" w:rsidP="00AE616F">
      <w:pPr>
        <w:spacing w:line="360" w:lineRule="auto"/>
        <w:rPr>
          <w:rFonts w:ascii="Arial" w:eastAsia="Times New Roman" w:hAnsi="Arial" w:cs="Arial"/>
          <w:sz w:val="24"/>
          <w:szCs w:val="24"/>
          <w:lang w:eastAsia="en-GB"/>
        </w:rPr>
      </w:pPr>
      <w:r w:rsidRPr="00AE616F">
        <w:rPr>
          <w:rFonts w:ascii="Arial" w:eastAsia="Times New Roman" w:hAnsi="Arial" w:cs="Arial"/>
          <w:sz w:val="24"/>
          <w:szCs w:val="24"/>
          <w:lang w:eastAsia="en-GB"/>
        </w:rPr>
        <w:t>Beumer's three arguments were denied by the TCC. Regarding the first argument, the</w:t>
      </w:r>
      <w:r w:rsidR="00C54342" w:rsidRPr="00AE616F">
        <w:rPr>
          <w:rFonts w:ascii="Arial" w:eastAsia="Times New Roman" w:hAnsi="Arial" w:cs="Arial"/>
          <w:sz w:val="24"/>
          <w:szCs w:val="24"/>
          <w:lang w:eastAsia="en-GB"/>
        </w:rPr>
        <w:t>y</w:t>
      </w:r>
      <w:r w:rsidRPr="00AE616F">
        <w:rPr>
          <w:rFonts w:ascii="Arial" w:eastAsia="Times New Roman" w:hAnsi="Arial" w:cs="Arial"/>
          <w:sz w:val="24"/>
          <w:szCs w:val="24"/>
          <w:lang w:eastAsia="en-GB"/>
        </w:rPr>
        <w:t xml:space="preserve"> found and supported the adjudications decision. The</w:t>
      </w:r>
      <w:r w:rsidR="00C54342" w:rsidRPr="00AE616F">
        <w:rPr>
          <w:rFonts w:ascii="Arial" w:eastAsia="Times New Roman" w:hAnsi="Arial" w:cs="Arial"/>
          <w:sz w:val="24"/>
          <w:szCs w:val="24"/>
          <w:lang w:eastAsia="en-GB"/>
        </w:rPr>
        <w:t>y</w:t>
      </w:r>
      <w:r w:rsidRPr="00AE616F">
        <w:rPr>
          <w:rFonts w:ascii="Arial" w:eastAsia="Times New Roman" w:hAnsi="Arial" w:cs="Arial"/>
          <w:sz w:val="24"/>
          <w:szCs w:val="24"/>
          <w:lang w:eastAsia="en-GB"/>
        </w:rPr>
        <w:t xml:space="preserve"> firstly ruled that there was </w:t>
      </w:r>
      <w:r w:rsidRPr="00AE616F">
        <w:rPr>
          <w:rFonts w:ascii="Arial" w:eastAsia="Times New Roman" w:hAnsi="Arial" w:cs="Arial"/>
          <w:sz w:val="24"/>
          <w:szCs w:val="24"/>
          <w:lang w:eastAsia="en-GB"/>
        </w:rPr>
        <w:lastRenderedPageBreak/>
        <w:t>no discrepancy in the adjudications previous decisions. The</w:t>
      </w:r>
      <w:r w:rsidR="00C54342" w:rsidRPr="00AE616F">
        <w:rPr>
          <w:rFonts w:ascii="Arial" w:eastAsia="Times New Roman" w:hAnsi="Arial" w:cs="Arial"/>
          <w:sz w:val="24"/>
          <w:szCs w:val="24"/>
          <w:lang w:eastAsia="en-GB"/>
        </w:rPr>
        <w:t>y</w:t>
      </w:r>
      <w:r w:rsidRPr="00AE616F">
        <w:rPr>
          <w:rFonts w:ascii="Arial" w:eastAsia="Times New Roman" w:hAnsi="Arial" w:cs="Arial"/>
          <w:sz w:val="24"/>
          <w:szCs w:val="24"/>
          <w:lang w:eastAsia="en-GB"/>
        </w:rPr>
        <w:t xml:space="preserve"> also rejected an ‘extension of time’ claim that again was brought up in the latest adjudication.</w:t>
      </w:r>
    </w:p>
    <w:p w14:paraId="35CBD24C" w14:textId="7CB4FBBF" w:rsidR="004B6EB2" w:rsidRDefault="004B6EB2" w:rsidP="004B6EB2">
      <w:pPr>
        <w:shd w:val="clear" w:color="auto" w:fill="FFFFFF"/>
        <w:spacing w:before="100" w:beforeAutospacing="1" w:after="100" w:afterAutospacing="1" w:line="360" w:lineRule="auto"/>
        <w:rPr>
          <w:rFonts w:ascii="Arial" w:hAnsi="Arial" w:cs="Arial"/>
          <w:sz w:val="24"/>
          <w:szCs w:val="24"/>
        </w:rPr>
      </w:pPr>
      <w:r w:rsidRPr="00AE616F">
        <w:rPr>
          <w:rFonts w:ascii="Arial" w:hAnsi="Arial" w:cs="Arial"/>
          <w:sz w:val="24"/>
          <w:szCs w:val="24"/>
        </w:rPr>
        <w:t>The TCC again supported the previous decision of the adjudicator</w:t>
      </w:r>
      <w:r>
        <w:rPr>
          <w:rFonts w:ascii="Arial" w:hAnsi="Arial" w:cs="Arial"/>
          <w:sz w:val="24"/>
          <w:szCs w:val="24"/>
        </w:rPr>
        <w:t xml:space="preserve"> regarding the second point raised.</w:t>
      </w:r>
    </w:p>
    <w:p w14:paraId="1BC4339A" w14:textId="77777777" w:rsidR="004B6EB2" w:rsidRDefault="00293D8F" w:rsidP="004B6EB2">
      <w:pPr>
        <w:shd w:val="clear" w:color="auto" w:fill="FFFFFF"/>
        <w:spacing w:before="100" w:beforeAutospacing="1" w:after="100" w:afterAutospacing="1" w:line="360" w:lineRule="auto"/>
        <w:jc w:val="center"/>
        <w:rPr>
          <w:rFonts w:ascii="Arial" w:eastAsia="Times New Roman" w:hAnsi="Arial" w:cs="Arial"/>
          <w:sz w:val="24"/>
          <w:szCs w:val="24"/>
          <w:lang w:eastAsia="en-GB"/>
        </w:rPr>
      </w:pPr>
      <w:r w:rsidRPr="00AE616F">
        <w:rPr>
          <w:rFonts w:ascii="Arial" w:eastAsia="Times New Roman" w:hAnsi="Arial" w:cs="Arial"/>
          <w:sz w:val="24"/>
          <w:szCs w:val="24"/>
          <w:lang w:eastAsia="en-GB"/>
        </w:rPr>
        <w:t>“</w:t>
      </w:r>
      <w:r w:rsidRPr="004B6EB2">
        <w:rPr>
          <w:rFonts w:ascii="Arial" w:eastAsia="Times New Roman" w:hAnsi="Arial" w:cs="Arial"/>
          <w:i/>
          <w:iCs/>
          <w:sz w:val="24"/>
          <w:szCs w:val="24"/>
          <w:lang w:eastAsia="en-GB"/>
        </w:rPr>
        <w:t>Beumer conceded that its inadequate reasons argument might not, on the facts of this case, be sufficient to resist enforcement on its own. In any event, the TCC found no difficulty in discerning adequate reasons for the Adjudicator’s decision in this case and emphasised that: ‘Whether that Decision be right or wrong is not a matter for the Court on an enforcement application’</w:t>
      </w:r>
      <w:r w:rsidRPr="00AE616F">
        <w:rPr>
          <w:rFonts w:ascii="Arial" w:eastAsia="Times New Roman" w:hAnsi="Arial" w:cs="Arial"/>
          <w:sz w:val="24"/>
          <w:szCs w:val="24"/>
          <w:lang w:eastAsia="en-GB"/>
        </w:rPr>
        <w:t>.”</w:t>
      </w:r>
    </w:p>
    <w:p w14:paraId="76C73D1F" w14:textId="6F90A985" w:rsidR="004B6EB2" w:rsidRPr="004B6EB2" w:rsidRDefault="00293D8F" w:rsidP="004B6EB2">
      <w:pPr>
        <w:shd w:val="clear" w:color="auto" w:fill="FFFFFF"/>
        <w:spacing w:before="100" w:beforeAutospacing="1" w:after="100" w:afterAutospacing="1" w:line="360" w:lineRule="auto"/>
        <w:jc w:val="right"/>
        <w:rPr>
          <w:rFonts w:ascii="Arial" w:eastAsia="Times New Roman" w:hAnsi="Arial" w:cs="Arial"/>
          <w:sz w:val="24"/>
          <w:szCs w:val="24"/>
          <w:lang w:eastAsia="en-GB"/>
        </w:rPr>
      </w:pPr>
      <w:r w:rsidRPr="00AE616F">
        <w:rPr>
          <w:rFonts w:ascii="Arial" w:hAnsi="Arial" w:cs="Arial"/>
          <w:i/>
          <w:iCs/>
          <w:sz w:val="24"/>
          <w:szCs w:val="24"/>
          <w:shd w:val="clear" w:color="auto" w:fill="FFFFFF"/>
        </w:rPr>
        <w:t>(</w:t>
      </w:r>
      <w:r w:rsidRPr="00AE616F">
        <w:rPr>
          <w:rFonts w:ascii="Arial" w:hAnsi="Arial" w:cs="Arial"/>
          <w:i/>
          <w:iCs/>
          <w:sz w:val="24"/>
          <w:szCs w:val="24"/>
        </w:rPr>
        <w:t>Drummond, I. 2018)</w:t>
      </w:r>
      <w:r w:rsidR="002F2853" w:rsidRPr="00AE616F">
        <w:rPr>
          <w:rFonts w:ascii="Arial" w:hAnsi="Arial" w:cs="Arial"/>
          <w:i/>
          <w:iCs/>
          <w:sz w:val="24"/>
          <w:szCs w:val="24"/>
        </w:rPr>
        <w:t xml:space="preserve"> </w:t>
      </w:r>
    </w:p>
    <w:p w14:paraId="338F3203" w14:textId="58967A41" w:rsidR="00293D8F" w:rsidRPr="00AE616F" w:rsidRDefault="00293D8F" w:rsidP="00AE616F">
      <w:pPr>
        <w:shd w:val="clear" w:color="auto" w:fill="FFFFFF"/>
        <w:spacing w:before="100" w:beforeAutospacing="1" w:after="100" w:afterAutospacing="1" w:line="360" w:lineRule="auto"/>
        <w:rPr>
          <w:rStyle w:val="css-guq32d"/>
          <w:rFonts w:ascii="Arial" w:hAnsi="Arial" w:cs="Arial"/>
          <w:sz w:val="24"/>
          <w:szCs w:val="24"/>
          <w:shd w:val="clear" w:color="auto" w:fill="FFFFFF"/>
        </w:rPr>
      </w:pPr>
      <w:r w:rsidRPr="00AE616F">
        <w:rPr>
          <w:rStyle w:val="css-x8fsqd"/>
          <w:rFonts w:ascii="Arial" w:hAnsi="Arial" w:cs="Arial"/>
          <w:sz w:val="24"/>
          <w:szCs w:val="24"/>
          <w:shd w:val="clear" w:color="auto" w:fill="FFFFFF"/>
        </w:rPr>
        <w:t>Beumer's </w:t>
      </w:r>
      <w:r w:rsidRPr="00AE616F">
        <w:rPr>
          <w:rStyle w:val="css-guq32d"/>
          <w:rFonts w:ascii="Arial" w:hAnsi="Arial" w:cs="Arial"/>
          <w:sz w:val="24"/>
          <w:szCs w:val="24"/>
          <w:shd w:val="clear" w:color="auto" w:fill="FFFFFF"/>
        </w:rPr>
        <w:t>third claim was</w:t>
      </w:r>
      <w:r w:rsidR="00B87EBA" w:rsidRPr="00AE616F">
        <w:rPr>
          <w:rStyle w:val="css-guq32d"/>
          <w:rFonts w:ascii="Arial" w:hAnsi="Arial" w:cs="Arial"/>
          <w:sz w:val="24"/>
          <w:szCs w:val="24"/>
          <w:shd w:val="clear" w:color="auto" w:fill="FFFFFF"/>
        </w:rPr>
        <w:t xml:space="preserve"> </w:t>
      </w:r>
      <w:r w:rsidRPr="00AE616F">
        <w:rPr>
          <w:rStyle w:val="css-guq32d"/>
          <w:rFonts w:ascii="Arial" w:hAnsi="Arial" w:cs="Arial"/>
          <w:sz w:val="24"/>
          <w:szCs w:val="24"/>
          <w:shd w:val="clear" w:color="auto" w:fill="FFFFFF"/>
        </w:rPr>
        <w:t>disproved for several reasons. Beumer were aware of the previous decisions made by the adjudicator in 2016, the TCC highlighted the fact that they had not raised any concern about a breach of natural justice in the previous three adjudications</w:t>
      </w:r>
      <w:r w:rsidR="00C54342" w:rsidRPr="00AE616F">
        <w:rPr>
          <w:rStyle w:val="css-guq32d"/>
          <w:rFonts w:ascii="Arial" w:hAnsi="Arial" w:cs="Arial"/>
          <w:sz w:val="24"/>
          <w:szCs w:val="24"/>
          <w:shd w:val="clear" w:color="auto" w:fill="FFFFFF"/>
        </w:rPr>
        <w:t>,</w:t>
      </w:r>
      <w:r w:rsidRPr="00AE616F">
        <w:rPr>
          <w:rStyle w:val="css-guq32d"/>
          <w:rFonts w:ascii="Arial" w:hAnsi="Arial" w:cs="Arial"/>
          <w:sz w:val="24"/>
          <w:szCs w:val="24"/>
          <w:shd w:val="clear" w:color="auto" w:fill="FFFFFF"/>
        </w:rPr>
        <w:t xml:space="preserve"> rul</w:t>
      </w:r>
      <w:r w:rsidR="00C54342" w:rsidRPr="00AE616F">
        <w:rPr>
          <w:rStyle w:val="css-guq32d"/>
          <w:rFonts w:ascii="Arial" w:hAnsi="Arial" w:cs="Arial"/>
          <w:sz w:val="24"/>
          <w:szCs w:val="24"/>
          <w:shd w:val="clear" w:color="auto" w:fill="FFFFFF"/>
        </w:rPr>
        <w:t>ing</w:t>
      </w:r>
      <w:r w:rsidRPr="00AE616F">
        <w:rPr>
          <w:rStyle w:val="css-guq32d"/>
          <w:rFonts w:ascii="Arial" w:hAnsi="Arial" w:cs="Arial"/>
          <w:sz w:val="24"/>
          <w:szCs w:val="24"/>
          <w:shd w:val="clear" w:color="auto" w:fill="FFFFFF"/>
        </w:rPr>
        <w:t xml:space="preserve"> in favour as Vinci contended that its approach in the adjudication was consistent, and Beumer lacked proof to the contrary. </w:t>
      </w:r>
    </w:p>
    <w:p w14:paraId="3BB89B65" w14:textId="715DF7B5" w:rsidR="009E520A" w:rsidRDefault="00293D8F" w:rsidP="00C028AC">
      <w:pPr>
        <w:shd w:val="clear" w:color="auto" w:fill="FFFFFF"/>
        <w:spacing w:before="100" w:beforeAutospacing="1" w:after="100" w:afterAutospacing="1" w:line="360" w:lineRule="auto"/>
        <w:rPr>
          <w:rStyle w:val="css-guq32d"/>
          <w:rFonts w:ascii="Arial" w:hAnsi="Arial" w:cs="Arial"/>
          <w:sz w:val="24"/>
          <w:szCs w:val="24"/>
          <w:shd w:val="clear" w:color="auto" w:fill="FFFFFF"/>
        </w:rPr>
      </w:pPr>
      <w:r w:rsidRPr="00AE616F">
        <w:rPr>
          <w:rStyle w:val="css-guq32d"/>
          <w:rFonts w:ascii="Arial" w:hAnsi="Arial" w:cs="Arial"/>
          <w:sz w:val="24"/>
          <w:szCs w:val="24"/>
          <w:shd w:val="clear" w:color="auto" w:fill="FFFFFF"/>
        </w:rPr>
        <w:t xml:space="preserve">The TCC ruled in favour of the Vinci and against Beumer on all three raised </w:t>
      </w:r>
      <w:r w:rsidR="00C54342" w:rsidRPr="00AE616F">
        <w:rPr>
          <w:rStyle w:val="css-guq32d"/>
          <w:rFonts w:ascii="Arial" w:hAnsi="Arial" w:cs="Arial"/>
          <w:sz w:val="24"/>
          <w:szCs w:val="24"/>
          <w:shd w:val="clear" w:color="auto" w:fill="FFFFFF"/>
        </w:rPr>
        <w:t>points</w:t>
      </w:r>
      <w:r w:rsidRPr="00AE616F">
        <w:rPr>
          <w:rStyle w:val="css-guq32d"/>
          <w:rFonts w:ascii="Arial" w:hAnsi="Arial" w:cs="Arial"/>
          <w:sz w:val="24"/>
          <w:szCs w:val="24"/>
          <w:shd w:val="clear" w:color="auto" w:fill="FFFFFF"/>
        </w:rPr>
        <w:t>. The TCC backed the adjudicators previous decisions, stating that the three raised points in 2018 were irrelevant and there was no breach of natural injustice. The TCC stated that Beumer were to pay Vinci 9.7 million that would include interest. This has set precedence for future cases and will be used as case law for similar disputes. The TCC highlighted the power and knowledge of an adjudicator</w:t>
      </w:r>
      <w:r w:rsidR="00BF0425" w:rsidRPr="00AE616F">
        <w:rPr>
          <w:rStyle w:val="css-guq32d"/>
          <w:rFonts w:ascii="Arial" w:hAnsi="Arial" w:cs="Arial"/>
          <w:sz w:val="24"/>
          <w:szCs w:val="24"/>
          <w:shd w:val="clear" w:color="auto" w:fill="FFFFFF"/>
        </w:rPr>
        <w:t xml:space="preserve">, while </w:t>
      </w:r>
      <w:r w:rsidR="00C37396" w:rsidRPr="00AE616F">
        <w:rPr>
          <w:rStyle w:val="css-guq32d"/>
          <w:rFonts w:ascii="Arial" w:hAnsi="Arial" w:cs="Arial"/>
          <w:sz w:val="24"/>
          <w:szCs w:val="24"/>
          <w:shd w:val="clear" w:color="auto" w:fill="FFFFFF"/>
        </w:rPr>
        <w:t>support</w:t>
      </w:r>
      <w:r w:rsidR="00BF0425" w:rsidRPr="00AE616F">
        <w:rPr>
          <w:rStyle w:val="css-guq32d"/>
          <w:rFonts w:ascii="Arial" w:hAnsi="Arial" w:cs="Arial"/>
          <w:sz w:val="24"/>
          <w:szCs w:val="24"/>
          <w:shd w:val="clear" w:color="auto" w:fill="FFFFFF"/>
        </w:rPr>
        <w:t>ing</w:t>
      </w:r>
      <w:r w:rsidR="00C37396" w:rsidRPr="00AE616F">
        <w:rPr>
          <w:rStyle w:val="css-guq32d"/>
          <w:rFonts w:ascii="Arial" w:hAnsi="Arial" w:cs="Arial"/>
          <w:sz w:val="24"/>
          <w:szCs w:val="24"/>
          <w:shd w:val="clear" w:color="auto" w:fill="FFFFFF"/>
        </w:rPr>
        <w:t xml:space="preserve"> </w:t>
      </w:r>
      <w:r w:rsidRPr="00AE616F">
        <w:rPr>
          <w:rStyle w:val="css-guq32d"/>
          <w:rFonts w:ascii="Arial" w:hAnsi="Arial" w:cs="Arial"/>
          <w:sz w:val="24"/>
          <w:szCs w:val="24"/>
          <w:shd w:val="clear" w:color="auto" w:fill="FFFFFF"/>
        </w:rPr>
        <w:t>the</w:t>
      </w:r>
      <w:r w:rsidR="00C37396" w:rsidRPr="00AE616F">
        <w:rPr>
          <w:rStyle w:val="css-guq32d"/>
          <w:rFonts w:ascii="Arial" w:hAnsi="Arial" w:cs="Arial"/>
          <w:sz w:val="24"/>
          <w:szCs w:val="24"/>
          <w:shd w:val="clear" w:color="auto" w:fill="FFFFFF"/>
        </w:rPr>
        <w:t xml:space="preserve"> adjudicators</w:t>
      </w:r>
      <w:r w:rsidRPr="00AE616F">
        <w:rPr>
          <w:rStyle w:val="css-guq32d"/>
          <w:rFonts w:ascii="Arial" w:hAnsi="Arial" w:cs="Arial"/>
          <w:sz w:val="24"/>
          <w:szCs w:val="24"/>
          <w:shd w:val="clear" w:color="auto" w:fill="FFFFFF"/>
        </w:rPr>
        <w:t xml:space="preserve"> original decision</w:t>
      </w:r>
      <w:r w:rsidR="00BF0425" w:rsidRPr="00AE616F">
        <w:rPr>
          <w:rStyle w:val="css-guq32d"/>
          <w:rFonts w:ascii="Arial" w:hAnsi="Arial" w:cs="Arial"/>
          <w:sz w:val="24"/>
          <w:szCs w:val="24"/>
          <w:shd w:val="clear" w:color="auto" w:fill="FFFFFF"/>
        </w:rPr>
        <w:t>.</w:t>
      </w:r>
    </w:p>
    <w:p w14:paraId="3CF4E020" w14:textId="77777777" w:rsidR="00C028AC" w:rsidRPr="00C028AC" w:rsidRDefault="00C028AC" w:rsidP="00C028AC">
      <w:pPr>
        <w:shd w:val="clear" w:color="auto" w:fill="FFFFFF"/>
        <w:spacing w:before="100" w:beforeAutospacing="1" w:after="100" w:afterAutospacing="1" w:line="360" w:lineRule="auto"/>
        <w:rPr>
          <w:rFonts w:ascii="Arial" w:hAnsi="Arial" w:cs="Arial"/>
          <w:sz w:val="24"/>
          <w:szCs w:val="24"/>
          <w:shd w:val="clear" w:color="auto" w:fill="FFFFFF"/>
        </w:rPr>
      </w:pPr>
    </w:p>
    <w:p w14:paraId="3D488E9B" w14:textId="77777777" w:rsidR="00C028AC" w:rsidRPr="00C028AC" w:rsidRDefault="00C028AC" w:rsidP="00C028AC">
      <w:pPr>
        <w:rPr>
          <w:lang w:eastAsia="en-GB"/>
        </w:rPr>
      </w:pPr>
    </w:p>
    <w:p w14:paraId="0F33495E" w14:textId="77777777" w:rsidR="00B47945" w:rsidRDefault="00B47945" w:rsidP="00B47945">
      <w:bookmarkStart w:id="7" w:name="_Toc120813667"/>
    </w:p>
    <w:p w14:paraId="2EF957A7" w14:textId="77777777" w:rsidR="00B47945" w:rsidRDefault="00B47945" w:rsidP="00B47945"/>
    <w:p w14:paraId="717B05F3" w14:textId="3D9241F6" w:rsidR="00592C84" w:rsidRPr="00AE616F" w:rsidRDefault="00665268" w:rsidP="00592C84">
      <w:pPr>
        <w:pStyle w:val="Heading1"/>
        <w:rPr>
          <w:b w:val="0"/>
          <w:bCs w:val="0"/>
          <w:sz w:val="24"/>
          <w:szCs w:val="24"/>
          <w:u w:val="single"/>
        </w:rPr>
      </w:pPr>
      <w:r w:rsidRPr="00AE616F">
        <w:rPr>
          <w:b w:val="0"/>
          <w:bCs w:val="0"/>
          <w:sz w:val="24"/>
          <w:szCs w:val="24"/>
          <w:u w:val="single"/>
        </w:rPr>
        <w:lastRenderedPageBreak/>
        <w:t>Reference</w:t>
      </w:r>
      <w:bookmarkEnd w:id="7"/>
    </w:p>
    <w:p w14:paraId="28C3A584" w14:textId="77777777" w:rsidR="00592C84" w:rsidRPr="00AE616F" w:rsidRDefault="00592C84" w:rsidP="00592C84">
      <w:pPr>
        <w:pStyle w:val="NormalWeb"/>
        <w:ind w:left="567" w:hanging="567"/>
        <w:rPr>
          <w:rFonts w:ascii="Arial" w:hAnsi="Arial" w:cs="Arial"/>
        </w:rPr>
      </w:pPr>
      <w:r w:rsidRPr="00AE616F">
        <w:rPr>
          <w:rFonts w:ascii="Arial" w:hAnsi="Arial" w:cs="Arial"/>
          <w:i/>
          <w:iCs/>
        </w:rPr>
        <w:t>Adjudication Services</w:t>
      </w:r>
      <w:r w:rsidRPr="00AE616F">
        <w:rPr>
          <w:rFonts w:ascii="Arial" w:hAnsi="Arial" w:cs="Arial"/>
        </w:rPr>
        <w:t xml:space="preserve"> (no date) </w:t>
      </w:r>
      <w:r w:rsidRPr="00AE616F">
        <w:rPr>
          <w:rFonts w:ascii="Arial" w:hAnsi="Arial" w:cs="Arial"/>
          <w:i/>
          <w:iCs/>
        </w:rPr>
        <w:t>RICS</w:t>
      </w:r>
      <w:r w:rsidRPr="00AE616F">
        <w:rPr>
          <w:rFonts w:ascii="Arial" w:hAnsi="Arial" w:cs="Arial"/>
        </w:rPr>
        <w:t xml:space="preserve">. Available at: https://www.rics.org/uk/products/dispute-resolution-service/drs-services/adjudication-services/ (Accessed: November 27, 2022). </w:t>
      </w:r>
    </w:p>
    <w:p w14:paraId="74B16ED3" w14:textId="77777777" w:rsidR="00592C84" w:rsidRPr="00AE616F" w:rsidRDefault="00592C84" w:rsidP="00592C84">
      <w:pPr>
        <w:pStyle w:val="NormalWeb"/>
        <w:ind w:left="567" w:hanging="567"/>
        <w:rPr>
          <w:rFonts w:ascii="Arial" w:hAnsi="Arial" w:cs="Arial"/>
        </w:rPr>
      </w:pPr>
      <w:r w:rsidRPr="00AE616F">
        <w:rPr>
          <w:rFonts w:ascii="Arial" w:hAnsi="Arial" w:cs="Arial"/>
          <w:i/>
          <w:iCs/>
        </w:rPr>
        <w:t xml:space="preserve">Anns v </w:t>
      </w:r>
      <w:proofErr w:type="spellStart"/>
      <w:r w:rsidRPr="00AE616F">
        <w:rPr>
          <w:rFonts w:ascii="Arial" w:hAnsi="Arial" w:cs="Arial"/>
          <w:i/>
          <w:iCs/>
        </w:rPr>
        <w:t>merton</w:t>
      </w:r>
      <w:proofErr w:type="spellEnd"/>
      <w:r w:rsidRPr="00AE616F">
        <w:rPr>
          <w:rFonts w:ascii="Arial" w:hAnsi="Arial" w:cs="Arial"/>
          <w:i/>
          <w:iCs/>
        </w:rPr>
        <w:t xml:space="preserve"> </w:t>
      </w:r>
      <w:proofErr w:type="spellStart"/>
      <w:r w:rsidRPr="00AE616F">
        <w:rPr>
          <w:rFonts w:ascii="Arial" w:hAnsi="Arial" w:cs="Arial"/>
          <w:i/>
          <w:iCs/>
        </w:rPr>
        <w:t>london</w:t>
      </w:r>
      <w:proofErr w:type="spellEnd"/>
      <w:r w:rsidRPr="00AE616F">
        <w:rPr>
          <w:rFonts w:ascii="Arial" w:hAnsi="Arial" w:cs="Arial"/>
          <w:i/>
          <w:iCs/>
        </w:rPr>
        <w:t xml:space="preserve"> borough council [1978]: Case analysis</w:t>
      </w:r>
      <w:r w:rsidRPr="00AE616F">
        <w:rPr>
          <w:rFonts w:ascii="Arial" w:hAnsi="Arial" w:cs="Arial"/>
        </w:rPr>
        <w:t xml:space="preserve"> (no date) </w:t>
      </w:r>
      <w:r w:rsidRPr="00AE616F">
        <w:rPr>
          <w:rFonts w:ascii="Arial" w:hAnsi="Arial" w:cs="Arial"/>
          <w:i/>
          <w:iCs/>
        </w:rPr>
        <w:t>Negligence Solicitors</w:t>
      </w:r>
      <w:r w:rsidRPr="00AE616F">
        <w:rPr>
          <w:rFonts w:ascii="Arial" w:hAnsi="Arial" w:cs="Arial"/>
        </w:rPr>
        <w:t xml:space="preserve">. Available at: https://professionalnegligenceclaimsolicitors.co.uk/duty-of-care-key-tort-law-judgment-anns-merton-3/ (Accessed: November 23, 2022). </w:t>
      </w:r>
    </w:p>
    <w:p w14:paraId="55F5857E" w14:textId="77777777" w:rsidR="00592C84" w:rsidRPr="00AE616F" w:rsidRDefault="00592C84" w:rsidP="00592C84">
      <w:pPr>
        <w:pStyle w:val="NormalWeb"/>
        <w:ind w:left="567" w:hanging="567"/>
        <w:rPr>
          <w:rFonts w:ascii="Arial" w:hAnsi="Arial" w:cs="Arial"/>
        </w:rPr>
      </w:pPr>
      <w:r w:rsidRPr="00AE616F">
        <w:rPr>
          <w:rFonts w:ascii="Arial" w:hAnsi="Arial" w:cs="Arial"/>
        </w:rPr>
        <w:t xml:space="preserve">Drummond, I. (2018) </w:t>
      </w:r>
      <w:r w:rsidRPr="00AE616F">
        <w:rPr>
          <w:rFonts w:ascii="Arial" w:hAnsi="Arial" w:cs="Arial"/>
          <w:i/>
          <w:iCs/>
        </w:rPr>
        <w:t>TCC Round three: Vinci Construction UK Limited V Beumer Group UK</w:t>
      </w:r>
      <w:r w:rsidRPr="00AE616F">
        <w:rPr>
          <w:rFonts w:ascii="Arial" w:hAnsi="Arial" w:cs="Arial"/>
        </w:rPr>
        <w:t xml:space="preserve">, </w:t>
      </w:r>
      <w:r w:rsidRPr="00AE616F">
        <w:rPr>
          <w:rFonts w:ascii="Arial" w:hAnsi="Arial" w:cs="Arial"/>
          <w:i/>
          <w:iCs/>
        </w:rPr>
        <w:t>LinkedIn</w:t>
      </w:r>
      <w:r w:rsidRPr="00AE616F">
        <w:rPr>
          <w:rFonts w:ascii="Arial" w:hAnsi="Arial" w:cs="Arial"/>
        </w:rPr>
        <w:t xml:space="preserve">. Available at: https://www.linkedin.com/pulse/tcc-round-three-vinci-construction-uk-limited-v-beumer-iain-drummond/?trackingId=vC9fVinHTWaQlNi4%2BTzIkQ%3D%3D (Accessed: November 27, 2022). </w:t>
      </w:r>
    </w:p>
    <w:p w14:paraId="470F21E4" w14:textId="77777777" w:rsidR="00592C84" w:rsidRPr="00AE616F" w:rsidRDefault="00592C84" w:rsidP="00592C84">
      <w:pPr>
        <w:pStyle w:val="NormalWeb"/>
        <w:ind w:left="567" w:hanging="567"/>
        <w:rPr>
          <w:rFonts w:ascii="Arial" w:hAnsi="Arial" w:cs="Arial"/>
        </w:rPr>
      </w:pPr>
      <w:r w:rsidRPr="00AE616F">
        <w:rPr>
          <w:rFonts w:ascii="Arial" w:hAnsi="Arial" w:cs="Arial"/>
        </w:rPr>
        <w:t xml:space="preserve">Morris, E. (2018) </w:t>
      </w:r>
      <w:r w:rsidRPr="00AE616F">
        <w:rPr>
          <w:rFonts w:ascii="Arial" w:hAnsi="Arial" w:cs="Arial"/>
          <w:i/>
          <w:iCs/>
        </w:rPr>
        <w:t xml:space="preserve">Vinci construction UK ltd v </w:t>
      </w:r>
      <w:proofErr w:type="spellStart"/>
      <w:r w:rsidRPr="00AE616F">
        <w:rPr>
          <w:rFonts w:ascii="Arial" w:hAnsi="Arial" w:cs="Arial"/>
          <w:i/>
          <w:iCs/>
        </w:rPr>
        <w:t>beumer</w:t>
      </w:r>
      <w:proofErr w:type="spellEnd"/>
      <w:r w:rsidRPr="00AE616F">
        <w:rPr>
          <w:rFonts w:ascii="Arial" w:hAnsi="Arial" w:cs="Arial"/>
          <w:i/>
          <w:iCs/>
        </w:rPr>
        <w:t xml:space="preserve"> group UK ltd [2018] EWHC 1874 (TCC) (24 July 2018)</w:t>
      </w:r>
      <w:r w:rsidRPr="00AE616F">
        <w:rPr>
          <w:rFonts w:ascii="Arial" w:hAnsi="Arial" w:cs="Arial"/>
        </w:rPr>
        <w:t xml:space="preserve">, </w:t>
      </w:r>
      <w:r w:rsidRPr="00AE616F">
        <w:rPr>
          <w:rFonts w:ascii="Arial" w:hAnsi="Arial" w:cs="Arial"/>
          <w:i/>
          <w:iCs/>
        </w:rPr>
        <w:t>Atkin Chambers</w:t>
      </w:r>
      <w:r w:rsidRPr="00AE616F">
        <w:rPr>
          <w:rFonts w:ascii="Arial" w:hAnsi="Arial" w:cs="Arial"/>
        </w:rPr>
        <w:t xml:space="preserve">. Available at: https://www.atkinchambers.com/vinci-construction-uk-ltd-v-beumer-group-uk-ltd-2018-ewhc-1874-tcc-24-july-2018/ (Accessed: November 27, 2022). </w:t>
      </w:r>
    </w:p>
    <w:p w14:paraId="2A940FFB" w14:textId="77777777" w:rsidR="00592C84" w:rsidRPr="00AE616F" w:rsidRDefault="00592C84" w:rsidP="00592C84">
      <w:pPr>
        <w:pStyle w:val="NormalWeb"/>
        <w:ind w:left="567" w:hanging="567"/>
        <w:rPr>
          <w:rFonts w:ascii="Arial" w:hAnsi="Arial" w:cs="Arial"/>
        </w:rPr>
      </w:pPr>
      <w:r w:rsidRPr="00AE616F">
        <w:rPr>
          <w:rFonts w:ascii="Arial" w:hAnsi="Arial" w:cs="Arial"/>
        </w:rPr>
        <w:t xml:space="preserve">Hopkinson, L. (2022) “Legal and Contract responsibilities in the built environment-20221013_110138-Meeting Recording.” Swansea: Swansea UWTSD, 21 November. </w:t>
      </w:r>
    </w:p>
    <w:p w14:paraId="0D35D618" w14:textId="77777777" w:rsidR="00592C84" w:rsidRPr="00AE616F" w:rsidRDefault="00592C84" w:rsidP="00592C84">
      <w:pPr>
        <w:pStyle w:val="NormalWeb"/>
        <w:ind w:left="567" w:hanging="567"/>
        <w:rPr>
          <w:rFonts w:ascii="Arial" w:hAnsi="Arial" w:cs="Arial"/>
        </w:rPr>
      </w:pPr>
      <w:r w:rsidRPr="00AE616F">
        <w:rPr>
          <w:rFonts w:ascii="Arial" w:hAnsi="Arial" w:cs="Arial"/>
        </w:rPr>
        <w:t xml:space="preserve">Hopkinson, L. (2022) “Legal and Contract responsibilities in the built environment-20221020_111554-Meeting Recording.” Swansea: Swansea UWTSD, 19 November. </w:t>
      </w:r>
    </w:p>
    <w:p w14:paraId="65631C40" w14:textId="77777777" w:rsidR="00592C84" w:rsidRPr="00AE616F" w:rsidRDefault="00592C84" w:rsidP="00592C84">
      <w:pPr>
        <w:pStyle w:val="NormalWeb"/>
        <w:ind w:left="567" w:hanging="567"/>
        <w:rPr>
          <w:rFonts w:ascii="Arial" w:hAnsi="Arial" w:cs="Arial"/>
        </w:rPr>
      </w:pPr>
      <w:r w:rsidRPr="00AE616F">
        <w:rPr>
          <w:rFonts w:ascii="Arial" w:hAnsi="Arial" w:cs="Arial"/>
        </w:rPr>
        <w:t xml:space="preserve">Hopkinson, L. (2022) “Legal and Contract responsibilities in the built environment-20221103_111132-Meeting Recording.” Swansea: Swansea UWTSD, 22 November. </w:t>
      </w:r>
    </w:p>
    <w:p w14:paraId="263FB2AC" w14:textId="77777777" w:rsidR="00592C84" w:rsidRPr="00AE616F" w:rsidRDefault="00592C84" w:rsidP="00592C84">
      <w:pPr>
        <w:pStyle w:val="NormalWeb"/>
        <w:ind w:left="567" w:hanging="567"/>
        <w:rPr>
          <w:rFonts w:ascii="Arial" w:hAnsi="Arial" w:cs="Arial"/>
        </w:rPr>
      </w:pPr>
      <w:r w:rsidRPr="00AE616F">
        <w:rPr>
          <w:rFonts w:ascii="Arial" w:hAnsi="Arial" w:cs="Arial"/>
        </w:rPr>
        <w:t xml:space="preserve">https://www.accaglobal.com, A.C.C.A.- (no date) </w:t>
      </w:r>
      <w:r w:rsidRPr="00AE616F">
        <w:rPr>
          <w:rFonts w:ascii="Arial" w:hAnsi="Arial" w:cs="Arial"/>
          <w:i/>
          <w:iCs/>
        </w:rPr>
        <w:t>The tort of negligence</w:t>
      </w:r>
      <w:r w:rsidRPr="00AE616F">
        <w:rPr>
          <w:rFonts w:ascii="Arial" w:hAnsi="Arial" w:cs="Arial"/>
        </w:rPr>
        <w:t xml:space="preserve">, </w:t>
      </w:r>
      <w:r w:rsidRPr="00AE616F">
        <w:rPr>
          <w:rFonts w:ascii="Arial" w:hAnsi="Arial" w:cs="Arial"/>
          <w:i/>
          <w:iCs/>
        </w:rPr>
        <w:t>F4 Corporate and Business Law | ACCA Qualification | Students | ACCA Global</w:t>
      </w:r>
      <w:r w:rsidRPr="00AE616F">
        <w:rPr>
          <w:rFonts w:ascii="Arial" w:hAnsi="Arial" w:cs="Arial"/>
        </w:rPr>
        <w:t xml:space="preserve">. Available at: https://www.accaglobal.com/gb/en/student/exam-support-resources/fundamentals-exams-study-resources/f4/technical-articles/tort-negligence.html#:~:text=In%20this%20element%20the%20claimant,the%20claimant%27s%20loss%20or%20damage. (Accessed: November 18, 2022). </w:t>
      </w:r>
    </w:p>
    <w:p w14:paraId="74B627C7" w14:textId="77777777" w:rsidR="00592C84" w:rsidRPr="00AE616F" w:rsidRDefault="00592C84" w:rsidP="00592C84">
      <w:pPr>
        <w:pStyle w:val="NormalWeb"/>
        <w:ind w:left="567" w:hanging="567"/>
        <w:rPr>
          <w:rFonts w:ascii="Arial" w:hAnsi="Arial" w:cs="Arial"/>
        </w:rPr>
      </w:pPr>
      <w:r w:rsidRPr="00AE616F">
        <w:rPr>
          <w:rFonts w:ascii="Arial" w:hAnsi="Arial" w:cs="Arial"/>
        </w:rPr>
        <w:t xml:space="preserve">Ltd, A.A. (2022) </w:t>
      </w:r>
      <w:r w:rsidRPr="00AE616F">
        <w:rPr>
          <w:rFonts w:ascii="Arial" w:hAnsi="Arial" w:cs="Arial"/>
          <w:i/>
          <w:iCs/>
        </w:rPr>
        <w:t>Elements of tort of negligence</w:t>
      </w:r>
      <w:r w:rsidRPr="00AE616F">
        <w:rPr>
          <w:rFonts w:ascii="Arial" w:hAnsi="Arial" w:cs="Arial"/>
        </w:rPr>
        <w:t xml:space="preserve">, </w:t>
      </w:r>
      <w:r w:rsidRPr="00AE616F">
        <w:rPr>
          <w:rFonts w:ascii="Arial" w:hAnsi="Arial" w:cs="Arial"/>
          <w:i/>
          <w:iCs/>
        </w:rPr>
        <w:t>Law Teacher</w:t>
      </w:r>
      <w:r w:rsidRPr="00AE616F">
        <w:rPr>
          <w:rFonts w:ascii="Arial" w:hAnsi="Arial" w:cs="Arial"/>
        </w:rPr>
        <w:t xml:space="preserve">. </w:t>
      </w:r>
      <w:proofErr w:type="spellStart"/>
      <w:r w:rsidRPr="00AE616F">
        <w:rPr>
          <w:rFonts w:ascii="Arial" w:hAnsi="Arial" w:cs="Arial"/>
        </w:rPr>
        <w:t>LawTeacher</w:t>
      </w:r>
      <w:proofErr w:type="spellEnd"/>
      <w:r w:rsidRPr="00AE616F">
        <w:rPr>
          <w:rFonts w:ascii="Arial" w:hAnsi="Arial" w:cs="Arial"/>
        </w:rPr>
        <w:t xml:space="preserve">. Available at: https://www.lawteacher.net/free-law-essays/medical-law/elements-of-tort-of-negligence-medical-law-essay.php#:~:text=There%20are%20three%20elements%20in,to%20injury%20to%20his%20neighbor. (Accessed: November 17, 2022). </w:t>
      </w:r>
    </w:p>
    <w:p w14:paraId="0B20FF72" w14:textId="77777777" w:rsidR="00592C84" w:rsidRPr="00AE616F" w:rsidRDefault="00592C84" w:rsidP="00592C84">
      <w:pPr>
        <w:pStyle w:val="NormalWeb"/>
        <w:ind w:left="567" w:hanging="567"/>
        <w:rPr>
          <w:rFonts w:ascii="Arial" w:hAnsi="Arial" w:cs="Arial"/>
        </w:rPr>
      </w:pPr>
      <w:r w:rsidRPr="00AE616F">
        <w:rPr>
          <w:rFonts w:ascii="Arial" w:hAnsi="Arial" w:cs="Arial"/>
          <w:i/>
          <w:iCs/>
        </w:rPr>
        <w:t>Take a case to the technology and Construction Court</w:t>
      </w:r>
      <w:r w:rsidRPr="00AE616F">
        <w:rPr>
          <w:rFonts w:ascii="Arial" w:hAnsi="Arial" w:cs="Arial"/>
        </w:rPr>
        <w:t xml:space="preserve"> (no date) </w:t>
      </w:r>
      <w:r w:rsidRPr="00AE616F">
        <w:rPr>
          <w:rFonts w:ascii="Arial" w:hAnsi="Arial" w:cs="Arial"/>
          <w:i/>
          <w:iCs/>
        </w:rPr>
        <w:t>GOV.UK</w:t>
      </w:r>
      <w:r w:rsidRPr="00AE616F">
        <w:rPr>
          <w:rFonts w:ascii="Arial" w:hAnsi="Arial" w:cs="Arial"/>
        </w:rPr>
        <w:t xml:space="preserve">. Available at: https://www.gov.uk/guidance/take-a-case-to-the-technology-and-construction-court (Accessed: November 27, 2022). </w:t>
      </w:r>
    </w:p>
    <w:p w14:paraId="0BF47F86" w14:textId="573D94E6" w:rsidR="00592C84" w:rsidRDefault="00592C84" w:rsidP="00592C84">
      <w:pPr>
        <w:pStyle w:val="NormalWeb"/>
        <w:ind w:left="567" w:hanging="567"/>
        <w:rPr>
          <w:rFonts w:ascii="Arial" w:hAnsi="Arial" w:cs="Arial"/>
        </w:rPr>
      </w:pPr>
      <w:r w:rsidRPr="00AE616F">
        <w:rPr>
          <w:rFonts w:ascii="Arial" w:hAnsi="Arial" w:cs="Arial"/>
          <w:i/>
          <w:iCs/>
        </w:rPr>
        <w:lastRenderedPageBreak/>
        <w:t>Technology and construction court (TCC) guide - October 2022</w:t>
      </w:r>
      <w:r w:rsidRPr="00AE616F">
        <w:rPr>
          <w:rFonts w:ascii="Arial" w:hAnsi="Arial" w:cs="Arial"/>
        </w:rPr>
        <w:t xml:space="preserve"> (no date) </w:t>
      </w:r>
      <w:r w:rsidRPr="00AE616F">
        <w:rPr>
          <w:rFonts w:ascii="Arial" w:hAnsi="Arial" w:cs="Arial"/>
          <w:i/>
          <w:iCs/>
        </w:rPr>
        <w:t>Courts and Tribunals Judiciary</w:t>
      </w:r>
      <w:r w:rsidRPr="00AE616F">
        <w:rPr>
          <w:rFonts w:ascii="Arial" w:hAnsi="Arial" w:cs="Arial"/>
        </w:rPr>
        <w:t xml:space="preserve">. Available at: https://www.judiciary.uk/guidance-and-resources/technology-and-construction-court-tcc-guide-october-2022/ (Accessed: November 27, 2022). </w:t>
      </w:r>
    </w:p>
    <w:p w14:paraId="70862833" w14:textId="457DE7C2" w:rsidR="007E5D04" w:rsidRPr="007E5D04" w:rsidRDefault="007E5D04" w:rsidP="007E5D04">
      <w:pPr>
        <w:pStyle w:val="NormalWeb"/>
        <w:ind w:left="567" w:hanging="567"/>
        <w:rPr>
          <w:rFonts w:ascii="Arial" w:hAnsi="Arial" w:cs="Arial"/>
        </w:rPr>
      </w:pPr>
      <w:r w:rsidRPr="007E5D04">
        <w:rPr>
          <w:rFonts w:ascii="Arial" w:hAnsi="Arial" w:cs="Arial"/>
          <w:i/>
          <w:iCs/>
        </w:rPr>
        <w:t>Tort | practical law</w:t>
      </w:r>
      <w:r w:rsidRPr="007E5D04">
        <w:rPr>
          <w:rFonts w:ascii="Arial" w:hAnsi="Arial" w:cs="Arial"/>
        </w:rPr>
        <w:t xml:space="preserve"> (no date). Available at: https://uk.practicallaw.thomsonreuters.com/6-107-7397?contextData=(sc.Default) (Accessed: November 25, 2022). </w:t>
      </w:r>
    </w:p>
    <w:p w14:paraId="234CB199" w14:textId="793BD03C" w:rsidR="00521A90" w:rsidRPr="00AE616F" w:rsidRDefault="00521A90" w:rsidP="00521A90">
      <w:pPr>
        <w:pStyle w:val="NormalWeb"/>
        <w:ind w:left="567" w:hanging="567"/>
        <w:rPr>
          <w:rFonts w:ascii="Arial" w:hAnsi="Arial" w:cs="Arial"/>
        </w:rPr>
      </w:pPr>
      <w:r w:rsidRPr="00AE616F">
        <w:rPr>
          <w:rFonts w:ascii="Arial" w:hAnsi="Arial" w:cs="Arial"/>
          <w:i/>
          <w:iCs/>
        </w:rPr>
        <w:t>Westlaw UK</w:t>
      </w:r>
      <w:r w:rsidRPr="00AE616F">
        <w:rPr>
          <w:rFonts w:ascii="Arial" w:hAnsi="Arial" w:cs="Arial"/>
        </w:rPr>
        <w:t xml:space="preserve"> (no date) </w:t>
      </w:r>
      <w:r w:rsidRPr="00AE616F">
        <w:rPr>
          <w:rFonts w:ascii="Arial" w:hAnsi="Arial" w:cs="Arial"/>
          <w:i/>
          <w:iCs/>
        </w:rPr>
        <w:t xml:space="preserve">Westlaw UK (New Platform) </w:t>
      </w:r>
      <w:proofErr w:type="spellStart"/>
      <w:r w:rsidRPr="00AE616F">
        <w:rPr>
          <w:rFonts w:ascii="Arial" w:hAnsi="Arial" w:cs="Arial"/>
          <w:i/>
          <w:iCs/>
        </w:rPr>
        <w:t>Signon</w:t>
      </w:r>
      <w:proofErr w:type="spellEnd"/>
      <w:r w:rsidRPr="00AE616F">
        <w:rPr>
          <w:rFonts w:ascii="Arial" w:hAnsi="Arial" w:cs="Arial"/>
        </w:rPr>
        <w:t xml:space="preserve">. Available at: https://uk.westlaw.com/Document/I7158B290902811E89DDDC5ABC1B55DB9/View/FullText.html?originationContext=document&amp;transitionType=SearchItem&amp;ppcid=093c36af20d1479994bd08e45dba177b&amp;contextData=%28sc.Search%29&amp;navigationPath=Search%2Fv1%2Fresults%2Fnavigation%2Fi0ad73aa600000184ca7e28daabeaf358&amp;listSource=Search&amp;listPageSource=8f80bbff1a8d76b143754e5512430a55&amp;list=UK-CASES&amp;rank=1&amp;comp=wluk (Accessed: November 29, 2022). </w:t>
      </w:r>
    </w:p>
    <w:p w14:paraId="4EAF500E" w14:textId="77777777" w:rsidR="00521A90" w:rsidRPr="00AE616F" w:rsidRDefault="00521A90" w:rsidP="00592C84">
      <w:pPr>
        <w:pStyle w:val="NormalWeb"/>
        <w:ind w:left="567" w:hanging="567"/>
      </w:pPr>
    </w:p>
    <w:p w14:paraId="2861F490" w14:textId="77777777" w:rsidR="00592C84" w:rsidRPr="00AE616F" w:rsidRDefault="00592C84" w:rsidP="005353B3">
      <w:pPr>
        <w:spacing w:line="360" w:lineRule="auto"/>
        <w:rPr>
          <w:rFonts w:ascii="Arial" w:hAnsi="Arial" w:cs="Arial"/>
          <w:sz w:val="24"/>
          <w:szCs w:val="24"/>
        </w:rPr>
      </w:pPr>
    </w:p>
    <w:sectPr w:rsidR="00592C84" w:rsidRPr="00AE616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853D6" w14:textId="77777777" w:rsidR="00165DF0" w:rsidRDefault="00165DF0" w:rsidP="00FD4F6E">
      <w:pPr>
        <w:spacing w:after="0" w:line="240" w:lineRule="auto"/>
      </w:pPr>
      <w:r>
        <w:separator/>
      </w:r>
    </w:p>
  </w:endnote>
  <w:endnote w:type="continuationSeparator" w:id="0">
    <w:p w14:paraId="7A1E98DE" w14:textId="77777777" w:rsidR="00165DF0" w:rsidRDefault="00165DF0" w:rsidP="00FD4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3E915" w14:textId="77802B9A" w:rsidR="00FD4F6E" w:rsidRDefault="00FD4F6E">
    <w:pPr>
      <w:pStyle w:val="Footer"/>
      <w:jc w:val="right"/>
    </w:pPr>
    <w:r>
      <w:t>ACBA4004</w:t>
    </w:r>
    <w:r>
      <w:tab/>
      <w:t>Cerith Edwards</w:t>
    </w:r>
    <w:r>
      <w:tab/>
    </w:r>
    <w:sdt>
      <w:sdtPr>
        <w:id w:val="371963010"/>
        <w:docPartObj>
          <w:docPartGallery w:val="Page Numbers (Bottom of Pag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BC01224" w14:textId="1161AF09" w:rsidR="00FD4F6E" w:rsidRDefault="00FD4F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85CA2" w14:textId="77777777" w:rsidR="00165DF0" w:rsidRDefault="00165DF0" w:rsidP="00FD4F6E">
      <w:pPr>
        <w:spacing w:after="0" w:line="240" w:lineRule="auto"/>
      </w:pPr>
      <w:r>
        <w:separator/>
      </w:r>
    </w:p>
  </w:footnote>
  <w:footnote w:type="continuationSeparator" w:id="0">
    <w:p w14:paraId="6B9551F9" w14:textId="77777777" w:rsidR="00165DF0" w:rsidRDefault="00165DF0" w:rsidP="00FD4F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96AD4"/>
    <w:multiLevelType w:val="hybridMultilevel"/>
    <w:tmpl w:val="EC925F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C9D7908"/>
    <w:multiLevelType w:val="hybridMultilevel"/>
    <w:tmpl w:val="D7464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E7792B"/>
    <w:multiLevelType w:val="multilevel"/>
    <w:tmpl w:val="5ED0C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FDA5CEB"/>
    <w:multiLevelType w:val="hybridMultilevel"/>
    <w:tmpl w:val="BC303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5905743">
    <w:abstractNumId w:val="0"/>
  </w:num>
  <w:num w:numId="2" w16cid:durableId="444617671">
    <w:abstractNumId w:val="1"/>
  </w:num>
  <w:num w:numId="3" w16cid:durableId="1893349635">
    <w:abstractNumId w:val="3"/>
  </w:num>
  <w:num w:numId="4" w16cid:durableId="6028822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296"/>
    <w:rsid w:val="0000415B"/>
    <w:rsid w:val="00067E4C"/>
    <w:rsid w:val="000700C2"/>
    <w:rsid w:val="000803BE"/>
    <w:rsid w:val="00080642"/>
    <w:rsid w:val="000C1EF6"/>
    <w:rsid w:val="001632DB"/>
    <w:rsid w:val="00165DF0"/>
    <w:rsid w:val="00171CE7"/>
    <w:rsid w:val="001A5733"/>
    <w:rsid w:val="001C0657"/>
    <w:rsid w:val="001D2057"/>
    <w:rsid w:val="00293D8F"/>
    <w:rsid w:val="002F2853"/>
    <w:rsid w:val="00310AEE"/>
    <w:rsid w:val="00350B98"/>
    <w:rsid w:val="00406DB2"/>
    <w:rsid w:val="00410C92"/>
    <w:rsid w:val="004273B3"/>
    <w:rsid w:val="004A3416"/>
    <w:rsid w:val="004B6EB2"/>
    <w:rsid w:val="004D0890"/>
    <w:rsid w:val="005076F3"/>
    <w:rsid w:val="00521A90"/>
    <w:rsid w:val="005353B3"/>
    <w:rsid w:val="005366FD"/>
    <w:rsid w:val="00574F3D"/>
    <w:rsid w:val="00581252"/>
    <w:rsid w:val="00592C84"/>
    <w:rsid w:val="005A2A81"/>
    <w:rsid w:val="005B0B4B"/>
    <w:rsid w:val="00600F7D"/>
    <w:rsid w:val="00605E5F"/>
    <w:rsid w:val="00633EC6"/>
    <w:rsid w:val="00640DC0"/>
    <w:rsid w:val="00660A94"/>
    <w:rsid w:val="00665268"/>
    <w:rsid w:val="006A72A2"/>
    <w:rsid w:val="006B0E84"/>
    <w:rsid w:val="007D2C5D"/>
    <w:rsid w:val="007E5D04"/>
    <w:rsid w:val="008518C4"/>
    <w:rsid w:val="00861E1C"/>
    <w:rsid w:val="0088088E"/>
    <w:rsid w:val="008C037E"/>
    <w:rsid w:val="008E4E33"/>
    <w:rsid w:val="008E6F03"/>
    <w:rsid w:val="008F7565"/>
    <w:rsid w:val="009325AB"/>
    <w:rsid w:val="009E520A"/>
    <w:rsid w:val="009F5AF0"/>
    <w:rsid w:val="00A2716D"/>
    <w:rsid w:val="00A32A8C"/>
    <w:rsid w:val="00A41604"/>
    <w:rsid w:val="00A64AEF"/>
    <w:rsid w:val="00AA1488"/>
    <w:rsid w:val="00AA5296"/>
    <w:rsid w:val="00AC65D5"/>
    <w:rsid w:val="00AD64D6"/>
    <w:rsid w:val="00AE616F"/>
    <w:rsid w:val="00B145C6"/>
    <w:rsid w:val="00B47945"/>
    <w:rsid w:val="00B75259"/>
    <w:rsid w:val="00B87EBA"/>
    <w:rsid w:val="00BB4122"/>
    <w:rsid w:val="00BB6D85"/>
    <w:rsid w:val="00BF0425"/>
    <w:rsid w:val="00C028AC"/>
    <w:rsid w:val="00C10BE1"/>
    <w:rsid w:val="00C166DD"/>
    <w:rsid w:val="00C37396"/>
    <w:rsid w:val="00C450CF"/>
    <w:rsid w:val="00C54342"/>
    <w:rsid w:val="00CF60F0"/>
    <w:rsid w:val="00D264EA"/>
    <w:rsid w:val="00D4165C"/>
    <w:rsid w:val="00D6152C"/>
    <w:rsid w:val="00E30BEF"/>
    <w:rsid w:val="00E573D4"/>
    <w:rsid w:val="00E64C91"/>
    <w:rsid w:val="00E96AA7"/>
    <w:rsid w:val="00EA7EA1"/>
    <w:rsid w:val="00F276C8"/>
    <w:rsid w:val="00F44523"/>
    <w:rsid w:val="00F52304"/>
    <w:rsid w:val="00F95586"/>
    <w:rsid w:val="00FD4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02CDAF"/>
  <w15:chartTrackingRefBased/>
  <w15:docId w15:val="{28AEFD67-1569-487C-B066-BAFCD7D7D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296"/>
  </w:style>
  <w:style w:type="paragraph" w:styleId="Heading1">
    <w:name w:val="heading 1"/>
    <w:basedOn w:val="Normal"/>
    <w:next w:val="Normal"/>
    <w:link w:val="Heading1Char"/>
    <w:qFormat/>
    <w:rsid w:val="00AA5296"/>
    <w:pPr>
      <w:keepNext/>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uiPriority w:val="9"/>
    <w:unhideWhenUsed/>
    <w:qFormat/>
    <w:rsid w:val="00C543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5296"/>
    <w:rPr>
      <w:rFonts w:ascii="Arial" w:eastAsia="Times New Roman" w:hAnsi="Arial" w:cs="Arial"/>
      <w:b/>
      <w:bCs/>
      <w:kern w:val="32"/>
      <w:sz w:val="32"/>
      <w:szCs w:val="32"/>
      <w:lang w:eastAsia="en-GB"/>
    </w:rPr>
  </w:style>
  <w:style w:type="paragraph" w:styleId="NoSpacing">
    <w:name w:val="No Spacing"/>
    <w:link w:val="NoSpacingChar"/>
    <w:uiPriority w:val="1"/>
    <w:qFormat/>
    <w:rsid w:val="00AA52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A5296"/>
    <w:rPr>
      <w:rFonts w:eastAsiaTheme="minorEastAsia"/>
      <w:lang w:val="en-US"/>
    </w:rPr>
  </w:style>
  <w:style w:type="paragraph" w:styleId="TOCHeading">
    <w:name w:val="TOC Heading"/>
    <w:basedOn w:val="Heading1"/>
    <w:next w:val="Normal"/>
    <w:uiPriority w:val="39"/>
    <w:unhideWhenUsed/>
    <w:qFormat/>
    <w:rsid w:val="00AA5296"/>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1">
    <w:name w:val="toc 1"/>
    <w:basedOn w:val="Normal"/>
    <w:next w:val="Normal"/>
    <w:autoRedefine/>
    <w:uiPriority w:val="39"/>
    <w:unhideWhenUsed/>
    <w:rsid w:val="00AA5296"/>
    <w:pPr>
      <w:spacing w:after="100"/>
    </w:pPr>
  </w:style>
  <w:style w:type="character" w:styleId="Hyperlink">
    <w:name w:val="Hyperlink"/>
    <w:basedOn w:val="DefaultParagraphFont"/>
    <w:uiPriority w:val="99"/>
    <w:unhideWhenUsed/>
    <w:rsid w:val="00AA5296"/>
    <w:rPr>
      <w:color w:val="0563C1" w:themeColor="hyperlink"/>
      <w:u w:val="single"/>
    </w:rPr>
  </w:style>
  <w:style w:type="paragraph" w:styleId="ListParagraph">
    <w:name w:val="List Paragraph"/>
    <w:basedOn w:val="Normal"/>
    <w:uiPriority w:val="34"/>
    <w:qFormat/>
    <w:rsid w:val="00AA5296"/>
    <w:pPr>
      <w:ind w:left="720"/>
      <w:contextualSpacing/>
    </w:pPr>
  </w:style>
  <w:style w:type="paragraph" w:styleId="Header">
    <w:name w:val="header"/>
    <w:basedOn w:val="Normal"/>
    <w:link w:val="HeaderChar"/>
    <w:uiPriority w:val="99"/>
    <w:unhideWhenUsed/>
    <w:rsid w:val="00FD4F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4F6E"/>
  </w:style>
  <w:style w:type="paragraph" w:styleId="Footer">
    <w:name w:val="footer"/>
    <w:basedOn w:val="Normal"/>
    <w:link w:val="FooterChar"/>
    <w:uiPriority w:val="99"/>
    <w:unhideWhenUsed/>
    <w:rsid w:val="00FD4F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F6E"/>
  </w:style>
  <w:style w:type="character" w:customStyle="1" w:styleId="css-x8fsqd">
    <w:name w:val="css-x8fsqd"/>
    <w:basedOn w:val="DefaultParagraphFont"/>
    <w:rsid w:val="00293D8F"/>
  </w:style>
  <w:style w:type="character" w:customStyle="1" w:styleId="css-guq32d">
    <w:name w:val="css-guq32d"/>
    <w:basedOn w:val="DefaultParagraphFont"/>
    <w:rsid w:val="00293D8F"/>
  </w:style>
  <w:style w:type="paragraph" w:styleId="NormalWeb">
    <w:name w:val="Normal (Web)"/>
    <w:basedOn w:val="Normal"/>
    <w:uiPriority w:val="99"/>
    <w:unhideWhenUsed/>
    <w:rsid w:val="00592C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4342"/>
    <w:rPr>
      <w:b/>
      <w:bCs/>
    </w:rPr>
  </w:style>
  <w:style w:type="character" w:customStyle="1" w:styleId="Heading2Char">
    <w:name w:val="Heading 2 Char"/>
    <w:basedOn w:val="DefaultParagraphFont"/>
    <w:link w:val="Heading2"/>
    <w:uiPriority w:val="9"/>
    <w:rsid w:val="00C5434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10C92"/>
    <w:pPr>
      <w:spacing w:after="100"/>
      <w:ind w:left="220"/>
    </w:pPr>
  </w:style>
  <w:style w:type="paragraph" w:styleId="TOC3">
    <w:name w:val="toc 3"/>
    <w:basedOn w:val="Normal"/>
    <w:next w:val="Normal"/>
    <w:autoRedefine/>
    <w:uiPriority w:val="39"/>
    <w:unhideWhenUsed/>
    <w:rsid w:val="00171CE7"/>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121347">
      <w:bodyDiv w:val="1"/>
      <w:marLeft w:val="0"/>
      <w:marRight w:val="0"/>
      <w:marTop w:val="0"/>
      <w:marBottom w:val="0"/>
      <w:divBdr>
        <w:top w:val="none" w:sz="0" w:space="0" w:color="auto"/>
        <w:left w:val="none" w:sz="0" w:space="0" w:color="auto"/>
        <w:bottom w:val="none" w:sz="0" w:space="0" w:color="auto"/>
        <w:right w:val="none" w:sz="0" w:space="0" w:color="auto"/>
      </w:divBdr>
    </w:div>
    <w:div w:id="812214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lara.hopkinson@uwtsd.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1424078773A46F888EE0BC0EEAF1306"/>
        <w:category>
          <w:name w:val="General"/>
          <w:gallery w:val="placeholder"/>
        </w:category>
        <w:types>
          <w:type w:val="bbPlcHdr"/>
        </w:types>
        <w:behaviors>
          <w:behavior w:val="content"/>
        </w:behaviors>
        <w:guid w:val="{931E7AF8-5B23-4454-898D-31B5B768AB7E}"/>
      </w:docPartPr>
      <w:docPartBody>
        <w:p w:rsidR="008B2612" w:rsidRDefault="0097056B" w:rsidP="0097056B">
          <w:pPr>
            <w:pStyle w:val="41424078773A46F888EE0BC0EEAF1306"/>
          </w:pPr>
          <w:r>
            <w:rPr>
              <w:rFonts w:asciiTheme="majorHAnsi" w:eastAsiaTheme="majorEastAsia" w:hAnsiTheme="majorHAnsi" w:cstheme="majorBidi"/>
              <w:caps/>
              <w:color w:val="4472C4" w:themeColor="accent1"/>
              <w:sz w:val="80"/>
              <w:szCs w:val="80"/>
            </w:rPr>
            <w:t>[Document title]</w:t>
          </w:r>
        </w:p>
      </w:docPartBody>
    </w:docPart>
    <w:docPart>
      <w:docPartPr>
        <w:name w:val="08C63327B600430C887F2EA06F790E25"/>
        <w:category>
          <w:name w:val="General"/>
          <w:gallery w:val="placeholder"/>
        </w:category>
        <w:types>
          <w:type w:val="bbPlcHdr"/>
        </w:types>
        <w:behaviors>
          <w:behavior w:val="content"/>
        </w:behaviors>
        <w:guid w:val="{A9EB9158-5BA2-4785-B889-45DD5DB25E95}"/>
      </w:docPartPr>
      <w:docPartBody>
        <w:p w:rsidR="008B2612" w:rsidRDefault="0097056B" w:rsidP="0097056B">
          <w:pPr>
            <w:pStyle w:val="08C63327B600430C887F2EA06F790E2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56B"/>
    <w:rsid w:val="002120D8"/>
    <w:rsid w:val="002A27A1"/>
    <w:rsid w:val="002B7ECC"/>
    <w:rsid w:val="004764D1"/>
    <w:rsid w:val="0048521A"/>
    <w:rsid w:val="007C5126"/>
    <w:rsid w:val="007D615D"/>
    <w:rsid w:val="008B2612"/>
    <w:rsid w:val="0097056B"/>
    <w:rsid w:val="00AC2C52"/>
    <w:rsid w:val="00BF2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424078773A46F888EE0BC0EEAF1306">
    <w:name w:val="41424078773A46F888EE0BC0EEAF1306"/>
    <w:rsid w:val="0097056B"/>
  </w:style>
  <w:style w:type="paragraph" w:customStyle="1" w:styleId="08C63327B600430C887F2EA06F790E25">
    <w:name w:val="08C63327B600430C887F2EA06F790E25"/>
    <w:rsid w:val="009705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2022-11-30T00:00:00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11</Pages>
  <Words>2662</Words>
  <Characters>15176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Legal and contract responsibilities in the Built Environment</vt:lpstr>
    </vt:vector>
  </TitlesOfParts>
  <Company>Word Count: 2152</Company>
  <LinksUpToDate>false</LinksUpToDate>
  <CharactersWithSpaces>17803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and contract responsibilities in the Built Environment</dc:title>
  <dc:subject>Negligence in Construction</dc:subject>
  <dc:creator>Cerith Edwards</dc:creator>
  <cp:keywords/>
  <dc:description/>
  <cp:lastModifiedBy>Cerith Edwards</cp:lastModifiedBy>
  <cp:revision>50</cp:revision>
  <dcterms:created xsi:type="dcterms:W3CDTF">2022-11-26T12:25:00Z</dcterms:created>
  <dcterms:modified xsi:type="dcterms:W3CDTF">2022-12-01T20:33:00Z</dcterms:modified>
</cp:coreProperties>
</file>