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1CD065B6" w:rsidR="00AA770E" w:rsidRDefault="1DD88C88" w:rsidP="1DD88C88">
      <w:pPr>
        <w:spacing w:line="276" w:lineRule="auto"/>
        <w:jc w:val="center"/>
        <w:rPr>
          <w:rFonts w:ascii="Times New Roman" w:eastAsia="Times New Roman" w:hAnsi="Times New Roman" w:cs="Times New Roman"/>
          <w:sz w:val="24"/>
          <w:szCs w:val="24"/>
          <w:u w:val="single"/>
        </w:rPr>
      </w:pPr>
      <w:proofErr w:type="gramStart"/>
      <w:r w:rsidRPr="1DD88C88">
        <w:rPr>
          <w:rFonts w:ascii="Times New Roman" w:eastAsia="Times New Roman" w:hAnsi="Times New Roman" w:cs="Times New Roman"/>
          <w:sz w:val="24"/>
          <w:szCs w:val="24"/>
          <w:u w:val="single"/>
        </w:rPr>
        <w:t>Antiochus</w:t>
      </w:r>
      <w:proofErr w:type="gramEnd"/>
      <w:r w:rsidRPr="1DD88C88">
        <w:rPr>
          <w:rFonts w:ascii="Times New Roman" w:eastAsia="Times New Roman" w:hAnsi="Times New Roman" w:cs="Times New Roman"/>
          <w:sz w:val="24"/>
          <w:szCs w:val="24"/>
          <w:u w:val="single"/>
        </w:rPr>
        <w:t xml:space="preserve"> I </w:t>
      </w:r>
      <w:proofErr w:type="spellStart"/>
      <w:r w:rsidRPr="1DD88C88">
        <w:rPr>
          <w:rFonts w:ascii="Times New Roman" w:eastAsia="Times New Roman" w:hAnsi="Times New Roman" w:cs="Times New Roman"/>
          <w:sz w:val="24"/>
          <w:szCs w:val="24"/>
          <w:u w:val="single"/>
        </w:rPr>
        <w:t>Borsippa</w:t>
      </w:r>
      <w:proofErr w:type="spellEnd"/>
      <w:r w:rsidRPr="1DD88C88">
        <w:rPr>
          <w:rFonts w:ascii="Times New Roman" w:eastAsia="Times New Roman" w:hAnsi="Times New Roman" w:cs="Times New Roman"/>
          <w:sz w:val="24"/>
          <w:szCs w:val="24"/>
          <w:u w:val="single"/>
        </w:rPr>
        <w:t xml:space="preserve"> Cylinder</w:t>
      </w:r>
    </w:p>
    <w:p w14:paraId="566703E4" w14:textId="069DB59F" w:rsidR="7AC772B2" w:rsidRDefault="7AC772B2" w:rsidP="1DD88C88">
      <w:pPr>
        <w:spacing w:line="276" w:lineRule="auto"/>
        <w:rPr>
          <w:rFonts w:ascii="Times New Roman" w:eastAsia="Times New Roman" w:hAnsi="Times New Roman" w:cs="Times New Roman"/>
          <w:sz w:val="24"/>
          <w:szCs w:val="24"/>
        </w:rPr>
      </w:pPr>
    </w:p>
    <w:p w14:paraId="09675672" w14:textId="6E4DD6F7" w:rsidR="1DD88C88"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 xml:space="preserve">The Antiochus I </w:t>
      </w:r>
      <w:proofErr w:type="spellStart"/>
      <w:r w:rsidRPr="1DD88C88">
        <w:rPr>
          <w:rFonts w:ascii="Times New Roman" w:eastAsia="Times New Roman" w:hAnsi="Times New Roman" w:cs="Times New Roman"/>
          <w:sz w:val="24"/>
          <w:szCs w:val="24"/>
        </w:rPr>
        <w:t>Borsippa</w:t>
      </w:r>
      <w:proofErr w:type="spellEnd"/>
      <w:r w:rsidRPr="1DD88C88">
        <w:rPr>
          <w:rFonts w:ascii="Times New Roman" w:eastAsia="Times New Roman" w:hAnsi="Times New Roman" w:cs="Times New Roman"/>
          <w:sz w:val="24"/>
          <w:szCs w:val="24"/>
        </w:rPr>
        <w:t xml:space="preserve"> Cylinder was found in Babylon, modern day Iraq, and is believed to be a prayer cylinder placed in the Temple of </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xml:space="preserve"> when they rebuilt a section of it, which now has sadly been destroyed. This is shown in the text through the section of prayer to the god </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xml:space="preserve">, which carries on past the section of text given. This cylinder is very traditional with other prayer cylinders of the time, therefore showing that the Macedonian's kept the traditions of the empires that they conquered, rather that fully immersing them in the Hellenistic culture. The placing of this barrel shaped cylinder in the temple was marked with a religious ceremony. </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xml:space="preserve"> is a Babylonian god, he was the patron God of </w:t>
      </w:r>
      <w:proofErr w:type="spellStart"/>
      <w:r w:rsidRPr="1DD88C88">
        <w:rPr>
          <w:rFonts w:ascii="Times New Roman" w:eastAsia="Times New Roman" w:hAnsi="Times New Roman" w:cs="Times New Roman"/>
          <w:sz w:val="24"/>
          <w:szCs w:val="24"/>
        </w:rPr>
        <w:t>Borsippa</w:t>
      </w:r>
      <w:proofErr w:type="spellEnd"/>
      <w:r w:rsidRPr="1DD88C88">
        <w:rPr>
          <w:rFonts w:ascii="Times New Roman" w:eastAsia="Times New Roman" w:hAnsi="Times New Roman" w:cs="Times New Roman"/>
          <w:sz w:val="24"/>
          <w:szCs w:val="24"/>
        </w:rPr>
        <w:t xml:space="preserve">, and was the god of wisdom, and of writing, in fact, after </w:t>
      </w:r>
      <w:proofErr w:type="spellStart"/>
      <w:r w:rsidRPr="1DD88C88">
        <w:rPr>
          <w:rFonts w:ascii="Times New Roman" w:eastAsia="Times New Roman" w:hAnsi="Times New Roman" w:cs="Times New Roman"/>
          <w:sz w:val="24"/>
          <w:szCs w:val="24"/>
        </w:rPr>
        <w:t>Marduk</w:t>
      </w:r>
      <w:proofErr w:type="spellEnd"/>
      <w:r w:rsidRPr="1DD88C88">
        <w:rPr>
          <w:rFonts w:ascii="Times New Roman" w:eastAsia="Times New Roman" w:hAnsi="Times New Roman" w:cs="Times New Roman"/>
          <w:sz w:val="24"/>
          <w:szCs w:val="24"/>
        </w:rPr>
        <w:t>, the chief god of Babylon and his presumed to be his father</w:t>
      </w:r>
      <w:r w:rsidRPr="1DD88C88">
        <w:rPr>
          <w:rStyle w:val="FootnoteReference"/>
          <w:rFonts w:ascii="Times New Roman" w:eastAsia="Times New Roman" w:hAnsi="Times New Roman" w:cs="Times New Roman"/>
          <w:sz w:val="24"/>
          <w:szCs w:val="24"/>
        </w:rPr>
        <w:footnoteReference w:id="1"/>
      </w:r>
      <w:r w:rsidRPr="1DD88C88">
        <w:rPr>
          <w:rFonts w:ascii="Times New Roman" w:eastAsia="Times New Roman" w:hAnsi="Times New Roman" w:cs="Times New Roman"/>
          <w:sz w:val="24"/>
          <w:szCs w:val="24"/>
        </w:rPr>
        <w:t xml:space="preserve">, </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xml:space="preserve"> was the most important god of Babylon. The temple that was being constructed was the temple of wisdom.</w:t>
      </w:r>
    </w:p>
    <w:p w14:paraId="272E054C" w14:textId="32599BDB" w:rsidR="1DD88C88" w:rsidRDefault="1DD88C88" w:rsidP="1DD88C88">
      <w:pPr>
        <w:spacing w:line="276" w:lineRule="auto"/>
        <w:rPr>
          <w:rFonts w:ascii="Times New Roman" w:eastAsia="Times New Roman" w:hAnsi="Times New Roman" w:cs="Times New Roman"/>
          <w:sz w:val="24"/>
          <w:szCs w:val="24"/>
        </w:rPr>
      </w:pPr>
    </w:p>
    <w:p w14:paraId="429E3546" w14:textId="15612F02" w:rsidR="6FE3C3F9" w:rsidRDefault="6FE3C3F9"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 xml:space="preserve">The first paragraph of translation of this text extract lists all the titles of Antiochus I at the time this cylinder was created. The second paragraph goes on to talk about how Antiochus is involved with the building of the temple and finally the third paragraph, which carries on out of the extract given, is a prayer to the god </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the god which the temple is dedicated to.</w:t>
      </w:r>
      <w:r w:rsidRPr="1DD88C88">
        <w:rPr>
          <w:rStyle w:val="FootnoteReference"/>
          <w:rFonts w:ascii="Times New Roman" w:eastAsia="Times New Roman" w:hAnsi="Times New Roman" w:cs="Times New Roman"/>
          <w:sz w:val="24"/>
          <w:szCs w:val="24"/>
        </w:rPr>
        <w:footnoteReference w:id="2"/>
      </w:r>
      <w:r w:rsidRPr="1DD88C88">
        <w:rPr>
          <w:rFonts w:ascii="Times New Roman" w:eastAsia="Times New Roman" w:hAnsi="Times New Roman" w:cs="Times New Roman"/>
          <w:sz w:val="24"/>
          <w:szCs w:val="24"/>
        </w:rPr>
        <w:t xml:space="preserve"> According to Sherwin-White this prayer would have been said to ensure prosperity of Antiochus' kingdom – defeating their enemies, long life, stability and so on.</w:t>
      </w:r>
      <w:r w:rsidRPr="1DD88C88">
        <w:rPr>
          <w:rStyle w:val="FootnoteReference"/>
          <w:rFonts w:ascii="Times New Roman" w:eastAsia="Times New Roman" w:hAnsi="Times New Roman" w:cs="Times New Roman"/>
          <w:sz w:val="24"/>
          <w:szCs w:val="24"/>
        </w:rPr>
        <w:footnoteReference w:id="3"/>
      </w:r>
      <w:r w:rsidRPr="1DD88C88">
        <w:rPr>
          <w:rFonts w:ascii="Times New Roman" w:eastAsia="Times New Roman" w:hAnsi="Times New Roman" w:cs="Times New Roman"/>
          <w:sz w:val="24"/>
          <w:szCs w:val="24"/>
        </w:rPr>
        <w:t xml:space="preserve"> The title of Antiochus on the cylinder explains who he is and his claim to the empire that was once founded by Alexander the Great. In these titles it also describes him not just as the ruler of an empire, but a protector of the temples of </w:t>
      </w:r>
      <w:proofErr w:type="spellStart"/>
      <w:r w:rsidRPr="1DD88C88">
        <w:rPr>
          <w:rFonts w:ascii="Times New Roman" w:eastAsia="Times New Roman" w:hAnsi="Times New Roman" w:cs="Times New Roman"/>
          <w:sz w:val="24"/>
          <w:szCs w:val="24"/>
        </w:rPr>
        <w:t>Esagila</w:t>
      </w:r>
      <w:proofErr w:type="spellEnd"/>
      <w:r w:rsidRPr="1DD88C88">
        <w:rPr>
          <w:rFonts w:ascii="Times New Roman" w:eastAsia="Times New Roman" w:hAnsi="Times New Roman" w:cs="Times New Roman"/>
          <w:sz w:val="24"/>
          <w:szCs w:val="24"/>
        </w:rPr>
        <w:t xml:space="preserve"> and </w:t>
      </w:r>
      <w:proofErr w:type="spellStart"/>
      <w:r w:rsidRPr="1DD88C88">
        <w:rPr>
          <w:rFonts w:ascii="Times New Roman" w:eastAsia="Times New Roman" w:hAnsi="Times New Roman" w:cs="Times New Roman"/>
          <w:sz w:val="24"/>
          <w:szCs w:val="24"/>
        </w:rPr>
        <w:t>Ezida</w:t>
      </w:r>
      <w:proofErr w:type="spellEnd"/>
      <w:r w:rsidRPr="1DD88C88">
        <w:rPr>
          <w:rFonts w:ascii="Times New Roman" w:eastAsia="Times New Roman" w:hAnsi="Times New Roman" w:cs="Times New Roman"/>
          <w:sz w:val="24"/>
          <w:szCs w:val="24"/>
        </w:rPr>
        <w:t>, showing that he was not just a new ruler from Macedonia that took over as king from Babylon but he was much more than that. As king of Babylon he was also carer for their temples, he was the go between for his people and their gods. However, in an article by Stevens the translation used is provider</w:t>
      </w:r>
      <w:r w:rsidRPr="1DD88C88">
        <w:rPr>
          <w:rStyle w:val="FootnoteReference"/>
          <w:rFonts w:ascii="Times New Roman" w:eastAsia="Times New Roman" w:hAnsi="Times New Roman" w:cs="Times New Roman"/>
          <w:sz w:val="24"/>
          <w:szCs w:val="24"/>
        </w:rPr>
        <w:footnoteReference w:id="4"/>
      </w:r>
      <w:r w:rsidRPr="1DD88C88">
        <w:rPr>
          <w:rFonts w:ascii="Times New Roman" w:eastAsia="Times New Roman" w:hAnsi="Times New Roman" w:cs="Times New Roman"/>
          <w:sz w:val="24"/>
          <w:szCs w:val="24"/>
        </w:rPr>
        <w:t xml:space="preserve"> rather than protector, giving a slightly different meaning to the position – meaning that Antiochus I </w:t>
      </w:r>
      <w:proofErr w:type="gramStart"/>
      <w:r w:rsidRPr="1DD88C88">
        <w:rPr>
          <w:rFonts w:ascii="Times New Roman" w:eastAsia="Times New Roman" w:hAnsi="Times New Roman" w:cs="Times New Roman"/>
          <w:sz w:val="24"/>
          <w:szCs w:val="24"/>
        </w:rPr>
        <w:t>has</w:t>
      </w:r>
      <w:proofErr w:type="gramEnd"/>
      <w:r w:rsidRPr="1DD88C88">
        <w:rPr>
          <w:rFonts w:ascii="Times New Roman" w:eastAsia="Times New Roman" w:hAnsi="Times New Roman" w:cs="Times New Roman"/>
          <w:sz w:val="24"/>
          <w:szCs w:val="24"/>
        </w:rPr>
        <w:t xml:space="preserve"> to provide for the temple and the god </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xml:space="preserve">, rather than just protect the temple. In the first and third paragraphs of this extract, Antiochus' father is named, as well as </w:t>
      </w:r>
      <w:proofErr w:type="spellStart"/>
      <w:r w:rsidRPr="1DD88C88">
        <w:rPr>
          <w:rFonts w:ascii="Times New Roman" w:eastAsia="Times New Roman" w:hAnsi="Times New Roman" w:cs="Times New Roman"/>
          <w:sz w:val="24"/>
          <w:szCs w:val="24"/>
        </w:rPr>
        <w:t>Nabu's</w:t>
      </w:r>
      <w:proofErr w:type="spellEnd"/>
      <w:r w:rsidRPr="1DD88C88">
        <w:rPr>
          <w:rFonts w:ascii="Times New Roman" w:eastAsia="Times New Roman" w:hAnsi="Times New Roman" w:cs="Times New Roman"/>
          <w:sz w:val="24"/>
          <w:szCs w:val="24"/>
        </w:rPr>
        <w:t xml:space="preserve"> father and mother, Kosmin suggests in an article that this is to draw parallels between Antiochus and the gods and make him seem to have an even stronger legitimate rule to Babylon.</w:t>
      </w:r>
      <w:r w:rsidRPr="1DD88C88">
        <w:rPr>
          <w:rStyle w:val="FootnoteReference"/>
          <w:rFonts w:ascii="Times New Roman" w:eastAsia="Times New Roman" w:hAnsi="Times New Roman" w:cs="Times New Roman"/>
          <w:sz w:val="24"/>
          <w:szCs w:val="24"/>
        </w:rPr>
        <w:footnoteReference w:id="5"/>
      </w:r>
    </w:p>
    <w:p w14:paraId="301A252C" w14:textId="019C5B5D" w:rsidR="6FE3C3F9" w:rsidRDefault="6FE3C3F9" w:rsidP="1DD88C88">
      <w:pPr>
        <w:spacing w:line="276" w:lineRule="auto"/>
        <w:rPr>
          <w:rFonts w:ascii="Times New Roman" w:eastAsia="Times New Roman" w:hAnsi="Times New Roman" w:cs="Times New Roman"/>
          <w:sz w:val="24"/>
          <w:szCs w:val="24"/>
        </w:rPr>
      </w:pPr>
    </w:p>
    <w:p w14:paraId="1E1B24DA" w14:textId="2AF3810F" w:rsidR="6FE3C3F9" w:rsidRDefault="6FE3C3F9"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 xml:space="preserve">The inscription on the cylinder was written in Akkadian, an ancient language – which by the time this cylinder was created was no longer a living or spoken language. Though this did not seem to matter as this was the language in which is was appropriate to speak to the gods in, as </w:t>
      </w:r>
      <w:r w:rsidRPr="1DD88C88">
        <w:rPr>
          <w:rFonts w:ascii="Times New Roman" w:eastAsia="Times New Roman" w:hAnsi="Times New Roman" w:cs="Times New Roman"/>
          <w:sz w:val="24"/>
          <w:szCs w:val="24"/>
        </w:rPr>
        <w:lastRenderedPageBreak/>
        <w:t>it carried authority.</w:t>
      </w:r>
      <w:r w:rsidRPr="1DD88C88">
        <w:rPr>
          <w:rStyle w:val="FootnoteReference"/>
          <w:rFonts w:ascii="Times New Roman" w:eastAsia="Times New Roman" w:hAnsi="Times New Roman" w:cs="Times New Roman"/>
          <w:sz w:val="24"/>
          <w:szCs w:val="24"/>
        </w:rPr>
        <w:footnoteReference w:id="6"/>
      </w:r>
      <w:r w:rsidRPr="1DD88C88">
        <w:rPr>
          <w:rFonts w:ascii="Times New Roman" w:eastAsia="Times New Roman" w:hAnsi="Times New Roman" w:cs="Times New Roman"/>
          <w:sz w:val="24"/>
          <w:szCs w:val="24"/>
        </w:rPr>
        <w:t xml:space="preserve"> In fact it was very likely that the king at the time did not understand what he was saying, as the language would not have been known to him, especially if he was the ruler of the Hellenistic Greek empire. The ceremony in which the placing of the prayer cylinder took place included sacrifices, lamenting</w:t>
      </w:r>
      <w:r w:rsidRPr="1DD88C88">
        <w:rPr>
          <w:rStyle w:val="FootnoteReference"/>
          <w:rFonts w:ascii="Times New Roman" w:eastAsia="Times New Roman" w:hAnsi="Times New Roman" w:cs="Times New Roman"/>
          <w:sz w:val="24"/>
          <w:szCs w:val="24"/>
        </w:rPr>
        <w:footnoteReference w:id="7"/>
      </w:r>
      <w:r w:rsidRPr="1DD88C88">
        <w:rPr>
          <w:rFonts w:ascii="Times New Roman" w:eastAsia="Times New Roman" w:hAnsi="Times New Roman" w:cs="Times New Roman"/>
          <w:sz w:val="24"/>
          <w:szCs w:val="24"/>
        </w:rPr>
        <w:t xml:space="preserve"> for the old part of the temple that was being demolished, and the ceremonial placing of the first brick, which was placed by the king. This ceremony showed the importance of the king of Babylon to the people. He was the main participant in the ceremony. Although he was not the priest taking the ceremony, or the lamentation singers, he was the one who spoke to the gods, who offered up the prayer, the man who suggested the build in the first place, he even placed the first brick in ceremonial fashion to start the building.</w:t>
      </w:r>
      <w:r w:rsidRPr="1DD88C88">
        <w:rPr>
          <w:rStyle w:val="FootnoteReference"/>
          <w:rFonts w:ascii="Times New Roman" w:eastAsia="Times New Roman" w:hAnsi="Times New Roman" w:cs="Times New Roman"/>
          <w:sz w:val="24"/>
          <w:szCs w:val="24"/>
        </w:rPr>
        <w:footnoteReference w:id="8"/>
      </w:r>
    </w:p>
    <w:p w14:paraId="2F0C8056" w14:textId="224F81A0" w:rsidR="1DD88C88" w:rsidRDefault="1DD88C88" w:rsidP="1DD88C88">
      <w:pPr>
        <w:spacing w:line="276" w:lineRule="auto"/>
        <w:rPr>
          <w:rFonts w:ascii="Times New Roman" w:eastAsia="Times New Roman" w:hAnsi="Times New Roman" w:cs="Times New Roman"/>
          <w:sz w:val="24"/>
          <w:szCs w:val="24"/>
        </w:rPr>
      </w:pPr>
    </w:p>
    <w:p w14:paraId="1846330C" w14:textId="27CAD4FF" w:rsidR="1DD88C88"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 xml:space="preserve">This cylinder was found in 1880 in </w:t>
      </w:r>
      <w:proofErr w:type="spellStart"/>
      <w:r w:rsidRPr="1DD88C88">
        <w:rPr>
          <w:rFonts w:ascii="Times New Roman" w:eastAsia="Times New Roman" w:hAnsi="Times New Roman" w:cs="Times New Roman"/>
          <w:sz w:val="24"/>
          <w:szCs w:val="24"/>
        </w:rPr>
        <w:t>Birs</w:t>
      </w:r>
      <w:proofErr w:type="spellEnd"/>
      <w:r w:rsidRPr="1DD88C88">
        <w:rPr>
          <w:rFonts w:ascii="Times New Roman" w:eastAsia="Times New Roman" w:hAnsi="Times New Roman" w:cs="Times New Roman"/>
          <w:sz w:val="24"/>
          <w:szCs w:val="24"/>
        </w:rPr>
        <w:t xml:space="preserve">-Nimrud, excavated by </w:t>
      </w:r>
      <w:proofErr w:type="spellStart"/>
      <w:r w:rsidRPr="1DD88C88">
        <w:rPr>
          <w:rFonts w:ascii="Times New Roman" w:eastAsia="Times New Roman" w:hAnsi="Times New Roman" w:cs="Times New Roman"/>
          <w:sz w:val="24"/>
          <w:szCs w:val="24"/>
        </w:rPr>
        <w:t>Hormuza</w:t>
      </w:r>
      <w:proofErr w:type="spellEnd"/>
      <w:r w:rsidRPr="1DD88C88">
        <w:rPr>
          <w:rFonts w:ascii="Times New Roman" w:eastAsia="Times New Roman" w:hAnsi="Times New Roman" w:cs="Times New Roman"/>
          <w:sz w:val="24"/>
          <w:szCs w:val="24"/>
        </w:rPr>
        <w:t xml:space="preserve"> </w:t>
      </w:r>
      <w:proofErr w:type="spellStart"/>
      <w:r w:rsidRPr="1DD88C88">
        <w:rPr>
          <w:rFonts w:ascii="Times New Roman" w:eastAsia="Times New Roman" w:hAnsi="Times New Roman" w:cs="Times New Roman"/>
          <w:sz w:val="24"/>
          <w:szCs w:val="24"/>
        </w:rPr>
        <w:t>Rassam</w:t>
      </w:r>
      <w:proofErr w:type="spellEnd"/>
      <w:r w:rsidRPr="1DD88C88">
        <w:rPr>
          <w:rFonts w:ascii="Times New Roman" w:eastAsia="Times New Roman" w:hAnsi="Times New Roman" w:cs="Times New Roman"/>
          <w:sz w:val="24"/>
          <w:szCs w:val="24"/>
        </w:rPr>
        <w:t>, and is currently in storage at the British Museum.</w:t>
      </w:r>
      <w:r w:rsidRPr="1DD88C88">
        <w:rPr>
          <w:rStyle w:val="FootnoteReference"/>
          <w:rFonts w:ascii="Times New Roman" w:eastAsia="Times New Roman" w:hAnsi="Times New Roman" w:cs="Times New Roman"/>
          <w:sz w:val="24"/>
          <w:szCs w:val="24"/>
        </w:rPr>
        <w:footnoteReference w:id="9"/>
      </w:r>
      <w:r w:rsidRPr="1DD88C88">
        <w:rPr>
          <w:rFonts w:ascii="Times New Roman" w:eastAsia="Times New Roman" w:hAnsi="Times New Roman" w:cs="Times New Roman"/>
          <w:sz w:val="24"/>
          <w:szCs w:val="24"/>
        </w:rPr>
        <w:t xml:space="preserve"> It </w:t>
      </w:r>
      <w:proofErr w:type="gramStart"/>
      <w:r w:rsidRPr="1DD88C88">
        <w:rPr>
          <w:rFonts w:ascii="Times New Roman" w:eastAsia="Times New Roman" w:hAnsi="Times New Roman" w:cs="Times New Roman"/>
          <w:sz w:val="24"/>
          <w:szCs w:val="24"/>
        </w:rPr>
        <w:t>is seen as</w:t>
      </w:r>
      <w:proofErr w:type="gramEnd"/>
      <w:r w:rsidRPr="1DD88C88">
        <w:rPr>
          <w:rFonts w:ascii="Times New Roman" w:eastAsia="Times New Roman" w:hAnsi="Times New Roman" w:cs="Times New Roman"/>
          <w:sz w:val="24"/>
          <w:szCs w:val="24"/>
        </w:rPr>
        <w:t xml:space="preserve"> a very traditional version of a prayer cylinder made during this era in Babylonia, as a result of this, the Antiochus I </w:t>
      </w:r>
      <w:proofErr w:type="spellStart"/>
      <w:r w:rsidRPr="1DD88C88">
        <w:rPr>
          <w:rFonts w:ascii="Times New Roman" w:eastAsia="Times New Roman" w:hAnsi="Times New Roman" w:cs="Times New Roman"/>
          <w:sz w:val="24"/>
          <w:szCs w:val="24"/>
        </w:rPr>
        <w:t>Borsippa</w:t>
      </w:r>
      <w:proofErr w:type="spellEnd"/>
      <w:r w:rsidRPr="1DD88C88">
        <w:rPr>
          <w:rFonts w:ascii="Times New Roman" w:eastAsia="Times New Roman" w:hAnsi="Times New Roman" w:cs="Times New Roman"/>
          <w:sz w:val="24"/>
          <w:szCs w:val="24"/>
        </w:rPr>
        <w:t xml:space="preserve"> Cylinder is a useful source for ancient historians in their research of the Hellenistic Empire.</w:t>
      </w:r>
    </w:p>
    <w:p w14:paraId="71FBA54C" w14:textId="448AEF5B" w:rsidR="6FE3C3F9" w:rsidRDefault="6FE3C3F9" w:rsidP="1DD88C88">
      <w:pPr>
        <w:spacing w:line="276" w:lineRule="auto"/>
        <w:rPr>
          <w:rFonts w:ascii="Times New Roman" w:eastAsia="Times New Roman" w:hAnsi="Times New Roman" w:cs="Times New Roman"/>
          <w:sz w:val="24"/>
          <w:szCs w:val="24"/>
        </w:rPr>
      </w:pPr>
    </w:p>
    <w:p w14:paraId="7E934A6C" w14:textId="7AF4372D" w:rsidR="6FE3C3F9" w:rsidRDefault="6FE3C3F9"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br w:type="page"/>
      </w:r>
    </w:p>
    <w:p w14:paraId="4CC2E1DD" w14:textId="6687C3C1" w:rsidR="6FE3C3F9"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lastRenderedPageBreak/>
        <w:t>Bibliography</w:t>
      </w:r>
    </w:p>
    <w:p w14:paraId="5BA0BD9E" w14:textId="22DF4E22" w:rsidR="6FE3C3F9" w:rsidRDefault="6FE3C3F9" w:rsidP="1DD88C88">
      <w:pPr>
        <w:spacing w:line="276" w:lineRule="auto"/>
        <w:rPr>
          <w:rFonts w:ascii="Times New Roman" w:eastAsia="Times New Roman" w:hAnsi="Times New Roman" w:cs="Times New Roman"/>
          <w:sz w:val="24"/>
          <w:szCs w:val="24"/>
        </w:rPr>
      </w:pPr>
    </w:p>
    <w:p w14:paraId="49A20B19" w14:textId="6D82FF3C" w:rsidR="6FE3C3F9"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Erickson, K. 2011. 'Apollo-</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xml:space="preserve">: the Babylonian Policy of Antiochus I' in Erickson, K and Ramsey, G (eds) </w:t>
      </w:r>
      <w:r w:rsidRPr="1DD88C88">
        <w:rPr>
          <w:rFonts w:ascii="Times New Roman" w:eastAsia="Times New Roman" w:hAnsi="Times New Roman" w:cs="Times New Roman"/>
          <w:i/>
          <w:iCs/>
          <w:sz w:val="24"/>
          <w:szCs w:val="24"/>
        </w:rPr>
        <w:t>Seleucid Dissolution the Sinking of the Anchor.</w:t>
      </w:r>
      <w:r w:rsidRPr="1DD88C88">
        <w:rPr>
          <w:rFonts w:ascii="Times New Roman" w:eastAsia="Times New Roman" w:hAnsi="Times New Roman" w:cs="Times New Roman"/>
          <w:sz w:val="24"/>
          <w:szCs w:val="24"/>
        </w:rPr>
        <w:t xml:space="preserve"> </w:t>
      </w:r>
      <w:proofErr w:type="spellStart"/>
      <w:r w:rsidRPr="1DD88C88">
        <w:rPr>
          <w:rFonts w:ascii="Times New Roman" w:eastAsia="Times New Roman" w:hAnsi="Times New Roman" w:cs="Times New Roman"/>
          <w:sz w:val="24"/>
          <w:szCs w:val="24"/>
        </w:rPr>
        <w:t>Harrassowitz</w:t>
      </w:r>
      <w:proofErr w:type="spellEnd"/>
      <w:r w:rsidRPr="1DD88C88">
        <w:rPr>
          <w:rFonts w:ascii="Times New Roman" w:eastAsia="Times New Roman" w:hAnsi="Times New Roman" w:cs="Times New Roman"/>
          <w:sz w:val="24"/>
          <w:szCs w:val="24"/>
        </w:rPr>
        <w:t xml:space="preserve"> Verlag, Wiesbaden, p45 - 56</w:t>
      </w:r>
    </w:p>
    <w:p w14:paraId="29B98291" w14:textId="3BE8E965" w:rsidR="6FE3C3F9"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 xml:space="preserve">Kosmin, P. 2014. 'Seeing Double in Seleucid Babylonia: Rereading the </w:t>
      </w:r>
      <w:proofErr w:type="spellStart"/>
      <w:r w:rsidRPr="1DD88C88">
        <w:rPr>
          <w:rFonts w:ascii="Times New Roman" w:eastAsia="Times New Roman" w:hAnsi="Times New Roman" w:cs="Times New Roman"/>
          <w:sz w:val="24"/>
          <w:szCs w:val="24"/>
        </w:rPr>
        <w:t>Borsippa</w:t>
      </w:r>
      <w:proofErr w:type="spellEnd"/>
      <w:r w:rsidRPr="1DD88C88">
        <w:rPr>
          <w:rFonts w:ascii="Times New Roman" w:eastAsia="Times New Roman" w:hAnsi="Times New Roman" w:cs="Times New Roman"/>
          <w:sz w:val="24"/>
          <w:szCs w:val="24"/>
        </w:rPr>
        <w:t xml:space="preserve"> Cylinder of Antiochus I' in Moreno, A and Thomas, R (eds.) </w:t>
      </w:r>
      <w:r w:rsidRPr="1DD88C88">
        <w:rPr>
          <w:rFonts w:ascii="Times New Roman" w:eastAsia="Times New Roman" w:hAnsi="Times New Roman" w:cs="Times New Roman"/>
          <w:i/>
          <w:iCs/>
          <w:sz w:val="24"/>
          <w:szCs w:val="24"/>
        </w:rPr>
        <w:t>Patterns of the Past</w:t>
      </w:r>
      <w:r w:rsidRPr="1DD88C88">
        <w:rPr>
          <w:rFonts w:ascii="Times New Roman" w:eastAsia="Times New Roman" w:hAnsi="Times New Roman" w:cs="Times New Roman"/>
          <w:sz w:val="24"/>
          <w:szCs w:val="24"/>
        </w:rPr>
        <w:t>. Oxford, Oxford University Press, p173 - 198</w:t>
      </w:r>
    </w:p>
    <w:p w14:paraId="44406106" w14:textId="7766330B" w:rsidR="6FE3C3F9"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 xml:space="preserve">Sherwin-White, S. 1991. 'Aspects of Seleucid Royal Ideology: The Cylinder of Antiochus I from </w:t>
      </w:r>
      <w:proofErr w:type="spellStart"/>
      <w:r w:rsidRPr="1DD88C88">
        <w:rPr>
          <w:rFonts w:ascii="Times New Roman" w:eastAsia="Times New Roman" w:hAnsi="Times New Roman" w:cs="Times New Roman"/>
          <w:sz w:val="24"/>
          <w:szCs w:val="24"/>
        </w:rPr>
        <w:t>Borsippa</w:t>
      </w:r>
      <w:proofErr w:type="spellEnd"/>
      <w:r w:rsidRPr="1DD88C88">
        <w:rPr>
          <w:rFonts w:ascii="Times New Roman" w:eastAsia="Times New Roman" w:hAnsi="Times New Roman" w:cs="Times New Roman"/>
          <w:sz w:val="24"/>
          <w:szCs w:val="24"/>
        </w:rPr>
        <w:t xml:space="preserve">', </w:t>
      </w:r>
      <w:r w:rsidRPr="1DD88C88">
        <w:rPr>
          <w:rFonts w:ascii="Times New Roman" w:eastAsia="Times New Roman" w:hAnsi="Times New Roman" w:cs="Times New Roman"/>
          <w:i/>
          <w:iCs/>
          <w:sz w:val="24"/>
          <w:szCs w:val="24"/>
        </w:rPr>
        <w:t>The Journal of Hellenic Studies,</w:t>
      </w:r>
      <w:r w:rsidRPr="1DD88C88">
        <w:rPr>
          <w:rFonts w:ascii="Times New Roman" w:eastAsia="Times New Roman" w:hAnsi="Times New Roman" w:cs="Times New Roman"/>
          <w:sz w:val="24"/>
          <w:szCs w:val="24"/>
        </w:rPr>
        <w:t xml:space="preserve"> 111, p 71 - 86</w:t>
      </w:r>
    </w:p>
    <w:p w14:paraId="524E23CE" w14:textId="79968AD6" w:rsidR="6FE3C3F9"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 xml:space="preserve">Stevens, K. 2014. 'The Antiochus Cylinder, Babylonian Scholarship and Seleucid Imperial Ideology', </w:t>
      </w:r>
      <w:r w:rsidRPr="1DD88C88">
        <w:rPr>
          <w:rFonts w:ascii="Times New Roman" w:eastAsia="Times New Roman" w:hAnsi="Times New Roman" w:cs="Times New Roman"/>
          <w:i/>
          <w:iCs/>
          <w:sz w:val="24"/>
          <w:szCs w:val="24"/>
        </w:rPr>
        <w:t>The Journal of Hellenic Studies</w:t>
      </w:r>
      <w:r w:rsidRPr="1DD88C88">
        <w:rPr>
          <w:rFonts w:ascii="Times New Roman" w:eastAsia="Times New Roman" w:hAnsi="Times New Roman" w:cs="Times New Roman"/>
          <w:sz w:val="24"/>
          <w:szCs w:val="24"/>
        </w:rPr>
        <w:t>, 134, 66 - 88</w:t>
      </w:r>
    </w:p>
    <w:p w14:paraId="584A64DD" w14:textId="3D941E04" w:rsidR="6FE3C3F9" w:rsidRDefault="6FE3C3F9" w:rsidP="1DD88C88">
      <w:pPr>
        <w:spacing w:line="276" w:lineRule="auto"/>
        <w:rPr>
          <w:rFonts w:ascii="Times New Roman" w:eastAsia="Times New Roman" w:hAnsi="Times New Roman" w:cs="Times New Roman"/>
          <w:sz w:val="24"/>
          <w:szCs w:val="24"/>
        </w:rPr>
      </w:pPr>
    </w:p>
    <w:p w14:paraId="48A17A9C" w14:textId="153F1DDD" w:rsidR="6FE3C3F9" w:rsidRDefault="1DD88C88" w:rsidP="1DD88C88">
      <w:pPr>
        <w:spacing w:line="276" w:lineRule="auto"/>
        <w:rPr>
          <w:rFonts w:ascii="Times New Roman" w:eastAsia="Times New Roman" w:hAnsi="Times New Roman" w:cs="Times New Roman"/>
          <w:sz w:val="24"/>
          <w:szCs w:val="24"/>
        </w:rPr>
      </w:pPr>
      <w:proofErr w:type="spellStart"/>
      <w:r w:rsidRPr="1DD88C88">
        <w:rPr>
          <w:rFonts w:ascii="Times New Roman" w:eastAsia="Times New Roman" w:hAnsi="Times New Roman" w:cs="Times New Roman"/>
          <w:sz w:val="24"/>
          <w:szCs w:val="24"/>
        </w:rPr>
        <w:t>Tudeau</w:t>
      </w:r>
      <w:proofErr w:type="spellEnd"/>
      <w:r w:rsidRPr="1DD88C88">
        <w:rPr>
          <w:rFonts w:ascii="Times New Roman" w:eastAsia="Times New Roman" w:hAnsi="Times New Roman" w:cs="Times New Roman"/>
          <w:sz w:val="24"/>
          <w:szCs w:val="24"/>
        </w:rPr>
        <w:t>, J. 2013. '</w:t>
      </w:r>
      <w:proofErr w:type="spellStart"/>
      <w:r w:rsidRPr="1DD88C88">
        <w:rPr>
          <w:rFonts w:ascii="Times New Roman" w:eastAsia="Times New Roman" w:hAnsi="Times New Roman" w:cs="Times New Roman"/>
          <w:sz w:val="24"/>
          <w:szCs w:val="24"/>
        </w:rPr>
        <w:t>Nabu</w:t>
      </w:r>
      <w:proofErr w:type="spellEnd"/>
      <w:r w:rsidRPr="1DD88C88">
        <w:rPr>
          <w:rFonts w:ascii="Times New Roman" w:eastAsia="Times New Roman" w:hAnsi="Times New Roman" w:cs="Times New Roman"/>
          <w:sz w:val="24"/>
          <w:szCs w:val="24"/>
        </w:rPr>
        <w:t xml:space="preserve"> (god)', </w:t>
      </w:r>
      <w:r w:rsidRPr="1DD88C88">
        <w:rPr>
          <w:rFonts w:ascii="Times New Roman" w:eastAsia="Times New Roman" w:hAnsi="Times New Roman" w:cs="Times New Roman"/>
          <w:i/>
          <w:iCs/>
          <w:sz w:val="24"/>
          <w:szCs w:val="24"/>
        </w:rPr>
        <w:t xml:space="preserve">Ancient Mesopotamian Gods and Goddesses. </w:t>
      </w:r>
      <w:proofErr w:type="spellStart"/>
      <w:r w:rsidRPr="1DD88C88">
        <w:rPr>
          <w:rFonts w:ascii="Times New Roman" w:eastAsia="Times New Roman" w:hAnsi="Times New Roman" w:cs="Times New Roman"/>
          <w:sz w:val="24"/>
          <w:szCs w:val="24"/>
        </w:rPr>
        <w:t>Oracc</w:t>
      </w:r>
      <w:proofErr w:type="spellEnd"/>
      <w:r w:rsidRPr="1DD88C88">
        <w:rPr>
          <w:rFonts w:ascii="Times New Roman" w:eastAsia="Times New Roman" w:hAnsi="Times New Roman" w:cs="Times New Roman"/>
          <w:sz w:val="24"/>
          <w:szCs w:val="24"/>
        </w:rPr>
        <w:t xml:space="preserve"> and the UK Higher Education Academy [accessed 17/04/2018]</w:t>
      </w:r>
    </w:p>
    <w:p w14:paraId="6389AB46" w14:textId="5BA82AA6" w:rsidR="6FE3C3F9" w:rsidRDefault="004467E7" w:rsidP="1DD88C88">
      <w:pPr>
        <w:spacing w:line="276" w:lineRule="auto"/>
        <w:rPr>
          <w:rFonts w:ascii="Times New Roman" w:eastAsia="Times New Roman" w:hAnsi="Times New Roman" w:cs="Times New Roman"/>
          <w:color w:val="333333"/>
          <w:sz w:val="24"/>
          <w:szCs w:val="24"/>
        </w:rPr>
      </w:pPr>
      <w:hyperlink r:id="rId6">
        <w:r w:rsidR="1DD88C88" w:rsidRPr="1DD88C88">
          <w:rPr>
            <w:rStyle w:val="Hyperlink"/>
            <w:rFonts w:ascii="Times New Roman" w:eastAsia="Times New Roman" w:hAnsi="Times New Roman" w:cs="Times New Roman"/>
            <w:sz w:val="24"/>
            <w:szCs w:val="24"/>
          </w:rPr>
          <w:t>http://oracc.museum.upenn.edu/amgg/listofdeities/nabu/</w:t>
        </w:r>
      </w:hyperlink>
      <w:r w:rsidR="1DD88C88" w:rsidRPr="1DD88C88">
        <w:rPr>
          <w:rFonts w:ascii="Times New Roman" w:eastAsia="Times New Roman" w:hAnsi="Times New Roman" w:cs="Times New Roman"/>
          <w:color w:val="333333"/>
          <w:sz w:val="24"/>
          <w:szCs w:val="24"/>
        </w:rPr>
        <w:t xml:space="preserve"> </w:t>
      </w:r>
    </w:p>
    <w:p w14:paraId="271C2BD6" w14:textId="503570B7" w:rsidR="1DD88C88" w:rsidRDefault="1DD88C88" w:rsidP="1DD88C88">
      <w:pPr>
        <w:spacing w:line="276" w:lineRule="auto"/>
        <w:rPr>
          <w:rFonts w:ascii="Times New Roman" w:eastAsia="Times New Roman" w:hAnsi="Times New Roman" w:cs="Times New Roman"/>
          <w:color w:val="333333"/>
          <w:sz w:val="24"/>
          <w:szCs w:val="24"/>
        </w:rPr>
      </w:pPr>
    </w:p>
    <w:p w14:paraId="4805EE8F" w14:textId="5EBDC4B9" w:rsidR="1DD88C88" w:rsidRDefault="1DD88C88" w:rsidP="1DD88C88">
      <w:pPr>
        <w:spacing w:line="276" w:lineRule="auto"/>
        <w:rPr>
          <w:rFonts w:ascii="Times New Roman" w:eastAsia="Times New Roman" w:hAnsi="Times New Roman" w:cs="Times New Roman"/>
          <w:sz w:val="24"/>
          <w:szCs w:val="24"/>
        </w:rPr>
      </w:pPr>
      <w:r w:rsidRPr="1DD88C88">
        <w:rPr>
          <w:rFonts w:ascii="Times New Roman" w:eastAsia="Times New Roman" w:hAnsi="Times New Roman" w:cs="Times New Roman"/>
          <w:sz w:val="24"/>
          <w:szCs w:val="24"/>
        </w:rPr>
        <w:t>2017. 'Collection online, tablet' The British Museum [accessed 21/04/2018]</w:t>
      </w:r>
    </w:p>
    <w:p w14:paraId="703252CA" w14:textId="6E483C41" w:rsidR="1DD88C88" w:rsidRDefault="004467E7" w:rsidP="1DD88C88">
      <w:pPr>
        <w:spacing w:line="276" w:lineRule="auto"/>
      </w:pPr>
      <w:hyperlink r:id="rId7">
        <w:r w:rsidR="1DD88C88" w:rsidRPr="1DD88C88">
          <w:rPr>
            <w:rStyle w:val="Hyperlink"/>
            <w:rFonts w:ascii="Times New Roman" w:eastAsia="Times New Roman" w:hAnsi="Times New Roman" w:cs="Times New Roman"/>
            <w:sz w:val="24"/>
            <w:szCs w:val="24"/>
          </w:rPr>
          <w:t>http://www.britishmuseum.org/research/collection_online/collection_object_details.aspx?objectId=1351032&amp;partId=1&amp;object=23121&amp;page=1</w:t>
        </w:r>
      </w:hyperlink>
    </w:p>
    <w:sectPr w:rsidR="1DD88C8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6FB93" w14:textId="77777777" w:rsidR="004467E7" w:rsidRDefault="004467E7">
      <w:pPr>
        <w:spacing w:after="0" w:line="240" w:lineRule="auto"/>
      </w:pPr>
      <w:r>
        <w:separator/>
      </w:r>
    </w:p>
  </w:endnote>
  <w:endnote w:type="continuationSeparator" w:id="0">
    <w:p w14:paraId="2D78119D" w14:textId="77777777" w:rsidR="004467E7" w:rsidRDefault="00446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B9190B" w14:textId="77777777" w:rsidR="004467E7" w:rsidRDefault="004467E7">
      <w:pPr>
        <w:spacing w:after="0" w:line="240" w:lineRule="auto"/>
      </w:pPr>
      <w:r>
        <w:separator/>
      </w:r>
    </w:p>
  </w:footnote>
  <w:footnote w:type="continuationSeparator" w:id="0">
    <w:p w14:paraId="36F14F6B" w14:textId="77777777" w:rsidR="004467E7" w:rsidRDefault="004467E7">
      <w:pPr>
        <w:spacing w:after="0" w:line="240" w:lineRule="auto"/>
      </w:pPr>
      <w:r>
        <w:continuationSeparator/>
      </w:r>
    </w:p>
  </w:footnote>
  <w:footnote w:id="1">
    <w:p w14:paraId="665F181F" w14:textId="5DED5EA4" w:rsidR="1DD88C88" w:rsidRDefault="1DD88C88" w:rsidP="1DD88C88">
      <w:pPr>
        <w:pStyle w:val="FootnoteText"/>
      </w:pPr>
      <w:r w:rsidRPr="1DD88C88">
        <w:rPr>
          <w:rStyle w:val="FootnoteReference"/>
        </w:rPr>
        <w:footnoteRef/>
      </w:r>
      <w:r>
        <w:t xml:space="preserve"> Erickson, 2011, p57</w:t>
      </w:r>
    </w:p>
  </w:footnote>
  <w:footnote w:id="2">
    <w:p w14:paraId="40375CDC" w14:textId="7F54BF08" w:rsidR="6FE3C3F9" w:rsidRDefault="6FE3C3F9" w:rsidP="6FE3C3F9">
      <w:pPr>
        <w:pStyle w:val="FootnoteText"/>
      </w:pPr>
      <w:r w:rsidRPr="6FE3C3F9">
        <w:rPr>
          <w:rStyle w:val="FootnoteReference"/>
        </w:rPr>
        <w:footnoteRef/>
      </w:r>
      <w:r>
        <w:t xml:space="preserve"> </w:t>
      </w:r>
      <w:r w:rsidR="002C24FA">
        <w:t>Sherwin-White, 2014,</w:t>
      </w:r>
      <w:r>
        <w:t xml:space="preserve"> p 77</w:t>
      </w:r>
    </w:p>
  </w:footnote>
  <w:footnote w:id="3">
    <w:p w14:paraId="497139C4" w14:textId="0479474D" w:rsidR="6FE3C3F9" w:rsidRDefault="6FE3C3F9" w:rsidP="6FE3C3F9">
      <w:pPr>
        <w:pStyle w:val="FootnoteText"/>
      </w:pPr>
      <w:r w:rsidRPr="6FE3C3F9">
        <w:rPr>
          <w:rStyle w:val="FootnoteReference"/>
        </w:rPr>
        <w:footnoteRef/>
      </w:r>
      <w:r>
        <w:t xml:space="preserve"> </w:t>
      </w:r>
      <w:r w:rsidR="002C24FA">
        <w:t xml:space="preserve">Sherwin-White, </w:t>
      </w:r>
      <w:r w:rsidR="002C24FA">
        <w:t>2014,</w:t>
      </w:r>
      <w:bookmarkStart w:id="0" w:name="_GoBack"/>
      <w:bookmarkEnd w:id="0"/>
      <w:r>
        <w:t xml:space="preserve"> p77</w:t>
      </w:r>
    </w:p>
  </w:footnote>
  <w:footnote w:id="4">
    <w:p w14:paraId="66B7A819" w14:textId="012DDFB5" w:rsidR="6FE3C3F9" w:rsidRDefault="6FE3C3F9" w:rsidP="6FE3C3F9">
      <w:pPr>
        <w:pStyle w:val="FootnoteText"/>
      </w:pPr>
      <w:r w:rsidRPr="6FE3C3F9">
        <w:rPr>
          <w:rStyle w:val="FootnoteReference"/>
        </w:rPr>
        <w:footnoteRef/>
      </w:r>
      <w:r>
        <w:t xml:space="preserve"> Stevens 2014 p73</w:t>
      </w:r>
    </w:p>
  </w:footnote>
  <w:footnote w:id="5">
    <w:p w14:paraId="5665D578" w14:textId="01D7F837" w:rsidR="6FE3C3F9" w:rsidRDefault="6FE3C3F9" w:rsidP="6FE3C3F9">
      <w:pPr>
        <w:pStyle w:val="FootnoteText"/>
      </w:pPr>
      <w:r w:rsidRPr="6FE3C3F9">
        <w:rPr>
          <w:rStyle w:val="FootnoteReference"/>
        </w:rPr>
        <w:footnoteRef/>
      </w:r>
      <w:r>
        <w:t xml:space="preserve"> Kosmin, 2014, 82 - 84</w:t>
      </w:r>
    </w:p>
  </w:footnote>
  <w:footnote w:id="6">
    <w:p w14:paraId="3465488D" w14:textId="4AEFD4F1" w:rsidR="6FE3C3F9" w:rsidRDefault="6FE3C3F9" w:rsidP="6FE3C3F9">
      <w:pPr>
        <w:pStyle w:val="FootnoteText"/>
      </w:pPr>
      <w:r w:rsidRPr="6FE3C3F9">
        <w:rPr>
          <w:rStyle w:val="FootnoteReference"/>
        </w:rPr>
        <w:footnoteRef/>
      </w:r>
      <w:r>
        <w:t xml:space="preserve"> </w:t>
      </w:r>
      <w:r w:rsidR="002C24FA">
        <w:t>Sherwin-White, 2014,</w:t>
      </w:r>
      <w:r>
        <w:t xml:space="preserve"> p80</w:t>
      </w:r>
    </w:p>
  </w:footnote>
  <w:footnote w:id="7">
    <w:p w14:paraId="65EF8A27" w14:textId="0CD6EEEF" w:rsidR="6FE3C3F9" w:rsidRDefault="6FE3C3F9" w:rsidP="6FE3C3F9">
      <w:pPr>
        <w:pStyle w:val="FootnoteText"/>
      </w:pPr>
      <w:r w:rsidRPr="6FE3C3F9">
        <w:rPr>
          <w:rStyle w:val="FootnoteReference"/>
        </w:rPr>
        <w:footnoteRef/>
      </w:r>
      <w:r>
        <w:t xml:space="preserve"> The lamentations sung at these ceremonies were sung in Sumerian which was a language that hadn't been spoken for nearly two thousand years. - Aspects of Seleucid Royal Ideology p80</w:t>
      </w:r>
    </w:p>
  </w:footnote>
  <w:footnote w:id="8">
    <w:p w14:paraId="05F28B66" w14:textId="7F3474A3" w:rsidR="6FE3C3F9" w:rsidRDefault="6FE3C3F9" w:rsidP="6FE3C3F9">
      <w:pPr>
        <w:pStyle w:val="FootnoteText"/>
      </w:pPr>
      <w:r w:rsidRPr="6FE3C3F9">
        <w:rPr>
          <w:rStyle w:val="FootnoteReference"/>
        </w:rPr>
        <w:footnoteRef/>
      </w:r>
      <w:r>
        <w:t xml:space="preserve">  </w:t>
      </w:r>
      <w:r w:rsidR="002C24FA">
        <w:t>Sherwin-White, 2014,</w:t>
      </w:r>
      <w:r>
        <w:t xml:space="preserve"> p80</w:t>
      </w:r>
    </w:p>
  </w:footnote>
  <w:footnote w:id="9">
    <w:p w14:paraId="540D488A" w14:textId="53674069" w:rsidR="1DD88C88" w:rsidRDefault="1DD88C88" w:rsidP="1DD88C88">
      <w:pPr>
        <w:pStyle w:val="FootnoteText"/>
      </w:pPr>
      <w:r w:rsidRPr="1DD88C88">
        <w:rPr>
          <w:rStyle w:val="FootnoteReference"/>
        </w:rPr>
        <w:footnoteRef/>
      </w:r>
      <w:r>
        <w:t xml:space="preserve"> 2017 The British Museum</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SwMDAzsLA0NDQ1NzFV0lEKTi0uzszPAykwrAUAu5nsTSwAAAA="/>
  </w:docVars>
  <w:rsids>
    <w:rsidRoot w:val="25D7FB09"/>
    <w:rsid w:val="002C24FA"/>
    <w:rsid w:val="004467E7"/>
    <w:rsid w:val="00AA770E"/>
    <w:rsid w:val="00D5A574"/>
    <w:rsid w:val="00EC60B7"/>
    <w:rsid w:val="1DD88C88"/>
    <w:rsid w:val="25D7FB09"/>
    <w:rsid w:val="6748D621"/>
    <w:rsid w:val="6FE3C3F9"/>
    <w:rsid w:val="7AC77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8D621"/>
  <w15:chartTrackingRefBased/>
  <w15:docId w15:val="{B7724932-3F68-4C38-919F-FF0BFF6C2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ritishmuseum.org/research/collection_online/collection_object_details.aspx?objectId=1351032&amp;partId=1&amp;object=23121&amp;page=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oracc.museum.upenn.edu/amgg/listofdeities/nabu/"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807</Words>
  <Characters>4603</Characters>
  <Application>Microsoft Office Word</Application>
  <DocSecurity>0</DocSecurity>
  <Lines>38</Lines>
  <Paragraphs>10</Paragraphs>
  <ScaleCrop>false</ScaleCrop>
  <Company/>
  <LinksUpToDate>false</LinksUpToDate>
  <CharactersWithSpaces>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3</cp:revision>
  <dcterms:created xsi:type="dcterms:W3CDTF">2018-04-24T21:56:00Z</dcterms:created>
  <dcterms:modified xsi:type="dcterms:W3CDTF">2018-04-24T21:58:00Z</dcterms:modified>
</cp:coreProperties>
</file>