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4.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media/image1.png" ContentType="image/png"/>
  <Override PartName="/word/theme/theme1.xml" ContentType="application/vnd.openxmlformats-officedocument.theme+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footer3.xml" ContentType="application/vnd.openxmlformats-officedocument.wordprocessingml.footer+xml"/>
  <Override PartName="/word/numbering.xml" ContentType="application/vnd.openxmlformats-officedocument.wordprocessingml.numbering+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_rels/document.xml.rels" ContentType="application/vnd.openxmlformats-package.relationship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er"/>
        <w:tabs>
          <w:tab w:val="clear" w:pos="4153"/>
          <w:tab w:val="clear" w:pos="8306"/>
        </w:tabs>
        <w:jc w:val="right"/>
        <w:rPr>
          <w:rFonts w:ascii="Arial" w:hAnsi="Arial" w:cs="Arial"/>
          <w:b/>
          <w:sz w:val="28"/>
          <w:szCs w:val="28"/>
        </w:rPr>
      </w:pPr>
      <w:r>
        <w:drawing>
          <wp:anchor behindDoc="0" distT="0" distB="0" distL="0" distR="114300" simplePos="0" locked="0" layoutInCell="0"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type="textWrapping" w:clear="all"/>
      </w:r>
      <w:r>
        <w:rPr>
          <w:rFonts w:cs="Arial" w:ascii="Arial" w:hAnsi="Arial"/>
          <w:b/>
          <w:sz w:val="28"/>
          <w:szCs w:val="28"/>
        </w:rPr>
        <w:t>APPENDIX GA36c</w:t>
      </w:r>
    </w:p>
    <w:p>
      <w:pPr>
        <w:pStyle w:val="Normal"/>
        <w:rPr>
          <w:rFonts w:ascii="Arial" w:hAnsi="Arial" w:cs="Arial"/>
        </w:rPr>
      </w:pPr>
      <w:r>
        <w:rPr>
          <w:rFonts w:cs="Arial" w:ascii="Arial" w:hAnsi="Arial"/>
        </w:rPr>
      </w:r>
    </w:p>
    <w:tbl>
      <w:tblPr>
        <w:tblW w:w="9922"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spacing w:before="120" w:after="120"/>
              <w:rPr>
                <w:rFonts w:ascii="Arial" w:hAnsi="Arial" w:cs="Arial"/>
                <w:b/>
              </w:rPr>
            </w:pPr>
            <w:r>
              <w:rPr>
                <w:rFonts w:cs="Arial" w:ascii="Arial" w:hAnsi="Arial"/>
                <w:b/>
              </w:rPr>
              <w:t>LEVEL 6 ASSESSMENT SPECIFICATION</w:t>
            </w:r>
          </w:p>
        </w:tc>
      </w:tr>
    </w:tbl>
    <w:p>
      <w:pPr>
        <w:pStyle w:val="Normal"/>
        <w:jc w:val="center"/>
        <w:rPr>
          <w:rFonts w:ascii="Arial" w:hAnsi="Arial" w:cs="Arial"/>
          <w:b/>
          <w:i/>
          <w:i/>
          <w:sz w:val="32"/>
        </w:rPr>
      </w:pPr>
      <w:r>
        <w:rPr>
          <w:rFonts w:cs="Arial" w:ascii="Arial" w:hAnsi="Arial"/>
          <w:b/>
          <w:i/>
          <w:sz w:val="32"/>
        </w:rPr>
      </w:r>
    </w:p>
    <w:tbl>
      <w:tblPr>
        <w:tblW w:w="9922"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fldChar w:fldCharType="begin">
                <w:ffData>
                  <w:name w:val="Text2"/>
                  <w:enabled/>
                  <w:calcOnExit w:val="0"/>
                  <w:textInput/>
                </w:ffData>
              </w:fldChar>
            </w:r>
            <w:r>
              <w:rPr>
                <w:sz w:val="22"/>
                <w:szCs w:val="22"/>
                <w:rFonts w:ascii="Arial" w:hAnsi="Arial"/>
              </w:rPr>
              <w:instrText xml:space="preserve"> FORMTEXT </w:instrText>
            </w:r>
            <w:r>
              <w:rPr>
                <w:rFonts w:ascii="Arial" w:hAnsi="Arial"/>
                <w:sz w:val="22"/>
                <w:szCs w:val="22"/>
              </w:rPr>
            </w:r>
            <w:r>
              <w:rPr>
                <w:sz w:val="22"/>
                <w:szCs w:val="22"/>
                <w:rFonts w:ascii="Arial" w:hAnsi="Arial"/>
              </w:rPr>
              <w:fldChar w:fldCharType="separate"/>
            </w:r>
            <w:r>
              <w:rPr>
                <w:rFonts w:ascii="Arial" w:hAnsi="Arial"/>
                <w:sz w:val="22"/>
                <w:szCs w:val="22"/>
              </w:rPr>
            </w:r>
            <w:r>
              <w:rPr>
                <w:rFonts w:cs="Arial" w:ascii="Arial" w:hAnsi="Arial"/>
                <w:b/>
                <w:sz w:val="22"/>
                <w:szCs w:val="22"/>
              </w:rPr>
              <w:t>     </w:t>
            </w:r>
            <w:r/>
            <w:r>
              <w:rPr>
                <w:sz w:val="22"/>
                <w:szCs w:val="22"/>
                <w:rFonts w:ascii="Arial" w:hAnsi="Arial"/>
              </w:rPr>
              <w:fldChar w:fldCharType="end"/>
            </w:r>
            <w:r>
              <w:rPr>
                <w:rFonts w:ascii="Arial" w:hAnsi="Arial"/>
                <w:sz w:val="22"/>
                <w:szCs w:val="22"/>
              </w:rPr>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HPHI6009</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Heading2"/>
              <w:rPr>
                <w:rFonts w:ascii="Arial" w:hAnsi="Arial" w:cs="Arial"/>
                <w:sz w:val="22"/>
                <w:szCs w:val="22"/>
              </w:rPr>
            </w:pPr>
            <w:r>
              <w:rPr>
                <w:rFonts w:cs="Arial"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50%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Katie Hawks</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Essay</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2500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16 March 2025</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30 March</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rPr>
                <w:rFonts w:ascii="Arial" w:hAnsi="Arial" w:cs="Arial"/>
                <w:sz w:val="22"/>
                <w:szCs w:val="22"/>
              </w:rPr>
            </w:pPr>
            <w:r>
              <w:rPr>
                <w:rFonts w:cs="Arial"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spacing w:before="120" w:after="120"/>
              <w:jc w:val="both"/>
              <w:rPr>
                <w:rFonts w:ascii="Arial" w:hAnsi="Arial" w:cs="Arial"/>
                <w:b/>
                <w:sz w:val="22"/>
                <w:szCs w:val="22"/>
              </w:rPr>
            </w:pPr>
            <w:r>
              <w:rPr>
                <w:rFonts w:cs="Arial" w:ascii="Arial" w:hAnsi="Arial"/>
                <w:b/>
                <w:sz w:val="22"/>
                <w:szCs w:val="22"/>
              </w:rPr>
              <w:t>Alternative submission method (if applicable):</w:t>
            </w:r>
          </w:p>
          <w:p>
            <w:pPr>
              <w:pStyle w:val="Normal"/>
              <w:spacing w:before="120" w:after="120"/>
              <w:jc w:val="both"/>
              <w:rPr>
                <w:rFonts w:ascii="Arial" w:hAnsi="Arial" w:cs="Arial"/>
                <w:b/>
                <w:sz w:val="22"/>
                <w:szCs w:val="22"/>
              </w:rPr>
            </w:pPr>
            <w:r>
              <w:rPr>
                <w:rFonts w:cs="Arial" w:ascii="Arial" w:hAnsi="Arial"/>
                <w:b/>
                <w:sz w:val="22"/>
                <w:szCs w:val="22"/>
              </w:rPr>
              <w:t>Late submission of the assessment will result in a late penalty mark:</w:t>
            </w:r>
          </w:p>
          <w:p>
            <w:pPr>
              <w:pStyle w:val="Normal"/>
              <w:spacing w:before="120" w:after="120"/>
              <w:jc w:val="both"/>
              <w:rPr>
                <w:rFonts w:ascii="Arial" w:hAnsi="Arial" w:cs="Arial"/>
                <w:sz w:val="22"/>
                <w:szCs w:val="22"/>
              </w:rPr>
            </w:pPr>
            <w:r>
              <w:rPr>
                <w:rFonts w:cs="Arial" w:ascii="Arial" w:hAnsi="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pPr>
              <w:pStyle w:val="Normal"/>
              <w:spacing w:before="120" w:after="120"/>
              <w:jc w:val="both"/>
              <w:rPr>
                <w:rFonts w:ascii="Arial" w:hAnsi="Arial" w:cs="Arial"/>
                <w:b/>
                <w:sz w:val="22"/>
                <w:szCs w:val="22"/>
              </w:rPr>
            </w:pPr>
            <w:r>
              <w:rPr>
                <w:rFonts w:cs="Arial" w:ascii="Arial" w:hAnsi="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ascii="Arial" w:hAnsi="Arial" w:cs="Arial"/>
                <w:b/>
                <w:sz w:val="22"/>
                <w:szCs w:val="22"/>
              </w:rPr>
            </w:pPr>
            <w:r>
              <w:rPr>
                <w:rFonts w:cs="Arial" w:ascii="Arial" w:hAnsi="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sz w:val="22"/>
                <w:szCs w:val="22"/>
              </w:rPr>
            </w:pPr>
            <w:r>
              <w:rPr>
                <w:rFonts w:cs="Arial" w:ascii="Arial" w:hAnsi="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r>
        <w:br w:type="page"/>
      </w:r>
    </w:p>
    <w:p>
      <w:pPr>
        <w:pStyle w:val="Normal"/>
        <w:spacing w:before="0" w:after="0"/>
        <w:rPr>
          <w:rFonts w:ascii="Arial" w:hAnsi="Arial" w:cs="Arial"/>
          <w:sz w:val="32"/>
        </w:rPr>
      </w:pPr>
      <w:r>
        <w:rPr>
          <w:rFonts w:cs="Arial" w:ascii="Arial" w:hAnsi="Arial"/>
          <w:sz w:val="32"/>
        </w:rPr>
      </w:r>
    </w:p>
    <w:tbl>
      <w:tblPr>
        <w:tblW w:w="9747"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pct10"/>
          </w:tcPr>
          <w:p>
            <w:pPr>
              <w:pStyle w:val="Normal"/>
              <w:rPr>
                <w:rFonts w:ascii="Arial" w:hAnsi="Arial" w:cs="Arial"/>
                <w:b/>
                <w:sz w:val="22"/>
                <w:szCs w:val="22"/>
              </w:rPr>
            </w:pPr>
            <w:r>
              <w:rPr>
                <w:rFonts w:cs="Arial" w:ascii="Arial" w:hAnsi="Arial"/>
                <w:b/>
                <w:sz w:val="22"/>
                <w:szCs w:val="22"/>
              </w:rPr>
              <w:t>Module Learning Outcomes</w:t>
            </w:r>
          </w:p>
          <w:p>
            <w:pPr>
              <w:pStyle w:val="Normal"/>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tbl>
      <w:tblPr>
        <w:tblW w:w="9781"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jc w:val="center"/>
              <w:rPr>
                <w:rFonts w:ascii="Arial" w:hAnsi="Arial" w:cs="Arial"/>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Fonts w:cs="Arial" w:ascii="Arial" w:hAnsi="Arial"/>
          <w:sz w:val="22"/>
          <w:szCs w:val="22"/>
        </w:rPr>
      </w:r>
    </w:p>
    <w:p>
      <w:pPr>
        <w:pStyle w:val="Heading2"/>
        <w:ind w:hanging="0" w:left="567"/>
        <w:rPr>
          <w:rFonts w:ascii="Arial" w:hAnsi="Arial" w:cs="Arial"/>
          <w:sz w:val="22"/>
          <w:szCs w:val="22"/>
        </w:rPr>
      </w:pPr>
      <w:r>
        <w:rPr>
          <w:rFonts w:cs="Arial" w:ascii="Arial" w:hAnsi="Arial"/>
          <w:sz w:val="22"/>
          <w:szCs w:val="22"/>
        </w:rPr>
        <w:t>Write one essay from the following list</w:t>
      </w:r>
    </w:p>
    <w:p>
      <w:pPr>
        <w:pStyle w:val="Normal"/>
        <w:ind w:hanging="0" w:left="567"/>
        <w:rPr>
          <w:rFonts w:ascii="Arial" w:hAnsi="Arial" w:cs="Arial"/>
          <w:sz w:val="22"/>
          <w:szCs w:val="22"/>
        </w:rPr>
      </w:pPr>
      <w:r>
        <w:rPr>
          <w:rFonts w:cs="Arial" w:ascii="Arial" w:hAnsi="Arial"/>
          <w:sz w:val="22"/>
          <w:szCs w:val="22"/>
        </w:rPr>
        <w:t>1. To what extent were the Normans united by a shared sense of identity?</w:t>
      </w:r>
    </w:p>
    <w:p>
      <w:pPr>
        <w:pStyle w:val="Normal"/>
        <w:ind w:hanging="0" w:left="567"/>
        <w:rPr>
          <w:rFonts w:ascii="Arial" w:hAnsi="Arial" w:cs="Arial"/>
          <w:sz w:val="22"/>
          <w:szCs w:val="22"/>
        </w:rPr>
      </w:pPr>
      <w:r>
        <w:rPr>
          <w:rFonts w:cs="Arial" w:ascii="Arial" w:hAnsi="Arial"/>
          <w:sz w:val="22"/>
          <w:szCs w:val="22"/>
        </w:rPr>
        <w:t>2. To what extent were the achievements of the Normans in England the result of the same factors as those that explain their success in Southern Italy and Sicily?</w:t>
      </w:r>
    </w:p>
    <w:p>
      <w:pPr>
        <w:pStyle w:val="Normal"/>
        <w:ind w:hanging="0" w:left="567"/>
        <w:rPr>
          <w:rFonts w:ascii="Arial" w:hAnsi="Arial" w:cs="Arial"/>
          <w:sz w:val="22"/>
          <w:szCs w:val="22"/>
        </w:rPr>
      </w:pPr>
      <w:r>
        <w:rPr>
          <w:rFonts w:cs="Arial" w:ascii="Arial" w:hAnsi="Arial"/>
          <w:sz w:val="22"/>
          <w:szCs w:val="22"/>
        </w:rPr>
        <w:t xml:space="preserve">3. ‘The concept of </w:t>
      </w:r>
      <w:r>
        <w:rPr>
          <w:rFonts w:cs="Arial" w:ascii="Arial" w:hAnsi="Arial"/>
          <w:i/>
          <w:iCs/>
          <w:sz w:val="22"/>
          <w:szCs w:val="22"/>
        </w:rPr>
        <w:t>Normanitas</w:t>
      </w:r>
      <w:r>
        <w:rPr>
          <w:rFonts w:cs="Arial" w:ascii="Arial" w:hAnsi="Arial"/>
          <w:sz w:val="22"/>
          <w:szCs w:val="22"/>
        </w:rPr>
        <w:t xml:space="preserve"> is merely a literary device and bears little resemblance to reality.’ Discuss </w:t>
      </w:r>
    </w:p>
    <w:p>
      <w:pPr>
        <w:pStyle w:val="Normal"/>
        <w:ind w:hanging="0" w:left="567"/>
        <w:rPr>
          <w:rFonts w:ascii="Arial" w:hAnsi="Arial" w:cs="Arial"/>
          <w:sz w:val="22"/>
          <w:szCs w:val="22"/>
        </w:rPr>
      </w:pPr>
      <w:r>
        <w:rPr>
          <w:rFonts w:cs="Arial" w:ascii="Arial" w:hAnsi="Arial"/>
          <w:sz w:val="22"/>
          <w:szCs w:val="22"/>
        </w:rPr>
        <w:t>4. Did the Normans achieve a lasting legacy?</w:t>
      </w:r>
    </w:p>
    <w:p>
      <w:pPr>
        <w:pStyle w:val="Normal"/>
        <w:ind w:hanging="0" w:left="567"/>
        <w:rPr>
          <w:rFonts w:ascii="Arial" w:hAnsi="Arial" w:cs="Arial"/>
          <w:sz w:val="22"/>
          <w:szCs w:val="22"/>
        </w:rPr>
      </w:pPr>
      <w:r>
        <w:rPr>
          <w:rFonts w:cs="Arial" w:ascii="Arial" w:hAnsi="Arial"/>
          <w:sz w:val="22"/>
          <w:szCs w:val="22"/>
        </w:rPr>
        <w:t>5. How useful is the Bayeux Tapestry as a source for the events surrounding the Norman invasion of England?</w:t>
      </w:r>
    </w:p>
    <w:p>
      <w:pPr>
        <w:pStyle w:val="Normal"/>
        <w:ind w:hanging="0" w:left="567"/>
        <w:rPr>
          <w:rFonts w:ascii="Arial" w:hAnsi="Arial" w:cs="Arial"/>
          <w:sz w:val="22"/>
          <w:szCs w:val="22"/>
        </w:rPr>
      </w:pPr>
      <w:r>
        <w:rPr>
          <w:rFonts w:cs="Arial" w:ascii="Arial" w:hAnsi="Arial"/>
          <w:sz w:val="22"/>
          <w:szCs w:val="22"/>
        </w:rPr>
        <w:t>6. What does the artwork commissioned by the Normans tell us about how they wished to be perceived?</w:t>
      </w:r>
    </w:p>
    <w:p>
      <w:pPr>
        <w:pStyle w:val="Normal"/>
        <w:ind w:hanging="0" w:left="567"/>
        <w:rPr>
          <w:rFonts w:ascii="Arial" w:hAnsi="Arial" w:cs="Arial"/>
          <w:sz w:val="22"/>
          <w:szCs w:val="22"/>
        </w:rPr>
      </w:pPr>
      <w:r>
        <w:rPr>
          <w:rFonts w:cs="Arial" w:ascii="Arial" w:hAnsi="Arial"/>
          <w:sz w:val="22"/>
          <w:szCs w:val="22"/>
        </w:rPr>
        <w:t>7. What role do histories play in the dissemination of the ‘Norman Myth’?</w:t>
      </w:r>
    </w:p>
    <w:p>
      <w:pPr>
        <w:pStyle w:val="Heading2"/>
        <w:ind w:hanging="0" w:left="567"/>
        <w:rPr>
          <w:rFonts w:ascii="Arial" w:hAnsi="Arial" w:cs="Arial"/>
          <w:sz w:val="22"/>
          <w:szCs w:val="22"/>
        </w:rPr>
      </w:pPr>
      <w:r>
        <w:rPr/>
      </w:r>
    </w:p>
    <w:p>
      <w:pPr>
        <w:pStyle w:val="Heading2"/>
        <w:ind w:firstLine="142" w:left="567"/>
        <w:rPr>
          <w:rFonts w:ascii="Arial" w:hAnsi="Arial" w:cs="Arial"/>
          <w:sz w:val="22"/>
          <w:szCs w:val="22"/>
        </w:rPr>
      </w:pPr>
      <w:r>
        <w:rPr>
          <w:rFonts w:cs="Arial" w:ascii="Arial" w:hAnsi="Arial"/>
          <w:sz w:val="22"/>
          <w:szCs w:val="22"/>
        </w:rPr>
        <w:t>Use of Generative AI in Assessment</w:t>
      </w:r>
    </w:p>
    <w:p>
      <w:pPr>
        <w:pStyle w:val="Normal"/>
        <w:rPr>
          <w:rFonts w:ascii="Arial" w:hAnsi="Arial" w:cs="Arial"/>
          <w:sz w:val="22"/>
          <w:szCs w:val="22"/>
        </w:rPr>
      </w:pPr>
      <w:r>
        <w:rPr/>
        <w:tab/>
      </w:r>
      <w:r>
        <w:rPr>
          <w:rFonts w:cs="Arial" w:ascii="Arial" w:hAnsi="Arial"/>
          <w:sz w:val="22"/>
          <w:szCs w:val="22"/>
        </w:rPr>
        <w:t>(Lecturer to indicate Yes or Not against each element)</w:t>
      </w:r>
    </w:p>
    <w:p>
      <w:pPr>
        <w:pStyle w:val="Normal"/>
        <w:rPr>
          <w:rFonts w:eastAsia="Calibri"/>
        </w:rPr>
      </w:pPr>
      <w:r>
        <w:rPr>
          <w:rFonts w:eastAsia="Calibri"/>
        </w:rPr>
        <w:tab/>
        <w:tab/>
        <w:tab/>
        <w:tab/>
        <w:tab/>
        <w:tab/>
        <w:tab/>
        <w:tab/>
        <w:tab/>
        <w:tab/>
        <w:tab/>
        <w:tab/>
      </w:r>
    </w:p>
    <w:tbl>
      <w:tblPr>
        <w:tblStyle w:val="TableGrid"/>
        <w:tblW w:w="9064" w:type="dxa"/>
        <w:jc w:val="left"/>
        <w:tblInd w:w="604" w:type="dxa"/>
        <w:tblLayout w:type="fixed"/>
        <w:tblCellMar>
          <w:top w:w="0" w:type="dxa"/>
          <w:left w:w="105" w:type="dxa"/>
          <w:bottom w:w="0" w:type="dxa"/>
          <w:right w:w="105" w:type="dxa"/>
        </w:tblCellMar>
        <w:tblLook w:val="04a0" w:noVBand="1" w:noHBand="0" w:lastColumn="0" w:firstColumn="1" w:lastRow="0" w:firstRow="1"/>
      </w:tblPr>
      <w:tblGrid>
        <w:gridCol w:w="2247"/>
        <w:gridCol w:w="5400"/>
        <w:gridCol w:w="1417"/>
      </w:tblGrid>
      <w:tr>
        <w:trPr>
          <w:trHeight w:val="300" w:hRule="atLeast"/>
        </w:trPr>
        <w:tc>
          <w:tcPr>
            <w:tcW w:w="2247" w:type="dxa"/>
            <w:tcBorders>
              <w:top w:val="single" w:sz="6" w:space="0" w:color="000000"/>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RESEARCH</w:t>
            </w:r>
          </w:p>
        </w:tc>
        <w:tc>
          <w:tcPr>
            <w:tcW w:w="5400" w:type="dxa"/>
            <w:tcBorders>
              <w:top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research, including searching for bibliography, using tools to summarise, compare and interrogate materials.</w:t>
            </w:r>
          </w:p>
        </w:tc>
        <w:tc>
          <w:tcPr>
            <w:tcW w:w="1417" w:type="dxa"/>
            <w:tcBorders>
              <w:top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132582787"/>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32746510"/>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STRUCTURE</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structuring your submission, including creating a draft argument structure, identifying parts and headings, etc.</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96310629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70765072"/>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PROOFREADING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check your own text/creation for grammatical and syntactical mistakes, including rephrasing of your own work within specific standards.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324893659"/>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14711207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WRITING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text for submission.</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369145368"/>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362739539"/>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CREATIVE</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creative materials, such as images.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01055208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17855451"/>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cs="Arial"/>
                <w:sz w:val="22"/>
                <w:szCs w:val="22"/>
              </w:rPr>
            </w:pPr>
            <w:r>
              <w:rPr>
                <w:rFonts w:eastAsia="Calibri" w:cs="Arial" w:ascii="Arial" w:hAnsi="Arial"/>
                <w:kern w:val="0"/>
                <w:sz w:val="22"/>
                <w:szCs w:val="22"/>
                <w:lang w:val="en-GB" w:bidi="ar-SA"/>
              </w:rPr>
              <w:t>PROGRAMING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and check code.</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136687853"/>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648559774"/>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NONE</w:t>
            </w:r>
          </w:p>
        </w:tc>
        <w:tc>
          <w:tcPr>
            <w:tcW w:w="5400" w:type="dxa"/>
            <w:tcBorders>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 xml:space="preserve">For this assessment, you are not allowed to use </w:t>
            </w:r>
            <w:r>
              <w:rPr>
                <w:rFonts w:eastAsia="Calibri" w:cs="Arial" w:ascii="Arial" w:hAnsi="Arial"/>
                <w:b/>
                <w:bCs/>
                <w:kern w:val="0"/>
                <w:sz w:val="22"/>
                <w:szCs w:val="22"/>
                <w:lang w:val="en-GB" w:bidi="ar-SA"/>
              </w:rPr>
              <w:t>any</w:t>
            </w:r>
            <w:r>
              <w:rPr>
                <w:rFonts w:eastAsia="Calibri" w:cs="Arial" w:ascii="Arial" w:hAnsi="Arial"/>
                <w:kern w:val="0"/>
                <w:sz w:val="22"/>
                <w:szCs w:val="22"/>
                <w:lang w:val="en-GB" w:bidi="ar-SA"/>
              </w:rPr>
              <w:t xml:space="preserve"> type of Generative AI support. This includes research support, structure support, writing/proofreading support and creative support.</w:t>
            </w:r>
          </w:p>
        </w:tc>
        <w:tc>
          <w:tcPr>
            <w:tcW w:w="1417" w:type="dxa"/>
            <w:tcBorders>
              <w:bottom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610168832"/>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62828060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bl>
    <w:p>
      <w:pPr>
        <w:pStyle w:val="Normal"/>
        <w:ind w:left="720"/>
        <w:rPr>
          <w:rFonts w:ascii="Arial" w:hAnsi="Arial" w:cs="Arial"/>
          <w:sz w:val="24"/>
          <w:szCs w:val="24"/>
        </w:rPr>
      </w:pPr>
      <w:r>
        <w:rPr>
          <w:rFonts w:cs="Arial" w:ascii="Arial" w:hAnsi="Arial"/>
          <w:sz w:val="24"/>
          <w:szCs w:val="24"/>
        </w:rPr>
      </w:r>
      <w:r>
        <w:br w:type="page"/>
      </w:r>
    </w:p>
    <w:p>
      <w:pPr>
        <w:pStyle w:val="Normal"/>
        <w:spacing w:before="0" w:after="0"/>
        <w:jc w:val="both"/>
        <w:rPr>
          <w:rFonts w:ascii="Arial" w:hAnsi="Arial" w:cs="Arial"/>
          <w:sz w:val="22"/>
          <w:szCs w:val="22"/>
        </w:rPr>
      </w:pPr>
      <w:r>
        <w:rPr>
          <w:rFonts w:cs="Arial" w:ascii="Arial" w:hAnsi="Arial"/>
          <w:sz w:val="22"/>
          <w:szCs w:val="22"/>
        </w:rPr>
      </w:r>
    </w:p>
    <w:tbl>
      <w:tblPr>
        <w:tblW w:w="1067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0670"/>
      </w:tblGrid>
      <w:tr>
        <w:trPr>
          <w:trHeight w:val="414" w:hRule="atLeast"/>
        </w:trPr>
        <w:tc>
          <w:tcPr>
            <w:tcW w:w="10670"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6, you should be able to demonstrate</w:t>
      </w:r>
      <w:r>
        <w:rPr/>
        <w:t xml:space="preserve"> </w:t>
      </w:r>
      <w:r>
        <w:rPr>
          <w:rFonts w:cs="Arial" w:ascii="Arial" w:hAnsi="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 ideally each should be complete and detailed, with comprehensive coverage.</w:t>
      </w:r>
      <w:r>
        <w:rPr/>
        <w:t xml:space="preserve"> </w:t>
      </w:r>
    </w:p>
    <w:p>
      <w:pPr>
        <w:pStyle w:val="Normal"/>
        <w:jc w:val="both"/>
        <w:rPr>
          <w:rFonts w:ascii="Arial" w:hAnsi="Arial" w:cs="Arial"/>
          <w:b/>
          <w:i/>
          <w:i/>
          <w:sz w:val="22"/>
          <w:szCs w:val="22"/>
        </w:rPr>
      </w:pPr>
      <w:r>
        <w:rPr>
          <w:rFonts w:cs="Arial" w:ascii="Arial" w:hAnsi="Arial"/>
          <w:b/>
          <w:i/>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Practical Skills</w:t>
      </w:r>
    </w:p>
    <w:p>
      <w:pPr>
        <w:pStyle w:val="Normal"/>
        <w:jc w:val="both"/>
        <w:rPr>
          <w:rFonts w:ascii="Arial" w:hAnsi="Arial" w:cs="Arial"/>
          <w:sz w:val="22"/>
          <w:szCs w:val="22"/>
        </w:rPr>
      </w:pPr>
      <w:r>
        <w:rPr>
          <w:rFonts w:cs="Arial" w:ascii="Arial" w:hAnsi="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r>
        <w:br w:type="page"/>
      </w:r>
    </w:p>
    <w:p>
      <w:pPr>
        <w:pStyle w:val="Normal"/>
        <w:spacing w:before="0" w:after="0"/>
        <w:jc w:val="both"/>
        <w:rPr>
          <w:rFonts w:ascii="Arial" w:hAnsi="Arial" w:cs="Arial"/>
          <w:sz w:val="22"/>
          <w:szCs w:val="22"/>
        </w:rPr>
      </w:pPr>
      <w:r>
        <w:rPr>
          <w:rFonts w:cs="Arial" w:ascii="Arial" w:hAnsi="Arial"/>
          <w:sz w:val="22"/>
          <w:szCs w:val="22"/>
        </w:rPr>
      </w:r>
    </w:p>
    <w:tbl>
      <w:tblPr>
        <w:tblW w:w="10670" w:type="dxa"/>
        <w:jc w:val="center"/>
        <w:tblInd w:w="0" w:type="dxa"/>
        <w:tblLayout w:type="fixed"/>
        <w:tblCellMar>
          <w:top w:w="0" w:type="dxa"/>
          <w:left w:w="108" w:type="dxa"/>
          <w:bottom w:w="0" w:type="dxa"/>
          <w:right w:w="108" w:type="dxa"/>
        </w:tblCellMar>
        <w:tblLook w:val="04a0" w:noVBand="1" w:noHBand="0" w:lastColumn="0" w:firstColumn="1" w:lastRow="0" w:firstRow="1"/>
      </w:tblPr>
      <w:tblGrid>
        <w:gridCol w:w="10670"/>
      </w:tblGrid>
      <w:tr>
        <w:trPr/>
        <w:tc>
          <w:tcPr>
            <w:tcW w:w="10670" w:type="dxa"/>
            <w:tcBorders>
              <w:top w:val="single" w:sz="4" w:space="0" w:color="000000"/>
              <w:left w:val="single" w:sz="4" w:space="0" w:color="000000"/>
              <w:bottom w:val="single" w:sz="4" w:space="0" w:color="000000"/>
              <w:right w:val="single" w:sz="4" w:space="0" w:color="000000"/>
            </w:tcBorders>
            <w:shd w:color="auto" w:fill="BFBFBF" w:val="clear"/>
          </w:tcPr>
          <w:p>
            <w:pPr>
              <w:pStyle w:val="Normal"/>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tabs>
          <w:tab w:val="clear" w:pos="720"/>
          <w:tab w:val="clear" w:pos="1440"/>
        </w:tabs>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footerReference w:type="default" r:id="rId3"/>
          <w:type w:val="nextPage"/>
          <w:pgSz w:w="11906" w:h="16838"/>
          <w:pgMar w:left="720" w:right="720" w:gutter="0" w:header="0" w:top="720" w:footer="454" w:bottom="720"/>
          <w:pgNumType w:fmt="decimal"/>
          <w:formProt w:val="false"/>
          <w:textDirection w:val="lrTb"/>
          <w:docGrid w:type="default" w:linePitch="272" w:charSpace="8192"/>
        </w:sectPr>
      </w:pPr>
    </w:p>
    <w:p>
      <w:pPr>
        <w:pStyle w:val="Normal"/>
        <w:rPr>
          <w:rFonts w:ascii="Arial" w:hAnsi="Arial" w:cs="Arial"/>
          <w:b/>
          <w:sz w:val="22"/>
          <w:szCs w:val="22"/>
        </w:rPr>
      </w:pPr>
      <w:r>
        <w:rPr>
          <w:rFonts w:cs="Arial" w:ascii="Arial" w:hAnsi="Arial"/>
          <w:b/>
          <w:sz w:val="22"/>
          <w:szCs w:val="22"/>
        </w:rPr>
      </w:r>
    </w:p>
    <w:tbl>
      <w:tblPr>
        <w:tblW w:w="5000" w:type="pct"/>
        <w:jc w:val="left"/>
        <w:tblInd w:w="0" w:type="dxa"/>
        <w:tblLayout w:type="fixed"/>
        <w:tblCellMar>
          <w:top w:w="0" w:type="dxa"/>
          <w:left w:w="108" w:type="dxa"/>
          <w:bottom w:w="0" w:type="dxa"/>
          <w:right w:w="108" w:type="dxa"/>
        </w:tblCellMar>
        <w:tblLook w:val="04a0" w:noVBand="1" w:noHBand="0" w:lastColumn="0" w:firstColumn="1" w:lastRow="0" w:firstRow="1"/>
      </w:tblPr>
      <w:tblGrid>
        <w:gridCol w:w="8725"/>
        <w:gridCol w:w="872"/>
        <w:gridCol w:w="869"/>
      </w:tblGrid>
      <w:tr>
        <w:trPr>
          <w:trHeight w:val="1002" w:hRule="atLeast"/>
        </w:trPr>
        <w:tc>
          <w:tcPr>
            <w:tcW w:w="8725" w:type="dxa"/>
            <w:tcBorders>
              <w:top w:val="single" w:sz="4" w:space="0" w:color="000000"/>
              <w:left w:val="single" w:sz="4" w:space="0" w:color="000000"/>
              <w:right w:val="single" w:sz="4" w:space="0" w:color="000000"/>
            </w:tcBorders>
            <w:shd w:color="auto" w:fill="BFBFBF" w:val="clear"/>
            <w:vAlign w:val="center"/>
          </w:tcPr>
          <w:p>
            <w:pPr>
              <w:pStyle w:val="Normal"/>
              <w:rPr>
                <w:rFonts w:ascii="Arial" w:hAnsi="Arial" w:cs="Arial"/>
                <w:b/>
                <w:sz w:val="22"/>
              </w:rPr>
            </w:pPr>
            <w:r>
              <w:rPr>
                <w:rFonts w:cs="Arial" w:ascii="Arial" w:hAnsi="Arial"/>
                <w:b/>
                <w:sz w:val="22"/>
                <w:szCs w:val="16"/>
              </w:rPr>
              <w:t>Generic Assessment Criteria</w:t>
            </w:r>
          </w:p>
        </w:tc>
        <w:tc>
          <w:tcPr>
            <w:tcW w:w="872" w:type="dxa"/>
            <w:tcBorders>
              <w:top w:val="single" w:sz="4" w:space="0" w:color="000000"/>
              <w:left w:val="single" w:sz="4" w:space="0" w:color="000000"/>
              <w:right w:val="single" w:sz="4" w:space="0" w:color="000000"/>
            </w:tcBorders>
            <w:shd w:color="auto" w:fill="BFBFBF" w:val="clear"/>
            <w:textDirection w:val="btLr"/>
          </w:tcPr>
          <w:p>
            <w:pPr>
              <w:pStyle w:val="Normal"/>
              <w:ind w:left="34" w:right="113"/>
              <w:jc w:val="center"/>
              <w:rPr>
                <w:rFonts w:ascii="Arial" w:hAnsi="Arial" w:cs="Arial"/>
                <w:b/>
                <w:sz w:val="18"/>
                <w:szCs w:val="18"/>
              </w:rPr>
            </w:pPr>
            <w:r>
              <w:rPr>
                <w:rFonts w:cs="Arial" w:ascii="Arial" w:hAnsi="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ind w:left="113" w:right="113"/>
              <w:jc w:val="center"/>
              <w:rPr>
                <w:rFonts w:ascii="Arial" w:hAnsi="Arial" w:cs="Arial"/>
                <w:b/>
                <w:sz w:val="18"/>
                <w:szCs w:val="18"/>
              </w:rPr>
            </w:pPr>
            <w:r>
              <w:rPr>
                <w:rFonts w:cs="Arial" w:ascii="Arial" w:hAnsi="Arial"/>
                <w:b/>
                <w:sz w:val="18"/>
                <w:szCs w:val="18"/>
              </w:rPr>
              <w:t>Marks</w:t>
            </w:r>
          </w:p>
          <w:p>
            <w:pPr>
              <w:pStyle w:val="Normal"/>
              <w:ind w:left="113" w:right="113"/>
              <w:jc w:val="center"/>
              <w:rPr>
                <w:rFonts w:ascii="Arial" w:hAnsi="Arial" w:cs="Arial"/>
                <w:b/>
                <w:sz w:val="18"/>
                <w:szCs w:val="18"/>
              </w:rPr>
            </w:pPr>
            <w:r>
              <w:rPr>
                <w:rFonts w:cs="Arial" w:ascii="Arial" w:hAnsi="Arial"/>
                <w:b/>
                <w:sz w:val="18"/>
                <w:szCs w:val="18"/>
              </w:rPr>
              <w:t>awarded</w:t>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1. </w:t>
            </w:r>
            <w:r>
              <w:rPr>
                <w:rFonts w:cs="Arial" w:ascii="Arial" w:hAnsi="Arial"/>
                <w:b/>
              </w:rPr>
              <w:t>Engagement with Literature Skills</w:t>
            </w:r>
          </w:p>
          <w:p>
            <w:pPr>
              <w:pStyle w:val="Normal"/>
              <w:spacing w:before="0" w:after="120"/>
              <w:rPr>
                <w:rFonts w:ascii="Arial" w:hAnsi="Arial" w:cs="Arial"/>
                <w:sz w:val="14"/>
                <w:szCs w:val="14"/>
              </w:rPr>
            </w:pPr>
            <w:r>
              <w:rPr>
                <w:rFonts w:cs="Arial" w:ascii="Arial" w:hAnsi="Arial"/>
                <w:sz w:val="14"/>
                <w:szCs w:val="14"/>
              </w:rPr>
              <w:t>.</w:t>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rPr>
            </w:pPr>
            <w:r>
              <w:rPr>
                <w:rFonts w:cs="Arial" w:ascii="Arial" w:hAnsi="Arial"/>
                <w:b/>
                <w:szCs w:val="16"/>
              </w:rPr>
              <w:t xml:space="preserve">2. </w:t>
            </w:r>
            <w:r>
              <w:rPr>
                <w:rFonts w:cs="Arial" w:ascii="Arial" w:hAnsi="Arial"/>
                <w:b/>
              </w:rPr>
              <w:t>Knowledge and Understanding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3. </w:t>
            </w:r>
            <w:r>
              <w:rPr>
                <w:rFonts w:cs="Arial" w:ascii="Arial" w:hAnsi="Arial"/>
                <w:b/>
              </w:rPr>
              <w:t>Cognitive and Intellectual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4. </w:t>
            </w:r>
            <w:r>
              <w:rPr>
                <w:rFonts w:cs="Arial" w:ascii="Arial" w:hAnsi="Arial"/>
                <w:b/>
              </w:rPr>
              <w:t>Practical Application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bl>
    <w:p>
      <w:pPr>
        <w:pStyle w:val="Normal"/>
        <w:ind w:left="284" w:right="531"/>
        <w:rPr>
          <w:rFonts w:ascii="Arial" w:hAnsi="Arial" w:cs="Arial"/>
          <w:b/>
          <w:sz w:val="16"/>
          <w:szCs w:val="16"/>
        </w:rPr>
      </w:pPr>
      <w:r>
        <w:rPr>
          <w:rFonts w:cs="Arial" w:ascii="Arial" w:hAnsi="Arial"/>
          <w:b/>
          <w:sz w:val="16"/>
          <w:szCs w:val="16"/>
        </w:rPr>
      </w:r>
    </w:p>
    <w:tbl>
      <w:tblPr>
        <w:tblpPr w:vertAnchor="text" w:horzAnchor="margin" w:tblpXSpec="center" w:leftFromText="180" w:rightFromText="180" w:tblpY="82"/>
        <w:tblW w:w="10666" w:type="dxa"/>
        <w:jc w:val="center"/>
        <w:tblInd w:w="0" w:type="dxa"/>
        <w:tblLayout w:type="fixed"/>
        <w:tblCellMar>
          <w:top w:w="0" w:type="dxa"/>
          <w:left w:w="108" w:type="dxa"/>
          <w:bottom w:w="0" w:type="dxa"/>
          <w:right w:w="108" w:type="dxa"/>
        </w:tblCellMar>
        <w:tblLook w:val="0000" w:noVBand="0" w:noHBand="0" w:lastColumn="0" w:firstColumn="0" w:lastRow="0" w:firstRow="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rPr>
                <w:rFonts w:ascii="Arial" w:hAnsi="Arial" w:cs="Arial"/>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jc w:val="right"/>
              <w:rPr>
                <w:rFonts w:ascii="Arial" w:hAnsi="Arial" w:cs="Arial"/>
                <w:b/>
                <w:bCs/>
              </w:rPr>
            </w:pPr>
            <w:r>
              <w:rPr>
                <w:rFonts w:cs="Arial" w:ascii="Arial" w:hAnsi="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Up to 1 week late (</w:t>
            </w:r>
            <w:r>
              <w:rPr>
                <w:rFonts w:cs="Arial" w:ascii="Arial" w:hAnsi="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left="142"/>
              <w:rPr>
                <w:rFonts w:ascii="Arial" w:hAnsi="Arial" w:cs="Arial"/>
              </w:rPr>
            </w:pPr>
            <w:r>
              <w:rPr>
                <w:rFonts w:cs="Arial" w:ascii="Arial" w:hAnsi="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firstLine="282"/>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sectPr>
          <w:type w:val="continuous"/>
          <w:pgSz w:w="11906" w:h="16838"/>
          <w:pgMar w:left="720" w:right="720" w:gutter="0" w:header="0" w:top="720" w:footer="454" w:bottom="720"/>
          <w:formProt w:val="false"/>
          <w:textDirection w:val="lrTb"/>
          <w:docGrid w:type="default" w:linePitch="272" w:charSpace="8192"/>
        </w:sectPr>
      </w:pPr>
    </w:p>
    <w:p>
      <w:pPr>
        <w:sectPr>
          <w:footerReference w:type="default" r:id="rId4"/>
          <w:type w:val="nextPage"/>
          <w:pgSz w:orient="landscape" w:w="16838" w:h="11906"/>
          <w:pgMar w:left="720" w:right="720" w:gutter="0" w:header="0" w:top="720" w:footer="706" w:bottom="763"/>
          <w:pgNumType w:fmt="decimal"/>
          <w:formProt w:val="false"/>
          <w:textDirection w:val="lrTb"/>
          <w:docGrid w:type="default" w:linePitch="272" w:charSpace="8192"/>
        </w:sectPr>
        <w:pStyle w:val="Normal"/>
        <w:rPr>
          <w:rFonts w:ascii="Arial" w:hAnsi="Arial" w:cs="Arial"/>
          <w:vanish/>
        </w:rPr>
      </w:pPr>
      <w:r>
        <w:rPr>
          <w:rFonts w:cs="Arial" w:ascii="Arial" w:hAnsi="Arial"/>
          <w:vanish w:val="false"/>
        </w:rPr>
      </w:r>
    </w:p>
    <w:p>
      <w:pPr>
        <w:pStyle w:val="Normal"/>
        <w:rPr>
          <w:rFonts w:ascii="Arial" w:hAnsi="Arial" w:cs="Arial"/>
          <w:vanish/>
        </w:rPr>
      </w:pPr>
      <w:r>
        <w:rPr>
          <w:rFonts w:cs="Arial" w:ascii="Arial" w:hAnsi="Arial"/>
          <w:vanish w:val="false"/>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858"/>
      </w:tblGrid>
      <w:tr>
        <w:trPr/>
        <w:tc>
          <w:tcPr>
            <w:tcW w:w="13858" w:type="dxa"/>
            <w:tcBorders/>
            <w:shd w:color="auto" w:fill="C2D69B" w:themeFill="accent3" w:themeFillTint="99" w:val="clear"/>
          </w:tcPr>
          <w:p>
            <w:pPr>
              <w:pStyle w:val="NormalWeb"/>
              <w:widowControl/>
              <w:suppressAutoHyphens w:val="true"/>
              <w:spacing w:before="100" w:after="100"/>
              <w:jc w:val="left"/>
              <w:rPr>
                <w:rFonts w:ascii="Arial" w:hAnsi="Arial" w:cs="Arial"/>
                <w:b/>
                <w:color w:val="303B44"/>
                <w:sz w:val="22"/>
                <w:szCs w:val="22"/>
              </w:rPr>
            </w:pPr>
            <w:r>
              <w:rPr>
                <w:rFonts w:eastAsia="Times New Roman" w:cs="Arial" w:ascii="Arial" w:hAnsi="Arial"/>
                <w:b/>
                <w:color w:val="303B44"/>
                <w:kern w:val="0"/>
                <w:sz w:val="22"/>
                <w:szCs w:val="22"/>
                <w:lang w:val="en-GB" w:bidi="ar-SA"/>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948"/>
      </w:tblGrid>
      <w:tr>
        <w:trPr/>
        <w:tc>
          <w:tcPr>
            <w:tcW w:w="13948" w:type="dxa"/>
            <w:tcBorders/>
            <w:shd w:color="auto" w:fill="C2D69B" w:themeFill="accent3" w:themeFillTint="99" w:val="clear"/>
          </w:tcPr>
          <w:p>
            <w:pPr>
              <w:pStyle w:val="Normal"/>
              <w:widowControl/>
              <w:suppressAutoHyphens w:val="true"/>
              <w:spacing w:before="0" w:after="0"/>
              <w:jc w:val="left"/>
              <w:rPr>
                <w:rFonts w:ascii="Arial" w:hAnsi="Arial" w:cs="Arial"/>
                <w:b/>
              </w:rPr>
            </w:pPr>
            <w:r>
              <w:rPr>
                <w:rFonts w:eastAsia="Times New Roman" w:cs="Arial" w:ascii="Arial" w:hAnsi="Arial"/>
                <w:b/>
                <w:kern w:val="0"/>
                <w:sz w:val="20"/>
                <w:szCs w:val="20"/>
                <w:lang w:val="en-GB" w:bidi="ar-SA"/>
              </w:rPr>
              <w:t>Level 6</w:t>
            </w:r>
          </w:p>
        </w:tc>
      </w:tr>
      <w:tr>
        <w:trPr/>
        <w:tc>
          <w:tcPr>
            <w:tcW w:w="13948" w:type="dxa"/>
            <w:tcBorders/>
            <w:shd w:color="auto" w:fill="EAF1DD" w:themeFill="accent3" w:themeFillTint="33" w:val="clear"/>
          </w:tcPr>
          <w:p>
            <w:pPr>
              <w:pStyle w:val="Normal"/>
              <w:widowControl/>
              <w:suppressAutoHyphens w:val="true"/>
              <w:spacing w:before="0" w:after="0"/>
              <w:jc w:val="left"/>
              <w:rPr>
                <w:rFonts w:ascii="Arial" w:hAnsi="Arial" w:eastAsia="Arial" w:cs="Arial"/>
                <w:spacing w:val="-1"/>
              </w:rPr>
            </w:pPr>
            <w:r>
              <w:rPr>
                <w:rFonts w:eastAsia="Arial" w:cs="Arial" w:ascii="Arial" w:hAnsi="Arial"/>
                <w:spacing w:val="-1"/>
                <w:kern w:val="0"/>
                <w:sz w:val="20"/>
                <w:szCs w:val="20"/>
                <w:lang w:val="en-GB" w:bidi="ar-SA"/>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pPr>
        <w:pStyle w:val="Normal"/>
        <w:rPr>
          <w:rFonts w:ascii="Arial" w:hAnsi="Arial" w:cs="Arial"/>
        </w:rPr>
      </w:pPr>
      <w:r>
        <w:rPr>
          <w:rFonts w:cs="Arial" w:ascii="Arial" w:hAnsi="Arial"/>
        </w:rPr>
      </w:r>
    </w:p>
    <w:tbl>
      <w:tblPr>
        <w:tblStyle w:val="TableGrid"/>
        <w:tblW w:w="13887"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735"/>
        <w:gridCol w:w="1736"/>
        <w:gridCol w:w="1736"/>
        <w:gridCol w:w="1736"/>
        <w:gridCol w:w="1737"/>
        <w:gridCol w:w="1738"/>
        <w:gridCol w:w="1735"/>
        <w:gridCol w:w="1732"/>
      </w:tblGrid>
      <w:tr>
        <w:trPr>
          <w:tblHeader w:val="true"/>
        </w:trPr>
        <w:tc>
          <w:tcPr>
            <w:tcW w:w="1735" w:type="dxa"/>
            <w:tcBorders/>
            <w:shd w:color="auto" w:fill="C2D69B" w:themeFill="accent3" w:themeFillTint="99" w:val="clear"/>
          </w:tcPr>
          <w:p>
            <w:pPr>
              <w:pStyle w:val="Normal"/>
              <w:widowControl/>
              <w:suppressAutoHyphens w:val="true"/>
              <w:spacing w:before="0" w:after="0"/>
              <w:jc w:val="left"/>
              <w:rPr>
                <w:rFonts w:ascii="Arial" w:hAnsi="Arial" w:cs="Arial"/>
                <w:b/>
                <w:sz w:val="18"/>
                <w:szCs w:val="18"/>
              </w:rPr>
            </w:pPr>
            <w:r>
              <w:rPr>
                <w:rFonts w:eastAsia="Times New Roman" w:cs="Arial" w:ascii="Arial" w:hAnsi="Arial"/>
                <w:b/>
                <w:kern w:val="0"/>
                <w:sz w:val="18"/>
                <w:szCs w:val="18"/>
                <w:lang w:val="en-GB" w:bidi="ar-SA"/>
              </w:rPr>
              <w:t>Level 6</w:t>
            </w:r>
          </w:p>
        </w:tc>
        <w:tc>
          <w:tcPr>
            <w:tcW w:w="1736" w:type="dxa"/>
            <w:tcBorders/>
            <w:shd w:color="auto" w:fill="C2D69B" w:themeFill="accent3"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C2D69B" w:themeFill="accent3"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MARGINAL FAIL</w:t>
            </w:r>
          </w:p>
        </w:tc>
        <w:tc>
          <w:tcPr>
            <w:tcW w:w="1736" w:type="dxa"/>
            <w:tcBorders/>
            <w:shd w:color="auto" w:fill="C2D69B" w:themeFill="accent3"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SATISFACTORY</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(3</w:t>
            </w:r>
            <w:r>
              <w:rPr>
                <w:rFonts w:eastAsia="Times New Roman" w:cs="Arial" w:ascii="Arial" w:hAnsi="Arial"/>
                <w:b/>
                <w:kern w:val="0"/>
                <w:sz w:val="18"/>
                <w:szCs w:val="18"/>
                <w:vertAlign w:val="superscript"/>
                <w:lang w:val="en-GB" w:bidi="ar-SA"/>
              </w:rPr>
              <w:t>rd</w:t>
            </w:r>
            <w:r>
              <w:rPr>
                <w:rFonts w:eastAsia="Times New Roman" w:cs="Arial" w:ascii="Arial" w:hAnsi="Arial"/>
                <w:b/>
                <w:kern w:val="0"/>
                <w:sz w:val="18"/>
                <w:szCs w:val="18"/>
                <w:lang w:val="en-GB" w:bidi="ar-SA"/>
              </w:rPr>
              <w:t xml:space="preserve"> / Pass)</w:t>
            </w:r>
          </w:p>
        </w:tc>
        <w:tc>
          <w:tcPr>
            <w:tcW w:w="1737" w:type="dxa"/>
            <w:tcBorders/>
            <w:shd w:color="auto" w:fill="C2D69B" w:themeFill="accent3"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GOOD</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(2.2 / Pass)</w:t>
            </w:r>
          </w:p>
        </w:tc>
        <w:tc>
          <w:tcPr>
            <w:tcW w:w="1738" w:type="dxa"/>
            <w:tcBorders/>
            <w:shd w:color="auto" w:fill="C2D69B" w:themeFill="accent3"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VERY GOOD</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(2.1 / Merit)</w:t>
            </w:r>
          </w:p>
        </w:tc>
        <w:tc>
          <w:tcPr>
            <w:tcW w:w="1735" w:type="dxa"/>
            <w:tcBorders/>
            <w:shd w:color="auto" w:fill="C2D69B" w:themeFill="accent3"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EXCELLENT</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(1</w:t>
            </w:r>
            <w:r>
              <w:rPr>
                <w:rFonts w:eastAsia="Times New Roman" w:cs="Arial" w:ascii="Arial" w:hAnsi="Arial"/>
                <w:b/>
                <w:kern w:val="0"/>
                <w:sz w:val="18"/>
                <w:szCs w:val="18"/>
                <w:vertAlign w:val="superscript"/>
                <w:lang w:val="en-GB" w:bidi="ar-SA"/>
              </w:rPr>
              <w:t>st</w:t>
            </w:r>
            <w:r>
              <w:rPr>
                <w:rFonts w:eastAsia="Times New Roman" w:cs="Arial" w:ascii="Arial" w:hAnsi="Arial"/>
                <w:b/>
                <w:kern w:val="0"/>
                <w:sz w:val="18"/>
                <w:szCs w:val="18"/>
                <w:lang w:val="en-GB" w:bidi="ar-SA"/>
              </w:rPr>
              <w:t xml:space="preserve"> / Distinction)</w:t>
            </w:r>
          </w:p>
        </w:tc>
        <w:tc>
          <w:tcPr>
            <w:tcW w:w="1732" w:type="dxa"/>
            <w:tcBorders/>
            <w:shd w:color="auto" w:fill="C2D69B" w:themeFill="accent3"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EXCEPTIONAL</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(1</w:t>
            </w:r>
            <w:r>
              <w:rPr>
                <w:rFonts w:eastAsia="Times New Roman" w:cs="Arial" w:ascii="Arial" w:hAnsi="Arial"/>
                <w:b/>
                <w:kern w:val="0"/>
                <w:sz w:val="18"/>
                <w:szCs w:val="18"/>
                <w:vertAlign w:val="superscript"/>
                <w:lang w:val="en-GB" w:bidi="ar-SA"/>
              </w:rPr>
              <w:t>st</w:t>
            </w:r>
            <w:r>
              <w:rPr>
                <w:rFonts w:eastAsia="Times New Roman" w:cs="Arial" w:ascii="Arial" w:hAnsi="Arial"/>
                <w:b/>
                <w:kern w:val="0"/>
                <w:sz w:val="18"/>
                <w:szCs w:val="18"/>
                <w:lang w:val="en-GB" w:bidi="ar-SA"/>
              </w:rPr>
              <w:t xml:space="preserve"> / Distinction)</w:t>
            </w:r>
          </w:p>
        </w:tc>
      </w:tr>
      <w:tr>
        <w:trPr>
          <w:tblHeader w:val="true"/>
        </w:trPr>
        <w:tc>
          <w:tcPr>
            <w:tcW w:w="1735" w:type="dxa"/>
            <w:tcBorders/>
            <w:shd w:color="auto" w:fill="C2D69B" w:themeFill="accent3" w:themeFillTint="99" w:val="clear"/>
          </w:tcPr>
          <w:p>
            <w:pPr>
              <w:pStyle w:val="Normal"/>
              <w:widowControl/>
              <w:suppressAutoHyphens w:val="true"/>
              <w:spacing w:before="0" w:after="0"/>
              <w:ind w:left="171"/>
              <w:jc w:val="left"/>
              <w:rPr>
                <w:rFonts w:ascii="Arial" w:hAnsi="Arial" w:cs="Arial"/>
                <w:sz w:val="18"/>
                <w:szCs w:val="18"/>
              </w:rPr>
            </w:pPr>
            <w:r>
              <w:rPr>
                <w:rFonts w:eastAsia="Arial" w:cs="Arial" w:ascii="Arial" w:hAnsi="Arial"/>
                <w:b/>
                <w:bCs/>
                <w:kern w:val="0"/>
                <w:sz w:val="20"/>
                <w:szCs w:val="20"/>
                <w:lang w:val="en-GB" w:bidi="ar-SA"/>
              </w:rPr>
              <w:t>Category</w:t>
            </w:r>
          </w:p>
        </w:tc>
        <w:tc>
          <w:tcPr>
            <w:tcW w:w="1736" w:type="dxa"/>
            <w:tcBorders/>
            <w:shd w:color="auto" w:fill="C2D69B" w:themeFill="accent3"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0-29%</w:t>
            </w:r>
          </w:p>
        </w:tc>
        <w:tc>
          <w:tcPr>
            <w:tcW w:w="1736" w:type="dxa"/>
            <w:tcBorders/>
            <w:shd w:color="auto" w:fill="C2D69B" w:themeFill="accent3"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30-39%</w:t>
            </w:r>
          </w:p>
        </w:tc>
        <w:tc>
          <w:tcPr>
            <w:tcW w:w="1736" w:type="dxa"/>
            <w:tcBorders/>
            <w:shd w:color="auto" w:fill="C2D69B" w:themeFill="accent3"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40-49%</w:t>
            </w:r>
          </w:p>
        </w:tc>
        <w:tc>
          <w:tcPr>
            <w:tcW w:w="1737" w:type="dxa"/>
            <w:tcBorders/>
            <w:shd w:color="auto" w:fill="C2D69B" w:themeFill="accent3"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50-59%</w:t>
            </w:r>
          </w:p>
        </w:tc>
        <w:tc>
          <w:tcPr>
            <w:tcW w:w="1738" w:type="dxa"/>
            <w:tcBorders/>
            <w:shd w:color="auto" w:fill="C2D69B" w:themeFill="accent3"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60-69%</w:t>
            </w:r>
          </w:p>
        </w:tc>
        <w:tc>
          <w:tcPr>
            <w:tcW w:w="1735" w:type="dxa"/>
            <w:tcBorders/>
            <w:shd w:color="auto" w:fill="C2D69B" w:themeFill="accent3"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70-84%</w:t>
            </w:r>
          </w:p>
        </w:tc>
        <w:tc>
          <w:tcPr>
            <w:tcW w:w="1732" w:type="dxa"/>
            <w:tcBorders/>
            <w:shd w:color="auto" w:fill="C2D69B" w:themeFill="accent3" w:themeFillTint="99" w:val="clea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85-100%</w:t>
            </w:r>
          </w:p>
        </w:tc>
      </w:tr>
      <w:tr>
        <w:trPr/>
        <w:tc>
          <w:tcPr>
            <w:tcW w:w="1735" w:type="dxa"/>
            <w:tcBorders/>
            <w:shd w:color="auto" w:fill="C2D69B" w:themeFill="accent3"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Engagement with literature </w:t>
            </w:r>
            <w:r>
              <w:rPr>
                <w:rFonts w:eastAsia="Arial" w:cs="Arial" w:ascii="Arial" w:hAnsi="Arial"/>
                <w:bCs/>
                <w:kern w:val="0"/>
                <w:sz w:val="18"/>
                <w:szCs w:val="18"/>
                <w:lang w:val="en-GB" w:bidi="ar-SA"/>
              </w:rPr>
              <w:t>(including reading, referencing,</w:t>
            </w:r>
          </w:p>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academic conventions and</w:t>
            </w:r>
          </w:p>
          <w:p>
            <w:pPr>
              <w:pStyle w:val="Normal"/>
              <w:widowControl/>
              <w:suppressAutoHyphens w:val="true"/>
              <w:spacing w:before="34" w:after="0"/>
              <w:ind w:left="108" w:right="-54"/>
              <w:jc w:val="left"/>
              <w:rPr>
                <w:rFonts w:ascii="Arial" w:hAnsi="Arial" w:eastAsia="Arial" w:cs="Arial"/>
                <w:b/>
                <w:bCs/>
              </w:rPr>
            </w:pPr>
            <w:r>
              <w:rPr>
                <w:rFonts w:eastAsia="Arial" w:cs="Arial" w:ascii="Arial" w:hAnsi="Arial"/>
                <w:bCs/>
                <w:kern w:val="0"/>
                <w:sz w:val="18"/>
                <w:szCs w:val="18"/>
                <w:lang w:val="en-GB" w:bidi="ar-SA"/>
              </w:rPr>
              <w:t>academic honesty)</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evidence of reading</w:t>
            </w:r>
            <w:r>
              <w:rPr>
                <w:rFonts w:eastAsia="Times New Roman" w:cs="Times New Roman"/>
                <w:kern w:val="0"/>
                <w:sz w:val="20"/>
                <w:szCs w:val="20"/>
                <w:lang w:val="en-GB" w:bidi="ar-SA"/>
              </w:rPr>
              <w:t xml:space="preserve"> and/or </w:t>
            </w:r>
            <w:r>
              <w:rPr>
                <w:rFonts w:eastAsia="Times New Roman" w:cs="Arial" w:ascii="Arial" w:hAnsi="Arial"/>
                <w:kern w:val="0"/>
                <w:sz w:val="20"/>
                <w:szCs w:val="20"/>
                <w:lang w:val="en-GB" w:bidi="ar-SA"/>
              </w:rPr>
              <w:t>reliance on inappropriate sources.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Views and findings mostly unsupported and non-authoritative.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limited range of mostly relevant and credible sources. Some omissions and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evident though not always applied accurately or consistently.</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appropriate range of research-informed literature, including sources retrieved independently. Some over-reliance on texts. Referencing may show minor inaccuracies or inconsistencies.</w:t>
            </w:r>
          </w:p>
        </w:tc>
        <w:tc>
          <w:tcPr>
            <w:tcW w:w="1738"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wide range of research-informed literature, including sources retrieved independently.</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Selection of relevant and credible sources.  Very good use of referencing, with no/very few inaccuracies or inconsistencies.</w:t>
            </w:r>
          </w:p>
        </w:tc>
        <w:tc>
          <w:tcPr>
            <w:tcW w:w="1735"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extensive range of relevant and credible literature, informed by the latest research. Consistently accurate application of referencing.</w:t>
            </w:r>
          </w:p>
        </w:tc>
        <w:tc>
          <w:tcPr>
            <w:tcW w:w="1732"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engagement with an extensive range of relevant and credible literature, informed by the latest research. High-level referencing skills consistently and professionally applied.</w:t>
            </w:r>
          </w:p>
        </w:tc>
      </w:tr>
      <w:tr>
        <w:trPr/>
        <w:tc>
          <w:tcPr>
            <w:tcW w:w="1735" w:type="dxa"/>
            <w:tcBorders/>
            <w:shd w:color="auto" w:fill="C2D69B" w:themeFill="accent3"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Knowledge and understanding </w:t>
            </w:r>
            <w:r>
              <w:rPr>
                <w:rFonts w:eastAsia="Arial" w:cs="Arial" w:ascii="Arial" w:hAnsi="Arial"/>
                <w:bCs/>
                <w:kern w:val="0"/>
                <w:sz w:val="18"/>
                <w:szCs w:val="18"/>
                <w:lang w:val="en-GB" w:bidi="ar-SA"/>
              </w:rPr>
              <w:t>(Coherent and detailed knowledge and systematic understanding of the subject area, at least some of which is informed by the latest research and/or advanced scholarship within the discipline.)</w:t>
            </w:r>
          </w:p>
          <w:p>
            <w:pPr>
              <w:pStyle w:val="Normal"/>
              <w:widowControl/>
              <w:suppressAutoHyphens w:val="true"/>
              <w:spacing w:before="34" w:after="0"/>
              <w:ind w:left="108" w:right="-54"/>
              <w:jc w:val="left"/>
              <w:rPr>
                <w:rFonts w:ascii="Arial" w:hAnsi="Arial" w:cs="Arial"/>
                <w:sz w:val="18"/>
                <w:szCs w:val="18"/>
              </w:rPr>
            </w:pPr>
            <w:r>
              <w:rPr>
                <w:rFonts w:cs="Arial" w:ascii="Arial" w:hAnsi="Arial"/>
                <w:sz w:val="18"/>
                <w:szCs w:val="18"/>
              </w:rPr>
            </w:r>
          </w:p>
        </w:tc>
        <w:tc>
          <w:tcPr>
            <w:tcW w:w="1736" w:type="dxa"/>
            <w:tcBorders>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Major gaps in knowledge and systematic understanding of the subject matter. Substantial inaccuracies. No awareness of knowledge of the latest research and/or advanced scholarship within the discipline.</w:t>
            </w:r>
          </w:p>
          <w:p>
            <w:pPr>
              <w:pStyle w:val="Normal"/>
              <w:widowControl/>
              <w:suppressAutoHyphens w:val="true"/>
              <w:spacing w:before="0" w:after="12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left w:val="double"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Limited knowledge and systematic understanding of the relevant concepts and principles within the subject area which to some limited extent, is informed by current research and scholarship.</w:t>
            </w:r>
          </w:p>
        </w:tc>
        <w:tc>
          <w:tcPr>
            <w:tcW w:w="1737"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is reasonably detailed, accurate with a good systematic understanding of the field of study</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and to some extent, current research and scholarship.</w:t>
            </w:r>
          </w:p>
        </w:tc>
        <w:tc>
          <w:tcPr>
            <w:tcW w:w="1738"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is reasonably extensive</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coherent and detailed.  Exhibits very good understanding of the breadth and depth of established views, and the work is, at least in part, well-informed by current research and scholarship.</w:t>
            </w:r>
          </w:p>
        </w:tc>
        <w:tc>
          <w:tcPr>
            <w:tcW w:w="1735"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Excellent coherent and detailed knowledge and systematic understanding of the principles and theories of current research and scholarship. Clear awareness of challenges to established views and the limitations of the knowledge base.</w:t>
            </w:r>
          </w:p>
        </w:tc>
        <w:tc>
          <w:tcPr>
            <w:tcW w:w="1732" w:type="dxa"/>
            <w:tcBorders>
              <w:lef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trPr/>
        <w:tc>
          <w:tcPr>
            <w:tcW w:w="1735" w:type="dxa"/>
            <w:tcBorders/>
            <w:shd w:color="auto" w:fill="C2D69B" w:themeFill="accent3"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C</w:t>
            </w:r>
            <w:r>
              <w:rPr>
                <w:rFonts w:eastAsia="Arial" w:cs="Arial" w:ascii="Arial" w:hAnsi="Arial"/>
                <w:b/>
                <w:bCs/>
                <w:spacing w:val="1"/>
                <w:kern w:val="0"/>
                <w:sz w:val="20"/>
                <w:szCs w:val="20"/>
                <w:lang w:val="en-GB" w:bidi="ar-SA"/>
              </w:rPr>
              <w:t>ogn</w:t>
            </w:r>
            <w:r>
              <w:rPr>
                <w:rFonts w:eastAsia="Arial" w:cs="Arial" w:ascii="Arial" w:hAnsi="Arial"/>
                <w:b/>
                <w:bCs/>
                <w:kern w:val="0"/>
                <w:sz w:val="20"/>
                <w:szCs w:val="20"/>
                <w:lang w:val="en-GB" w:bidi="ar-SA"/>
              </w:rPr>
              <w:t>i</w:t>
            </w:r>
            <w:r>
              <w:rPr>
                <w:rFonts w:eastAsia="Arial" w:cs="Arial" w:ascii="Arial" w:hAnsi="Arial"/>
                <w:b/>
                <w:bCs/>
                <w:spacing w:val="1"/>
                <w:kern w:val="0"/>
                <w:sz w:val="20"/>
                <w:szCs w:val="20"/>
                <w:lang w:val="en-GB" w:bidi="ar-SA"/>
              </w:rPr>
              <w:t>t</w:t>
            </w:r>
            <w:r>
              <w:rPr>
                <w:rFonts w:eastAsia="Arial" w:cs="Arial" w:ascii="Arial" w:hAnsi="Arial"/>
                <w:b/>
                <w:bCs/>
                <w:kern w:val="0"/>
                <w:sz w:val="20"/>
                <w:szCs w:val="20"/>
                <w:lang w:val="en-GB" w:bidi="ar-SA"/>
              </w:rPr>
              <w:t>i</w:t>
            </w:r>
            <w:r>
              <w:rPr>
                <w:rFonts w:eastAsia="Arial" w:cs="Arial" w:ascii="Arial" w:hAnsi="Arial"/>
                <w:b/>
                <w:bCs/>
                <w:spacing w:val="2"/>
                <w:kern w:val="0"/>
                <w:sz w:val="20"/>
                <w:szCs w:val="20"/>
                <w:lang w:val="en-GB" w:bidi="ar-SA"/>
              </w:rPr>
              <w:t>v</w:t>
            </w:r>
            <w:r>
              <w:rPr>
                <w:rFonts w:eastAsia="Arial" w:cs="Arial" w:ascii="Arial" w:hAnsi="Arial"/>
                <w:b/>
                <w:bCs/>
                <w:kern w:val="0"/>
                <w:sz w:val="20"/>
                <w:szCs w:val="20"/>
                <w:lang w:val="en-GB" w:bidi="ar-SA"/>
              </w:rPr>
              <w:t>e</w:t>
            </w:r>
            <w:r>
              <w:rPr>
                <w:rFonts w:eastAsia="Arial" w:cs="Arial" w:ascii="Arial" w:hAnsi="Arial"/>
                <w:b/>
                <w:bCs/>
                <w:spacing w:val="-10"/>
                <w:kern w:val="0"/>
                <w:sz w:val="20"/>
                <w:szCs w:val="20"/>
                <w:lang w:val="en-GB" w:bidi="ar-SA"/>
              </w:rPr>
              <w:t xml:space="preserve"> </w:t>
            </w:r>
            <w:r>
              <w:rPr>
                <w:rFonts w:eastAsia="Arial" w:cs="Arial" w:ascii="Arial" w:hAnsi="Arial"/>
                <w:b/>
                <w:bCs/>
                <w:kern w:val="0"/>
                <w:sz w:val="20"/>
                <w:szCs w:val="20"/>
                <w:lang w:val="en-GB" w:bidi="ar-SA"/>
              </w:rPr>
              <w:t>a</w:t>
            </w:r>
            <w:r>
              <w:rPr>
                <w:rFonts w:eastAsia="Arial" w:cs="Arial" w:ascii="Arial" w:hAnsi="Arial"/>
                <w:b/>
                <w:bCs/>
                <w:spacing w:val="1"/>
                <w:kern w:val="0"/>
                <w:sz w:val="20"/>
                <w:szCs w:val="20"/>
                <w:lang w:val="en-GB" w:bidi="ar-SA"/>
              </w:rPr>
              <w:t>n</w:t>
            </w:r>
            <w:r>
              <w:rPr>
                <w:rFonts w:eastAsia="Arial" w:cs="Arial" w:ascii="Arial" w:hAnsi="Arial"/>
                <w:b/>
                <w:bCs/>
                <w:kern w:val="0"/>
                <w:sz w:val="20"/>
                <w:szCs w:val="20"/>
                <w:lang w:val="en-GB" w:bidi="ar-SA"/>
              </w:rPr>
              <w:t>d i</w:t>
            </w:r>
            <w:r>
              <w:rPr>
                <w:rFonts w:eastAsia="Arial" w:cs="Arial" w:ascii="Arial" w:hAnsi="Arial"/>
                <w:b/>
                <w:bCs/>
                <w:spacing w:val="1"/>
                <w:kern w:val="0"/>
                <w:sz w:val="20"/>
                <w:szCs w:val="20"/>
                <w:lang w:val="en-GB" w:bidi="ar-SA"/>
              </w:rPr>
              <w:t>nt</w:t>
            </w:r>
            <w:r>
              <w:rPr>
                <w:rFonts w:eastAsia="Arial" w:cs="Arial" w:ascii="Arial" w:hAnsi="Arial"/>
                <w:b/>
                <w:bCs/>
                <w:kern w:val="0"/>
                <w:sz w:val="20"/>
                <w:szCs w:val="20"/>
                <w:lang w:val="en-GB" w:bidi="ar-SA"/>
              </w:rPr>
              <w:t>ellec</w:t>
            </w:r>
            <w:r>
              <w:rPr>
                <w:rFonts w:eastAsia="Arial" w:cs="Arial" w:ascii="Arial" w:hAnsi="Arial"/>
                <w:b/>
                <w:bCs/>
                <w:spacing w:val="1"/>
                <w:kern w:val="0"/>
                <w:sz w:val="20"/>
                <w:szCs w:val="20"/>
                <w:lang w:val="en-GB" w:bidi="ar-SA"/>
              </w:rPr>
              <w:t>tu</w:t>
            </w:r>
            <w:r>
              <w:rPr>
                <w:rFonts w:eastAsia="Arial" w:cs="Arial" w:ascii="Arial" w:hAnsi="Arial"/>
                <w:b/>
                <w:bCs/>
                <w:kern w:val="0"/>
                <w:sz w:val="20"/>
                <w:szCs w:val="20"/>
                <w:lang w:val="en-GB" w:bidi="ar-SA"/>
              </w:rPr>
              <w:t>al skil</w:t>
            </w:r>
            <w:r>
              <w:rPr>
                <w:rFonts w:eastAsia="Arial" w:cs="Arial" w:ascii="Arial" w:hAnsi="Arial"/>
                <w:b/>
                <w:bCs/>
                <w:spacing w:val="2"/>
                <w:kern w:val="0"/>
                <w:sz w:val="20"/>
                <w:szCs w:val="20"/>
                <w:lang w:val="en-GB" w:bidi="ar-SA"/>
              </w:rPr>
              <w:t>l</w:t>
            </w:r>
            <w:r>
              <w:rPr>
                <w:rFonts w:eastAsia="Arial" w:cs="Arial" w:ascii="Arial" w:hAnsi="Arial"/>
                <w:b/>
                <w:bCs/>
                <w:kern w:val="0"/>
                <w:sz w:val="20"/>
                <w:szCs w:val="20"/>
                <w:lang w:val="en-GB" w:bidi="ar-SA"/>
              </w:rPr>
              <w:t>s</w:t>
            </w:r>
          </w:p>
          <w:p>
            <w:pPr>
              <w:pStyle w:val="Normal"/>
              <w:widowControl/>
              <w:suppressAutoHyphens w:val="true"/>
              <w:spacing w:lineRule="auto" w:line="235"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(Conceptual and critical thinking, analysis, synthesis and evaluation of research, assumptions, abstract concepts and data (that may be incomplete); logic, argument and judgement.)</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Wholly or almost wholly descriptive work. Little or no analysis, synthesis or evaluation.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Failure to develop arguments, leading to illogical or invalid judgements. Unsubstantiated generalisations, made without use of any credible evidence.</w:t>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at critical thinking, analysis, synthesis and evaluation, tending towards description.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Some evidence to support emerging arguments and judgements but these may be underdeveloped or with a little inconsistency / mis-interpretation.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Asserts rather than argues a case.</w:t>
            </w:r>
          </w:p>
          <w:p>
            <w:pPr>
              <w:pStyle w:val="Normal"/>
              <w:widowControl/>
              <w:suppressAutoHyphens w:val="true"/>
              <w:spacing w:before="0" w:after="0"/>
              <w:jc w:val="left"/>
              <w:rPr>
                <w:rFonts w:ascii="Arial" w:hAnsi="Arial" w:cs="Arial"/>
              </w:rPr>
            </w:pPr>
            <w:r>
              <w:rPr>
                <w:rFonts w:cs="Arial" w:ascii="Arial" w:hAnsi="Arial"/>
              </w:rPr>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Some critical thinking, analysis, synthesis and evaluation. Can analyse new and/or abstract concepts and data without guidance.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emerging awareness of different stances and ability to use evidence (that may be incomplete) to support the argument.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valid arguments and logical judgements.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Some tendency to assert/state opinion rather than argue on the basis of reason and evidence.</w:t>
            </w:r>
          </w:p>
        </w:tc>
        <w:tc>
          <w:tcPr>
            <w:tcW w:w="1738"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Sound critical thinking, analysis, synthesis and evaluation</w:t>
            </w:r>
            <w:r>
              <w:rPr>
                <w:rFonts w:eastAsia="Times New Roman" w:cs="Times New Roman"/>
                <w:kern w:val="0"/>
                <w:sz w:val="20"/>
                <w:szCs w:val="20"/>
                <w:lang w:val="en-GB" w:bidi="ar-SA"/>
              </w:rPr>
              <w:t xml:space="preserve"> demonstrating </w:t>
            </w:r>
            <w:r>
              <w:rPr>
                <w:rFonts w:eastAsia="Times New Roman" w:cs="Arial" w:ascii="Arial" w:hAnsi="Arial"/>
                <w:kern w:val="0"/>
                <w:sz w:val="20"/>
                <w:szCs w:val="20"/>
                <w:lang w:val="en-GB" w:bidi="ar-SA"/>
              </w:rPr>
              <w:t>critical thinking. Ability to devise and sustain persuasive arguments, and to review the reliability, validity and significance of evidence (that may be incomplete) to make mostly appropriate and valid judgements.</w:t>
            </w:r>
          </w:p>
          <w:p>
            <w:pPr>
              <w:pStyle w:val="Normal"/>
              <w:widowControl/>
              <w:suppressAutoHyphens w:val="true"/>
              <w:spacing w:before="0" w:after="0"/>
              <w:jc w:val="left"/>
              <w:rPr>
                <w:rFonts w:ascii="Arial" w:hAnsi="Arial" w:cs="Arial"/>
              </w:rPr>
            </w:pPr>
            <w:r>
              <w:rPr>
                <w:rFonts w:cs="Arial" w:ascii="Arial" w:hAnsi="Arial"/>
              </w:rPr>
            </w:r>
          </w:p>
        </w:tc>
        <w:tc>
          <w:tcPr>
            <w:tcW w:w="1735"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Excellent critical thinking, analysis, synthesis and evaluation. Ability to investigate contradictory or incomplete information and make strong, persuasive, arguments and sophisticated judgements.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Some evidence of independent thought and ability to ‘see beyond the question’, suggesting a grasp of the broader field and wider concepts.</w:t>
            </w:r>
          </w:p>
          <w:p>
            <w:pPr>
              <w:pStyle w:val="Normal"/>
              <w:widowControl/>
              <w:suppressAutoHyphens w:val="true"/>
              <w:spacing w:before="0" w:after="0"/>
              <w:jc w:val="left"/>
              <w:rPr>
                <w:rFonts w:ascii="Arial" w:hAnsi="Arial" w:cs="Arial"/>
              </w:rPr>
            </w:pPr>
            <w:r>
              <w:rPr>
                <w:rFonts w:cs="Arial" w:ascii="Arial" w:hAnsi="Arial"/>
              </w:rPr>
            </w:r>
          </w:p>
        </w:tc>
        <w:tc>
          <w:tcPr>
            <w:tcW w:w="1732"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critical thinking, analysis, synthesis and evaluation based on judiciously selected evidence.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trPr/>
        <w:tc>
          <w:tcPr>
            <w:tcW w:w="1735" w:type="dxa"/>
            <w:tcBorders/>
            <w:shd w:color="auto" w:fill="C2D69B" w:themeFill="accent3"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Practical skills</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Arial" w:cs="Arial" w:ascii="Arial" w:hAnsi="Arial"/>
                <w:bCs/>
                <w:kern w:val="0"/>
                <w:sz w:val="18"/>
                <w:szCs w:val="18"/>
                <w:lang w:val="en-GB" w:bidi="ar-SA"/>
              </w:rPr>
              <w:t>(Apply/deploy accurately established tools and techniques; initiate and carry out projects; formulate solutions to solve problems in complex and unpredictable contexts.)</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or no use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understanding of the application of theory to practice or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weak problem-solving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Rudimentary application of methods, materials, tools and/or techniques but without consideration and competence. Flawed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Weak understanding of the application of theory to practice, with only occasional evidence of making appropriate links between the two. Weak problem-solving skills in complex and unpredictable contexts.</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adequate awareness and mostly appropriate application of well-established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Basic appreciation of the context of the application. Theoretical knowledge and understanding applied in practice, but not always making logical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basic solutions in complex and unpredictable contexts without fully appreciating the complexity.</w:t>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good and appropriate application of standard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Clear appreciation of the context of the application. Mainly consistent, accurate and logical application of theory to practice,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mostly appropriate solutions in complex and unpredictable contexts.</w:t>
            </w:r>
          </w:p>
        </w:tc>
        <w:tc>
          <w:tcPr>
            <w:tcW w:w="1738"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very good application of a range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good consideration of the context of the application, with perceptive insights. Can identify problems and propose appropriate solutions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Evidence of some innovation and creativity.</w:t>
            </w:r>
          </w:p>
        </w:tc>
        <w:tc>
          <w:tcPr>
            <w:tcW w:w="1735"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advanced application of a range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The context of the application is well considered, and insightful.</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Application and deployment extend beyond established conventions.  Can identify complex problems and propose excellent solutions. Innovation and creativity evident.</w:t>
            </w:r>
          </w:p>
        </w:tc>
        <w:tc>
          <w:tcPr>
            <w:tcW w:w="1732"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trPr/>
        <w:tc>
          <w:tcPr>
            <w:tcW w:w="1735" w:type="dxa"/>
            <w:tcBorders/>
            <w:shd w:color="auto" w:fill="C2D69B" w:themeFill="accent3"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Transferable skills for life and professional practice</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Times New Roman" w:cs="Arial" w:ascii="Arial" w:hAnsi="Arial"/>
                <w:kern w:val="0"/>
                <w:sz w:val="18"/>
                <w:szCs w:val="18"/>
                <w:lang w:val="en-GB" w:bidi="ar-SA"/>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inappropriate or misapplied.</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structured, disorganised and/or confusingly expressed. Very weak use of language and/or very inappropriate style. Little or no evidence of autonomy (or collaboration, where relevant) in the completion of tasks.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Little or no evidence of the skills required in graduate employment.</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poorly designed and/or not suitable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in a suitable medium but with some room for improvement.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ordered presentation and structure in which relevant ideas / concepts are reasonably expressed. Work may lack coherence in places. Can work as part of a team, but with limited involvement in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the basic skills required in graduate employment, with some areas of minor weakness.</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effectively in a suitable format, but may have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coherent, organised work, in a suitable structure and is for the most part clearly expressed. Can work effectively independently and/or as part of a team, with clear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the skills required in graduate employment, with some areas of strength and some of minor weakness.</w:t>
            </w:r>
          </w:p>
        </w:tc>
        <w:tc>
          <w:tcPr>
            <w:tcW w:w="1738"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well,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fluent, well-structured and organised. Can work very well autonomously and/or as part of a team, with very good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very good graduate employment skills, with just occasional minor weakness.</w:t>
            </w:r>
          </w:p>
        </w:tc>
        <w:tc>
          <w:tcPr>
            <w:tcW w:w="1735"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professionally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2"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with an exceptionally high level of professionalism.</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exceptionally coherent, very fluent and is presented professionally. Can work exceptionally well and professionally within a team, showing advanced leadership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Demonstrates exceptional graduate employment skills and an appetite for further development.</w:t>
            </w:r>
          </w:p>
        </w:tc>
      </w:tr>
    </w:tbl>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
        <w:rPr>
          <w:rFonts w:ascii="Arial" w:hAnsi="Arial" w:cs="Arial"/>
          <w:b/>
        </w:rPr>
      </w:pPr>
      <w:r>
        <w:rPr>
          <w:rFonts w:cs="Arial" w:ascii="Arial" w:hAnsi="Arial"/>
          <w:b/>
        </w:rPr>
        <w:t>THIS DOCUMENT IS ALSO AVAILABLE IN WELSH</w:t>
      </w:r>
    </w:p>
    <w:sectPr>
      <w:footerReference w:type="default" r:id="rId5"/>
      <w:footerReference w:type="first" r:id="rId6"/>
      <w:type w:val="nextPage"/>
      <w:pgSz w:orient="landscape" w:w="16838" w:h="11906"/>
      <w:pgMar w:left="720" w:right="720" w:gutter="0" w:header="0" w:top="720" w:footer="706" w:bottom="763"/>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default"/>
  </w:font>
  <w:font w:name="Arial">
    <w:charset w:val="01"/>
    <w:family w:val="roman"/>
    <w:pitch w:val="default"/>
  </w:font>
  <w:font w:name="Tahoma">
    <w:charset w:val="01"/>
    <w:family w:val="roman"/>
    <w:pitch w:val="default"/>
  </w:font>
  <w:font w:name="Garamond">
    <w:charset w:val="01"/>
    <w:family w:val="roman"/>
    <w:pitch w:val="default"/>
  </w:font>
  <w:font w:name="CG Times (WN)">
    <w:charset w:val="01"/>
    <w:family w:val="roman"/>
    <w:pitch w:val="default"/>
  </w:font>
  <w:font w:name="Verdana">
    <w:charset w:val="01"/>
    <w:family w:val="roman"/>
    <w:pitch w:val="default"/>
  </w:font>
  <w:font w:name="MS Gothic">
    <w:charset w:val="01"/>
    <w:family w:val="roman"/>
    <w:pitch w:val="default"/>
  </w:font>
  <w:font w:name="Symbol">
    <w:charset w:val="01"/>
    <w:family w:val="auto"/>
    <w:pitch w:val="variable"/>
  </w:font>
  <w:font w:name="Courier New">
    <w:charset w:val="01"/>
    <w:family w:val="modern"/>
    <w:pitch w:val="fixed"/>
  </w:font>
  <w:font w:name="Wingding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t xml:space="preserve">Page </w:t>
    </w:r>
    <w:r>
      <w:rPr>
        <w:b/>
        <w:sz w:val="24"/>
        <w:szCs w:val="24"/>
      </w:rPr>
      <w:fldChar w:fldCharType="begin"/>
    </w:r>
    <w:r>
      <w:rPr>
        <w:sz w:val="24"/>
        <w:b/>
        <w:szCs w:val="24"/>
      </w:rPr>
      <w:instrText xml:space="preserve"> PAGE </w:instrText>
    </w:r>
    <w:r>
      <w:rPr>
        <w:sz w:val="24"/>
        <w:b/>
        <w:szCs w:val="24"/>
      </w:rPr>
      <w:fldChar w:fldCharType="separate"/>
    </w:r>
    <w:r>
      <w:rPr>
        <w:sz w:val="24"/>
        <w:b/>
        <w:szCs w:val="24"/>
      </w:rPr>
      <w:t>5</w:t>
    </w:r>
    <w:r>
      <w:rPr>
        <w:sz w:val="24"/>
        <w:b/>
        <w:szCs w:val="24"/>
      </w:rPr>
      <w:fldChar w:fldCharType="end"/>
    </w:r>
    <w:r>
      <w:rPr/>
      <w:t xml:space="preserve"> of </w:t>
    </w:r>
    <w:r>
      <w:rPr>
        <w:b/>
        <w:sz w:val="24"/>
        <w:szCs w:val="24"/>
      </w:rPr>
      <w:fldChar w:fldCharType="begin"/>
    </w:r>
    <w:r>
      <w:rPr>
        <w:sz w:val="24"/>
        <w:b/>
        <w:szCs w:val="24"/>
      </w:rPr>
      <w:instrText xml:space="preserve"> NUMPAGES </w:instrText>
    </w:r>
    <w:r>
      <w:rPr>
        <w:sz w:val="24"/>
        <w:b/>
        <w:szCs w:val="24"/>
      </w:rPr>
      <w:fldChar w:fldCharType="separate"/>
    </w:r>
    <w:r>
      <w:rPr>
        <w:sz w:val="24"/>
        <w:b/>
        <w:szCs w:val="24"/>
      </w:rPr>
      <w:t>10</w:t>
    </w:r>
    <w:r>
      <w:rPr>
        <w:sz w:val="24"/>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rPr/>
    </w:lvl>
    <w:lvl w:ilvl="1">
      <w:start w:val="1"/>
      <w:numFmt w:val="lowerLetter"/>
      <w:lvlText w:val="%2."/>
      <w:lvlJc w:val="left"/>
      <w:pPr>
        <w:tabs>
          <w:tab w:val="num" w:pos="0"/>
        </w:tabs>
        <w:ind w:left="1080" w:hanging="360"/>
      </w:pPr>
      <w:rPr/>
    </w:lvl>
    <w:lvl w:ilvl="2">
      <w:start w:val="1"/>
      <w:numFmt w:val="lowerRoman"/>
      <w:lvlText w:val="%3."/>
      <w:lvlJc w:val="right"/>
      <w:pPr>
        <w:tabs>
          <w:tab w:val="num" w:pos="0"/>
        </w:tabs>
        <w:ind w:left="1800" w:hanging="180"/>
      </w:pPr>
      <w:rPr/>
    </w:lvl>
    <w:lvl w:ilvl="3">
      <w:start w:val="1"/>
      <w:numFmt w:val="decimal"/>
      <w:lvlText w:val="%4."/>
      <w:lvlJc w:val="left"/>
      <w:pPr>
        <w:tabs>
          <w:tab w:val="num" w:pos="0"/>
        </w:tabs>
        <w:ind w:left="2520" w:hanging="360"/>
      </w:pPr>
      <w:rPr/>
    </w:lvl>
    <w:lvl w:ilvl="4">
      <w:start w:val="1"/>
      <w:numFmt w:val="lowerLetter"/>
      <w:lvlText w:val="%5."/>
      <w:lvlJc w:val="left"/>
      <w:pPr>
        <w:tabs>
          <w:tab w:val="num" w:pos="0"/>
        </w:tabs>
        <w:ind w:left="3240" w:hanging="360"/>
      </w:pPr>
      <w:rPr/>
    </w:lvl>
    <w:lvl w:ilvl="5">
      <w:start w:val="1"/>
      <w:numFmt w:val="lowerRoman"/>
      <w:lvlText w:val="%6."/>
      <w:lvlJc w:val="right"/>
      <w:pPr>
        <w:tabs>
          <w:tab w:val="num" w:pos="0"/>
        </w:tabs>
        <w:ind w:left="3960" w:hanging="180"/>
      </w:pPr>
      <w:rPr/>
    </w:lvl>
    <w:lvl w:ilvl="6">
      <w:start w:val="1"/>
      <w:numFmt w:val="decimal"/>
      <w:lvlText w:val="%7."/>
      <w:lvlJc w:val="left"/>
      <w:pPr>
        <w:tabs>
          <w:tab w:val="num" w:pos="0"/>
        </w:tabs>
        <w:ind w:left="4680" w:hanging="360"/>
      </w:pPr>
      <w:rPr/>
    </w:lvl>
    <w:lvl w:ilvl="7">
      <w:start w:val="1"/>
      <w:numFmt w:val="lowerLetter"/>
      <w:lvlText w:val="%8."/>
      <w:lvlJc w:val="left"/>
      <w:pPr>
        <w:tabs>
          <w:tab w:val="num" w:pos="0"/>
        </w:tabs>
        <w:ind w:left="5400" w:hanging="360"/>
      </w:pPr>
      <w:rPr/>
    </w:lvl>
    <w:lvl w:ilvl="8">
      <w:start w:val="1"/>
      <w:numFmt w:val="lowerRoman"/>
      <w:lvlText w:val="%9."/>
      <w:lvlJc w:val="right"/>
      <w:pPr>
        <w:tabs>
          <w:tab w:val="num" w:pos="0"/>
        </w:tabs>
        <w:ind w:left="6120" w:hanging="180"/>
      </w:pPr>
      <w:rPr/>
    </w:lvl>
  </w:abstractNum>
  <w:abstractNum w:abstractNumId="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8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0"/>
      <w:szCs w:val="20"/>
      <w:lang w:val="en-GB" w:eastAsia="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qFormat/>
    <w:pPr>
      <w:keepNext w:val="true"/>
      <w:jc w:val="both"/>
      <w:outlineLvl w:val="1"/>
    </w:pPr>
    <w:rPr>
      <w:b/>
      <w:sz w:val="24"/>
    </w:rPr>
  </w:style>
  <w:style w:type="paragraph" w:styleId="Heading3">
    <w:name w:val="Heading 3"/>
    <w:basedOn w:val="Normal"/>
    <w:next w:val="Normal"/>
    <w:qFormat/>
    <w:pPr>
      <w:keepNext w:val="true"/>
      <w:jc w:val="center"/>
      <w:outlineLvl w:val="2"/>
    </w:pPr>
    <w:rPr>
      <w:b/>
      <w:sz w:val="24"/>
    </w:rPr>
  </w:style>
  <w:style w:type="paragraph" w:styleId="Heading4">
    <w:name w:val="Heading 4"/>
    <w:basedOn w:val="Normal"/>
    <w:next w:val="Normal"/>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Hyperlink">
    <w:name w:val="Hyperlink"/>
    <w:uiPriority w:val="99"/>
    <w:unhideWhenUsed/>
    <w:rsid w:val="001e2007"/>
    <w:rPr>
      <w:color w:val="0000FF"/>
      <w:u w:val="single"/>
    </w:rPr>
  </w:style>
  <w:style w:type="character" w:styleId="Emphasis">
    <w:name w:val="Emphasis"/>
    <w:uiPriority w:val="20"/>
    <w:qFormat/>
    <w:rsid w:val="00df321b"/>
    <w:rPr>
      <w:i/>
      <w:iCs/>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contextualSpacing/>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13" Type="http://schemas.openxmlformats.org/officeDocument/2006/relationships/customXml" Target="../customXml/item3.xml"/><Relationship Id="rId3" Type="http://schemas.openxmlformats.org/officeDocument/2006/relationships/footer" Target="footer1.xml"/><Relationship Id="rId7" Type="http://schemas.openxmlformats.org/officeDocument/2006/relationships/numbering" Target="numbering.xml"/><Relationship Id="rId12" Type="http://schemas.openxmlformats.org/officeDocument/2006/relationships/customXml" Target="../customXml/item2.xml"/><Relationship Id="rId2" Type="http://schemas.openxmlformats.org/officeDocument/2006/relationships/image" Target="media/image1.png"/><Relationship Id="rId1" Type="http://schemas.openxmlformats.org/officeDocument/2006/relationships/styles" Target="styles.xml"/><Relationship Id="rId6" Type="http://schemas.openxmlformats.org/officeDocument/2006/relationships/footer" Target="footer4.xml"/><Relationship Id="rId11" Type="http://schemas.openxmlformats.org/officeDocument/2006/relationships/customXml" Target="../customXml/item1.xml"/><Relationship Id="rId5" Type="http://schemas.openxmlformats.org/officeDocument/2006/relationships/footer" Target="footer3.xml"/><Relationship Id="rId10" Type="http://schemas.openxmlformats.org/officeDocument/2006/relationships/theme" Target="theme/theme1.xml"/><Relationship Id="rId4" Type="http://schemas.openxmlformats.org/officeDocument/2006/relationships/footer" Target="footer2.xml"/><Relationship Id="rId9" Type="http://schemas.openxmlformats.org/officeDocument/2006/relationships/settings" Target="settings.xml"/></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A3E02A-66AC-43B0-B667-6627D22B11DB}"/>
</file>

<file path=customXml/itemProps2.xml><?xml version="1.0" encoding="utf-8"?>
<ds:datastoreItem xmlns:ds="http://schemas.openxmlformats.org/officeDocument/2006/customXml" ds:itemID="{66DFC789-B9FB-45D9-A7E1-6FD59F1C3774}"/>
</file>

<file path=customXml/itemProps3.xml><?xml version="1.0" encoding="utf-8"?>
<ds:datastoreItem xmlns:ds="http://schemas.openxmlformats.org/officeDocument/2006/customXml" ds:itemID="{2C19F990-6380-4134-A814-30DC91D54B27}"/>
</file>

<file path=docProps/app.xml><?xml version="1.0" encoding="utf-8"?>
<Properties xmlns="http://schemas.openxmlformats.org/officeDocument/2006/extended-properties" xmlns:vt="http://schemas.openxmlformats.org/officeDocument/2006/docPropsVTypes">
  <Template>AssignFrm</Template>
  <TotalTime>60</TotalTime>
  <Application>LibreOffice/7.6.2.1$MacOSX_AARCH64 LibreOffice_project/56f7684011345957bbf33a7ee678afaf4d2ba333</Application>
  <AppVersion>15.0000</AppVersion>
  <Pages>10</Pages>
  <Words>3406</Words>
  <Characters>20336</Characters>
  <CharactersWithSpaces>23611</CharactersWithSpaces>
  <Paragraphs>209</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dc:description>August 2018</dc:description>
  <cp:lastModifiedBy>KRH</cp:lastModifiedBy>
  <cp:revision>19</cp:revision>
  <cp:lastPrinted>2014-10-10T07:42:00Z</cp:lastPrinted>
  <dcterms:created xsi:type="dcterms:W3CDTF">2015-10-01T16:41:00Z</dcterms:created>
  <dcterms:modified xsi:type="dcterms:W3CDTF">2024-09-10T23:08:00Z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y fmtid="{D5CDD505-2E9C-101B-9397-08002B2CF9AE}" pid="5" name="ContentTypeId">
    <vt:lpwstr>0x010100347A65D36072074F9E667D481AA80FD5</vt:lpwstr>
  </property>
</Properties>
</file>