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0EF1D" w14:textId="77777777" w:rsidR="00CA1019" w:rsidRDefault="00CA1019" w:rsidP="00093FF9">
      <w:pPr>
        <w:pStyle w:val="NoSpacing"/>
        <w:rPr>
          <w:rFonts w:ascii="Times New Roman" w:hAnsi="Times New Roman" w:cs="Times New Roman"/>
        </w:rPr>
      </w:pPr>
    </w:p>
    <w:p w14:paraId="5A1AF9AF" w14:textId="6F3697B6" w:rsidR="005F65BB" w:rsidRDefault="003E11EF" w:rsidP="00093FF9">
      <w:pPr>
        <w:pStyle w:val="NoSpacing"/>
        <w:rPr>
          <w:rFonts w:ascii="Times New Roman" w:hAnsi="Times New Roman" w:cs="Times New Roman"/>
        </w:rPr>
      </w:pPr>
      <w:r>
        <w:rPr>
          <w:rFonts w:ascii="Times New Roman" w:hAnsi="Times New Roman" w:cs="Times New Roman"/>
          <w:noProof/>
        </w:rPr>
        <w:drawing>
          <wp:inline distT="0" distB="0" distL="0" distR="0" wp14:anchorId="1C6716AF" wp14:editId="6BFA4422">
            <wp:extent cx="5010150" cy="248120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022707" cy="2487425"/>
                    </a:xfrm>
                    <a:prstGeom prst="rect">
                      <a:avLst/>
                    </a:prstGeom>
                  </pic:spPr>
                </pic:pic>
              </a:graphicData>
            </a:graphic>
          </wp:inline>
        </w:drawing>
      </w:r>
    </w:p>
    <w:p w14:paraId="371185F0" w14:textId="77777777" w:rsidR="005F65BB" w:rsidRDefault="005F65BB" w:rsidP="00093FF9">
      <w:pPr>
        <w:pStyle w:val="NoSpacing"/>
        <w:rPr>
          <w:rFonts w:ascii="Times New Roman" w:hAnsi="Times New Roman" w:cs="Times New Roman"/>
        </w:rPr>
      </w:pPr>
    </w:p>
    <w:p w14:paraId="1EF3988C" w14:textId="77777777" w:rsidR="005F65BB" w:rsidRDefault="005F65BB" w:rsidP="00093FF9">
      <w:pPr>
        <w:pStyle w:val="NoSpacing"/>
        <w:rPr>
          <w:rFonts w:ascii="Times New Roman" w:hAnsi="Times New Roman" w:cs="Times New Roman"/>
        </w:rPr>
      </w:pPr>
    </w:p>
    <w:p w14:paraId="077E0B0D" w14:textId="77777777" w:rsidR="005F65BB" w:rsidRDefault="005F65BB" w:rsidP="00093FF9">
      <w:pPr>
        <w:pStyle w:val="NoSpacing"/>
        <w:rPr>
          <w:rFonts w:ascii="Times New Roman" w:hAnsi="Times New Roman" w:cs="Times New Roman"/>
        </w:rPr>
      </w:pPr>
    </w:p>
    <w:p w14:paraId="3EB959DE" w14:textId="77777777" w:rsidR="005F65BB" w:rsidRPr="00B25863" w:rsidRDefault="005F65BB" w:rsidP="00093FF9">
      <w:pPr>
        <w:pStyle w:val="NoSpacing"/>
        <w:rPr>
          <w:rFonts w:ascii="Times New Roman" w:hAnsi="Times New Roman" w:cs="Times New Roman"/>
          <w:b/>
          <w:bCs/>
          <w:sz w:val="40"/>
          <w:szCs w:val="40"/>
        </w:rPr>
      </w:pPr>
    </w:p>
    <w:p w14:paraId="0CA64917" w14:textId="77777777" w:rsidR="003E11EF" w:rsidRPr="00B25863" w:rsidRDefault="003E11EF" w:rsidP="003E11EF">
      <w:pPr>
        <w:pStyle w:val="NormalWeb"/>
        <w:spacing w:before="0" w:beforeAutospacing="0" w:after="0" w:afterAutospacing="0"/>
        <w:jc w:val="center"/>
        <w:rPr>
          <w:b/>
          <w:bCs/>
          <w:color w:val="1E293B"/>
          <w:sz w:val="40"/>
          <w:szCs w:val="40"/>
        </w:rPr>
      </w:pPr>
      <w:r w:rsidRPr="00B25863">
        <w:rPr>
          <w:b/>
          <w:bCs/>
          <w:color w:val="1E293B"/>
          <w:sz w:val="40"/>
          <w:szCs w:val="40"/>
        </w:rPr>
        <w:t>Assessment nr.1</w:t>
      </w:r>
    </w:p>
    <w:p w14:paraId="624EAB47" w14:textId="77777777" w:rsidR="003E11EF" w:rsidRPr="00B25863" w:rsidRDefault="003E11EF" w:rsidP="003E11EF">
      <w:pPr>
        <w:pStyle w:val="NormalWeb"/>
        <w:spacing w:before="0" w:beforeAutospacing="0" w:after="0" w:afterAutospacing="0"/>
        <w:rPr>
          <w:b/>
          <w:bCs/>
          <w:color w:val="1E293B"/>
          <w:sz w:val="40"/>
          <w:szCs w:val="40"/>
        </w:rPr>
      </w:pPr>
    </w:p>
    <w:p w14:paraId="7F0DBE45" w14:textId="03BC51BE" w:rsidR="003E11EF" w:rsidRPr="00B25863" w:rsidRDefault="00B25863" w:rsidP="003E11EF">
      <w:pPr>
        <w:pStyle w:val="NormalWeb"/>
        <w:spacing w:before="0" w:beforeAutospacing="0" w:after="0" w:afterAutospacing="0"/>
        <w:jc w:val="center"/>
        <w:rPr>
          <w:b/>
          <w:bCs/>
          <w:color w:val="1E293B"/>
          <w:sz w:val="40"/>
          <w:szCs w:val="40"/>
        </w:rPr>
      </w:pPr>
      <w:r w:rsidRPr="00B25863">
        <w:rPr>
          <w:b/>
          <w:bCs/>
          <w:color w:val="1E293B"/>
          <w:sz w:val="40"/>
          <w:szCs w:val="40"/>
          <w:lang w:val="en-IN"/>
        </w:rPr>
        <w:t>International Financial Management</w:t>
      </w:r>
      <w:r w:rsidRPr="00B25863">
        <w:rPr>
          <w:b/>
          <w:bCs/>
          <w:color w:val="1E293B"/>
          <w:sz w:val="40"/>
          <w:szCs w:val="40"/>
          <w:lang w:val="en-IN"/>
        </w:rPr>
        <w:t xml:space="preserve"> Report</w:t>
      </w:r>
    </w:p>
    <w:p w14:paraId="4D496A75" w14:textId="77777777" w:rsidR="003E11EF" w:rsidRDefault="003E11EF" w:rsidP="003E11EF">
      <w:pPr>
        <w:pStyle w:val="NormalWeb"/>
        <w:spacing w:before="0" w:beforeAutospacing="0" w:after="0" w:afterAutospacing="0"/>
        <w:rPr>
          <w:color w:val="1E293B"/>
        </w:rPr>
      </w:pPr>
    </w:p>
    <w:p w14:paraId="1485DB0E" w14:textId="77777777" w:rsidR="003E11EF" w:rsidRDefault="003E11EF" w:rsidP="003E11EF">
      <w:pPr>
        <w:pStyle w:val="NormalWeb"/>
        <w:spacing w:before="0" w:beforeAutospacing="0" w:after="0" w:afterAutospacing="0"/>
        <w:rPr>
          <w:color w:val="1E293B"/>
        </w:rPr>
      </w:pPr>
    </w:p>
    <w:p w14:paraId="6E3165AD" w14:textId="77777777" w:rsidR="003E11EF" w:rsidRDefault="003E11EF" w:rsidP="003E11EF">
      <w:pPr>
        <w:pStyle w:val="NormalWeb"/>
        <w:spacing w:before="0" w:beforeAutospacing="0" w:after="0" w:afterAutospacing="0"/>
        <w:rPr>
          <w:color w:val="1E293B"/>
        </w:rPr>
      </w:pPr>
    </w:p>
    <w:p w14:paraId="7D8FFAC9" w14:textId="77777777" w:rsidR="00B25863" w:rsidRDefault="00B25863" w:rsidP="003E11EF">
      <w:pPr>
        <w:pStyle w:val="NormalWeb"/>
        <w:spacing w:before="0" w:beforeAutospacing="0" w:after="0" w:afterAutospacing="0"/>
        <w:rPr>
          <w:color w:val="1E293B"/>
        </w:rPr>
      </w:pPr>
    </w:p>
    <w:p w14:paraId="4864248A" w14:textId="77777777" w:rsidR="00B25863" w:rsidRDefault="00B25863" w:rsidP="003E11EF">
      <w:pPr>
        <w:pStyle w:val="NormalWeb"/>
        <w:spacing w:before="0" w:beforeAutospacing="0" w:after="0" w:afterAutospacing="0"/>
        <w:rPr>
          <w:color w:val="1E293B"/>
        </w:rPr>
      </w:pPr>
    </w:p>
    <w:p w14:paraId="121FCB50" w14:textId="77777777" w:rsidR="00B25863" w:rsidRDefault="00B25863" w:rsidP="003E11EF">
      <w:pPr>
        <w:pStyle w:val="NormalWeb"/>
        <w:spacing w:before="0" w:beforeAutospacing="0" w:after="0" w:afterAutospacing="0"/>
        <w:rPr>
          <w:color w:val="1E293B"/>
        </w:rPr>
      </w:pPr>
    </w:p>
    <w:p w14:paraId="46F1E896" w14:textId="77777777" w:rsidR="00B25863" w:rsidRDefault="00B25863" w:rsidP="003E11EF">
      <w:pPr>
        <w:pStyle w:val="NormalWeb"/>
        <w:spacing w:before="0" w:beforeAutospacing="0" w:after="0" w:afterAutospacing="0"/>
        <w:rPr>
          <w:color w:val="1E293B"/>
        </w:rPr>
      </w:pPr>
    </w:p>
    <w:p w14:paraId="1C80F951" w14:textId="77777777" w:rsidR="00B25863" w:rsidRDefault="00B25863" w:rsidP="003E11EF">
      <w:pPr>
        <w:pStyle w:val="NormalWeb"/>
        <w:spacing w:before="0" w:beforeAutospacing="0" w:after="0" w:afterAutospacing="0"/>
        <w:rPr>
          <w:color w:val="1E293B"/>
        </w:rPr>
      </w:pPr>
    </w:p>
    <w:p w14:paraId="05423560" w14:textId="77777777" w:rsidR="00B25863" w:rsidRDefault="00B25863" w:rsidP="003E11EF">
      <w:pPr>
        <w:pStyle w:val="NormalWeb"/>
        <w:spacing w:before="0" w:beforeAutospacing="0" w:after="0" w:afterAutospacing="0"/>
        <w:rPr>
          <w:color w:val="1E293B"/>
        </w:rPr>
      </w:pPr>
    </w:p>
    <w:p w14:paraId="068E46A8" w14:textId="77777777" w:rsidR="00B25863" w:rsidRDefault="00B25863" w:rsidP="003E11EF">
      <w:pPr>
        <w:pStyle w:val="NormalWeb"/>
        <w:spacing w:before="0" w:beforeAutospacing="0" w:after="0" w:afterAutospacing="0"/>
        <w:rPr>
          <w:color w:val="1E293B"/>
        </w:rPr>
      </w:pPr>
    </w:p>
    <w:p w14:paraId="7EFBD49D" w14:textId="77777777" w:rsidR="00B25863" w:rsidRDefault="00B25863" w:rsidP="003E11EF">
      <w:pPr>
        <w:pStyle w:val="NormalWeb"/>
        <w:spacing w:before="0" w:beforeAutospacing="0" w:after="0" w:afterAutospacing="0"/>
        <w:rPr>
          <w:color w:val="1E293B"/>
        </w:rPr>
      </w:pPr>
    </w:p>
    <w:p w14:paraId="2CF0685D" w14:textId="77777777" w:rsidR="00B25863" w:rsidRDefault="00B25863" w:rsidP="003E11EF">
      <w:pPr>
        <w:pStyle w:val="NormalWeb"/>
        <w:spacing w:before="0" w:beforeAutospacing="0" w:after="0" w:afterAutospacing="0"/>
        <w:rPr>
          <w:color w:val="1E293B"/>
        </w:rPr>
      </w:pPr>
    </w:p>
    <w:p w14:paraId="2C7A319B" w14:textId="77777777" w:rsidR="00B25863" w:rsidRDefault="00B25863" w:rsidP="003E11EF">
      <w:pPr>
        <w:pStyle w:val="NormalWeb"/>
        <w:spacing w:before="0" w:beforeAutospacing="0" w:after="0" w:afterAutospacing="0"/>
        <w:rPr>
          <w:color w:val="1E293B"/>
        </w:rPr>
      </w:pPr>
    </w:p>
    <w:p w14:paraId="78168386" w14:textId="77777777" w:rsidR="003E11EF" w:rsidRPr="00B25863" w:rsidRDefault="003E11EF" w:rsidP="003E11EF">
      <w:pPr>
        <w:pStyle w:val="NormalWeb"/>
        <w:spacing w:before="0" w:beforeAutospacing="0" w:after="0" w:afterAutospacing="0"/>
        <w:rPr>
          <w:color w:val="1E293B"/>
          <w:sz w:val="30"/>
          <w:szCs w:val="30"/>
        </w:rPr>
      </w:pPr>
    </w:p>
    <w:p w14:paraId="1991DBD7" w14:textId="2DA6C270" w:rsidR="003E11EF" w:rsidRPr="00B25863" w:rsidRDefault="003E11EF" w:rsidP="003E11EF">
      <w:pPr>
        <w:pStyle w:val="NormalWeb"/>
        <w:shd w:val="clear" w:color="auto" w:fill="FFFFFF" w:themeFill="background1"/>
        <w:spacing w:before="0"/>
        <w:rPr>
          <w:color w:val="1E293B"/>
          <w:sz w:val="30"/>
          <w:szCs w:val="30"/>
        </w:rPr>
      </w:pPr>
      <w:r w:rsidRPr="00B25863">
        <w:rPr>
          <w:b/>
          <w:bCs/>
          <w:color w:val="1E293B"/>
          <w:sz w:val="30"/>
          <w:szCs w:val="30"/>
          <w:lang w:val="en-IN"/>
        </w:rPr>
        <w:t>Module code</w:t>
      </w:r>
      <w:r w:rsidRPr="00B25863">
        <w:rPr>
          <w:color w:val="1E293B"/>
          <w:sz w:val="30"/>
          <w:szCs w:val="30"/>
          <w:lang w:val="en-IN"/>
        </w:rPr>
        <w:t>: LCBB6002</w:t>
      </w:r>
    </w:p>
    <w:p w14:paraId="0BAB7BC9" w14:textId="77777777" w:rsidR="003E11EF" w:rsidRPr="00B25863" w:rsidRDefault="003E11EF" w:rsidP="003E11EF">
      <w:pPr>
        <w:pStyle w:val="NormalWeb"/>
        <w:spacing w:before="0"/>
        <w:rPr>
          <w:color w:val="1E293B"/>
          <w:sz w:val="30"/>
          <w:szCs w:val="30"/>
          <w:lang w:val="en-IN"/>
        </w:rPr>
      </w:pPr>
      <w:r w:rsidRPr="00B25863">
        <w:rPr>
          <w:b/>
          <w:bCs/>
          <w:color w:val="1E293B"/>
          <w:sz w:val="30"/>
          <w:szCs w:val="30"/>
          <w:lang w:val="en-IN"/>
        </w:rPr>
        <w:t>Student Name</w:t>
      </w:r>
      <w:r w:rsidRPr="00B25863">
        <w:rPr>
          <w:color w:val="1E293B"/>
          <w:sz w:val="30"/>
          <w:szCs w:val="30"/>
          <w:lang w:val="en-IN"/>
        </w:rPr>
        <w:t>: Olga Andronic</w:t>
      </w:r>
    </w:p>
    <w:p w14:paraId="5D42A742" w14:textId="77777777" w:rsidR="003E11EF" w:rsidRPr="00B25863" w:rsidRDefault="003E11EF" w:rsidP="003E11EF">
      <w:pPr>
        <w:pStyle w:val="NormalWeb"/>
        <w:spacing w:before="0"/>
        <w:rPr>
          <w:color w:val="1E293B"/>
          <w:sz w:val="30"/>
          <w:szCs w:val="30"/>
        </w:rPr>
      </w:pPr>
      <w:r w:rsidRPr="00B25863">
        <w:rPr>
          <w:b/>
          <w:bCs/>
          <w:color w:val="1E293B"/>
          <w:sz w:val="30"/>
          <w:szCs w:val="30"/>
          <w:lang w:val="en-IN"/>
        </w:rPr>
        <w:t>Student Number</w:t>
      </w:r>
      <w:r w:rsidRPr="00B25863">
        <w:rPr>
          <w:color w:val="1E293B"/>
          <w:sz w:val="30"/>
          <w:szCs w:val="30"/>
          <w:lang w:val="en-IN"/>
        </w:rPr>
        <w:t>: 2119164</w:t>
      </w:r>
    </w:p>
    <w:p w14:paraId="52887169" w14:textId="5012C458" w:rsidR="005F65BB" w:rsidRDefault="003E11EF" w:rsidP="00B25863">
      <w:pPr>
        <w:pStyle w:val="NormalWeb"/>
        <w:spacing w:before="0"/>
        <w:rPr>
          <w:color w:val="1E293B"/>
          <w:sz w:val="30"/>
          <w:szCs w:val="30"/>
        </w:rPr>
      </w:pPr>
      <w:r w:rsidRPr="00B25863">
        <w:rPr>
          <w:b/>
          <w:bCs/>
          <w:color w:val="1E293B"/>
          <w:sz w:val="30"/>
          <w:szCs w:val="30"/>
        </w:rPr>
        <w:t>Lecturer</w:t>
      </w:r>
      <w:r w:rsidRPr="00B25863">
        <w:rPr>
          <w:color w:val="1E293B"/>
          <w:sz w:val="30"/>
          <w:szCs w:val="30"/>
        </w:rPr>
        <w:t>: Andry Rakotovololona</w:t>
      </w:r>
    </w:p>
    <w:p w14:paraId="30141C2E" w14:textId="77777777" w:rsidR="001C048C" w:rsidRDefault="001C048C" w:rsidP="00B25863">
      <w:pPr>
        <w:pStyle w:val="NormalWeb"/>
        <w:spacing w:before="0"/>
        <w:rPr>
          <w:color w:val="1E293B"/>
          <w:sz w:val="30"/>
          <w:szCs w:val="30"/>
        </w:rPr>
      </w:pPr>
    </w:p>
    <w:p w14:paraId="49F636E0" w14:textId="2DABD139" w:rsidR="00B25863" w:rsidRDefault="00B25863" w:rsidP="00B25863">
      <w:pPr>
        <w:pStyle w:val="NormalWeb"/>
        <w:spacing w:before="0"/>
        <w:jc w:val="center"/>
        <w:rPr>
          <w:b/>
          <w:bCs/>
          <w:color w:val="1E293B"/>
          <w:sz w:val="28"/>
          <w:szCs w:val="28"/>
        </w:rPr>
      </w:pPr>
      <w:r w:rsidRPr="00B25863">
        <w:rPr>
          <w:b/>
          <w:bCs/>
          <w:color w:val="1E293B"/>
          <w:sz w:val="28"/>
          <w:szCs w:val="28"/>
        </w:rPr>
        <w:lastRenderedPageBreak/>
        <w:t>Table of content</w:t>
      </w:r>
    </w:p>
    <w:sdt>
      <w:sdtPr>
        <w:id w:val="-75443502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42742678" w14:textId="3640A848" w:rsidR="0094684B" w:rsidRPr="003450B7" w:rsidRDefault="0094684B">
          <w:pPr>
            <w:pStyle w:val="TOCHeading"/>
            <w:rPr>
              <w:rFonts w:ascii="Times New Roman" w:hAnsi="Times New Roman" w:cs="Times New Roman"/>
              <w:color w:val="000000" w:themeColor="text1"/>
              <w:sz w:val="24"/>
              <w:szCs w:val="24"/>
            </w:rPr>
          </w:pPr>
          <w:r w:rsidRPr="003450B7">
            <w:rPr>
              <w:rFonts w:ascii="Times New Roman" w:hAnsi="Times New Roman" w:cs="Times New Roman"/>
              <w:color w:val="000000" w:themeColor="text1"/>
              <w:sz w:val="24"/>
              <w:szCs w:val="24"/>
            </w:rPr>
            <w:t>Contents</w:t>
          </w:r>
        </w:p>
        <w:p w14:paraId="1D1EDB05" w14:textId="32A67EA2" w:rsidR="00FC12B6" w:rsidRPr="003450B7" w:rsidRDefault="0094684B">
          <w:pPr>
            <w:pStyle w:val="TOC1"/>
            <w:tabs>
              <w:tab w:val="right" w:pos="9016"/>
            </w:tabs>
            <w:rPr>
              <w:rFonts w:ascii="Times New Roman" w:hAnsi="Times New Roman"/>
              <w:noProof/>
              <w:kern w:val="2"/>
              <w:sz w:val="24"/>
              <w:szCs w:val="24"/>
              <w:lang w:val="en-GB" w:eastAsia="en-GB"/>
            </w:rPr>
          </w:pPr>
          <w:r w:rsidRPr="003450B7">
            <w:rPr>
              <w:rFonts w:ascii="Times New Roman" w:hAnsi="Times New Roman"/>
              <w:sz w:val="24"/>
              <w:szCs w:val="24"/>
            </w:rPr>
            <w:fldChar w:fldCharType="begin"/>
          </w:r>
          <w:r w:rsidRPr="003450B7">
            <w:rPr>
              <w:rFonts w:ascii="Times New Roman" w:hAnsi="Times New Roman"/>
              <w:sz w:val="24"/>
              <w:szCs w:val="24"/>
            </w:rPr>
            <w:instrText xml:space="preserve"> TOC \o "1-3" \h \z \u </w:instrText>
          </w:r>
          <w:r w:rsidRPr="003450B7">
            <w:rPr>
              <w:rFonts w:ascii="Times New Roman" w:hAnsi="Times New Roman"/>
              <w:sz w:val="24"/>
              <w:szCs w:val="24"/>
            </w:rPr>
            <w:fldChar w:fldCharType="separate"/>
          </w:r>
          <w:hyperlink w:anchor="_Toc162910994" w:history="1">
            <w:r w:rsidR="00FC12B6" w:rsidRPr="003450B7">
              <w:rPr>
                <w:rStyle w:val="Hyperlink"/>
                <w:rFonts w:ascii="Times New Roman" w:hAnsi="Times New Roman"/>
                <w:b/>
                <w:bCs/>
                <w:noProof/>
                <w:sz w:val="24"/>
                <w:szCs w:val="24"/>
              </w:rPr>
              <w:t>Introduction</w:t>
            </w:r>
            <w:r w:rsidR="00FC12B6" w:rsidRPr="003450B7">
              <w:rPr>
                <w:rFonts w:ascii="Times New Roman" w:hAnsi="Times New Roman"/>
                <w:noProof/>
                <w:webHidden/>
                <w:sz w:val="24"/>
                <w:szCs w:val="24"/>
              </w:rPr>
              <w:tab/>
            </w:r>
            <w:r w:rsidR="00FC12B6" w:rsidRPr="003450B7">
              <w:rPr>
                <w:rFonts w:ascii="Times New Roman" w:hAnsi="Times New Roman"/>
                <w:noProof/>
                <w:webHidden/>
                <w:sz w:val="24"/>
                <w:szCs w:val="24"/>
              </w:rPr>
              <w:fldChar w:fldCharType="begin"/>
            </w:r>
            <w:r w:rsidR="00FC12B6" w:rsidRPr="003450B7">
              <w:rPr>
                <w:rFonts w:ascii="Times New Roman" w:hAnsi="Times New Roman"/>
                <w:noProof/>
                <w:webHidden/>
                <w:sz w:val="24"/>
                <w:szCs w:val="24"/>
              </w:rPr>
              <w:instrText xml:space="preserve"> PAGEREF _Toc162910994 \h </w:instrText>
            </w:r>
            <w:r w:rsidR="00FC12B6" w:rsidRPr="003450B7">
              <w:rPr>
                <w:rFonts w:ascii="Times New Roman" w:hAnsi="Times New Roman"/>
                <w:noProof/>
                <w:webHidden/>
                <w:sz w:val="24"/>
                <w:szCs w:val="24"/>
              </w:rPr>
            </w:r>
            <w:r w:rsidR="00FC12B6" w:rsidRPr="003450B7">
              <w:rPr>
                <w:rFonts w:ascii="Times New Roman" w:hAnsi="Times New Roman"/>
                <w:noProof/>
                <w:webHidden/>
                <w:sz w:val="24"/>
                <w:szCs w:val="24"/>
              </w:rPr>
              <w:fldChar w:fldCharType="separate"/>
            </w:r>
            <w:r w:rsidR="00FC12B6" w:rsidRPr="003450B7">
              <w:rPr>
                <w:rFonts w:ascii="Times New Roman" w:hAnsi="Times New Roman"/>
                <w:noProof/>
                <w:webHidden/>
                <w:sz w:val="24"/>
                <w:szCs w:val="24"/>
              </w:rPr>
              <w:t>3</w:t>
            </w:r>
            <w:r w:rsidR="00FC12B6" w:rsidRPr="003450B7">
              <w:rPr>
                <w:rFonts w:ascii="Times New Roman" w:hAnsi="Times New Roman"/>
                <w:noProof/>
                <w:webHidden/>
                <w:sz w:val="24"/>
                <w:szCs w:val="24"/>
              </w:rPr>
              <w:fldChar w:fldCharType="end"/>
            </w:r>
          </w:hyperlink>
        </w:p>
        <w:p w14:paraId="43C4FFE5" w14:textId="01B2C84F" w:rsidR="00FC12B6" w:rsidRPr="003450B7" w:rsidRDefault="00FC12B6">
          <w:pPr>
            <w:pStyle w:val="TOC1"/>
            <w:tabs>
              <w:tab w:val="right" w:pos="9016"/>
            </w:tabs>
            <w:rPr>
              <w:rFonts w:ascii="Times New Roman" w:hAnsi="Times New Roman"/>
              <w:noProof/>
              <w:kern w:val="2"/>
              <w:sz w:val="24"/>
              <w:szCs w:val="24"/>
              <w:lang w:val="en-GB" w:eastAsia="en-GB"/>
            </w:rPr>
          </w:pPr>
          <w:hyperlink w:anchor="_Toc162910995" w:history="1">
            <w:r w:rsidRPr="003450B7">
              <w:rPr>
                <w:rStyle w:val="Hyperlink"/>
                <w:rFonts w:ascii="Times New Roman" w:hAnsi="Times New Roman"/>
                <w:b/>
                <w:bCs/>
                <w:noProof/>
                <w:sz w:val="24"/>
                <w:szCs w:val="24"/>
              </w:rPr>
              <w:t>Main Body</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_Toc162910995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3</w:t>
            </w:r>
            <w:r w:rsidRPr="003450B7">
              <w:rPr>
                <w:rFonts w:ascii="Times New Roman" w:hAnsi="Times New Roman"/>
                <w:noProof/>
                <w:webHidden/>
                <w:sz w:val="24"/>
                <w:szCs w:val="24"/>
              </w:rPr>
              <w:fldChar w:fldCharType="end"/>
            </w:r>
          </w:hyperlink>
        </w:p>
        <w:p w14:paraId="7799CD0E" w14:textId="1071A081" w:rsidR="00FC12B6" w:rsidRPr="003450B7" w:rsidRDefault="00FC12B6">
          <w:pPr>
            <w:pStyle w:val="TOC2"/>
            <w:tabs>
              <w:tab w:val="right" w:pos="9016"/>
            </w:tabs>
            <w:rPr>
              <w:rFonts w:ascii="Times New Roman" w:hAnsi="Times New Roman"/>
              <w:noProof/>
              <w:kern w:val="2"/>
              <w:sz w:val="24"/>
              <w:szCs w:val="24"/>
              <w:lang w:val="en-GB" w:eastAsia="en-GB"/>
            </w:rPr>
          </w:pPr>
          <w:hyperlink w:anchor="_Toc162910996" w:history="1">
            <w:r w:rsidRPr="003450B7">
              <w:rPr>
                <w:rStyle w:val="Hyperlink"/>
                <w:rFonts w:ascii="Times New Roman" w:hAnsi="Times New Roman"/>
                <w:noProof/>
                <w:sz w:val="24"/>
                <w:szCs w:val="24"/>
              </w:rPr>
              <w:t>1. Trade Balance</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_Toc162910996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3</w:t>
            </w:r>
            <w:r w:rsidRPr="003450B7">
              <w:rPr>
                <w:rFonts w:ascii="Times New Roman" w:hAnsi="Times New Roman"/>
                <w:noProof/>
                <w:webHidden/>
                <w:sz w:val="24"/>
                <w:szCs w:val="24"/>
              </w:rPr>
              <w:fldChar w:fldCharType="end"/>
            </w:r>
          </w:hyperlink>
        </w:p>
        <w:p w14:paraId="625C7C42" w14:textId="7617B1ED" w:rsidR="00FC12B6" w:rsidRPr="003450B7" w:rsidRDefault="00FC12B6">
          <w:pPr>
            <w:pStyle w:val="TOC2"/>
            <w:tabs>
              <w:tab w:val="right" w:pos="9016"/>
            </w:tabs>
            <w:rPr>
              <w:rFonts w:ascii="Times New Roman" w:hAnsi="Times New Roman"/>
              <w:noProof/>
              <w:kern w:val="2"/>
              <w:sz w:val="24"/>
              <w:szCs w:val="24"/>
              <w:lang w:val="en-GB" w:eastAsia="en-GB"/>
            </w:rPr>
          </w:pPr>
          <w:hyperlink w:anchor="_Toc162910997" w:history="1">
            <w:r w:rsidRPr="003450B7">
              <w:rPr>
                <w:rStyle w:val="Hyperlink"/>
                <w:rFonts w:ascii="Times New Roman" w:hAnsi="Times New Roman"/>
                <w:noProof/>
                <w:sz w:val="24"/>
                <w:szCs w:val="24"/>
              </w:rPr>
              <w:t>2. Inflation</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_Toc162910997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3</w:t>
            </w:r>
            <w:r w:rsidRPr="003450B7">
              <w:rPr>
                <w:rFonts w:ascii="Times New Roman" w:hAnsi="Times New Roman"/>
                <w:noProof/>
                <w:webHidden/>
                <w:sz w:val="24"/>
                <w:szCs w:val="24"/>
              </w:rPr>
              <w:fldChar w:fldCharType="end"/>
            </w:r>
          </w:hyperlink>
        </w:p>
        <w:p w14:paraId="1117D8A8" w14:textId="2BDD4A79" w:rsidR="00FC12B6" w:rsidRPr="003450B7" w:rsidRDefault="00FC12B6">
          <w:pPr>
            <w:pStyle w:val="TOC2"/>
            <w:tabs>
              <w:tab w:val="right" w:pos="9016"/>
            </w:tabs>
            <w:rPr>
              <w:rFonts w:ascii="Times New Roman" w:hAnsi="Times New Roman"/>
              <w:noProof/>
              <w:kern w:val="2"/>
              <w:sz w:val="24"/>
              <w:szCs w:val="24"/>
              <w:lang w:val="en-GB" w:eastAsia="en-GB"/>
            </w:rPr>
          </w:pPr>
          <w:hyperlink w:anchor="_Toc162910998" w:history="1">
            <w:r w:rsidRPr="003450B7">
              <w:rPr>
                <w:rStyle w:val="Hyperlink"/>
                <w:rFonts w:ascii="Times New Roman" w:hAnsi="Times New Roman"/>
                <w:noProof/>
                <w:sz w:val="24"/>
                <w:szCs w:val="24"/>
              </w:rPr>
              <w:t>3. Investment Flows</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_Toc162910998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3</w:t>
            </w:r>
            <w:r w:rsidRPr="003450B7">
              <w:rPr>
                <w:rFonts w:ascii="Times New Roman" w:hAnsi="Times New Roman"/>
                <w:noProof/>
                <w:webHidden/>
                <w:sz w:val="24"/>
                <w:szCs w:val="24"/>
              </w:rPr>
              <w:fldChar w:fldCharType="end"/>
            </w:r>
          </w:hyperlink>
        </w:p>
        <w:p w14:paraId="5ADF4EFD" w14:textId="72ABD077" w:rsidR="00FC12B6" w:rsidRPr="003450B7" w:rsidRDefault="00FC12B6">
          <w:pPr>
            <w:pStyle w:val="TOC2"/>
            <w:tabs>
              <w:tab w:val="right" w:pos="9016"/>
            </w:tabs>
            <w:rPr>
              <w:rFonts w:ascii="Times New Roman" w:hAnsi="Times New Roman"/>
              <w:noProof/>
              <w:kern w:val="2"/>
              <w:sz w:val="24"/>
              <w:szCs w:val="24"/>
              <w:lang w:val="en-GB" w:eastAsia="en-GB"/>
            </w:rPr>
          </w:pPr>
          <w:hyperlink w:anchor="_Toc162910999" w:history="1">
            <w:r w:rsidRPr="003450B7">
              <w:rPr>
                <w:rStyle w:val="Hyperlink"/>
                <w:rFonts w:ascii="Times New Roman" w:hAnsi="Times New Roman"/>
                <w:noProof/>
                <w:sz w:val="24"/>
                <w:szCs w:val="24"/>
              </w:rPr>
              <w:t>4. Central Bank Policy</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_Toc162910999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3</w:t>
            </w:r>
            <w:r w:rsidRPr="003450B7">
              <w:rPr>
                <w:rFonts w:ascii="Times New Roman" w:hAnsi="Times New Roman"/>
                <w:noProof/>
                <w:webHidden/>
                <w:sz w:val="24"/>
                <w:szCs w:val="24"/>
              </w:rPr>
              <w:fldChar w:fldCharType="end"/>
            </w:r>
          </w:hyperlink>
        </w:p>
        <w:p w14:paraId="43E63553" w14:textId="765BB329" w:rsidR="00FC12B6" w:rsidRPr="003450B7" w:rsidRDefault="00FC12B6">
          <w:pPr>
            <w:pStyle w:val="TOC2"/>
            <w:tabs>
              <w:tab w:val="right" w:pos="9016"/>
            </w:tabs>
            <w:rPr>
              <w:rFonts w:ascii="Times New Roman" w:hAnsi="Times New Roman"/>
              <w:noProof/>
              <w:kern w:val="2"/>
              <w:sz w:val="24"/>
              <w:szCs w:val="24"/>
              <w:lang w:val="en-GB" w:eastAsia="en-GB"/>
            </w:rPr>
          </w:pPr>
          <w:hyperlink w:anchor="_Toc162911000" w:history="1">
            <w:r w:rsidRPr="003450B7">
              <w:rPr>
                <w:rStyle w:val="Hyperlink"/>
                <w:rFonts w:ascii="Times New Roman" w:hAnsi="Times New Roman"/>
                <w:noProof/>
                <w:sz w:val="24"/>
                <w:szCs w:val="24"/>
              </w:rPr>
              <w:t>5. Business Confidence and Investment:</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_Toc162911000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3</w:t>
            </w:r>
            <w:r w:rsidRPr="003450B7">
              <w:rPr>
                <w:rFonts w:ascii="Times New Roman" w:hAnsi="Times New Roman"/>
                <w:noProof/>
                <w:webHidden/>
                <w:sz w:val="24"/>
                <w:szCs w:val="24"/>
              </w:rPr>
              <w:fldChar w:fldCharType="end"/>
            </w:r>
          </w:hyperlink>
        </w:p>
        <w:p w14:paraId="71987CD4" w14:textId="6F1AF808" w:rsidR="00FC12B6" w:rsidRPr="003450B7" w:rsidRDefault="00FC12B6">
          <w:pPr>
            <w:pStyle w:val="TOC2"/>
            <w:tabs>
              <w:tab w:val="right" w:pos="9016"/>
            </w:tabs>
            <w:rPr>
              <w:rFonts w:ascii="Times New Roman" w:hAnsi="Times New Roman"/>
              <w:noProof/>
              <w:kern w:val="2"/>
              <w:sz w:val="24"/>
              <w:szCs w:val="24"/>
              <w:lang w:val="en-GB" w:eastAsia="en-GB"/>
            </w:rPr>
          </w:pPr>
          <w:hyperlink w:anchor="_Toc162911001" w:history="1">
            <w:r w:rsidRPr="003450B7">
              <w:rPr>
                <w:rStyle w:val="Hyperlink"/>
                <w:rFonts w:ascii="Times New Roman" w:hAnsi="Times New Roman"/>
                <w:noProof/>
                <w:sz w:val="24"/>
                <w:szCs w:val="24"/>
              </w:rPr>
              <w:t>Understanding Foreign Exchange Risks</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_Toc162911001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4</w:t>
            </w:r>
            <w:r w:rsidRPr="003450B7">
              <w:rPr>
                <w:rFonts w:ascii="Times New Roman" w:hAnsi="Times New Roman"/>
                <w:noProof/>
                <w:webHidden/>
                <w:sz w:val="24"/>
                <w:szCs w:val="24"/>
              </w:rPr>
              <w:fldChar w:fldCharType="end"/>
            </w:r>
          </w:hyperlink>
        </w:p>
        <w:p w14:paraId="01F9BC64" w14:textId="7C4C589A" w:rsidR="00FC12B6" w:rsidRPr="003450B7" w:rsidRDefault="00FC12B6">
          <w:pPr>
            <w:pStyle w:val="TOC2"/>
            <w:tabs>
              <w:tab w:val="right" w:pos="9016"/>
            </w:tabs>
            <w:rPr>
              <w:rFonts w:ascii="Times New Roman" w:hAnsi="Times New Roman"/>
              <w:noProof/>
              <w:kern w:val="2"/>
              <w:sz w:val="24"/>
              <w:szCs w:val="24"/>
              <w:lang w:val="en-GB" w:eastAsia="en-GB"/>
            </w:rPr>
          </w:pPr>
          <w:r w:rsidRPr="003450B7">
            <w:rPr>
              <w:rStyle w:val="Hyperlink"/>
              <w:rFonts w:ascii="Times New Roman" w:hAnsi="Times New Roman"/>
              <w:noProof/>
              <w:sz w:val="24"/>
              <w:szCs w:val="24"/>
            </w:rPr>
            <w:t xml:space="preserve">    </w:t>
          </w:r>
          <w:hyperlink w:anchor="_Toc162911002" w:history="1">
            <w:r w:rsidRPr="003450B7">
              <w:rPr>
                <w:rStyle w:val="Hyperlink"/>
                <w:rFonts w:ascii="Times New Roman" w:hAnsi="Times New Roman"/>
                <w:noProof/>
                <w:sz w:val="24"/>
                <w:szCs w:val="24"/>
              </w:rPr>
              <w:t>1.Transaction Exposure</w:t>
            </w:r>
            <w:r w:rsidRPr="003450B7">
              <w:rPr>
                <w:rStyle w:val="Hyperlink"/>
                <w:rFonts w:ascii="Times New Roman" w:eastAsia="Times New Roman" w:hAnsi="Times New Roman"/>
                <w:noProof/>
                <w:sz w:val="24"/>
                <w:szCs w:val="24"/>
                <w:lang w:eastAsia="en-GB"/>
              </w:rPr>
              <w:t>:</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_Toc162911002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4</w:t>
            </w:r>
            <w:r w:rsidRPr="003450B7">
              <w:rPr>
                <w:rFonts w:ascii="Times New Roman" w:hAnsi="Times New Roman"/>
                <w:noProof/>
                <w:webHidden/>
                <w:sz w:val="24"/>
                <w:szCs w:val="24"/>
              </w:rPr>
              <w:fldChar w:fldCharType="end"/>
            </w:r>
          </w:hyperlink>
        </w:p>
        <w:p w14:paraId="64BD070B" w14:textId="2863F00E" w:rsidR="00FC12B6" w:rsidRPr="003450B7" w:rsidRDefault="00FC12B6">
          <w:pPr>
            <w:pStyle w:val="TOC3"/>
            <w:tabs>
              <w:tab w:val="right" w:pos="9016"/>
            </w:tabs>
            <w:rPr>
              <w:rFonts w:ascii="Times New Roman" w:hAnsi="Times New Roman"/>
              <w:noProof/>
              <w:kern w:val="2"/>
              <w:sz w:val="24"/>
              <w:szCs w:val="24"/>
              <w:lang w:val="en-GB" w:eastAsia="en-GB"/>
            </w:rPr>
          </w:pPr>
          <w:hyperlink w:anchor="_Toc162911003" w:history="1">
            <w:r w:rsidRPr="003450B7">
              <w:rPr>
                <w:rStyle w:val="Hyperlink"/>
                <w:rFonts w:ascii="Times New Roman" w:hAnsi="Times New Roman"/>
                <w:noProof/>
                <w:sz w:val="24"/>
                <w:szCs w:val="24"/>
              </w:rPr>
              <w:t>2.Translation Exposure</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_Toc162911003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4</w:t>
            </w:r>
            <w:r w:rsidRPr="003450B7">
              <w:rPr>
                <w:rFonts w:ascii="Times New Roman" w:hAnsi="Times New Roman"/>
                <w:noProof/>
                <w:webHidden/>
                <w:sz w:val="24"/>
                <w:szCs w:val="24"/>
              </w:rPr>
              <w:fldChar w:fldCharType="end"/>
            </w:r>
          </w:hyperlink>
        </w:p>
        <w:p w14:paraId="42C40C1D" w14:textId="220BD4F6" w:rsidR="00FC12B6" w:rsidRPr="003450B7" w:rsidRDefault="00FC12B6">
          <w:pPr>
            <w:pStyle w:val="TOC3"/>
            <w:tabs>
              <w:tab w:val="right" w:pos="9016"/>
            </w:tabs>
            <w:rPr>
              <w:rFonts w:ascii="Times New Roman" w:hAnsi="Times New Roman"/>
              <w:noProof/>
              <w:kern w:val="2"/>
              <w:sz w:val="24"/>
              <w:szCs w:val="24"/>
              <w:lang w:val="en-GB" w:eastAsia="en-GB"/>
            </w:rPr>
          </w:pPr>
          <w:hyperlink w:anchor="_Toc162911004" w:history="1">
            <w:r w:rsidRPr="003450B7">
              <w:rPr>
                <w:rStyle w:val="Hyperlink"/>
                <w:rFonts w:ascii="Times New Roman" w:hAnsi="Times New Roman"/>
                <w:noProof/>
                <w:sz w:val="24"/>
                <w:szCs w:val="24"/>
              </w:rPr>
              <w:t>3.Economic Exposure</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_Toc162911004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5</w:t>
            </w:r>
            <w:r w:rsidRPr="003450B7">
              <w:rPr>
                <w:rFonts w:ascii="Times New Roman" w:hAnsi="Times New Roman"/>
                <w:noProof/>
                <w:webHidden/>
                <w:sz w:val="24"/>
                <w:szCs w:val="24"/>
              </w:rPr>
              <w:fldChar w:fldCharType="end"/>
            </w:r>
          </w:hyperlink>
        </w:p>
        <w:p w14:paraId="76117A37" w14:textId="75A5547F" w:rsidR="00FC12B6" w:rsidRPr="003450B7" w:rsidRDefault="00FC12B6">
          <w:pPr>
            <w:pStyle w:val="TOC2"/>
            <w:tabs>
              <w:tab w:val="right" w:pos="9016"/>
            </w:tabs>
            <w:rPr>
              <w:rFonts w:ascii="Times New Roman" w:hAnsi="Times New Roman"/>
              <w:noProof/>
              <w:kern w:val="2"/>
              <w:sz w:val="24"/>
              <w:szCs w:val="24"/>
              <w:lang w:val="en-GB" w:eastAsia="en-GB"/>
            </w:rPr>
          </w:pPr>
          <w:hyperlink w:anchor="_Toc162911005" w:history="1">
            <w:r w:rsidRPr="003450B7">
              <w:rPr>
                <w:rStyle w:val="Hyperlink"/>
                <w:rFonts w:ascii="Times New Roman" w:hAnsi="Times New Roman"/>
                <w:noProof/>
                <w:sz w:val="24"/>
                <w:szCs w:val="24"/>
              </w:rPr>
              <w:t>Evaluation of Strategies</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_Toc162911005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5</w:t>
            </w:r>
            <w:r w:rsidRPr="003450B7">
              <w:rPr>
                <w:rFonts w:ascii="Times New Roman" w:hAnsi="Times New Roman"/>
                <w:noProof/>
                <w:webHidden/>
                <w:sz w:val="24"/>
                <w:szCs w:val="24"/>
              </w:rPr>
              <w:fldChar w:fldCharType="end"/>
            </w:r>
          </w:hyperlink>
        </w:p>
        <w:p w14:paraId="178A8D57" w14:textId="544F5F0D" w:rsidR="00FC12B6" w:rsidRPr="003450B7" w:rsidRDefault="00FC12B6">
          <w:pPr>
            <w:pStyle w:val="TOC3"/>
            <w:tabs>
              <w:tab w:val="right" w:pos="9016"/>
            </w:tabs>
            <w:rPr>
              <w:rFonts w:ascii="Times New Roman" w:hAnsi="Times New Roman"/>
              <w:noProof/>
              <w:kern w:val="2"/>
              <w:sz w:val="24"/>
              <w:szCs w:val="24"/>
              <w:lang w:val="en-GB" w:eastAsia="en-GB"/>
            </w:rPr>
          </w:pPr>
          <w:hyperlink w:anchor="_Toc162911006" w:history="1">
            <w:r w:rsidRPr="003450B7">
              <w:rPr>
                <w:rStyle w:val="Hyperlink"/>
                <w:rFonts w:ascii="Times New Roman" w:hAnsi="Times New Roman"/>
                <w:noProof/>
                <w:sz w:val="24"/>
                <w:szCs w:val="24"/>
              </w:rPr>
              <w:t>1.Financial Hedging Instruments</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_Toc162911006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5</w:t>
            </w:r>
            <w:r w:rsidRPr="003450B7">
              <w:rPr>
                <w:rFonts w:ascii="Times New Roman" w:hAnsi="Times New Roman"/>
                <w:noProof/>
                <w:webHidden/>
                <w:sz w:val="24"/>
                <w:szCs w:val="24"/>
              </w:rPr>
              <w:fldChar w:fldCharType="end"/>
            </w:r>
          </w:hyperlink>
        </w:p>
        <w:p w14:paraId="395CF1BC" w14:textId="24BAE2E8" w:rsidR="00FC12B6" w:rsidRPr="003450B7" w:rsidRDefault="00FC12B6">
          <w:pPr>
            <w:pStyle w:val="TOC3"/>
            <w:tabs>
              <w:tab w:val="right" w:pos="9016"/>
            </w:tabs>
            <w:rPr>
              <w:rFonts w:ascii="Times New Roman" w:hAnsi="Times New Roman"/>
              <w:noProof/>
              <w:kern w:val="2"/>
              <w:sz w:val="24"/>
              <w:szCs w:val="24"/>
              <w:lang w:val="en-GB" w:eastAsia="en-GB"/>
            </w:rPr>
          </w:pPr>
          <w:hyperlink w:anchor="_Toc162911007" w:history="1">
            <w:r w:rsidRPr="003450B7">
              <w:rPr>
                <w:rStyle w:val="Hyperlink"/>
                <w:rFonts w:ascii="Times New Roman" w:hAnsi="Times New Roman"/>
                <w:noProof/>
                <w:sz w:val="24"/>
                <w:szCs w:val="24"/>
              </w:rPr>
              <w:t>2.Natural Hedging</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_Toc162911007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6</w:t>
            </w:r>
            <w:r w:rsidRPr="003450B7">
              <w:rPr>
                <w:rFonts w:ascii="Times New Roman" w:hAnsi="Times New Roman"/>
                <w:noProof/>
                <w:webHidden/>
                <w:sz w:val="24"/>
                <w:szCs w:val="24"/>
              </w:rPr>
              <w:fldChar w:fldCharType="end"/>
            </w:r>
          </w:hyperlink>
        </w:p>
        <w:p w14:paraId="3DB29CCD" w14:textId="5EE8A900" w:rsidR="00FC12B6" w:rsidRPr="003450B7" w:rsidRDefault="00FC12B6">
          <w:pPr>
            <w:pStyle w:val="TOC3"/>
            <w:tabs>
              <w:tab w:val="right" w:pos="9016"/>
            </w:tabs>
            <w:rPr>
              <w:rFonts w:ascii="Times New Roman" w:hAnsi="Times New Roman"/>
              <w:noProof/>
              <w:kern w:val="2"/>
              <w:sz w:val="24"/>
              <w:szCs w:val="24"/>
              <w:lang w:val="en-GB" w:eastAsia="en-GB"/>
            </w:rPr>
          </w:pPr>
          <w:hyperlink w:anchor="_Toc162911008" w:history="1">
            <w:r w:rsidRPr="003450B7">
              <w:rPr>
                <w:rStyle w:val="Hyperlink"/>
                <w:rFonts w:ascii="Times New Roman" w:hAnsi="Times New Roman"/>
                <w:noProof/>
                <w:sz w:val="24"/>
                <w:szCs w:val="24"/>
              </w:rPr>
              <w:t>3.Netting and Offset</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_Toc162911008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6</w:t>
            </w:r>
            <w:r w:rsidRPr="003450B7">
              <w:rPr>
                <w:rFonts w:ascii="Times New Roman" w:hAnsi="Times New Roman"/>
                <w:noProof/>
                <w:webHidden/>
                <w:sz w:val="24"/>
                <w:szCs w:val="24"/>
              </w:rPr>
              <w:fldChar w:fldCharType="end"/>
            </w:r>
          </w:hyperlink>
        </w:p>
        <w:p w14:paraId="083646B5" w14:textId="66A425A0" w:rsidR="00FC12B6" w:rsidRPr="003450B7" w:rsidRDefault="00FC12B6">
          <w:pPr>
            <w:pStyle w:val="TOC3"/>
            <w:tabs>
              <w:tab w:val="right" w:pos="9016"/>
            </w:tabs>
            <w:rPr>
              <w:rFonts w:ascii="Times New Roman" w:hAnsi="Times New Roman"/>
              <w:noProof/>
              <w:kern w:val="2"/>
              <w:sz w:val="24"/>
              <w:szCs w:val="24"/>
              <w:lang w:val="en-GB" w:eastAsia="en-GB"/>
            </w:rPr>
          </w:pPr>
          <w:hyperlink w:anchor="_Toc162911009" w:history="1">
            <w:r w:rsidRPr="003450B7">
              <w:rPr>
                <w:rStyle w:val="Hyperlink"/>
                <w:rFonts w:ascii="Times New Roman" w:hAnsi="Times New Roman"/>
                <w:noProof/>
                <w:sz w:val="24"/>
                <w:szCs w:val="24"/>
              </w:rPr>
              <w:t>4.Leading and Lagging</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_Toc162911009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6</w:t>
            </w:r>
            <w:r w:rsidRPr="003450B7">
              <w:rPr>
                <w:rFonts w:ascii="Times New Roman" w:hAnsi="Times New Roman"/>
                <w:noProof/>
                <w:webHidden/>
                <w:sz w:val="24"/>
                <w:szCs w:val="24"/>
              </w:rPr>
              <w:fldChar w:fldCharType="end"/>
            </w:r>
          </w:hyperlink>
        </w:p>
        <w:p w14:paraId="25434640" w14:textId="38B6CB74" w:rsidR="00FC12B6" w:rsidRPr="003450B7" w:rsidRDefault="00FC12B6">
          <w:pPr>
            <w:pStyle w:val="TOC3"/>
            <w:tabs>
              <w:tab w:val="right" w:pos="9016"/>
            </w:tabs>
            <w:rPr>
              <w:rFonts w:ascii="Times New Roman" w:hAnsi="Times New Roman"/>
              <w:noProof/>
              <w:kern w:val="2"/>
              <w:sz w:val="24"/>
              <w:szCs w:val="24"/>
              <w:lang w:val="en-GB" w:eastAsia="en-GB"/>
            </w:rPr>
          </w:pPr>
          <w:hyperlink w:anchor="_Toc162911010" w:history="1">
            <w:r w:rsidRPr="003450B7">
              <w:rPr>
                <w:rStyle w:val="Hyperlink"/>
                <w:rFonts w:ascii="Times New Roman" w:hAnsi="Times New Roman"/>
                <w:noProof/>
                <w:sz w:val="24"/>
                <w:szCs w:val="24"/>
              </w:rPr>
              <w:t>5.Diversification</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_Toc162911010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6</w:t>
            </w:r>
            <w:r w:rsidRPr="003450B7">
              <w:rPr>
                <w:rFonts w:ascii="Times New Roman" w:hAnsi="Times New Roman"/>
                <w:noProof/>
                <w:webHidden/>
                <w:sz w:val="24"/>
                <w:szCs w:val="24"/>
              </w:rPr>
              <w:fldChar w:fldCharType="end"/>
            </w:r>
          </w:hyperlink>
        </w:p>
        <w:p w14:paraId="20EADD71" w14:textId="653ABA19" w:rsidR="00FC12B6" w:rsidRPr="003450B7" w:rsidRDefault="00FC12B6">
          <w:pPr>
            <w:pStyle w:val="TOC3"/>
            <w:tabs>
              <w:tab w:val="right" w:pos="9016"/>
            </w:tabs>
            <w:rPr>
              <w:rFonts w:ascii="Times New Roman" w:hAnsi="Times New Roman"/>
              <w:noProof/>
              <w:kern w:val="2"/>
              <w:sz w:val="24"/>
              <w:szCs w:val="24"/>
              <w:lang w:val="en-GB" w:eastAsia="en-GB"/>
            </w:rPr>
          </w:pPr>
          <w:hyperlink w:anchor="_Toc162911011" w:history="1">
            <w:r w:rsidRPr="003450B7">
              <w:rPr>
                <w:rStyle w:val="Hyperlink"/>
                <w:rFonts w:ascii="Times New Roman" w:hAnsi="Times New Roman"/>
                <w:noProof/>
                <w:sz w:val="24"/>
                <w:szCs w:val="24"/>
              </w:rPr>
              <w:t>6.Operational Strategies</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_Toc162911011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6</w:t>
            </w:r>
            <w:r w:rsidRPr="003450B7">
              <w:rPr>
                <w:rFonts w:ascii="Times New Roman" w:hAnsi="Times New Roman"/>
                <w:noProof/>
                <w:webHidden/>
                <w:sz w:val="24"/>
                <w:szCs w:val="24"/>
              </w:rPr>
              <w:fldChar w:fldCharType="end"/>
            </w:r>
          </w:hyperlink>
        </w:p>
        <w:p w14:paraId="6D3E09DF" w14:textId="590AFAEB" w:rsidR="00FC12B6" w:rsidRPr="003450B7" w:rsidRDefault="00FC12B6">
          <w:pPr>
            <w:pStyle w:val="TOC3"/>
            <w:tabs>
              <w:tab w:val="right" w:pos="9016"/>
            </w:tabs>
            <w:rPr>
              <w:rFonts w:ascii="Times New Roman" w:hAnsi="Times New Roman"/>
              <w:noProof/>
              <w:kern w:val="2"/>
              <w:sz w:val="24"/>
              <w:szCs w:val="24"/>
              <w:lang w:val="en-GB" w:eastAsia="en-GB"/>
            </w:rPr>
          </w:pPr>
          <w:hyperlink w:anchor="_Toc162911012" w:history="1">
            <w:r w:rsidRPr="003450B7">
              <w:rPr>
                <w:rStyle w:val="Hyperlink"/>
                <w:rFonts w:ascii="Times New Roman" w:hAnsi="Times New Roman"/>
                <w:noProof/>
                <w:sz w:val="24"/>
                <w:szCs w:val="24"/>
              </w:rPr>
              <w:t>7.Risk Management Policies</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_Toc162911012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6</w:t>
            </w:r>
            <w:r w:rsidRPr="003450B7">
              <w:rPr>
                <w:rFonts w:ascii="Times New Roman" w:hAnsi="Times New Roman"/>
                <w:noProof/>
                <w:webHidden/>
                <w:sz w:val="24"/>
                <w:szCs w:val="24"/>
              </w:rPr>
              <w:fldChar w:fldCharType="end"/>
            </w:r>
          </w:hyperlink>
        </w:p>
        <w:p w14:paraId="000D9758" w14:textId="3BB2D4E7" w:rsidR="00FC12B6" w:rsidRPr="003450B7" w:rsidRDefault="00FC12B6">
          <w:pPr>
            <w:pStyle w:val="TOC1"/>
            <w:tabs>
              <w:tab w:val="right" w:pos="9016"/>
            </w:tabs>
            <w:rPr>
              <w:rFonts w:ascii="Times New Roman" w:hAnsi="Times New Roman"/>
              <w:noProof/>
              <w:kern w:val="2"/>
              <w:sz w:val="24"/>
              <w:szCs w:val="24"/>
              <w:lang w:val="en-GB" w:eastAsia="en-GB"/>
            </w:rPr>
          </w:pPr>
          <w:hyperlink w:anchor="_Toc162911013" w:history="1">
            <w:r w:rsidRPr="003450B7">
              <w:rPr>
                <w:rStyle w:val="Hyperlink"/>
                <w:rFonts w:ascii="Times New Roman" w:hAnsi="Times New Roman"/>
                <w:b/>
                <w:bCs/>
                <w:noProof/>
                <w:sz w:val="24"/>
                <w:szCs w:val="24"/>
              </w:rPr>
              <w:t>Conclusion</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_Toc162911013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7</w:t>
            </w:r>
            <w:r w:rsidRPr="003450B7">
              <w:rPr>
                <w:rFonts w:ascii="Times New Roman" w:hAnsi="Times New Roman"/>
                <w:noProof/>
                <w:webHidden/>
                <w:sz w:val="24"/>
                <w:szCs w:val="24"/>
              </w:rPr>
              <w:fldChar w:fldCharType="end"/>
            </w:r>
          </w:hyperlink>
        </w:p>
        <w:p w14:paraId="2473AAAA" w14:textId="26F12445" w:rsidR="00FC12B6" w:rsidRPr="003450B7" w:rsidRDefault="00FC12B6">
          <w:pPr>
            <w:pStyle w:val="TOC1"/>
            <w:tabs>
              <w:tab w:val="right" w:pos="9016"/>
            </w:tabs>
            <w:rPr>
              <w:rFonts w:ascii="Times New Roman" w:hAnsi="Times New Roman"/>
              <w:noProof/>
              <w:kern w:val="2"/>
              <w:sz w:val="24"/>
              <w:szCs w:val="24"/>
              <w:lang w:val="en-GB" w:eastAsia="en-GB"/>
            </w:rPr>
          </w:pPr>
          <w:hyperlink w:anchor="_Toc162911014" w:history="1">
            <w:r w:rsidRPr="003450B7">
              <w:rPr>
                <w:rStyle w:val="Hyperlink"/>
                <w:rFonts w:ascii="Times New Roman" w:hAnsi="Times New Roman"/>
                <w:b/>
                <w:bCs/>
                <w:noProof/>
                <w:sz w:val="24"/>
                <w:szCs w:val="24"/>
              </w:rPr>
              <w:t>References</w:t>
            </w:r>
            <w:r w:rsidRPr="003450B7">
              <w:rPr>
                <w:rFonts w:ascii="Times New Roman" w:hAnsi="Times New Roman"/>
                <w:noProof/>
                <w:webHidden/>
                <w:sz w:val="24"/>
                <w:szCs w:val="24"/>
              </w:rPr>
              <w:tab/>
            </w:r>
            <w:r w:rsidRPr="003450B7">
              <w:rPr>
                <w:rFonts w:ascii="Times New Roman" w:hAnsi="Times New Roman"/>
                <w:noProof/>
                <w:webHidden/>
                <w:sz w:val="24"/>
                <w:szCs w:val="24"/>
              </w:rPr>
              <w:fldChar w:fldCharType="begin"/>
            </w:r>
            <w:r w:rsidRPr="003450B7">
              <w:rPr>
                <w:rFonts w:ascii="Times New Roman" w:hAnsi="Times New Roman"/>
                <w:noProof/>
                <w:webHidden/>
                <w:sz w:val="24"/>
                <w:szCs w:val="24"/>
              </w:rPr>
              <w:instrText xml:space="preserve"> PAGEREF _Toc162911014 \h </w:instrText>
            </w:r>
            <w:r w:rsidRPr="003450B7">
              <w:rPr>
                <w:rFonts w:ascii="Times New Roman" w:hAnsi="Times New Roman"/>
                <w:noProof/>
                <w:webHidden/>
                <w:sz w:val="24"/>
                <w:szCs w:val="24"/>
              </w:rPr>
            </w:r>
            <w:r w:rsidRPr="003450B7">
              <w:rPr>
                <w:rFonts w:ascii="Times New Roman" w:hAnsi="Times New Roman"/>
                <w:noProof/>
                <w:webHidden/>
                <w:sz w:val="24"/>
                <w:szCs w:val="24"/>
              </w:rPr>
              <w:fldChar w:fldCharType="separate"/>
            </w:r>
            <w:r w:rsidRPr="003450B7">
              <w:rPr>
                <w:rFonts w:ascii="Times New Roman" w:hAnsi="Times New Roman"/>
                <w:noProof/>
                <w:webHidden/>
                <w:sz w:val="24"/>
                <w:szCs w:val="24"/>
              </w:rPr>
              <w:t>8</w:t>
            </w:r>
            <w:r w:rsidRPr="003450B7">
              <w:rPr>
                <w:rFonts w:ascii="Times New Roman" w:hAnsi="Times New Roman"/>
                <w:noProof/>
                <w:webHidden/>
                <w:sz w:val="24"/>
                <w:szCs w:val="24"/>
              </w:rPr>
              <w:fldChar w:fldCharType="end"/>
            </w:r>
          </w:hyperlink>
        </w:p>
        <w:p w14:paraId="7CF4A4B4" w14:textId="04670F3C" w:rsidR="0094684B" w:rsidRDefault="0094684B">
          <w:r w:rsidRPr="003450B7">
            <w:rPr>
              <w:rFonts w:ascii="Times New Roman" w:hAnsi="Times New Roman" w:cs="Times New Roman"/>
              <w:b/>
              <w:bCs/>
              <w:noProof/>
              <w:sz w:val="24"/>
              <w:szCs w:val="24"/>
            </w:rPr>
            <w:fldChar w:fldCharType="end"/>
          </w:r>
        </w:p>
      </w:sdtContent>
    </w:sdt>
    <w:p w14:paraId="303401BB" w14:textId="77777777" w:rsidR="00D20C40" w:rsidRPr="00D20C40" w:rsidRDefault="00D20C40" w:rsidP="00D20C40">
      <w:pPr>
        <w:pStyle w:val="Heading1"/>
      </w:pPr>
    </w:p>
    <w:p w14:paraId="0B3D63D7" w14:textId="77777777" w:rsidR="005F65BB" w:rsidRDefault="005F65BB" w:rsidP="00093FF9">
      <w:pPr>
        <w:pStyle w:val="NoSpacing"/>
        <w:rPr>
          <w:rFonts w:ascii="Times New Roman" w:hAnsi="Times New Roman" w:cs="Times New Roman"/>
        </w:rPr>
      </w:pPr>
    </w:p>
    <w:p w14:paraId="2AB3DC5E" w14:textId="77777777" w:rsidR="005F65BB" w:rsidRDefault="005F65BB" w:rsidP="00093FF9">
      <w:pPr>
        <w:pStyle w:val="NoSpacing"/>
        <w:rPr>
          <w:rFonts w:ascii="Times New Roman" w:hAnsi="Times New Roman" w:cs="Times New Roman"/>
        </w:rPr>
      </w:pPr>
    </w:p>
    <w:p w14:paraId="59985748" w14:textId="77777777" w:rsidR="005F65BB" w:rsidRDefault="005F65BB" w:rsidP="00093FF9">
      <w:pPr>
        <w:pStyle w:val="NoSpacing"/>
        <w:rPr>
          <w:rFonts w:ascii="Times New Roman" w:hAnsi="Times New Roman" w:cs="Times New Roman"/>
        </w:rPr>
      </w:pPr>
    </w:p>
    <w:p w14:paraId="2ECCCE92" w14:textId="77777777" w:rsidR="005F65BB" w:rsidRDefault="005F65BB" w:rsidP="00093FF9">
      <w:pPr>
        <w:pStyle w:val="NoSpacing"/>
        <w:rPr>
          <w:rFonts w:ascii="Times New Roman" w:hAnsi="Times New Roman" w:cs="Times New Roman"/>
        </w:rPr>
      </w:pPr>
    </w:p>
    <w:p w14:paraId="3EB70E2D" w14:textId="77777777" w:rsidR="005F65BB" w:rsidRDefault="005F65BB" w:rsidP="00093FF9">
      <w:pPr>
        <w:pStyle w:val="NoSpacing"/>
        <w:rPr>
          <w:rFonts w:ascii="Times New Roman" w:hAnsi="Times New Roman" w:cs="Times New Roman"/>
        </w:rPr>
      </w:pPr>
    </w:p>
    <w:p w14:paraId="2DC41C45" w14:textId="77777777" w:rsidR="005F65BB" w:rsidRDefault="005F65BB" w:rsidP="00093FF9">
      <w:pPr>
        <w:pStyle w:val="NoSpacing"/>
        <w:rPr>
          <w:rFonts w:ascii="Times New Roman" w:hAnsi="Times New Roman" w:cs="Times New Roman"/>
        </w:rPr>
      </w:pPr>
    </w:p>
    <w:p w14:paraId="7E84ABE8" w14:textId="77777777" w:rsidR="005F65BB" w:rsidRDefault="005F65BB" w:rsidP="00093FF9">
      <w:pPr>
        <w:pStyle w:val="NoSpacing"/>
        <w:rPr>
          <w:rFonts w:ascii="Times New Roman" w:hAnsi="Times New Roman" w:cs="Times New Roman"/>
        </w:rPr>
      </w:pPr>
    </w:p>
    <w:p w14:paraId="71792C84" w14:textId="77777777" w:rsidR="005F65BB" w:rsidRDefault="005F65BB" w:rsidP="00093FF9">
      <w:pPr>
        <w:pStyle w:val="NoSpacing"/>
        <w:rPr>
          <w:rFonts w:ascii="Times New Roman" w:hAnsi="Times New Roman" w:cs="Times New Roman"/>
        </w:rPr>
      </w:pPr>
    </w:p>
    <w:p w14:paraId="33933824" w14:textId="77777777" w:rsidR="005F65BB" w:rsidRDefault="005F65BB" w:rsidP="00093FF9">
      <w:pPr>
        <w:pStyle w:val="NoSpacing"/>
        <w:rPr>
          <w:rFonts w:ascii="Times New Roman" w:hAnsi="Times New Roman" w:cs="Times New Roman"/>
        </w:rPr>
      </w:pPr>
    </w:p>
    <w:p w14:paraId="0305D855" w14:textId="77777777" w:rsidR="005F65BB" w:rsidRDefault="005F65BB" w:rsidP="00D20C40">
      <w:pPr>
        <w:pStyle w:val="Heading1"/>
      </w:pPr>
    </w:p>
    <w:p w14:paraId="6E4E4824" w14:textId="77777777" w:rsidR="00FC12B6" w:rsidRPr="00FC12B6" w:rsidRDefault="00FC12B6" w:rsidP="00FC12B6"/>
    <w:p w14:paraId="29041390" w14:textId="6701F495" w:rsidR="00CA1019" w:rsidRPr="003450B7" w:rsidRDefault="00CA1019" w:rsidP="00D20C40">
      <w:pPr>
        <w:pStyle w:val="Heading1"/>
        <w:rPr>
          <w:rFonts w:ascii="Times New Roman" w:hAnsi="Times New Roman" w:cs="Times New Roman"/>
          <w:b/>
          <w:bCs/>
          <w:color w:val="000000" w:themeColor="text1"/>
          <w:sz w:val="26"/>
          <w:szCs w:val="26"/>
        </w:rPr>
      </w:pPr>
      <w:bookmarkStart w:id="0" w:name="_Toc162910994"/>
      <w:r w:rsidRPr="003450B7">
        <w:rPr>
          <w:rFonts w:ascii="Times New Roman" w:hAnsi="Times New Roman" w:cs="Times New Roman"/>
          <w:b/>
          <w:bCs/>
          <w:color w:val="000000" w:themeColor="text1"/>
          <w:sz w:val="26"/>
          <w:szCs w:val="26"/>
        </w:rPr>
        <w:lastRenderedPageBreak/>
        <w:t>Introduction</w:t>
      </w:r>
      <w:bookmarkEnd w:id="0"/>
    </w:p>
    <w:p w14:paraId="6C0D0453" w14:textId="77777777" w:rsidR="005F65BB" w:rsidRPr="003450B7" w:rsidRDefault="005F65BB" w:rsidP="00093FF9">
      <w:pPr>
        <w:pStyle w:val="NoSpacing"/>
        <w:rPr>
          <w:rFonts w:ascii="Times New Roman" w:hAnsi="Times New Roman" w:cs="Times New Roman"/>
          <w:color w:val="000000" w:themeColor="text1"/>
          <w:sz w:val="24"/>
          <w:szCs w:val="24"/>
        </w:rPr>
      </w:pPr>
    </w:p>
    <w:p w14:paraId="1C6F41BF" w14:textId="77777777" w:rsidR="00CA1019" w:rsidRPr="003450B7" w:rsidRDefault="00CA1019" w:rsidP="00093FF9">
      <w:pPr>
        <w:pStyle w:val="NoSpacing"/>
        <w:rPr>
          <w:rFonts w:ascii="Times New Roman" w:hAnsi="Times New Roman" w:cs="Times New Roman"/>
          <w:color w:val="000000" w:themeColor="text1"/>
          <w:sz w:val="24"/>
          <w:szCs w:val="24"/>
        </w:rPr>
      </w:pPr>
      <w:bookmarkStart w:id="1" w:name="_Hlk162912059"/>
      <w:r w:rsidRPr="003450B7">
        <w:rPr>
          <w:rFonts w:ascii="Times New Roman" w:hAnsi="Times New Roman" w:cs="Times New Roman"/>
          <w:color w:val="000000" w:themeColor="text1"/>
          <w:sz w:val="24"/>
          <w:szCs w:val="24"/>
        </w:rPr>
        <w:t xml:space="preserve">Multinational corporations (MNCs) </w:t>
      </w:r>
      <w:bookmarkEnd w:id="1"/>
      <w:r w:rsidRPr="003450B7">
        <w:rPr>
          <w:rFonts w:ascii="Times New Roman" w:hAnsi="Times New Roman" w:cs="Times New Roman"/>
          <w:color w:val="000000" w:themeColor="text1"/>
          <w:sz w:val="24"/>
          <w:szCs w:val="24"/>
        </w:rPr>
        <w:t>operate in multiple countries and are exposed to various risks, including foreign exchange risks. These risks arise due to fluctuations in exchange rates, which can impact the profitability and financial stability of MNCs. To mitigate these risks, MNCs employ different strategies aimed at hedging or minimizing their exposure to foreign exchange fluctuations. This report evaluates various strategies adopted by MNCs to manage their exposure to foreign exchange risks.</w:t>
      </w:r>
    </w:p>
    <w:p w14:paraId="285CD02C" w14:textId="77777777" w:rsidR="00D20C40" w:rsidRPr="003450B7" w:rsidRDefault="00D20C40" w:rsidP="00093FF9">
      <w:pPr>
        <w:pStyle w:val="NoSpacing"/>
        <w:rPr>
          <w:rFonts w:ascii="Times New Roman" w:hAnsi="Times New Roman" w:cs="Times New Roman"/>
          <w:color w:val="000000" w:themeColor="text1"/>
          <w:sz w:val="24"/>
          <w:szCs w:val="24"/>
        </w:rPr>
      </w:pPr>
    </w:p>
    <w:p w14:paraId="5F9944F4" w14:textId="60C5D647" w:rsidR="00D20C40" w:rsidRPr="003450B7" w:rsidRDefault="00D20C40" w:rsidP="00FC12B6">
      <w:pPr>
        <w:pStyle w:val="Heading1"/>
        <w:rPr>
          <w:rFonts w:ascii="Times New Roman" w:hAnsi="Times New Roman" w:cs="Times New Roman"/>
          <w:b/>
          <w:bCs/>
          <w:color w:val="000000" w:themeColor="text1"/>
          <w:sz w:val="26"/>
          <w:szCs w:val="26"/>
        </w:rPr>
      </w:pPr>
      <w:bookmarkStart w:id="2" w:name="_Toc162910995"/>
      <w:r w:rsidRPr="003450B7">
        <w:rPr>
          <w:rFonts w:ascii="Times New Roman" w:hAnsi="Times New Roman" w:cs="Times New Roman"/>
          <w:b/>
          <w:bCs/>
          <w:color w:val="000000" w:themeColor="text1"/>
          <w:sz w:val="26"/>
          <w:szCs w:val="26"/>
        </w:rPr>
        <w:t>Main Body</w:t>
      </w:r>
      <w:bookmarkEnd w:id="2"/>
      <w:r w:rsidRPr="003450B7">
        <w:rPr>
          <w:rFonts w:ascii="Times New Roman" w:hAnsi="Times New Roman" w:cs="Times New Roman"/>
          <w:b/>
          <w:bCs/>
          <w:color w:val="000000" w:themeColor="text1"/>
          <w:sz w:val="26"/>
          <w:szCs w:val="26"/>
        </w:rPr>
        <w:t xml:space="preserve"> </w:t>
      </w:r>
    </w:p>
    <w:p w14:paraId="43B7D41B" w14:textId="77777777" w:rsidR="00B25863" w:rsidRPr="003450B7" w:rsidRDefault="00B25863" w:rsidP="00093FF9">
      <w:pPr>
        <w:pStyle w:val="NoSpacing"/>
        <w:rPr>
          <w:rFonts w:ascii="Times New Roman" w:hAnsi="Times New Roman" w:cs="Times New Roman"/>
          <w:color w:val="000000" w:themeColor="text1"/>
          <w:sz w:val="24"/>
          <w:szCs w:val="24"/>
        </w:rPr>
      </w:pPr>
    </w:p>
    <w:p w14:paraId="1113D17A" w14:textId="7E50E2C0" w:rsidR="00A6674F" w:rsidRPr="003450B7" w:rsidRDefault="00A6674F" w:rsidP="00B25863">
      <w:pPr>
        <w:pStyle w:val="NoSpacing"/>
        <w:jc w:val="center"/>
        <w:rPr>
          <w:rFonts w:ascii="Times New Roman" w:hAnsi="Times New Roman" w:cs="Times New Roman"/>
          <w:b/>
          <w:bCs/>
          <w:color w:val="000000" w:themeColor="text1"/>
          <w:sz w:val="24"/>
          <w:szCs w:val="24"/>
        </w:rPr>
      </w:pPr>
      <w:r w:rsidRPr="003450B7">
        <w:rPr>
          <w:rFonts w:ascii="Times New Roman" w:hAnsi="Times New Roman" w:cs="Times New Roman"/>
          <w:b/>
          <w:bCs/>
          <w:color w:val="000000" w:themeColor="text1"/>
          <w:sz w:val="24"/>
          <w:szCs w:val="24"/>
        </w:rPr>
        <w:t>How foreign exchange risks can influence the International economy and Financial Management</w:t>
      </w:r>
      <w:r w:rsidR="00B25863" w:rsidRPr="003450B7">
        <w:rPr>
          <w:rFonts w:ascii="Times New Roman" w:hAnsi="Times New Roman" w:cs="Times New Roman"/>
          <w:b/>
          <w:bCs/>
          <w:color w:val="000000" w:themeColor="text1"/>
          <w:sz w:val="24"/>
          <w:szCs w:val="24"/>
        </w:rPr>
        <w:t>?</w:t>
      </w:r>
    </w:p>
    <w:p w14:paraId="2F67806C" w14:textId="77777777" w:rsidR="00B25863" w:rsidRPr="003450B7" w:rsidRDefault="00B25863" w:rsidP="00093FF9">
      <w:pPr>
        <w:pStyle w:val="NoSpacing"/>
        <w:rPr>
          <w:rFonts w:ascii="Times New Roman" w:hAnsi="Times New Roman" w:cs="Times New Roman"/>
          <w:color w:val="000000" w:themeColor="text1"/>
          <w:sz w:val="24"/>
          <w:szCs w:val="24"/>
        </w:rPr>
      </w:pPr>
    </w:p>
    <w:p w14:paraId="4057F768" w14:textId="77777777" w:rsidR="00A6674F" w:rsidRPr="003450B7" w:rsidRDefault="00A6674F" w:rsidP="00093FF9">
      <w:pPr>
        <w:pStyle w:val="NoSpacing"/>
        <w:rPr>
          <w:rFonts w:ascii="Times New Roman" w:hAnsi="Times New Roman" w:cs="Times New Roman"/>
          <w:color w:val="000000" w:themeColor="text1"/>
          <w:sz w:val="24"/>
          <w:szCs w:val="24"/>
        </w:rPr>
      </w:pPr>
      <w:r w:rsidRPr="003450B7">
        <w:rPr>
          <w:rFonts w:ascii="Times New Roman" w:hAnsi="Times New Roman" w:cs="Times New Roman"/>
          <w:color w:val="000000" w:themeColor="text1"/>
          <w:sz w:val="24"/>
          <w:szCs w:val="24"/>
        </w:rPr>
        <w:t>The foreign exchange market plays a crucial role in the global economy, and fluctuations in exchange rates can have several impacts:</w:t>
      </w:r>
    </w:p>
    <w:p w14:paraId="7F7E2589" w14:textId="77777777" w:rsidR="00D20C40" w:rsidRPr="003450B7" w:rsidRDefault="00D20C40" w:rsidP="00093FF9">
      <w:pPr>
        <w:pStyle w:val="NoSpacing"/>
        <w:rPr>
          <w:rFonts w:ascii="Times New Roman" w:hAnsi="Times New Roman" w:cs="Times New Roman"/>
          <w:color w:val="000000" w:themeColor="text1"/>
          <w:sz w:val="24"/>
          <w:szCs w:val="24"/>
        </w:rPr>
      </w:pPr>
    </w:p>
    <w:p w14:paraId="09BB3291" w14:textId="4CFA9097" w:rsidR="00A6674F" w:rsidRDefault="00B25863" w:rsidP="00B25863">
      <w:pPr>
        <w:pStyle w:val="NoSpacing"/>
        <w:rPr>
          <w:rFonts w:ascii="Times New Roman" w:hAnsi="Times New Roman" w:cs="Times New Roman"/>
          <w:color w:val="000000" w:themeColor="text1"/>
          <w:sz w:val="24"/>
          <w:szCs w:val="24"/>
        </w:rPr>
      </w:pPr>
      <w:bookmarkStart w:id="3" w:name="_Toc162910996"/>
      <w:r w:rsidRPr="003450B7">
        <w:rPr>
          <w:rStyle w:val="Heading2Char"/>
          <w:rFonts w:ascii="Times New Roman" w:hAnsi="Times New Roman" w:cs="Times New Roman"/>
          <w:b/>
          <w:bCs/>
          <w:color w:val="000000" w:themeColor="text1"/>
          <w:sz w:val="24"/>
          <w:szCs w:val="24"/>
        </w:rPr>
        <w:t>1.</w:t>
      </w:r>
      <w:r w:rsidR="00D20C40" w:rsidRPr="003450B7">
        <w:rPr>
          <w:rStyle w:val="Heading2Char"/>
          <w:rFonts w:ascii="Times New Roman" w:hAnsi="Times New Roman" w:cs="Times New Roman"/>
          <w:b/>
          <w:bCs/>
          <w:color w:val="000000" w:themeColor="text1"/>
          <w:sz w:val="24"/>
          <w:szCs w:val="24"/>
        </w:rPr>
        <w:t xml:space="preserve"> </w:t>
      </w:r>
      <w:r w:rsidR="00A6674F" w:rsidRPr="003450B7">
        <w:rPr>
          <w:rStyle w:val="Heading2Char"/>
          <w:rFonts w:ascii="Times New Roman" w:hAnsi="Times New Roman" w:cs="Times New Roman"/>
          <w:b/>
          <w:bCs/>
          <w:color w:val="000000" w:themeColor="text1"/>
          <w:sz w:val="24"/>
          <w:szCs w:val="24"/>
        </w:rPr>
        <w:t>Trade Balance</w:t>
      </w:r>
      <w:bookmarkEnd w:id="3"/>
      <w:r w:rsidR="00A6674F" w:rsidRPr="003450B7">
        <w:rPr>
          <w:rFonts w:ascii="Times New Roman" w:hAnsi="Times New Roman" w:cs="Times New Roman"/>
          <w:color w:val="000000" w:themeColor="text1"/>
          <w:sz w:val="24"/>
          <w:szCs w:val="24"/>
        </w:rPr>
        <w:t>: Exchange rate movements influence a country's trade balance by affecting the competitiveness of its exports and imports. A depreciation of the domestic currency can make exports cheaper for foreign buyers and imports more expensive for domestic consumers, potentially improving the trade balance.</w:t>
      </w:r>
    </w:p>
    <w:p w14:paraId="213680DF" w14:textId="77777777" w:rsidR="003450B7" w:rsidRDefault="003450B7" w:rsidP="00B25863">
      <w:pPr>
        <w:pStyle w:val="NoSpacing"/>
        <w:rPr>
          <w:rFonts w:ascii="Times New Roman" w:hAnsi="Times New Roman" w:cs="Times New Roman"/>
          <w:color w:val="000000" w:themeColor="text1"/>
          <w:sz w:val="24"/>
          <w:szCs w:val="24"/>
        </w:rPr>
      </w:pPr>
    </w:p>
    <w:p w14:paraId="2C59DED1" w14:textId="77777777" w:rsidR="003450B7" w:rsidRPr="003450B7" w:rsidRDefault="003450B7" w:rsidP="00B25863">
      <w:pPr>
        <w:pStyle w:val="NoSpacing"/>
        <w:rPr>
          <w:rFonts w:ascii="Times New Roman" w:hAnsi="Times New Roman" w:cs="Times New Roman"/>
          <w:color w:val="000000" w:themeColor="text1"/>
          <w:sz w:val="24"/>
          <w:szCs w:val="24"/>
        </w:rPr>
      </w:pPr>
    </w:p>
    <w:p w14:paraId="3BFBC096" w14:textId="5C79F00A" w:rsidR="005F65BB" w:rsidRPr="003450B7" w:rsidRDefault="00D20C40" w:rsidP="00093FF9">
      <w:pPr>
        <w:pStyle w:val="NoSpacing"/>
        <w:rPr>
          <w:rFonts w:ascii="Times New Roman" w:hAnsi="Times New Roman" w:cs="Times New Roman"/>
          <w:color w:val="000000" w:themeColor="text1"/>
          <w:sz w:val="24"/>
          <w:szCs w:val="24"/>
        </w:rPr>
      </w:pPr>
      <w:bookmarkStart w:id="4" w:name="_Toc162910997"/>
      <w:r w:rsidRPr="003450B7">
        <w:rPr>
          <w:rStyle w:val="Heading2Char"/>
          <w:rFonts w:ascii="Times New Roman" w:hAnsi="Times New Roman" w:cs="Times New Roman"/>
          <w:b/>
          <w:bCs/>
          <w:color w:val="000000" w:themeColor="text1"/>
        </w:rPr>
        <w:t xml:space="preserve">2. </w:t>
      </w:r>
      <w:r w:rsidR="00A6674F" w:rsidRPr="003450B7">
        <w:rPr>
          <w:rStyle w:val="Heading2Char"/>
          <w:rFonts w:ascii="Times New Roman" w:hAnsi="Times New Roman" w:cs="Times New Roman"/>
          <w:b/>
          <w:bCs/>
          <w:color w:val="000000" w:themeColor="text1"/>
        </w:rPr>
        <w:t>Inflation</w:t>
      </w:r>
      <w:bookmarkEnd w:id="4"/>
      <w:r w:rsidR="00A6674F" w:rsidRPr="003450B7">
        <w:rPr>
          <w:rFonts w:ascii="Times New Roman" w:hAnsi="Times New Roman" w:cs="Times New Roman"/>
          <w:color w:val="000000" w:themeColor="text1"/>
          <w:sz w:val="24"/>
          <w:szCs w:val="24"/>
        </w:rPr>
        <w:t>: Exchange rate movements can impact inflation by affecting the prices of imported goods and commodities. A depreciation of the domestic currency can lead to higher import prices,</w:t>
      </w:r>
      <w:r w:rsidR="00A6674F" w:rsidRPr="003450B7">
        <w:rPr>
          <w:rFonts w:ascii="Times New Roman" w:hAnsi="Times New Roman" w:cs="Times New Roman"/>
          <w:color w:val="000000" w:themeColor="text1"/>
          <w:sz w:val="24"/>
          <w:szCs w:val="24"/>
          <w:lang w:eastAsia="en-GB"/>
        </w:rPr>
        <w:t xml:space="preserve"> </w:t>
      </w:r>
      <w:r w:rsidR="00A6674F" w:rsidRPr="003450B7">
        <w:rPr>
          <w:rFonts w:ascii="Times New Roman" w:hAnsi="Times New Roman" w:cs="Times New Roman"/>
          <w:color w:val="000000" w:themeColor="text1"/>
          <w:sz w:val="24"/>
          <w:szCs w:val="24"/>
        </w:rPr>
        <w:t xml:space="preserve">contributing to inflationary pressures. </w:t>
      </w:r>
    </w:p>
    <w:p w14:paraId="6D8F99B9" w14:textId="1195D43C" w:rsidR="00A6674F" w:rsidRPr="003450B7" w:rsidRDefault="00A6674F" w:rsidP="00093FF9">
      <w:pPr>
        <w:pStyle w:val="NoSpacing"/>
        <w:rPr>
          <w:rFonts w:ascii="Times New Roman" w:hAnsi="Times New Roman" w:cs="Times New Roman"/>
          <w:color w:val="000000" w:themeColor="text1"/>
          <w:sz w:val="24"/>
          <w:szCs w:val="24"/>
        </w:rPr>
      </w:pPr>
      <w:r w:rsidRPr="003450B7">
        <w:rPr>
          <w:rFonts w:ascii="Times New Roman" w:hAnsi="Times New Roman" w:cs="Times New Roman"/>
          <w:color w:val="000000" w:themeColor="text1"/>
          <w:sz w:val="24"/>
          <w:szCs w:val="24"/>
        </w:rPr>
        <w:t>Conversely, a strengthening currency can lower import prices and dampen inflation.</w:t>
      </w:r>
    </w:p>
    <w:p w14:paraId="448D13CF" w14:textId="77777777" w:rsidR="00D20C40" w:rsidRPr="003450B7" w:rsidRDefault="00D20C40" w:rsidP="00093FF9">
      <w:pPr>
        <w:pStyle w:val="NoSpacing"/>
        <w:rPr>
          <w:rFonts w:ascii="Times New Roman" w:hAnsi="Times New Roman" w:cs="Times New Roman"/>
          <w:color w:val="000000" w:themeColor="text1"/>
          <w:sz w:val="24"/>
          <w:szCs w:val="24"/>
        </w:rPr>
      </w:pPr>
    </w:p>
    <w:p w14:paraId="39093F20" w14:textId="4BE37E33" w:rsidR="00A6674F" w:rsidRPr="003450B7" w:rsidRDefault="00D20C40" w:rsidP="00093FF9">
      <w:pPr>
        <w:pStyle w:val="NoSpacing"/>
        <w:rPr>
          <w:rFonts w:ascii="Times New Roman" w:hAnsi="Times New Roman" w:cs="Times New Roman"/>
          <w:color w:val="000000" w:themeColor="text1"/>
          <w:sz w:val="24"/>
          <w:szCs w:val="24"/>
        </w:rPr>
      </w:pPr>
      <w:bookmarkStart w:id="5" w:name="_Toc162910998"/>
      <w:r w:rsidRPr="003450B7">
        <w:rPr>
          <w:rStyle w:val="Heading2Char"/>
          <w:rFonts w:ascii="Times New Roman" w:hAnsi="Times New Roman" w:cs="Times New Roman"/>
          <w:b/>
          <w:bCs/>
          <w:color w:val="000000" w:themeColor="text1"/>
          <w:sz w:val="24"/>
          <w:szCs w:val="24"/>
        </w:rPr>
        <w:t xml:space="preserve">3. </w:t>
      </w:r>
      <w:r w:rsidR="00A6674F" w:rsidRPr="003450B7">
        <w:rPr>
          <w:rStyle w:val="Heading2Char"/>
          <w:rFonts w:ascii="Times New Roman" w:hAnsi="Times New Roman" w:cs="Times New Roman"/>
          <w:b/>
          <w:bCs/>
          <w:color w:val="000000" w:themeColor="text1"/>
          <w:sz w:val="24"/>
          <w:szCs w:val="24"/>
        </w:rPr>
        <w:t>Investment Flows</w:t>
      </w:r>
      <w:bookmarkEnd w:id="5"/>
      <w:r w:rsidR="00A6674F" w:rsidRPr="003450B7">
        <w:rPr>
          <w:rFonts w:ascii="Times New Roman" w:hAnsi="Times New Roman" w:cs="Times New Roman"/>
          <w:color w:val="000000" w:themeColor="text1"/>
          <w:sz w:val="24"/>
          <w:szCs w:val="24"/>
        </w:rPr>
        <w:t>: Exchange rate movements influence capital flows and investment decisions. Changes in exchange rates can affect the attractiveness of a country's assets to foreign investors. A strengthening currency may attract foreign investment, while a weakening currency may lead to capital outflows.</w:t>
      </w:r>
    </w:p>
    <w:p w14:paraId="0854B6C8" w14:textId="77777777" w:rsidR="00D20C40" w:rsidRPr="003450B7" w:rsidRDefault="00D20C40" w:rsidP="00093FF9">
      <w:pPr>
        <w:pStyle w:val="NoSpacing"/>
        <w:rPr>
          <w:rFonts w:ascii="Times New Roman" w:hAnsi="Times New Roman" w:cs="Times New Roman"/>
          <w:color w:val="000000" w:themeColor="text1"/>
          <w:sz w:val="24"/>
          <w:szCs w:val="24"/>
        </w:rPr>
      </w:pPr>
    </w:p>
    <w:p w14:paraId="2CD61937" w14:textId="627C0686" w:rsidR="00D20C40" w:rsidRPr="003450B7" w:rsidRDefault="0094684B" w:rsidP="00093FF9">
      <w:pPr>
        <w:pStyle w:val="NoSpacing"/>
        <w:rPr>
          <w:rFonts w:ascii="Times New Roman" w:hAnsi="Times New Roman" w:cs="Times New Roman"/>
          <w:color w:val="000000" w:themeColor="text1"/>
          <w:sz w:val="24"/>
          <w:szCs w:val="24"/>
        </w:rPr>
      </w:pPr>
      <w:bookmarkStart w:id="6" w:name="_Toc162910999"/>
      <w:r w:rsidRPr="003450B7">
        <w:rPr>
          <w:rStyle w:val="Heading2Char"/>
          <w:rFonts w:ascii="Times New Roman" w:hAnsi="Times New Roman" w:cs="Times New Roman"/>
          <w:b/>
          <w:bCs/>
          <w:color w:val="000000" w:themeColor="text1"/>
          <w:sz w:val="24"/>
          <w:szCs w:val="24"/>
        </w:rPr>
        <w:t xml:space="preserve">4. </w:t>
      </w:r>
      <w:r w:rsidR="00A6674F" w:rsidRPr="003450B7">
        <w:rPr>
          <w:rStyle w:val="Heading2Char"/>
          <w:rFonts w:ascii="Times New Roman" w:hAnsi="Times New Roman" w:cs="Times New Roman"/>
          <w:b/>
          <w:bCs/>
          <w:color w:val="000000" w:themeColor="text1"/>
          <w:sz w:val="24"/>
          <w:szCs w:val="24"/>
        </w:rPr>
        <w:t>Central Bank Policy</w:t>
      </w:r>
      <w:bookmarkEnd w:id="6"/>
      <w:r w:rsidR="00A6674F" w:rsidRPr="003450B7">
        <w:rPr>
          <w:rFonts w:ascii="Times New Roman" w:hAnsi="Times New Roman" w:cs="Times New Roman"/>
          <w:b/>
          <w:bCs/>
          <w:color w:val="000000" w:themeColor="text1"/>
          <w:sz w:val="24"/>
          <w:szCs w:val="24"/>
        </w:rPr>
        <w:t>:</w:t>
      </w:r>
      <w:r w:rsidR="00A6674F" w:rsidRPr="003450B7">
        <w:rPr>
          <w:rFonts w:ascii="Times New Roman" w:hAnsi="Times New Roman" w:cs="Times New Roman"/>
          <w:color w:val="000000" w:themeColor="text1"/>
          <w:sz w:val="24"/>
          <w:szCs w:val="24"/>
        </w:rPr>
        <w:t xml:space="preserve"> Central banks often intervene in the foreign exchange market to stabilize exchange rates or achieve monetary policy objectives. Central bank actions, such as interest rate changes or foreign exchange market interventions, can influence exchange rates and overall economic conditions</w:t>
      </w:r>
    </w:p>
    <w:p w14:paraId="32C77E46" w14:textId="4A2FF28A" w:rsidR="00A6674F" w:rsidRPr="003450B7" w:rsidRDefault="00A6674F" w:rsidP="00093FF9">
      <w:pPr>
        <w:pStyle w:val="NoSpacing"/>
        <w:rPr>
          <w:rFonts w:ascii="Times New Roman" w:hAnsi="Times New Roman" w:cs="Times New Roman"/>
          <w:color w:val="000000" w:themeColor="text1"/>
          <w:sz w:val="24"/>
          <w:szCs w:val="24"/>
        </w:rPr>
      </w:pPr>
    </w:p>
    <w:p w14:paraId="2A44207E" w14:textId="6EA8F2EB" w:rsidR="00A6674F" w:rsidRPr="003450B7" w:rsidRDefault="0094684B" w:rsidP="00093FF9">
      <w:pPr>
        <w:pStyle w:val="NoSpacing"/>
        <w:rPr>
          <w:rFonts w:ascii="Times New Roman" w:hAnsi="Times New Roman" w:cs="Times New Roman"/>
          <w:color w:val="000000" w:themeColor="text1"/>
          <w:sz w:val="24"/>
          <w:szCs w:val="24"/>
        </w:rPr>
      </w:pPr>
      <w:bookmarkStart w:id="7" w:name="_Toc162911000"/>
      <w:r w:rsidRPr="003450B7">
        <w:rPr>
          <w:rStyle w:val="Heading2Char"/>
          <w:rFonts w:ascii="Times New Roman" w:hAnsi="Times New Roman" w:cs="Times New Roman"/>
          <w:b/>
          <w:bCs/>
          <w:color w:val="000000" w:themeColor="text1"/>
          <w:sz w:val="24"/>
          <w:szCs w:val="24"/>
        </w:rPr>
        <w:t xml:space="preserve">5. </w:t>
      </w:r>
      <w:r w:rsidR="00A6674F" w:rsidRPr="003450B7">
        <w:rPr>
          <w:rStyle w:val="Heading2Char"/>
          <w:rFonts w:ascii="Times New Roman" w:hAnsi="Times New Roman" w:cs="Times New Roman"/>
          <w:b/>
          <w:bCs/>
          <w:color w:val="000000" w:themeColor="text1"/>
          <w:sz w:val="24"/>
          <w:szCs w:val="24"/>
        </w:rPr>
        <w:t>Business Confidence and Investment</w:t>
      </w:r>
      <w:r w:rsidR="00A6674F" w:rsidRPr="003450B7">
        <w:rPr>
          <w:rStyle w:val="Heading2Char"/>
          <w:rFonts w:ascii="Times New Roman" w:hAnsi="Times New Roman" w:cs="Times New Roman"/>
          <w:color w:val="000000" w:themeColor="text1"/>
        </w:rPr>
        <w:t>:</w:t>
      </w:r>
      <w:bookmarkEnd w:id="7"/>
      <w:r w:rsidR="00A6674F" w:rsidRPr="003450B7">
        <w:rPr>
          <w:rFonts w:ascii="Times New Roman" w:hAnsi="Times New Roman" w:cs="Times New Roman"/>
          <w:color w:val="000000" w:themeColor="text1"/>
          <w:sz w:val="24"/>
          <w:szCs w:val="24"/>
        </w:rPr>
        <w:t xml:space="preserve"> Exchange rate stability is essential for business planning and investment decisions. Volatility in exchange rates can create uncertainty for businesses engaged in international trade or investment, affecting their confidence and investment decisions.</w:t>
      </w:r>
    </w:p>
    <w:p w14:paraId="066DCE4D" w14:textId="03D7BFC8" w:rsidR="00FA2802" w:rsidRDefault="00155F09" w:rsidP="00FA2802">
      <w:pPr>
        <w:pStyle w:val="Bibliography"/>
        <w:ind w:left="720" w:hanging="720"/>
        <w:rPr>
          <w:noProof/>
          <w:kern w:val="0"/>
          <w:sz w:val="24"/>
          <w:szCs w:val="24"/>
          <w14:ligatures w14:val="none"/>
        </w:rPr>
      </w:pPr>
      <w:sdt>
        <w:sdtPr>
          <w:rPr>
            <w:rFonts w:ascii="Times New Roman" w:hAnsi="Times New Roman" w:cs="Times New Roman"/>
            <w:noProof/>
            <w:color w:val="000000" w:themeColor="text1"/>
            <w:sz w:val="24"/>
            <w:szCs w:val="24"/>
          </w:rPr>
          <w:id w:val="-747109969"/>
          <w:citation/>
        </w:sdtPr>
        <w:sdtContent>
          <w:r>
            <w:rPr>
              <w:rFonts w:ascii="Times New Roman" w:hAnsi="Times New Roman" w:cs="Times New Roman"/>
              <w:noProof/>
              <w:color w:val="000000" w:themeColor="text1"/>
              <w:sz w:val="24"/>
              <w:szCs w:val="24"/>
            </w:rPr>
            <w:fldChar w:fldCharType="begin"/>
          </w:r>
          <w:r>
            <w:rPr>
              <w:rFonts w:ascii="Times New Roman" w:hAnsi="Times New Roman" w:cs="Times New Roman"/>
              <w:color w:val="000000" w:themeColor="text1"/>
              <w:sz w:val="24"/>
              <w:szCs w:val="24"/>
            </w:rPr>
            <w:instrText xml:space="preserve">CITATION Sha171 \l 2057 </w:instrText>
          </w:r>
          <w:r>
            <w:rPr>
              <w:rFonts w:ascii="Times New Roman" w:hAnsi="Times New Roman" w:cs="Times New Roman"/>
              <w:noProof/>
              <w:color w:val="000000" w:themeColor="text1"/>
              <w:sz w:val="24"/>
              <w:szCs w:val="24"/>
            </w:rPr>
            <w:fldChar w:fldCharType="separate"/>
          </w:r>
          <w:r w:rsidRPr="0030679F">
            <w:rPr>
              <w:rFonts w:ascii="Times New Roman" w:hAnsi="Times New Roman" w:cs="Times New Roman"/>
              <w:noProof/>
              <w:color w:val="000000" w:themeColor="text1"/>
              <w:sz w:val="24"/>
              <w:szCs w:val="24"/>
            </w:rPr>
            <w:t>(Shapiro A. C., 2017)</w:t>
          </w:r>
          <w:r>
            <w:rPr>
              <w:rFonts w:ascii="Times New Roman" w:hAnsi="Times New Roman" w:cs="Times New Roman"/>
              <w:noProof/>
              <w:color w:val="000000" w:themeColor="text1"/>
              <w:sz w:val="24"/>
              <w:szCs w:val="24"/>
            </w:rPr>
            <w:fldChar w:fldCharType="end"/>
          </w:r>
        </w:sdtContent>
      </w:sdt>
      <w:r w:rsidRPr="003450B7">
        <w:rPr>
          <w:rFonts w:ascii="Times New Roman" w:hAnsi="Times New Roman" w:cs="Times New Roman"/>
          <w:noProof/>
          <w:color w:val="000000" w:themeColor="text1"/>
          <w:sz w:val="24"/>
          <w:szCs w:val="24"/>
        </w:rPr>
        <w:t>[</w:t>
      </w:r>
      <w:r w:rsidRPr="003450B7">
        <w:rPr>
          <w:rFonts w:ascii="Times New Roman" w:hAnsi="Times New Roman" w:cs="Times New Roman"/>
          <w:color w:val="000000" w:themeColor="text1"/>
          <w:sz w:val="24"/>
          <w:szCs w:val="24"/>
        </w:rPr>
        <w:t>Accessed 1</w:t>
      </w:r>
      <w:r>
        <w:rPr>
          <w:rFonts w:ascii="Times New Roman" w:hAnsi="Times New Roman" w:cs="Times New Roman"/>
          <w:color w:val="000000" w:themeColor="text1"/>
          <w:sz w:val="24"/>
          <w:szCs w:val="24"/>
        </w:rPr>
        <w:t>0</w:t>
      </w:r>
      <w:r w:rsidRPr="00155F09">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w:t>
      </w:r>
      <w:r w:rsidRPr="003450B7">
        <w:rPr>
          <w:rFonts w:ascii="Times New Roman" w:hAnsi="Times New Roman" w:cs="Times New Roman"/>
          <w:color w:val="000000" w:themeColor="text1"/>
          <w:sz w:val="24"/>
          <w:szCs w:val="24"/>
        </w:rPr>
        <w:t xml:space="preserve"> March 2024].</w:t>
      </w:r>
      <w:r>
        <w:rPr>
          <w:rFonts w:ascii="Times New Roman" w:hAnsi="Times New Roman" w:cs="Times New Roman"/>
          <w:color w:val="000000" w:themeColor="text1"/>
          <w:sz w:val="24"/>
          <w:szCs w:val="24"/>
        </w:rPr>
        <w:t xml:space="preserve"> </w:t>
      </w:r>
      <w:r w:rsidR="00FA2802">
        <w:rPr>
          <w:rFonts w:ascii="Times New Roman" w:hAnsi="Times New Roman" w:cs="Times New Roman"/>
          <w:color w:val="000000" w:themeColor="text1"/>
          <w:sz w:val="24"/>
          <w:szCs w:val="24"/>
        </w:rPr>
        <w:fldChar w:fldCharType="begin"/>
      </w:r>
      <w:r w:rsidR="00FA2802">
        <w:rPr>
          <w:rFonts w:ascii="Times New Roman" w:hAnsi="Times New Roman" w:cs="Times New Roman"/>
          <w:color w:val="000000" w:themeColor="text1"/>
          <w:sz w:val="24"/>
          <w:szCs w:val="24"/>
        </w:rPr>
        <w:instrText xml:space="preserve"> BIBLIOGRAPHY  \l 2057 </w:instrText>
      </w:r>
      <w:r w:rsidR="00FA2802">
        <w:rPr>
          <w:rFonts w:ascii="Times New Roman" w:hAnsi="Times New Roman" w:cs="Times New Roman"/>
          <w:color w:val="000000" w:themeColor="text1"/>
          <w:sz w:val="24"/>
          <w:szCs w:val="24"/>
        </w:rPr>
        <w:fldChar w:fldCharType="separate"/>
      </w:r>
    </w:p>
    <w:p w14:paraId="3B41FC05" w14:textId="3D901027" w:rsidR="00A6674F" w:rsidRPr="003450B7" w:rsidRDefault="00FA2802" w:rsidP="00FA2802">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end"/>
      </w:r>
    </w:p>
    <w:p w14:paraId="14DF6DD6" w14:textId="77777777" w:rsidR="003450B7" w:rsidRPr="003450B7" w:rsidRDefault="003450B7" w:rsidP="00093FF9">
      <w:pPr>
        <w:pStyle w:val="NoSpacing"/>
        <w:rPr>
          <w:rFonts w:ascii="Times New Roman" w:hAnsi="Times New Roman" w:cs="Times New Roman"/>
          <w:color w:val="000000" w:themeColor="text1"/>
          <w:sz w:val="24"/>
          <w:szCs w:val="24"/>
        </w:rPr>
      </w:pPr>
    </w:p>
    <w:p w14:paraId="4CCC55DD" w14:textId="77777777" w:rsidR="003450B7" w:rsidRPr="003450B7" w:rsidRDefault="003450B7" w:rsidP="00093FF9">
      <w:pPr>
        <w:pStyle w:val="NoSpacing"/>
        <w:rPr>
          <w:rFonts w:ascii="Times New Roman" w:hAnsi="Times New Roman" w:cs="Times New Roman"/>
          <w:color w:val="000000" w:themeColor="text1"/>
          <w:sz w:val="24"/>
          <w:szCs w:val="24"/>
        </w:rPr>
      </w:pPr>
    </w:p>
    <w:p w14:paraId="703451B2" w14:textId="77777777" w:rsidR="0094684B" w:rsidRPr="003450B7" w:rsidRDefault="0094684B" w:rsidP="00FA2802">
      <w:pPr>
        <w:spacing w:before="300" w:after="300" w:line="240" w:lineRule="auto"/>
        <w:rPr>
          <w:rFonts w:ascii="Times New Roman" w:eastAsia="Times New Roman" w:hAnsi="Times New Roman" w:cs="Times New Roman"/>
          <w:b/>
          <w:bCs/>
          <w:color w:val="000000" w:themeColor="text1"/>
          <w:kern w:val="0"/>
          <w:sz w:val="24"/>
          <w:szCs w:val="24"/>
          <w:lang w:eastAsia="en-GB"/>
          <w14:ligatures w14:val="none"/>
        </w:rPr>
      </w:pPr>
    </w:p>
    <w:p w14:paraId="733A0C55" w14:textId="3702599B" w:rsidR="00CA1019" w:rsidRPr="003450B7" w:rsidRDefault="00CA1019" w:rsidP="00D20C40">
      <w:pPr>
        <w:spacing w:before="300" w:after="300" w:line="240" w:lineRule="auto"/>
        <w:jc w:val="center"/>
        <w:rPr>
          <w:rFonts w:ascii="Times New Roman" w:eastAsia="Times New Roman" w:hAnsi="Times New Roman" w:cs="Times New Roman"/>
          <w:b/>
          <w:bCs/>
          <w:color w:val="000000" w:themeColor="text1"/>
          <w:kern w:val="0"/>
          <w:sz w:val="24"/>
          <w:szCs w:val="24"/>
          <w:lang w:eastAsia="en-GB"/>
          <w14:ligatures w14:val="none"/>
        </w:rPr>
      </w:pPr>
      <w:bookmarkStart w:id="8" w:name="_Toc162911001"/>
      <w:r w:rsidRPr="003450B7">
        <w:rPr>
          <w:rStyle w:val="Heading2Char"/>
          <w:rFonts w:ascii="Times New Roman" w:hAnsi="Times New Roman" w:cs="Times New Roman"/>
          <w:b/>
          <w:bCs/>
          <w:color w:val="000000" w:themeColor="text1"/>
        </w:rPr>
        <w:lastRenderedPageBreak/>
        <w:t>Understanding Foreign Exchange Risks</w:t>
      </w:r>
      <w:bookmarkEnd w:id="8"/>
      <w:r w:rsidRPr="003450B7">
        <w:rPr>
          <w:rFonts w:ascii="Times New Roman" w:eastAsia="Times New Roman" w:hAnsi="Times New Roman" w:cs="Times New Roman"/>
          <w:b/>
          <w:bCs/>
          <w:color w:val="000000" w:themeColor="text1"/>
          <w:kern w:val="0"/>
          <w:sz w:val="24"/>
          <w:szCs w:val="24"/>
          <w:lang w:eastAsia="en-GB"/>
          <w14:ligatures w14:val="none"/>
        </w:rPr>
        <w:t>:</w:t>
      </w:r>
    </w:p>
    <w:p w14:paraId="36DE96E3" w14:textId="5E12887E" w:rsidR="00D20C40" w:rsidRPr="003450B7" w:rsidRDefault="00CA1019" w:rsidP="00CA1019">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color w:val="000000" w:themeColor="text1"/>
          <w:kern w:val="0"/>
          <w:sz w:val="24"/>
          <w:szCs w:val="24"/>
          <w:lang w:eastAsia="en-GB"/>
          <w14:ligatures w14:val="none"/>
        </w:rPr>
        <w:t xml:space="preserve">Foreign exchange risks refer to the potential losses that MNCs may </w:t>
      </w:r>
      <w:r w:rsidR="001C048C">
        <w:rPr>
          <w:rFonts w:ascii="Times New Roman" w:eastAsia="Times New Roman" w:hAnsi="Times New Roman" w:cs="Times New Roman"/>
          <w:color w:val="000000" w:themeColor="text1"/>
          <w:kern w:val="0"/>
          <w:sz w:val="24"/>
          <w:szCs w:val="24"/>
          <w:lang w:eastAsia="en-GB"/>
          <w14:ligatures w14:val="none"/>
        </w:rPr>
        <w:t xml:space="preserve">serve </w:t>
      </w:r>
      <w:r w:rsidRPr="003450B7">
        <w:rPr>
          <w:rFonts w:ascii="Times New Roman" w:eastAsia="Times New Roman" w:hAnsi="Times New Roman" w:cs="Times New Roman"/>
          <w:color w:val="000000" w:themeColor="text1"/>
          <w:kern w:val="0"/>
          <w:sz w:val="24"/>
          <w:szCs w:val="24"/>
          <w:lang w:eastAsia="en-GB"/>
          <w14:ligatures w14:val="none"/>
        </w:rPr>
        <w:t xml:space="preserve">due to adverse movements in exchange rates. These risks can </w:t>
      </w:r>
      <w:r w:rsidR="001C048C">
        <w:rPr>
          <w:rFonts w:ascii="Times New Roman" w:eastAsia="Times New Roman" w:hAnsi="Times New Roman" w:cs="Times New Roman"/>
          <w:color w:val="000000" w:themeColor="text1"/>
          <w:kern w:val="0"/>
          <w:sz w:val="24"/>
          <w:szCs w:val="24"/>
          <w:lang w:eastAsia="en-GB"/>
          <w14:ligatures w14:val="none"/>
        </w:rPr>
        <w:t>raise</w:t>
      </w:r>
      <w:r w:rsidRPr="003450B7">
        <w:rPr>
          <w:rFonts w:ascii="Times New Roman" w:eastAsia="Times New Roman" w:hAnsi="Times New Roman" w:cs="Times New Roman"/>
          <w:color w:val="000000" w:themeColor="text1"/>
          <w:kern w:val="0"/>
          <w:sz w:val="24"/>
          <w:szCs w:val="24"/>
          <w:lang w:eastAsia="en-GB"/>
          <w14:ligatures w14:val="none"/>
        </w:rPr>
        <w:t xml:space="preserve"> from various sources, including transaction exposure, translation exposure, and economic exposure.</w:t>
      </w:r>
    </w:p>
    <w:p w14:paraId="0BD03900" w14:textId="01512A3C" w:rsidR="00CA1019" w:rsidRPr="003450B7" w:rsidRDefault="0094684B" w:rsidP="0094684B">
      <w:pPr>
        <w:pStyle w:val="Heading2"/>
        <w:rPr>
          <w:rFonts w:ascii="Times New Roman" w:eastAsia="Times New Roman" w:hAnsi="Times New Roman" w:cs="Times New Roman"/>
          <w:color w:val="000000" w:themeColor="text1"/>
          <w:lang w:eastAsia="en-GB"/>
        </w:rPr>
      </w:pPr>
      <w:bookmarkStart w:id="9" w:name="_Toc162911002"/>
      <w:r w:rsidRPr="003450B7">
        <w:rPr>
          <w:rStyle w:val="Heading3Char"/>
          <w:rFonts w:ascii="Times New Roman" w:hAnsi="Times New Roman" w:cs="Times New Roman"/>
          <w:b/>
          <w:bCs/>
          <w:color w:val="000000" w:themeColor="text1"/>
        </w:rPr>
        <w:t>1.</w:t>
      </w:r>
      <w:r w:rsidR="00CA1019" w:rsidRPr="003450B7">
        <w:rPr>
          <w:rStyle w:val="Heading3Char"/>
          <w:rFonts w:ascii="Times New Roman" w:hAnsi="Times New Roman" w:cs="Times New Roman"/>
          <w:b/>
          <w:bCs/>
          <w:color w:val="000000" w:themeColor="text1"/>
        </w:rPr>
        <w:t>Transaction Exposure</w:t>
      </w:r>
      <w:r w:rsidR="00CA1019" w:rsidRPr="003450B7">
        <w:rPr>
          <w:rFonts w:ascii="Times New Roman" w:eastAsia="Times New Roman" w:hAnsi="Times New Roman" w:cs="Times New Roman"/>
          <w:color w:val="000000" w:themeColor="text1"/>
          <w:lang w:eastAsia="en-GB"/>
        </w:rPr>
        <w:t>:</w:t>
      </w:r>
      <w:bookmarkEnd w:id="9"/>
    </w:p>
    <w:p w14:paraId="148D7FA3" w14:textId="7E66D9A2" w:rsidR="005F65BB" w:rsidRPr="003450B7" w:rsidRDefault="00CA1019" w:rsidP="00CA1019">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color w:val="000000" w:themeColor="text1"/>
          <w:kern w:val="0"/>
          <w:sz w:val="24"/>
          <w:szCs w:val="24"/>
          <w:lang w:eastAsia="en-GB"/>
          <w14:ligatures w14:val="none"/>
        </w:rPr>
        <w:t>Transaction exposure arises from the potential impact of exchange rate fluctuations on future cash flows of MNCs. This exposure typically occurs when MNCs engage in international trade or have foreign currency-denominated transactions. To manage transaction exposure, MNCs often employ the following strategies:</w:t>
      </w:r>
    </w:p>
    <w:p w14:paraId="578F911F" w14:textId="77777777" w:rsidR="00CA1019" w:rsidRPr="003450B7" w:rsidRDefault="00CA1019" w:rsidP="00CA1019">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b/>
          <w:bCs/>
          <w:color w:val="000000" w:themeColor="text1"/>
          <w:kern w:val="0"/>
          <w:sz w:val="24"/>
          <w:szCs w:val="24"/>
          <w:lang w:eastAsia="en-GB"/>
          <w14:ligatures w14:val="none"/>
        </w:rPr>
        <w:t xml:space="preserve">a. </w:t>
      </w:r>
      <w:r w:rsidRPr="003450B7">
        <w:rPr>
          <w:rFonts w:ascii="Times New Roman" w:hAnsi="Times New Roman" w:cs="Times New Roman"/>
          <w:color w:val="000000" w:themeColor="text1"/>
        </w:rPr>
        <w:t>Forward Contracts</w:t>
      </w:r>
      <w:r w:rsidRPr="003450B7">
        <w:rPr>
          <w:rFonts w:ascii="Times New Roman" w:eastAsia="Times New Roman" w:hAnsi="Times New Roman" w:cs="Times New Roman"/>
          <w:color w:val="000000" w:themeColor="text1"/>
          <w:kern w:val="0"/>
          <w:sz w:val="24"/>
          <w:szCs w:val="24"/>
          <w:lang w:eastAsia="en-GB"/>
          <w14:ligatures w14:val="none"/>
        </w:rPr>
        <w:t>: MNCs can use forward contracts to lock in exchange rates for future transactions, thereby eliminating the uncertainty associated with exchange rate fluctuations.</w:t>
      </w:r>
    </w:p>
    <w:p w14:paraId="39BF4175" w14:textId="77777777" w:rsidR="00CA1019" w:rsidRPr="003450B7" w:rsidRDefault="00CA1019" w:rsidP="00CA1019">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b/>
          <w:bCs/>
          <w:color w:val="000000" w:themeColor="text1"/>
          <w:kern w:val="0"/>
          <w:sz w:val="24"/>
          <w:szCs w:val="24"/>
          <w:lang w:eastAsia="en-GB"/>
          <w14:ligatures w14:val="none"/>
        </w:rPr>
        <w:t xml:space="preserve">b. </w:t>
      </w:r>
      <w:r w:rsidRPr="003450B7">
        <w:rPr>
          <w:rFonts w:ascii="Times New Roman" w:hAnsi="Times New Roman" w:cs="Times New Roman"/>
          <w:color w:val="000000" w:themeColor="text1"/>
        </w:rPr>
        <w:t>Currency Options</w:t>
      </w:r>
      <w:r w:rsidRPr="003450B7">
        <w:rPr>
          <w:rFonts w:ascii="Times New Roman" w:eastAsia="Times New Roman" w:hAnsi="Times New Roman" w:cs="Times New Roman"/>
          <w:color w:val="000000" w:themeColor="text1"/>
          <w:kern w:val="0"/>
          <w:sz w:val="24"/>
          <w:szCs w:val="24"/>
          <w:lang w:eastAsia="en-GB"/>
          <w14:ligatures w14:val="none"/>
        </w:rPr>
        <w:t>: Currency options provide MNCs with the right, but not the obligation, to exchange currencies at predetermined rates. This flexibility allows MNCs to hedge against adverse exchange rate movements while retaining the opportunity to benefit from favorable movements.</w:t>
      </w:r>
    </w:p>
    <w:p w14:paraId="793EEE42" w14:textId="77777777" w:rsidR="00CA1019" w:rsidRDefault="00CA1019" w:rsidP="00CA1019">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b/>
          <w:bCs/>
          <w:color w:val="000000" w:themeColor="text1"/>
          <w:kern w:val="0"/>
          <w:sz w:val="24"/>
          <w:szCs w:val="24"/>
          <w:lang w:eastAsia="en-GB"/>
          <w14:ligatures w14:val="none"/>
        </w:rPr>
        <w:t xml:space="preserve">c. </w:t>
      </w:r>
      <w:r w:rsidRPr="003450B7">
        <w:rPr>
          <w:rFonts w:ascii="Times New Roman" w:hAnsi="Times New Roman" w:cs="Times New Roman"/>
          <w:color w:val="000000" w:themeColor="text1"/>
        </w:rPr>
        <w:t>Money Market Hedge</w:t>
      </w:r>
      <w:r w:rsidRPr="003450B7">
        <w:rPr>
          <w:rFonts w:ascii="Times New Roman" w:eastAsia="Times New Roman" w:hAnsi="Times New Roman" w:cs="Times New Roman"/>
          <w:color w:val="000000" w:themeColor="text1"/>
          <w:kern w:val="0"/>
          <w:sz w:val="24"/>
          <w:szCs w:val="24"/>
          <w:lang w:eastAsia="en-GB"/>
          <w14:ligatures w14:val="none"/>
        </w:rPr>
        <w:t>: MNCs can also hedge transaction exposure by borrowing or investing in foreign currencies through money market instruments. By matching foreign currency inflows and outflows, MNCs can reduce their exposure to exchange rate fluctuations.</w:t>
      </w:r>
    </w:p>
    <w:p w14:paraId="458DDCED" w14:textId="1B828889" w:rsidR="00155F09" w:rsidRPr="002F0E66" w:rsidRDefault="00155F09" w:rsidP="00155F09">
      <w:pPr>
        <w:pStyle w:val="NoSpacing"/>
        <w:ind w:left="360"/>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422949268"/>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Mad18 \l 2057 </w:instrText>
          </w:r>
          <w:r>
            <w:rPr>
              <w:rFonts w:ascii="Times New Roman" w:hAnsi="Times New Roman" w:cs="Times New Roman"/>
              <w:color w:val="000000" w:themeColor="text1"/>
              <w:sz w:val="24"/>
              <w:szCs w:val="24"/>
            </w:rPr>
            <w:fldChar w:fldCharType="separate"/>
          </w:r>
          <w:r w:rsidRPr="002F0E66">
            <w:rPr>
              <w:rFonts w:ascii="Times New Roman" w:hAnsi="Times New Roman" w:cs="Times New Roman"/>
              <w:noProof/>
              <w:color w:val="000000" w:themeColor="text1"/>
              <w:sz w:val="24"/>
              <w:szCs w:val="24"/>
            </w:rPr>
            <w:t>(Madura, 2018)</w:t>
          </w:r>
          <w:r>
            <w:rPr>
              <w:rFonts w:ascii="Times New Roman" w:hAnsi="Times New Roman" w:cs="Times New Roman"/>
              <w:color w:val="000000" w:themeColor="text1"/>
              <w:sz w:val="24"/>
              <w:szCs w:val="24"/>
            </w:rPr>
            <w:fldChar w:fldCharType="end"/>
          </w:r>
        </w:sdtContent>
      </w:sdt>
      <w:r w:rsidRPr="003450B7">
        <w:rPr>
          <w:rFonts w:ascii="Times New Roman" w:hAnsi="Times New Roman" w:cs="Times New Roman"/>
          <w:color w:val="000000" w:themeColor="text1"/>
          <w:sz w:val="24"/>
          <w:szCs w:val="24"/>
        </w:rPr>
        <w:t>.</w:t>
      </w:r>
      <w:r w:rsidRPr="003450B7">
        <w:rPr>
          <w:rFonts w:ascii="Times New Roman" w:hAnsi="Times New Roman" w:cs="Times New Roman"/>
          <w:noProof/>
          <w:color w:val="000000" w:themeColor="text1"/>
          <w:sz w:val="24"/>
          <w:szCs w:val="24"/>
        </w:rPr>
        <w:t xml:space="preserve"> [</w:t>
      </w:r>
      <w:r w:rsidRPr="003450B7">
        <w:rPr>
          <w:rFonts w:ascii="Times New Roman" w:hAnsi="Times New Roman" w:cs="Times New Roman"/>
          <w:color w:val="000000" w:themeColor="text1"/>
          <w:sz w:val="24"/>
          <w:szCs w:val="24"/>
        </w:rPr>
        <w:t>Accessed 1</w:t>
      </w:r>
      <w:r>
        <w:rPr>
          <w:rFonts w:ascii="Times New Roman" w:hAnsi="Times New Roman" w:cs="Times New Roman"/>
          <w:color w:val="000000" w:themeColor="text1"/>
          <w:sz w:val="24"/>
          <w:szCs w:val="24"/>
        </w:rPr>
        <w:t>1</w:t>
      </w:r>
      <w:r w:rsidRPr="00155F09">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w:t>
      </w:r>
      <w:r w:rsidRPr="003450B7">
        <w:rPr>
          <w:rFonts w:ascii="Times New Roman" w:hAnsi="Times New Roman" w:cs="Times New Roman"/>
          <w:color w:val="000000" w:themeColor="text1"/>
          <w:sz w:val="24"/>
          <w:szCs w:val="24"/>
        </w:rPr>
        <w:t xml:space="preserve"> March</w:t>
      </w:r>
      <w:r>
        <w:rPr>
          <w:rFonts w:ascii="Times New Roman" w:hAnsi="Times New Roman" w:cs="Times New Roman"/>
          <w:color w:val="000000" w:themeColor="text1"/>
          <w:sz w:val="24"/>
          <w:szCs w:val="24"/>
        </w:rPr>
        <w:t xml:space="preserve"> </w:t>
      </w:r>
      <w:r w:rsidRPr="003450B7">
        <w:rPr>
          <w:rFonts w:ascii="Times New Roman" w:hAnsi="Times New Roman" w:cs="Times New Roman"/>
          <w:color w:val="000000" w:themeColor="text1"/>
          <w:sz w:val="24"/>
          <w:szCs w:val="24"/>
        </w:rPr>
        <w:t>2024]</w:t>
      </w:r>
    </w:p>
    <w:p w14:paraId="1A4C6BE4" w14:textId="6E614883" w:rsidR="0030679F" w:rsidRDefault="0030679F" w:rsidP="0030679F">
      <w:pPr>
        <w:pStyle w:val="NoSpacing"/>
        <w:ind w:left="360"/>
        <w:rPr>
          <w:rFonts w:ascii="Times New Roman" w:hAnsi="Times New Roman" w:cs="Times New Roman"/>
          <w:color w:val="000000" w:themeColor="text1"/>
          <w:sz w:val="24"/>
          <w:szCs w:val="24"/>
        </w:rPr>
      </w:pPr>
    </w:p>
    <w:p w14:paraId="772BA583" w14:textId="77777777" w:rsidR="0030679F" w:rsidRPr="0030679F" w:rsidRDefault="0030679F" w:rsidP="0030679F">
      <w:pPr>
        <w:pStyle w:val="NoSpacing"/>
        <w:ind w:left="360"/>
        <w:rPr>
          <w:rFonts w:ascii="Times New Roman" w:hAnsi="Times New Roman" w:cs="Times New Roman"/>
          <w:color w:val="000000" w:themeColor="text1"/>
          <w:sz w:val="24"/>
          <w:szCs w:val="24"/>
        </w:rPr>
      </w:pPr>
    </w:p>
    <w:p w14:paraId="7E474220" w14:textId="4A7566A8" w:rsidR="00CA1019" w:rsidRPr="003450B7" w:rsidRDefault="00FC12B6" w:rsidP="00FC12B6">
      <w:pPr>
        <w:spacing w:after="0" w:line="240" w:lineRule="auto"/>
        <w:rPr>
          <w:rFonts w:ascii="Times New Roman" w:eastAsia="Times New Roman" w:hAnsi="Times New Roman" w:cs="Times New Roman"/>
          <w:b/>
          <w:bCs/>
          <w:color w:val="000000" w:themeColor="text1"/>
          <w:kern w:val="0"/>
          <w:sz w:val="24"/>
          <w:szCs w:val="24"/>
          <w:lang w:eastAsia="en-GB"/>
          <w14:ligatures w14:val="none"/>
        </w:rPr>
      </w:pPr>
      <w:bookmarkStart w:id="10" w:name="_Toc162911003"/>
      <w:r w:rsidRPr="003450B7">
        <w:rPr>
          <w:rStyle w:val="Heading3Char"/>
          <w:rFonts w:ascii="Times New Roman" w:hAnsi="Times New Roman" w:cs="Times New Roman"/>
          <w:b/>
          <w:bCs/>
          <w:color w:val="000000" w:themeColor="text1"/>
        </w:rPr>
        <w:t>2.</w:t>
      </w:r>
      <w:r w:rsidR="00CA1019" w:rsidRPr="003450B7">
        <w:rPr>
          <w:rStyle w:val="Heading3Char"/>
          <w:rFonts w:ascii="Times New Roman" w:hAnsi="Times New Roman" w:cs="Times New Roman"/>
          <w:b/>
          <w:bCs/>
          <w:color w:val="000000" w:themeColor="text1"/>
        </w:rPr>
        <w:t>Translation Exposure</w:t>
      </w:r>
      <w:bookmarkEnd w:id="10"/>
      <w:r w:rsidR="00CA1019" w:rsidRPr="003450B7">
        <w:rPr>
          <w:rFonts w:ascii="Times New Roman" w:eastAsia="Times New Roman" w:hAnsi="Times New Roman" w:cs="Times New Roman"/>
          <w:b/>
          <w:bCs/>
          <w:color w:val="000000" w:themeColor="text1"/>
          <w:kern w:val="0"/>
          <w:sz w:val="24"/>
          <w:szCs w:val="24"/>
          <w:lang w:eastAsia="en-GB"/>
          <w14:ligatures w14:val="none"/>
        </w:rPr>
        <w:t>:</w:t>
      </w:r>
    </w:p>
    <w:p w14:paraId="0EC0B20D" w14:textId="77777777" w:rsidR="00CA1019" w:rsidRPr="003450B7" w:rsidRDefault="00CA1019" w:rsidP="00CA1019">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color w:val="000000" w:themeColor="text1"/>
          <w:kern w:val="0"/>
          <w:sz w:val="24"/>
          <w:szCs w:val="24"/>
          <w:lang w:eastAsia="en-GB"/>
          <w14:ligatures w14:val="none"/>
        </w:rPr>
        <w:t>Translation exposure arises from the impact of exchange rate fluctuations on the financial statements of MNCs with foreign subsidiaries or operations. When MNCs consolidate financial statements denominated in foreign currencies, changes in exchange rates can affect reported profits and shareholder equity. To manage translation exposure, MNCs may use the following strategies:</w:t>
      </w:r>
    </w:p>
    <w:p w14:paraId="117B49E8" w14:textId="77777777" w:rsidR="00CA1019" w:rsidRPr="003450B7" w:rsidRDefault="00CA1019" w:rsidP="003104D5">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r w:rsidRPr="00AE7B2E">
        <w:rPr>
          <w:rFonts w:ascii="Times New Roman" w:hAnsi="Times New Roman" w:cs="Times New Roman"/>
          <w:color w:val="000000" w:themeColor="text1"/>
          <w:sz w:val="24"/>
          <w:szCs w:val="24"/>
        </w:rPr>
        <w:t>a. Netting</w:t>
      </w:r>
      <w:r w:rsidRPr="00AE7B2E">
        <w:rPr>
          <w:rFonts w:ascii="Times New Roman" w:eastAsia="Times New Roman" w:hAnsi="Times New Roman" w:cs="Times New Roman"/>
          <w:color w:val="000000" w:themeColor="text1"/>
          <w:kern w:val="0"/>
          <w:sz w:val="24"/>
          <w:szCs w:val="24"/>
          <w:lang w:eastAsia="en-GB"/>
          <w14:ligatures w14:val="none"/>
        </w:rPr>
        <w:t>: MNCs</w:t>
      </w:r>
      <w:r w:rsidRPr="003450B7">
        <w:rPr>
          <w:rFonts w:ascii="Times New Roman" w:eastAsia="Times New Roman" w:hAnsi="Times New Roman" w:cs="Times New Roman"/>
          <w:color w:val="000000" w:themeColor="text1"/>
          <w:kern w:val="0"/>
          <w:sz w:val="24"/>
          <w:szCs w:val="24"/>
          <w:lang w:eastAsia="en-GB"/>
          <w14:ligatures w14:val="none"/>
        </w:rPr>
        <w:t xml:space="preserve"> can offset gains and losses from translation exposure by consolidating financial statements in a single currency or by netting exposures across different currencies.</w:t>
      </w:r>
    </w:p>
    <w:p w14:paraId="41CF1110" w14:textId="77777777" w:rsidR="00CA1019" w:rsidRDefault="00CA1019" w:rsidP="003104D5">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r w:rsidRPr="00AE7B2E">
        <w:rPr>
          <w:rFonts w:ascii="Times New Roman" w:hAnsi="Times New Roman" w:cs="Times New Roman"/>
          <w:color w:val="000000" w:themeColor="text1"/>
          <w:sz w:val="24"/>
          <w:szCs w:val="24"/>
        </w:rPr>
        <w:t>b. Leading and Lagging:</w:t>
      </w:r>
      <w:r w:rsidRPr="003450B7">
        <w:rPr>
          <w:rFonts w:ascii="Times New Roman" w:eastAsia="Times New Roman" w:hAnsi="Times New Roman" w:cs="Times New Roman"/>
          <w:color w:val="000000" w:themeColor="text1"/>
          <w:kern w:val="0"/>
          <w:sz w:val="24"/>
          <w:szCs w:val="24"/>
          <w:lang w:eastAsia="en-GB"/>
          <w14:ligatures w14:val="none"/>
        </w:rPr>
        <w:t xml:space="preserve"> MNCs may also adjust the timing of payments and receipts to take advantage of favorable exchange rate movements, a practice known as leading and lagging.</w:t>
      </w:r>
    </w:p>
    <w:p w14:paraId="5103B369" w14:textId="57F73538" w:rsidR="00155F09" w:rsidRPr="0030679F" w:rsidRDefault="00155F09" w:rsidP="00155F09">
      <w:pPr>
        <w:pStyle w:val="NoSpacing"/>
        <w:ind w:left="360"/>
        <w:rPr>
          <w:rFonts w:ascii="Times New Roman" w:hAnsi="Times New Roman" w:cs="Times New Roman"/>
          <w:color w:val="000000" w:themeColor="text1"/>
          <w:sz w:val="24"/>
          <w:szCs w:val="24"/>
        </w:rPr>
      </w:pPr>
      <w:sdt>
        <w:sdtPr>
          <w:rPr>
            <w:color w:val="000000" w:themeColor="text1"/>
          </w:rPr>
          <w:id w:val="-1107416122"/>
          <w:citation/>
        </w:sdtPr>
        <w:sdtContent>
          <w:r w:rsidRPr="0030679F">
            <w:rPr>
              <w:rFonts w:ascii="Times New Roman" w:hAnsi="Times New Roman" w:cs="Times New Roman"/>
              <w:color w:val="000000" w:themeColor="text1"/>
              <w:sz w:val="24"/>
              <w:szCs w:val="24"/>
            </w:rPr>
            <w:fldChar w:fldCharType="begin"/>
          </w:r>
          <w:r w:rsidRPr="0030679F">
            <w:rPr>
              <w:rFonts w:ascii="Times New Roman" w:hAnsi="Times New Roman" w:cs="Times New Roman"/>
              <w:color w:val="0D0D0D"/>
              <w:sz w:val="24"/>
              <w:szCs w:val="24"/>
              <w:shd w:val="clear" w:color="auto" w:fill="FFFFFF"/>
            </w:rPr>
            <w:instrText xml:space="preserve"> CITATION Hul171 \l 2057 </w:instrText>
          </w:r>
          <w:r w:rsidRPr="0030679F">
            <w:rPr>
              <w:rFonts w:ascii="Times New Roman" w:hAnsi="Times New Roman" w:cs="Times New Roman"/>
              <w:color w:val="000000" w:themeColor="text1"/>
              <w:sz w:val="24"/>
              <w:szCs w:val="24"/>
            </w:rPr>
            <w:fldChar w:fldCharType="separate"/>
          </w:r>
          <w:r w:rsidRPr="0030679F">
            <w:rPr>
              <w:rFonts w:ascii="Times New Roman" w:hAnsi="Times New Roman" w:cs="Times New Roman"/>
              <w:noProof/>
              <w:color w:val="0D0D0D"/>
              <w:sz w:val="24"/>
              <w:szCs w:val="24"/>
              <w:shd w:val="clear" w:color="auto" w:fill="FFFFFF"/>
            </w:rPr>
            <w:t>(Hull, Options, Futures, and Other Derivatives. Pearson., 2017)</w:t>
          </w:r>
          <w:r w:rsidRPr="0030679F">
            <w:rPr>
              <w:rFonts w:ascii="Times New Roman" w:hAnsi="Times New Roman" w:cs="Times New Roman"/>
              <w:color w:val="000000" w:themeColor="text1"/>
              <w:sz w:val="24"/>
              <w:szCs w:val="24"/>
            </w:rPr>
            <w:fldChar w:fldCharType="end"/>
          </w:r>
        </w:sdtContent>
      </w:sdt>
      <w:r w:rsidRPr="003450B7">
        <w:rPr>
          <w:rFonts w:ascii="Times New Roman" w:hAnsi="Times New Roman" w:cs="Times New Roman"/>
          <w:noProof/>
          <w:color w:val="000000" w:themeColor="text1"/>
          <w:sz w:val="24"/>
          <w:szCs w:val="24"/>
        </w:rPr>
        <w:t>[</w:t>
      </w:r>
      <w:r w:rsidRPr="003450B7">
        <w:rPr>
          <w:rFonts w:ascii="Times New Roman" w:hAnsi="Times New Roman" w:cs="Times New Roman"/>
          <w:color w:val="000000" w:themeColor="text1"/>
          <w:sz w:val="24"/>
          <w:szCs w:val="24"/>
        </w:rPr>
        <w:t>Accessed 1</w:t>
      </w:r>
      <w:r>
        <w:rPr>
          <w:rFonts w:ascii="Times New Roman" w:hAnsi="Times New Roman" w:cs="Times New Roman"/>
          <w:color w:val="000000" w:themeColor="text1"/>
          <w:sz w:val="24"/>
          <w:szCs w:val="24"/>
        </w:rPr>
        <w:t>5</w:t>
      </w:r>
      <w:r w:rsidRPr="00155F09">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w:t>
      </w:r>
      <w:r w:rsidRPr="003450B7">
        <w:rPr>
          <w:rFonts w:ascii="Times New Roman" w:hAnsi="Times New Roman" w:cs="Times New Roman"/>
          <w:color w:val="000000" w:themeColor="text1"/>
          <w:sz w:val="24"/>
          <w:szCs w:val="24"/>
        </w:rPr>
        <w:t>March 2024]</w:t>
      </w:r>
    </w:p>
    <w:p w14:paraId="571BC274" w14:textId="77777777" w:rsidR="00155F09" w:rsidRDefault="00155F09" w:rsidP="003104D5">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p>
    <w:p w14:paraId="3B0F2D7B" w14:textId="77777777" w:rsidR="00203811" w:rsidRDefault="00203811" w:rsidP="003104D5">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p>
    <w:p w14:paraId="738BB24A" w14:textId="77777777" w:rsidR="00203811" w:rsidRPr="003450B7" w:rsidRDefault="00203811" w:rsidP="003104D5">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p>
    <w:p w14:paraId="5E81D72D" w14:textId="77777777" w:rsidR="0094684B" w:rsidRPr="003450B7" w:rsidRDefault="0094684B" w:rsidP="003104D5">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p>
    <w:p w14:paraId="3FCE6D1A" w14:textId="2EC7A86C" w:rsidR="00CA1019" w:rsidRPr="003450B7" w:rsidRDefault="00FC12B6" w:rsidP="00FC12B6">
      <w:pPr>
        <w:spacing w:after="0" w:line="240" w:lineRule="auto"/>
        <w:rPr>
          <w:rFonts w:ascii="Times New Roman" w:eastAsia="Times New Roman" w:hAnsi="Times New Roman" w:cs="Times New Roman"/>
          <w:b/>
          <w:bCs/>
          <w:color w:val="000000" w:themeColor="text1"/>
          <w:kern w:val="0"/>
          <w:sz w:val="24"/>
          <w:szCs w:val="24"/>
          <w:lang w:eastAsia="en-GB"/>
          <w14:ligatures w14:val="none"/>
        </w:rPr>
      </w:pPr>
      <w:bookmarkStart w:id="11" w:name="_Toc162911004"/>
      <w:r w:rsidRPr="003450B7">
        <w:rPr>
          <w:rStyle w:val="Heading3Char"/>
          <w:rFonts w:ascii="Times New Roman" w:hAnsi="Times New Roman" w:cs="Times New Roman"/>
          <w:b/>
          <w:bCs/>
          <w:color w:val="000000" w:themeColor="text1"/>
        </w:rPr>
        <w:t>3.</w:t>
      </w:r>
      <w:r w:rsidR="00CA1019" w:rsidRPr="003450B7">
        <w:rPr>
          <w:rStyle w:val="Heading3Char"/>
          <w:rFonts w:ascii="Times New Roman" w:hAnsi="Times New Roman" w:cs="Times New Roman"/>
          <w:b/>
          <w:bCs/>
          <w:color w:val="000000" w:themeColor="text1"/>
        </w:rPr>
        <w:t>Economic Exposure</w:t>
      </w:r>
      <w:bookmarkEnd w:id="11"/>
      <w:r w:rsidR="00CA1019" w:rsidRPr="003450B7">
        <w:rPr>
          <w:rFonts w:ascii="Times New Roman" w:eastAsia="Times New Roman" w:hAnsi="Times New Roman" w:cs="Times New Roman"/>
          <w:b/>
          <w:bCs/>
          <w:color w:val="000000" w:themeColor="text1"/>
          <w:kern w:val="0"/>
          <w:sz w:val="24"/>
          <w:szCs w:val="24"/>
          <w:lang w:eastAsia="en-GB"/>
          <w14:ligatures w14:val="none"/>
        </w:rPr>
        <w:t>:</w:t>
      </w:r>
    </w:p>
    <w:p w14:paraId="6D3C5390" w14:textId="77777777" w:rsidR="00CA1019" w:rsidRPr="003450B7" w:rsidRDefault="00CA1019" w:rsidP="003104D5">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color w:val="000000" w:themeColor="text1"/>
          <w:kern w:val="0"/>
          <w:sz w:val="24"/>
          <w:szCs w:val="24"/>
          <w:lang w:eastAsia="en-GB"/>
          <w14:ligatures w14:val="none"/>
        </w:rPr>
        <w:t>Economic exposure refers to the impact of exchange rate fluctuations on the competitive position and future cash flows of MNCs. Unlike transaction and translation exposure, economic exposure is more difficult to quantify and hedge. However, MNCs can adopt the following strategies to manage economic exposure:</w:t>
      </w:r>
    </w:p>
    <w:p w14:paraId="3E5EA257" w14:textId="77777777" w:rsidR="00CA1019" w:rsidRPr="003450B7" w:rsidRDefault="00CA1019" w:rsidP="003104D5">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b/>
          <w:bCs/>
          <w:color w:val="000000" w:themeColor="text1"/>
          <w:kern w:val="0"/>
          <w:sz w:val="24"/>
          <w:szCs w:val="24"/>
          <w:lang w:eastAsia="en-GB"/>
          <w14:ligatures w14:val="none"/>
        </w:rPr>
        <w:t>a</w:t>
      </w:r>
      <w:r w:rsidRPr="00AE7B2E">
        <w:rPr>
          <w:rFonts w:ascii="Times New Roman" w:eastAsia="Times New Roman" w:hAnsi="Times New Roman" w:cs="Times New Roman"/>
          <w:b/>
          <w:bCs/>
          <w:color w:val="000000" w:themeColor="text1"/>
          <w:kern w:val="0"/>
          <w:sz w:val="24"/>
          <w:szCs w:val="24"/>
          <w:lang w:eastAsia="en-GB"/>
          <w14:ligatures w14:val="none"/>
        </w:rPr>
        <w:t xml:space="preserve">. </w:t>
      </w:r>
      <w:r w:rsidRPr="00AE7B2E">
        <w:rPr>
          <w:rFonts w:ascii="Times New Roman" w:hAnsi="Times New Roman" w:cs="Times New Roman"/>
          <w:color w:val="000000" w:themeColor="text1"/>
          <w:sz w:val="24"/>
          <w:szCs w:val="24"/>
        </w:rPr>
        <w:t>Diversification</w:t>
      </w:r>
      <w:r w:rsidRPr="00AE7B2E">
        <w:rPr>
          <w:rFonts w:ascii="Times New Roman" w:eastAsia="Times New Roman" w:hAnsi="Times New Roman" w:cs="Times New Roman"/>
          <w:color w:val="000000" w:themeColor="text1"/>
          <w:kern w:val="0"/>
          <w:sz w:val="24"/>
          <w:szCs w:val="24"/>
          <w:lang w:eastAsia="en-GB"/>
          <w14:ligatures w14:val="none"/>
        </w:rPr>
        <w:t>: MNCs</w:t>
      </w:r>
      <w:r w:rsidRPr="003450B7">
        <w:rPr>
          <w:rFonts w:ascii="Times New Roman" w:eastAsia="Times New Roman" w:hAnsi="Times New Roman" w:cs="Times New Roman"/>
          <w:color w:val="000000" w:themeColor="text1"/>
          <w:kern w:val="0"/>
          <w:sz w:val="24"/>
          <w:szCs w:val="24"/>
          <w:lang w:eastAsia="en-GB"/>
          <w14:ligatures w14:val="none"/>
        </w:rPr>
        <w:t xml:space="preserve"> can diversify their operations across different countries and currencies to reduce their dependence on any single market or currency.</w:t>
      </w:r>
    </w:p>
    <w:p w14:paraId="4F86B427" w14:textId="77777777" w:rsidR="00CA1019" w:rsidRPr="003450B7" w:rsidRDefault="00CA1019" w:rsidP="003104D5">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r w:rsidRPr="00AE7B2E">
        <w:rPr>
          <w:rFonts w:ascii="Times New Roman" w:eastAsia="Times New Roman" w:hAnsi="Times New Roman" w:cs="Times New Roman"/>
          <w:b/>
          <w:bCs/>
          <w:color w:val="000000" w:themeColor="text1"/>
          <w:kern w:val="0"/>
          <w:sz w:val="24"/>
          <w:szCs w:val="24"/>
          <w:lang w:eastAsia="en-GB"/>
          <w14:ligatures w14:val="none"/>
        </w:rPr>
        <w:t xml:space="preserve">b. </w:t>
      </w:r>
      <w:r w:rsidRPr="00AE7B2E">
        <w:rPr>
          <w:rFonts w:ascii="Times New Roman" w:hAnsi="Times New Roman" w:cs="Times New Roman"/>
          <w:color w:val="000000" w:themeColor="text1"/>
          <w:sz w:val="24"/>
          <w:szCs w:val="24"/>
        </w:rPr>
        <w:t>Pricing Strategy</w:t>
      </w:r>
      <w:r w:rsidRPr="003450B7">
        <w:rPr>
          <w:rFonts w:ascii="Times New Roman" w:eastAsia="Times New Roman" w:hAnsi="Times New Roman" w:cs="Times New Roman"/>
          <w:b/>
          <w:bCs/>
          <w:color w:val="000000" w:themeColor="text1"/>
          <w:kern w:val="0"/>
          <w:sz w:val="24"/>
          <w:szCs w:val="24"/>
          <w:lang w:eastAsia="en-GB"/>
          <w14:ligatures w14:val="none"/>
        </w:rPr>
        <w:t>:</w:t>
      </w:r>
      <w:r w:rsidRPr="003450B7">
        <w:rPr>
          <w:rFonts w:ascii="Times New Roman" w:eastAsia="Times New Roman" w:hAnsi="Times New Roman" w:cs="Times New Roman"/>
          <w:color w:val="000000" w:themeColor="text1"/>
          <w:kern w:val="0"/>
          <w:sz w:val="24"/>
          <w:szCs w:val="24"/>
          <w:lang w:eastAsia="en-GB"/>
          <w14:ligatures w14:val="none"/>
        </w:rPr>
        <w:t xml:space="preserve"> MNCs may adjust their pricing strategies in response to changes in exchange rates to maintain competitiveness in foreign markets.</w:t>
      </w:r>
    </w:p>
    <w:p w14:paraId="7DBA201E" w14:textId="77777777" w:rsidR="00CA1019" w:rsidRDefault="00CA1019" w:rsidP="003104D5">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r w:rsidRPr="00AE7B2E">
        <w:rPr>
          <w:rFonts w:ascii="Times New Roman" w:eastAsia="Times New Roman" w:hAnsi="Times New Roman" w:cs="Times New Roman"/>
          <w:b/>
          <w:bCs/>
          <w:color w:val="000000" w:themeColor="text1"/>
          <w:kern w:val="0"/>
          <w:sz w:val="24"/>
          <w:szCs w:val="24"/>
          <w:lang w:eastAsia="en-GB"/>
          <w14:ligatures w14:val="none"/>
        </w:rPr>
        <w:t xml:space="preserve">c. </w:t>
      </w:r>
      <w:r w:rsidRPr="00AE7B2E">
        <w:rPr>
          <w:rFonts w:ascii="Times New Roman" w:hAnsi="Times New Roman" w:cs="Times New Roman"/>
          <w:color w:val="000000" w:themeColor="text1"/>
          <w:sz w:val="24"/>
          <w:szCs w:val="24"/>
        </w:rPr>
        <w:t>Operational Hedging</w:t>
      </w:r>
      <w:r w:rsidRPr="00AE7B2E">
        <w:rPr>
          <w:rFonts w:ascii="Times New Roman" w:eastAsia="Times New Roman" w:hAnsi="Times New Roman" w:cs="Times New Roman"/>
          <w:color w:val="000000" w:themeColor="text1"/>
          <w:kern w:val="0"/>
          <w:sz w:val="24"/>
          <w:szCs w:val="24"/>
          <w:lang w:eastAsia="en-GB"/>
          <w14:ligatures w14:val="none"/>
        </w:rPr>
        <w:t>: MNCs</w:t>
      </w:r>
      <w:r w:rsidRPr="003450B7">
        <w:rPr>
          <w:rFonts w:ascii="Times New Roman" w:eastAsia="Times New Roman" w:hAnsi="Times New Roman" w:cs="Times New Roman"/>
          <w:color w:val="000000" w:themeColor="text1"/>
          <w:kern w:val="0"/>
          <w:sz w:val="24"/>
          <w:szCs w:val="24"/>
          <w:lang w:eastAsia="en-GB"/>
          <w14:ligatures w14:val="none"/>
        </w:rPr>
        <w:t xml:space="preserve"> can also hedge economic exposure through operational strategies such as sourcing inputs locally or entering into long-term contracts with fixed prices.</w:t>
      </w:r>
    </w:p>
    <w:p w14:paraId="555E8823" w14:textId="38907BAB" w:rsidR="00155F09" w:rsidRDefault="00155F09" w:rsidP="00155F09">
      <w:pPr>
        <w:pStyle w:val="NoSpacing"/>
        <w:ind w:left="360"/>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278209388"/>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Eit19 \l 2057 </w:instrText>
          </w:r>
          <w:r>
            <w:rPr>
              <w:rFonts w:ascii="Times New Roman" w:hAnsi="Times New Roman" w:cs="Times New Roman"/>
              <w:color w:val="000000" w:themeColor="text1"/>
              <w:sz w:val="24"/>
              <w:szCs w:val="24"/>
            </w:rPr>
            <w:fldChar w:fldCharType="separate"/>
          </w:r>
          <w:r w:rsidRPr="002F0E66">
            <w:rPr>
              <w:rFonts w:ascii="Times New Roman" w:hAnsi="Times New Roman" w:cs="Times New Roman"/>
              <w:noProof/>
              <w:color w:val="000000" w:themeColor="text1"/>
              <w:sz w:val="24"/>
              <w:szCs w:val="24"/>
            </w:rPr>
            <w:t>(Eiteman, 2019)</w:t>
          </w:r>
          <w:r>
            <w:rPr>
              <w:rFonts w:ascii="Times New Roman" w:hAnsi="Times New Roman" w:cs="Times New Roman"/>
              <w:color w:val="000000" w:themeColor="text1"/>
              <w:sz w:val="24"/>
              <w:szCs w:val="24"/>
            </w:rPr>
            <w:fldChar w:fldCharType="end"/>
          </w:r>
        </w:sdtContent>
      </w:sdt>
      <w:r w:rsidRPr="003450B7">
        <w:rPr>
          <w:rFonts w:ascii="Times New Roman" w:hAnsi="Times New Roman" w:cs="Times New Roman"/>
          <w:color w:val="000000" w:themeColor="text1"/>
          <w:sz w:val="24"/>
          <w:szCs w:val="24"/>
        </w:rPr>
        <w:t>.</w:t>
      </w:r>
      <w:r w:rsidRPr="003450B7">
        <w:rPr>
          <w:rFonts w:ascii="Times New Roman" w:hAnsi="Times New Roman" w:cs="Times New Roman"/>
          <w:noProof/>
          <w:color w:val="000000" w:themeColor="text1"/>
          <w:sz w:val="24"/>
          <w:szCs w:val="24"/>
        </w:rPr>
        <w:t xml:space="preserve"> [</w:t>
      </w:r>
      <w:r w:rsidRPr="003450B7">
        <w:rPr>
          <w:rFonts w:ascii="Times New Roman" w:hAnsi="Times New Roman" w:cs="Times New Roman"/>
          <w:color w:val="000000" w:themeColor="text1"/>
          <w:sz w:val="24"/>
          <w:szCs w:val="24"/>
        </w:rPr>
        <w:t>Accessed 16</w:t>
      </w:r>
      <w:r w:rsidRPr="00155F09">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w:t>
      </w:r>
      <w:r w:rsidRPr="003450B7">
        <w:rPr>
          <w:rFonts w:ascii="Times New Roman" w:hAnsi="Times New Roman" w:cs="Times New Roman"/>
          <w:color w:val="000000" w:themeColor="text1"/>
          <w:sz w:val="24"/>
          <w:szCs w:val="24"/>
        </w:rPr>
        <w:t xml:space="preserve"> March 2024].</w:t>
      </w:r>
    </w:p>
    <w:p w14:paraId="59AC583A" w14:textId="26999D2E" w:rsidR="0030679F" w:rsidRPr="00203811" w:rsidRDefault="0030679F" w:rsidP="0030679F">
      <w:pPr>
        <w:pStyle w:val="NoSpacing"/>
        <w:ind w:left="360"/>
        <w:rPr>
          <w:rFonts w:ascii="Times New Roman" w:hAnsi="Times New Roman" w:cs="Times New Roman"/>
          <w:color w:val="000000" w:themeColor="text1"/>
          <w:sz w:val="24"/>
          <w:szCs w:val="24"/>
        </w:rPr>
      </w:pPr>
    </w:p>
    <w:p w14:paraId="3E5DEBD6" w14:textId="77777777" w:rsidR="002F0E66" w:rsidRPr="003450B7" w:rsidRDefault="002F0E66" w:rsidP="003104D5">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p>
    <w:p w14:paraId="686F2AF0" w14:textId="77777777" w:rsidR="00CA1019" w:rsidRPr="003450B7" w:rsidRDefault="00CA1019" w:rsidP="00D20C40">
      <w:pPr>
        <w:spacing w:before="300" w:after="300" w:line="240" w:lineRule="auto"/>
        <w:jc w:val="center"/>
        <w:rPr>
          <w:rFonts w:ascii="Times New Roman" w:eastAsia="Times New Roman" w:hAnsi="Times New Roman" w:cs="Times New Roman"/>
          <w:b/>
          <w:bCs/>
          <w:color w:val="000000" w:themeColor="text1"/>
          <w:kern w:val="0"/>
          <w:sz w:val="26"/>
          <w:szCs w:val="26"/>
          <w:lang w:eastAsia="en-GB"/>
          <w14:ligatures w14:val="none"/>
        </w:rPr>
      </w:pPr>
      <w:bookmarkStart w:id="12" w:name="_Toc162911005"/>
      <w:r w:rsidRPr="003450B7">
        <w:rPr>
          <w:rStyle w:val="Heading2Char"/>
          <w:rFonts w:ascii="Times New Roman" w:hAnsi="Times New Roman" w:cs="Times New Roman"/>
          <w:b/>
          <w:bCs/>
          <w:color w:val="000000" w:themeColor="text1"/>
        </w:rPr>
        <w:t>Evaluation of Strategies</w:t>
      </w:r>
      <w:bookmarkEnd w:id="12"/>
      <w:r w:rsidRPr="003450B7">
        <w:rPr>
          <w:rFonts w:ascii="Times New Roman" w:eastAsia="Times New Roman" w:hAnsi="Times New Roman" w:cs="Times New Roman"/>
          <w:b/>
          <w:bCs/>
          <w:color w:val="000000" w:themeColor="text1"/>
          <w:kern w:val="0"/>
          <w:sz w:val="26"/>
          <w:szCs w:val="26"/>
          <w:lang w:eastAsia="en-GB"/>
          <w14:ligatures w14:val="none"/>
        </w:rPr>
        <w:t>:</w:t>
      </w:r>
    </w:p>
    <w:p w14:paraId="0BCF25C3" w14:textId="77777777" w:rsidR="00CA1019" w:rsidRPr="003450B7" w:rsidRDefault="00CA1019" w:rsidP="003104D5">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color w:val="000000" w:themeColor="text1"/>
          <w:kern w:val="0"/>
          <w:sz w:val="24"/>
          <w:szCs w:val="24"/>
          <w:lang w:eastAsia="en-GB"/>
          <w14:ligatures w14:val="none"/>
        </w:rPr>
        <w:t>Each of the strategies mentioned above has its advantages and limitations, and the effectiveness of these strategies may vary depending on the specific circumstances faced by MNCs. While financial hedging techniques such as forward contracts and currency options provide certainty regarding future cash flows, they also involve costs and may limit the upside potential from favorable exchange rate movements. On the other hand, operational strategies such as diversification and pricing adjustments may offer more flexibility but may not provide complete protection against foreign exchange risks.</w:t>
      </w:r>
    </w:p>
    <w:p w14:paraId="449E02DE" w14:textId="7CE0E0A7" w:rsidR="00155F09" w:rsidRDefault="00CA1019" w:rsidP="003104D5">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color w:val="000000" w:themeColor="text1"/>
          <w:kern w:val="0"/>
          <w:sz w:val="24"/>
          <w:szCs w:val="24"/>
          <w:lang w:eastAsia="en-GB"/>
          <w14:ligatures w14:val="none"/>
        </w:rPr>
        <w:t>Empirical evidence suggests that MNCs often use a combination of financial and operational strategies to manage their exposure to foreign exchange risks effectively. For example, a study by Bodnar and Wong (2003) found that MNCs with higher levels of foreign exchange exposure tend to use more financial hedging instruments, while those with lower exposure levels rely more on operational strategies. Similarly, research by Allayannis and Ofek (2001) indicates that MNCs with significant translation exposure are more likely to use netting and leading/lagging techniques to manage their risks.</w:t>
      </w:r>
    </w:p>
    <w:p w14:paraId="4C70E62D" w14:textId="2DB6014C" w:rsidR="00155F09" w:rsidRDefault="00155F09" w:rsidP="002F0E66">
      <w:pPr>
        <w:pStyle w:val="NoSpacing"/>
        <w:ind w:left="360"/>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902518155"/>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Bod03 \l 2057 </w:instrText>
          </w:r>
          <w:r>
            <w:rPr>
              <w:rFonts w:ascii="Times New Roman" w:hAnsi="Times New Roman" w:cs="Times New Roman"/>
              <w:color w:val="000000" w:themeColor="text1"/>
              <w:sz w:val="24"/>
              <w:szCs w:val="24"/>
            </w:rPr>
            <w:fldChar w:fldCharType="separate"/>
          </w:r>
          <w:r w:rsidRPr="00203811">
            <w:rPr>
              <w:rFonts w:ascii="Times New Roman" w:hAnsi="Times New Roman" w:cs="Times New Roman"/>
              <w:noProof/>
              <w:color w:val="000000" w:themeColor="text1"/>
              <w:sz w:val="24"/>
              <w:szCs w:val="24"/>
            </w:rPr>
            <w:t>(Bodnar G. &amp;., 2003)</w:t>
          </w:r>
          <w:r>
            <w:rPr>
              <w:rFonts w:ascii="Times New Roman" w:hAnsi="Times New Roman" w:cs="Times New Roman"/>
              <w:color w:val="000000" w:themeColor="text1"/>
              <w:sz w:val="24"/>
              <w:szCs w:val="24"/>
            </w:rPr>
            <w:fldChar w:fldCharType="end"/>
          </w:r>
        </w:sdtContent>
      </w:sdt>
      <w:r w:rsidRPr="003450B7">
        <w:rPr>
          <w:rFonts w:ascii="Times New Roman" w:hAnsi="Times New Roman" w:cs="Times New Roman"/>
          <w:color w:val="000000" w:themeColor="text1"/>
          <w:sz w:val="24"/>
          <w:szCs w:val="24"/>
        </w:rPr>
        <w:t xml:space="preserve">. </w:t>
      </w:r>
      <w:r w:rsidRPr="003450B7">
        <w:rPr>
          <w:rFonts w:ascii="Times New Roman" w:hAnsi="Times New Roman" w:cs="Times New Roman"/>
          <w:noProof/>
          <w:color w:val="000000" w:themeColor="text1"/>
          <w:sz w:val="24"/>
          <w:szCs w:val="24"/>
        </w:rPr>
        <w:t>[</w:t>
      </w:r>
      <w:r w:rsidRPr="003450B7">
        <w:rPr>
          <w:rFonts w:ascii="Times New Roman" w:hAnsi="Times New Roman" w:cs="Times New Roman"/>
          <w:color w:val="000000" w:themeColor="text1"/>
          <w:sz w:val="24"/>
          <w:szCs w:val="24"/>
        </w:rPr>
        <w:t>Accessed 17</w:t>
      </w:r>
      <w:r w:rsidRPr="00155F09">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w:t>
      </w:r>
      <w:r w:rsidRPr="003450B7">
        <w:rPr>
          <w:rFonts w:ascii="Times New Roman" w:hAnsi="Times New Roman" w:cs="Times New Roman"/>
          <w:color w:val="000000" w:themeColor="text1"/>
          <w:sz w:val="24"/>
          <w:szCs w:val="24"/>
        </w:rPr>
        <w:t xml:space="preserve"> March 2024].</w:t>
      </w:r>
    </w:p>
    <w:p w14:paraId="51E174DC" w14:textId="77777777" w:rsidR="00155F09" w:rsidRDefault="00155F09" w:rsidP="002F0E66">
      <w:pPr>
        <w:pStyle w:val="NoSpacing"/>
        <w:ind w:left="360"/>
        <w:rPr>
          <w:rFonts w:ascii="Times New Roman" w:hAnsi="Times New Roman" w:cs="Times New Roman"/>
          <w:color w:val="000000" w:themeColor="text1"/>
          <w:sz w:val="24"/>
          <w:szCs w:val="24"/>
        </w:rPr>
      </w:pPr>
    </w:p>
    <w:p w14:paraId="111564A9" w14:textId="77777777" w:rsidR="00155F09" w:rsidRDefault="00155F09" w:rsidP="002F0E66">
      <w:pPr>
        <w:pStyle w:val="NoSpacing"/>
        <w:ind w:left="360"/>
        <w:rPr>
          <w:rFonts w:ascii="Times New Roman" w:hAnsi="Times New Roman" w:cs="Times New Roman"/>
          <w:color w:val="000000" w:themeColor="text1"/>
          <w:sz w:val="24"/>
          <w:szCs w:val="24"/>
        </w:rPr>
      </w:pPr>
    </w:p>
    <w:p w14:paraId="6F33FB27" w14:textId="77777777" w:rsidR="00155F09" w:rsidRDefault="00155F09" w:rsidP="002F0E66">
      <w:pPr>
        <w:pStyle w:val="NoSpacing"/>
        <w:ind w:left="360"/>
        <w:rPr>
          <w:rFonts w:ascii="Times New Roman" w:hAnsi="Times New Roman" w:cs="Times New Roman"/>
          <w:color w:val="000000" w:themeColor="text1"/>
          <w:sz w:val="24"/>
          <w:szCs w:val="24"/>
        </w:rPr>
      </w:pPr>
    </w:p>
    <w:p w14:paraId="15D8531C" w14:textId="77777777" w:rsidR="002F0E66" w:rsidRPr="002F0E66" w:rsidRDefault="002F0E66" w:rsidP="002F0E66">
      <w:pPr>
        <w:pStyle w:val="NoSpacing"/>
        <w:ind w:left="360"/>
        <w:rPr>
          <w:rFonts w:ascii="Times New Roman" w:hAnsi="Times New Roman" w:cs="Times New Roman"/>
          <w:color w:val="000000" w:themeColor="text1"/>
          <w:sz w:val="24"/>
          <w:szCs w:val="24"/>
        </w:rPr>
      </w:pPr>
    </w:p>
    <w:p w14:paraId="2633A60A" w14:textId="77777777" w:rsidR="002F0E66" w:rsidRDefault="00AE7B2E" w:rsidP="003104D5">
      <w:pPr>
        <w:spacing w:after="30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color w:val="000000" w:themeColor="text1"/>
          <w:kern w:val="0"/>
          <w:sz w:val="24"/>
          <w:szCs w:val="24"/>
          <w:lang w:eastAsia="en-GB"/>
          <w14:ligatures w14:val="none"/>
        </w:rPr>
        <w:lastRenderedPageBreak/>
        <w:t>MNCs</w:t>
      </w:r>
      <w:r w:rsidRPr="003450B7">
        <w:rPr>
          <w:rFonts w:ascii="Times New Roman" w:eastAsia="Times New Roman" w:hAnsi="Times New Roman" w:cs="Times New Roman"/>
          <w:color w:val="000000" w:themeColor="text1"/>
          <w:kern w:val="0"/>
          <w:sz w:val="24"/>
          <w:szCs w:val="24"/>
          <w:lang w:eastAsia="en-GB"/>
          <w14:ligatures w14:val="none"/>
        </w:rPr>
        <w:t xml:space="preserve"> </w:t>
      </w:r>
      <w:r w:rsidR="003104D5" w:rsidRPr="003450B7">
        <w:rPr>
          <w:rFonts w:ascii="Times New Roman" w:eastAsia="Times New Roman" w:hAnsi="Times New Roman" w:cs="Times New Roman"/>
          <w:color w:val="000000" w:themeColor="text1"/>
          <w:kern w:val="0"/>
          <w:sz w:val="24"/>
          <w:szCs w:val="24"/>
          <w:lang w:eastAsia="en-GB"/>
          <w14:ligatures w14:val="none"/>
        </w:rPr>
        <w:t xml:space="preserve">implement various strategies to mitigate the impact of foreign exchange risks. </w:t>
      </w:r>
    </w:p>
    <w:p w14:paraId="6D4AA601" w14:textId="0645289C" w:rsidR="003104D5" w:rsidRDefault="003104D5" w:rsidP="003104D5">
      <w:pPr>
        <w:spacing w:after="30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color w:val="000000" w:themeColor="text1"/>
          <w:kern w:val="0"/>
          <w:sz w:val="24"/>
          <w:szCs w:val="24"/>
          <w:lang w:eastAsia="en-GB"/>
          <w14:ligatures w14:val="none"/>
        </w:rPr>
        <w:t>These strategies aim to hedge against adverse exchange rate movements, reduce exposure to currency fluctuations, and maintain financial stability. Some of the key strategies include:</w:t>
      </w:r>
    </w:p>
    <w:p w14:paraId="2AF10735" w14:textId="77777777" w:rsidR="0030679F" w:rsidRDefault="0030679F" w:rsidP="003104D5">
      <w:pPr>
        <w:spacing w:after="300" w:line="240" w:lineRule="auto"/>
        <w:rPr>
          <w:rFonts w:ascii="Times New Roman" w:eastAsia="Times New Roman" w:hAnsi="Times New Roman" w:cs="Times New Roman"/>
          <w:color w:val="000000" w:themeColor="text1"/>
          <w:kern w:val="0"/>
          <w:sz w:val="24"/>
          <w:szCs w:val="24"/>
          <w:lang w:eastAsia="en-GB"/>
          <w14:ligatures w14:val="none"/>
        </w:rPr>
      </w:pPr>
    </w:p>
    <w:p w14:paraId="684FEA4B" w14:textId="77777777" w:rsidR="00203811" w:rsidRPr="003450B7" w:rsidRDefault="00203811" w:rsidP="003104D5">
      <w:pPr>
        <w:spacing w:after="300" w:line="240" w:lineRule="auto"/>
        <w:rPr>
          <w:rFonts w:ascii="Times New Roman" w:eastAsia="Times New Roman" w:hAnsi="Times New Roman" w:cs="Times New Roman"/>
          <w:color w:val="000000" w:themeColor="text1"/>
          <w:kern w:val="0"/>
          <w:sz w:val="24"/>
          <w:szCs w:val="24"/>
          <w:lang w:eastAsia="en-GB"/>
          <w14:ligatures w14:val="none"/>
        </w:rPr>
      </w:pPr>
    </w:p>
    <w:p w14:paraId="63CF6461" w14:textId="3C90BCFD" w:rsidR="003104D5" w:rsidRPr="003450B7" w:rsidRDefault="00FC12B6" w:rsidP="00FC12B6">
      <w:pPr>
        <w:pStyle w:val="NoSpacing"/>
        <w:rPr>
          <w:rFonts w:ascii="Times New Roman" w:hAnsi="Times New Roman" w:cs="Times New Roman"/>
          <w:b/>
          <w:bCs/>
          <w:color w:val="000000" w:themeColor="text1"/>
          <w:sz w:val="24"/>
          <w:szCs w:val="24"/>
        </w:rPr>
      </w:pPr>
      <w:bookmarkStart w:id="13" w:name="_Toc162911006"/>
      <w:r w:rsidRPr="00AE7B2E">
        <w:rPr>
          <w:rStyle w:val="Heading3Char"/>
          <w:rFonts w:ascii="Times New Roman" w:hAnsi="Times New Roman" w:cs="Times New Roman"/>
          <w:b/>
          <w:bCs/>
          <w:color w:val="000000" w:themeColor="text1"/>
        </w:rPr>
        <w:t>1.</w:t>
      </w:r>
      <w:r w:rsidR="003104D5" w:rsidRPr="00AE7B2E">
        <w:rPr>
          <w:rStyle w:val="Heading3Char"/>
          <w:rFonts w:ascii="Times New Roman" w:hAnsi="Times New Roman" w:cs="Times New Roman"/>
          <w:b/>
          <w:bCs/>
          <w:color w:val="000000" w:themeColor="text1"/>
        </w:rPr>
        <w:t>Financial Hedging Instruments</w:t>
      </w:r>
      <w:bookmarkEnd w:id="13"/>
      <w:r w:rsidR="003104D5" w:rsidRPr="003450B7">
        <w:rPr>
          <w:rFonts w:ascii="Times New Roman" w:hAnsi="Times New Roman" w:cs="Times New Roman"/>
          <w:b/>
          <w:bCs/>
          <w:color w:val="000000" w:themeColor="text1"/>
          <w:sz w:val="24"/>
          <w:szCs w:val="24"/>
        </w:rPr>
        <w:t>:</w:t>
      </w:r>
    </w:p>
    <w:p w14:paraId="60CE7CC5" w14:textId="77777777" w:rsidR="001A0798" w:rsidRPr="003450B7" w:rsidRDefault="001A0798" w:rsidP="001A0798">
      <w:pPr>
        <w:pStyle w:val="NoSpacing"/>
        <w:ind w:left="720"/>
        <w:rPr>
          <w:rFonts w:ascii="Times New Roman" w:hAnsi="Times New Roman" w:cs="Times New Roman"/>
          <w:b/>
          <w:bCs/>
          <w:color w:val="000000" w:themeColor="text1"/>
          <w:sz w:val="24"/>
          <w:szCs w:val="24"/>
        </w:rPr>
      </w:pPr>
    </w:p>
    <w:p w14:paraId="264ACC5C" w14:textId="3851F9CE" w:rsidR="003104D5" w:rsidRPr="003450B7" w:rsidRDefault="001A0798" w:rsidP="001A0798">
      <w:pPr>
        <w:pStyle w:val="NoSpacing"/>
        <w:numPr>
          <w:ilvl w:val="0"/>
          <w:numId w:val="6"/>
        </w:numPr>
        <w:rPr>
          <w:rFonts w:ascii="Times New Roman" w:hAnsi="Times New Roman" w:cs="Times New Roman"/>
          <w:color w:val="000000" w:themeColor="text1"/>
          <w:sz w:val="24"/>
          <w:szCs w:val="24"/>
          <w:lang w:eastAsia="en-GB"/>
        </w:rPr>
      </w:pPr>
      <w:r w:rsidRPr="003450B7">
        <w:rPr>
          <w:rFonts w:ascii="Times New Roman" w:hAnsi="Times New Roman" w:cs="Times New Roman"/>
          <w:color w:val="000000" w:themeColor="text1"/>
        </w:rPr>
        <w:t>F</w:t>
      </w:r>
      <w:r w:rsidR="003104D5" w:rsidRPr="003450B7">
        <w:rPr>
          <w:rFonts w:ascii="Times New Roman" w:hAnsi="Times New Roman" w:cs="Times New Roman"/>
          <w:color w:val="000000" w:themeColor="text1"/>
        </w:rPr>
        <w:t>orward Contracts</w:t>
      </w:r>
      <w:r w:rsidR="003104D5" w:rsidRPr="003450B7">
        <w:rPr>
          <w:rFonts w:ascii="Times New Roman" w:hAnsi="Times New Roman" w:cs="Times New Roman"/>
          <w:color w:val="000000" w:themeColor="text1"/>
          <w:sz w:val="24"/>
          <w:szCs w:val="24"/>
          <w:lang w:eastAsia="en-GB"/>
        </w:rPr>
        <w:t xml:space="preserve">: </w:t>
      </w:r>
      <w:r w:rsidR="00AE7B2E" w:rsidRPr="003450B7">
        <w:rPr>
          <w:rFonts w:ascii="Times New Roman" w:eastAsia="Times New Roman" w:hAnsi="Times New Roman" w:cs="Times New Roman"/>
          <w:color w:val="000000" w:themeColor="text1"/>
          <w:kern w:val="0"/>
          <w:sz w:val="24"/>
          <w:szCs w:val="24"/>
          <w:lang w:eastAsia="en-GB"/>
          <w14:ligatures w14:val="none"/>
        </w:rPr>
        <w:t>MNCs</w:t>
      </w:r>
      <w:r w:rsidR="00AE7B2E" w:rsidRPr="003450B7">
        <w:rPr>
          <w:rFonts w:ascii="Times New Roman" w:hAnsi="Times New Roman" w:cs="Times New Roman"/>
          <w:color w:val="000000" w:themeColor="text1"/>
          <w:sz w:val="24"/>
          <w:szCs w:val="24"/>
          <w:lang w:eastAsia="en-GB"/>
        </w:rPr>
        <w:t xml:space="preserve"> </w:t>
      </w:r>
      <w:r w:rsidR="003104D5" w:rsidRPr="003450B7">
        <w:rPr>
          <w:rFonts w:ascii="Times New Roman" w:hAnsi="Times New Roman" w:cs="Times New Roman"/>
          <w:color w:val="000000" w:themeColor="text1"/>
          <w:sz w:val="24"/>
          <w:szCs w:val="24"/>
          <w:lang w:eastAsia="en-GB"/>
        </w:rPr>
        <w:t>often use forward contracts to lock in exchange rates for future transactions. By entering into a forward contract, a company can hedge against potential losses arising from adverse exchange rate movements.</w:t>
      </w:r>
    </w:p>
    <w:p w14:paraId="0954B0E3" w14:textId="77777777" w:rsidR="001A0798" w:rsidRPr="003450B7" w:rsidRDefault="001A0798" w:rsidP="001A0798">
      <w:pPr>
        <w:pStyle w:val="NoSpacing"/>
        <w:ind w:left="720"/>
        <w:rPr>
          <w:rFonts w:ascii="Times New Roman" w:hAnsi="Times New Roman" w:cs="Times New Roman"/>
          <w:color w:val="000000" w:themeColor="text1"/>
          <w:sz w:val="24"/>
          <w:szCs w:val="24"/>
          <w:lang w:eastAsia="en-GB"/>
        </w:rPr>
      </w:pPr>
    </w:p>
    <w:p w14:paraId="1E8EA736" w14:textId="572AF5D2" w:rsidR="003104D5" w:rsidRPr="003450B7" w:rsidRDefault="003104D5" w:rsidP="001A0798">
      <w:pPr>
        <w:pStyle w:val="NoSpacing"/>
        <w:numPr>
          <w:ilvl w:val="0"/>
          <w:numId w:val="6"/>
        </w:numPr>
        <w:rPr>
          <w:rFonts w:ascii="Times New Roman" w:hAnsi="Times New Roman" w:cs="Times New Roman"/>
          <w:color w:val="000000" w:themeColor="text1"/>
          <w:sz w:val="24"/>
          <w:szCs w:val="24"/>
          <w:lang w:eastAsia="en-GB"/>
        </w:rPr>
      </w:pPr>
      <w:r w:rsidRPr="003450B7">
        <w:rPr>
          <w:rFonts w:ascii="Times New Roman" w:hAnsi="Times New Roman" w:cs="Times New Roman"/>
          <w:color w:val="000000" w:themeColor="text1"/>
        </w:rPr>
        <w:t>Currency Options</w:t>
      </w:r>
      <w:r w:rsidRPr="003450B7">
        <w:rPr>
          <w:rFonts w:ascii="Times New Roman" w:hAnsi="Times New Roman" w:cs="Times New Roman"/>
          <w:color w:val="000000" w:themeColor="text1"/>
          <w:sz w:val="24"/>
          <w:szCs w:val="24"/>
          <w:lang w:eastAsia="en-GB"/>
        </w:rPr>
        <w:t>: Currency options provide corporations with the right, but not the obligation, to exchange currencies at predetermined rates. Options offer flexibility and allow corporations to hedge against unfavorable exchange rate movements while retaining the opportunity to benefit from favorable movements.</w:t>
      </w:r>
    </w:p>
    <w:p w14:paraId="3F961FE0" w14:textId="77777777" w:rsidR="001A0798" w:rsidRPr="003450B7" w:rsidRDefault="001A0798" w:rsidP="001A0798">
      <w:pPr>
        <w:pStyle w:val="NoSpacing"/>
        <w:rPr>
          <w:rFonts w:ascii="Times New Roman" w:hAnsi="Times New Roman" w:cs="Times New Roman"/>
          <w:color w:val="000000" w:themeColor="text1"/>
          <w:sz w:val="24"/>
          <w:szCs w:val="24"/>
          <w:lang w:eastAsia="en-GB"/>
        </w:rPr>
      </w:pPr>
    </w:p>
    <w:p w14:paraId="44395081" w14:textId="56CEC7CA" w:rsidR="001A0798" w:rsidRDefault="003104D5" w:rsidP="00FC12B6">
      <w:pPr>
        <w:pStyle w:val="NoSpacing"/>
        <w:numPr>
          <w:ilvl w:val="0"/>
          <w:numId w:val="6"/>
        </w:numPr>
        <w:rPr>
          <w:rFonts w:ascii="Times New Roman" w:hAnsi="Times New Roman" w:cs="Times New Roman"/>
          <w:color w:val="000000" w:themeColor="text1"/>
          <w:sz w:val="24"/>
          <w:szCs w:val="24"/>
          <w:lang w:eastAsia="en-GB"/>
        </w:rPr>
      </w:pPr>
      <w:r w:rsidRPr="003450B7">
        <w:rPr>
          <w:rFonts w:ascii="Times New Roman" w:hAnsi="Times New Roman" w:cs="Times New Roman"/>
          <w:color w:val="000000" w:themeColor="text1"/>
        </w:rPr>
        <w:t>Futures Contracts</w:t>
      </w:r>
      <w:r w:rsidRPr="003450B7">
        <w:rPr>
          <w:rFonts w:ascii="Times New Roman" w:hAnsi="Times New Roman" w:cs="Times New Roman"/>
          <w:color w:val="000000" w:themeColor="text1"/>
          <w:sz w:val="24"/>
          <w:szCs w:val="24"/>
          <w:lang w:eastAsia="en-GB"/>
        </w:rPr>
        <w:t>: Similar to forward contracts, futures contracts allow corporations to lock in exchange rates for future transactions. Futures contracts are standardized and traded on exchanges, providing liquidity and transparency for hedging purposes.</w:t>
      </w:r>
    </w:p>
    <w:p w14:paraId="2155AC49" w14:textId="77777777" w:rsidR="00503340" w:rsidRDefault="00503340" w:rsidP="00503340">
      <w:pPr>
        <w:pStyle w:val="NoSpacing"/>
        <w:rPr>
          <w:rFonts w:ascii="Times New Roman" w:hAnsi="Times New Roman" w:cs="Times New Roman"/>
          <w:color w:val="000000" w:themeColor="text1"/>
          <w:sz w:val="24"/>
          <w:szCs w:val="24"/>
        </w:rPr>
      </w:pPr>
    </w:p>
    <w:p w14:paraId="68AFD62E" w14:textId="3836FE88" w:rsidR="00503340" w:rsidRDefault="00503340" w:rsidP="00155F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14:paraId="757E13A4" w14:textId="77777777" w:rsidR="00AE7B2E" w:rsidRPr="003450B7" w:rsidRDefault="00AE7B2E" w:rsidP="00503340">
      <w:pPr>
        <w:pStyle w:val="NoSpacing"/>
        <w:rPr>
          <w:rFonts w:ascii="Times New Roman" w:hAnsi="Times New Roman" w:cs="Times New Roman"/>
          <w:color w:val="000000" w:themeColor="text1"/>
          <w:sz w:val="24"/>
          <w:szCs w:val="24"/>
          <w:lang w:eastAsia="en-GB"/>
        </w:rPr>
      </w:pPr>
    </w:p>
    <w:p w14:paraId="3A46ABCB" w14:textId="77777777" w:rsidR="001A0798" w:rsidRPr="00AE7B2E" w:rsidRDefault="001A0798" w:rsidP="001A0798">
      <w:pPr>
        <w:pStyle w:val="NoSpacing"/>
        <w:ind w:left="720"/>
        <w:rPr>
          <w:rFonts w:ascii="Times New Roman" w:hAnsi="Times New Roman" w:cs="Times New Roman"/>
          <w:b/>
          <w:bCs/>
          <w:color w:val="000000" w:themeColor="text1"/>
          <w:sz w:val="24"/>
          <w:szCs w:val="24"/>
          <w:lang w:eastAsia="en-GB"/>
        </w:rPr>
      </w:pPr>
    </w:p>
    <w:p w14:paraId="72CF6893" w14:textId="1E165D99" w:rsidR="003104D5" w:rsidRPr="00AE7B2E" w:rsidRDefault="00FC12B6" w:rsidP="00FC12B6">
      <w:pPr>
        <w:pStyle w:val="NoSpacing"/>
        <w:rPr>
          <w:rFonts w:ascii="Times New Roman" w:hAnsi="Times New Roman" w:cs="Times New Roman"/>
          <w:b/>
          <w:bCs/>
          <w:color w:val="000000" w:themeColor="text1"/>
          <w:sz w:val="24"/>
          <w:szCs w:val="24"/>
        </w:rPr>
      </w:pPr>
      <w:bookmarkStart w:id="14" w:name="_Toc162911007"/>
      <w:r w:rsidRPr="00AE7B2E">
        <w:rPr>
          <w:rStyle w:val="Heading3Char"/>
          <w:rFonts w:ascii="Times New Roman" w:hAnsi="Times New Roman" w:cs="Times New Roman"/>
          <w:b/>
          <w:bCs/>
          <w:color w:val="000000" w:themeColor="text1"/>
        </w:rPr>
        <w:t>2.</w:t>
      </w:r>
      <w:r w:rsidR="003104D5" w:rsidRPr="00AE7B2E">
        <w:rPr>
          <w:rStyle w:val="Heading3Char"/>
          <w:rFonts w:ascii="Times New Roman" w:hAnsi="Times New Roman" w:cs="Times New Roman"/>
          <w:b/>
          <w:bCs/>
          <w:color w:val="000000" w:themeColor="text1"/>
        </w:rPr>
        <w:t>Natural Hedging</w:t>
      </w:r>
      <w:bookmarkEnd w:id="14"/>
      <w:r w:rsidR="003104D5" w:rsidRPr="00AE7B2E">
        <w:rPr>
          <w:rFonts w:ascii="Times New Roman" w:hAnsi="Times New Roman" w:cs="Times New Roman"/>
          <w:b/>
          <w:bCs/>
          <w:color w:val="000000" w:themeColor="text1"/>
          <w:sz w:val="24"/>
          <w:szCs w:val="24"/>
        </w:rPr>
        <w:t>:</w:t>
      </w:r>
    </w:p>
    <w:p w14:paraId="19EBBED3" w14:textId="77777777" w:rsidR="003104D5" w:rsidRPr="003450B7" w:rsidRDefault="003104D5" w:rsidP="003104D5">
      <w:pPr>
        <w:numPr>
          <w:ilvl w:val="1"/>
          <w:numId w:val="5"/>
        </w:numPr>
        <w:spacing w:after="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color w:val="000000" w:themeColor="text1"/>
          <w:kern w:val="0"/>
          <w:sz w:val="24"/>
          <w:szCs w:val="24"/>
          <w:lang w:eastAsia="en-GB"/>
          <w14:ligatures w14:val="none"/>
        </w:rPr>
        <w:t>Big corporations may strategically structure their operations to naturally hedge against foreign exchange risks. For example, companies with global operations may match revenues and expenses in the same currency, reducing their exposure to exchange rate fluctuations.</w:t>
      </w:r>
    </w:p>
    <w:p w14:paraId="04045C07" w14:textId="77777777" w:rsidR="003104D5" w:rsidRPr="003450B7" w:rsidRDefault="003104D5" w:rsidP="003104D5">
      <w:pPr>
        <w:numPr>
          <w:ilvl w:val="1"/>
          <w:numId w:val="5"/>
        </w:numPr>
        <w:spacing w:after="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color w:val="000000" w:themeColor="text1"/>
          <w:kern w:val="0"/>
          <w:sz w:val="24"/>
          <w:szCs w:val="24"/>
          <w:lang w:eastAsia="en-GB"/>
          <w14:ligatures w14:val="none"/>
        </w:rPr>
        <w:t>They may also use cross-currency cash pooling techniques to centralize cash management and minimize the need for currency conversions.</w:t>
      </w:r>
    </w:p>
    <w:p w14:paraId="74BCE172" w14:textId="77777777" w:rsidR="005F65BB" w:rsidRPr="003450B7" w:rsidRDefault="005F65BB" w:rsidP="005F65BB">
      <w:pPr>
        <w:spacing w:after="0" w:line="240" w:lineRule="auto"/>
        <w:ind w:left="1440"/>
        <w:rPr>
          <w:rFonts w:ascii="Times New Roman" w:eastAsia="Times New Roman" w:hAnsi="Times New Roman" w:cs="Times New Roman"/>
          <w:color w:val="000000" w:themeColor="text1"/>
          <w:kern w:val="0"/>
          <w:sz w:val="24"/>
          <w:szCs w:val="24"/>
          <w:lang w:eastAsia="en-GB"/>
          <w14:ligatures w14:val="none"/>
        </w:rPr>
      </w:pPr>
    </w:p>
    <w:p w14:paraId="364B34F0" w14:textId="2D5C3ED3" w:rsidR="003104D5" w:rsidRPr="00AE7B2E" w:rsidRDefault="00FC12B6" w:rsidP="00FC12B6">
      <w:pPr>
        <w:pStyle w:val="NoSpacing"/>
        <w:rPr>
          <w:rFonts w:ascii="Times New Roman" w:hAnsi="Times New Roman" w:cs="Times New Roman"/>
          <w:b/>
          <w:bCs/>
          <w:color w:val="000000" w:themeColor="text1"/>
          <w:sz w:val="24"/>
          <w:szCs w:val="24"/>
        </w:rPr>
      </w:pPr>
      <w:bookmarkStart w:id="15" w:name="_Toc162911008"/>
      <w:r w:rsidRPr="00AE7B2E">
        <w:rPr>
          <w:rStyle w:val="Heading3Char"/>
          <w:rFonts w:ascii="Times New Roman" w:hAnsi="Times New Roman" w:cs="Times New Roman"/>
          <w:b/>
          <w:bCs/>
          <w:color w:val="000000" w:themeColor="text1"/>
        </w:rPr>
        <w:t>3.</w:t>
      </w:r>
      <w:r w:rsidR="003104D5" w:rsidRPr="00AE7B2E">
        <w:rPr>
          <w:rStyle w:val="Heading3Char"/>
          <w:rFonts w:ascii="Times New Roman" w:hAnsi="Times New Roman" w:cs="Times New Roman"/>
          <w:b/>
          <w:bCs/>
          <w:color w:val="000000" w:themeColor="text1"/>
        </w:rPr>
        <w:t>Netting and Offset</w:t>
      </w:r>
      <w:bookmarkEnd w:id="15"/>
      <w:r w:rsidR="003104D5" w:rsidRPr="00AE7B2E">
        <w:rPr>
          <w:rFonts w:ascii="Times New Roman" w:hAnsi="Times New Roman" w:cs="Times New Roman"/>
          <w:b/>
          <w:bCs/>
          <w:color w:val="000000" w:themeColor="text1"/>
          <w:sz w:val="24"/>
          <w:szCs w:val="24"/>
        </w:rPr>
        <w:t>:</w:t>
      </w:r>
    </w:p>
    <w:p w14:paraId="7E3A9E18" w14:textId="77777777" w:rsidR="003104D5" w:rsidRPr="003450B7" w:rsidRDefault="003104D5" w:rsidP="003104D5">
      <w:pPr>
        <w:numPr>
          <w:ilvl w:val="1"/>
          <w:numId w:val="5"/>
        </w:numPr>
        <w:spacing w:after="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color w:val="000000" w:themeColor="text1"/>
          <w:kern w:val="0"/>
          <w:sz w:val="24"/>
          <w:szCs w:val="24"/>
          <w:lang w:eastAsia="en-GB"/>
          <w14:ligatures w14:val="none"/>
        </w:rPr>
        <w:t>Corporations with operations in multiple countries may offset foreign exchange exposures by consolidating cash flows and netting out positions across different currencies. This approach helps reduce the overall exposure to currency fluctuations.</w:t>
      </w:r>
    </w:p>
    <w:p w14:paraId="658889EB" w14:textId="77777777" w:rsidR="005F65BB" w:rsidRPr="003450B7" w:rsidRDefault="005F65BB" w:rsidP="005F65BB">
      <w:pPr>
        <w:spacing w:after="0" w:line="240" w:lineRule="auto"/>
        <w:ind w:left="1440"/>
        <w:rPr>
          <w:rFonts w:ascii="Times New Roman" w:eastAsia="Times New Roman" w:hAnsi="Times New Roman" w:cs="Times New Roman"/>
          <w:color w:val="000000" w:themeColor="text1"/>
          <w:kern w:val="0"/>
          <w:sz w:val="24"/>
          <w:szCs w:val="24"/>
          <w:lang w:eastAsia="en-GB"/>
          <w14:ligatures w14:val="none"/>
        </w:rPr>
      </w:pPr>
    </w:p>
    <w:p w14:paraId="5F18515C" w14:textId="77777777" w:rsidR="005F65BB" w:rsidRPr="003450B7" w:rsidRDefault="005F65BB" w:rsidP="005F65BB">
      <w:pPr>
        <w:spacing w:after="0" w:line="240" w:lineRule="auto"/>
        <w:ind w:left="1440"/>
        <w:rPr>
          <w:rFonts w:ascii="Times New Roman" w:eastAsia="Times New Roman" w:hAnsi="Times New Roman" w:cs="Times New Roman"/>
          <w:color w:val="000000" w:themeColor="text1"/>
          <w:kern w:val="0"/>
          <w:sz w:val="24"/>
          <w:szCs w:val="24"/>
          <w:lang w:eastAsia="en-GB"/>
          <w14:ligatures w14:val="none"/>
        </w:rPr>
      </w:pPr>
    </w:p>
    <w:p w14:paraId="29D006CA" w14:textId="63DB4E14" w:rsidR="003104D5" w:rsidRPr="00AE7B2E" w:rsidRDefault="00FC12B6" w:rsidP="00FC12B6">
      <w:pPr>
        <w:pStyle w:val="NoSpacing"/>
        <w:ind w:left="141"/>
        <w:rPr>
          <w:rFonts w:ascii="Times New Roman" w:hAnsi="Times New Roman" w:cs="Times New Roman"/>
          <w:b/>
          <w:bCs/>
          <w:color w:val="000000" w:themeColor="text1"/>
          <w:sz w:val="24"/>
          <w:szCs w:val="24"/>
        </w:rPr>
      </w:pPr>
      <w:bookmarkStart w:id="16" w:name="_Toc162911009"/>
      <w:r w:rsidRPr="00AE7B2E">
        <w:rPr>
          <w:rStyle w:val="Heading3Char"/>
          <w:rFonts w:ascii="Times New Roman" w:hAnsi="Times New Roman" w:cs="Times New Roman"/>
          <w:b/>
          <w:bCs/>
          <w:color w:val="000000" w:themeColor="text1"/>
        </w:rPr>
        <w:t>4.</w:t>
      </w:r>
      <w:r w:rsidR="003104D5" w:rsidRPr="00AE7B2E">
        <w:rPr>
          <w:rStyle w:val="Heading3Char"/>
          <w:rFonts w:ascii="Times New Roman" w:hAnsi="Times New Roman" w:cs="Times New Roman"/>
          <w:b/>
          <w:bCs/>
          <w:color w:val="000000" w:themeColor="text1"/>
        </w:rPr>
        <w:t>Leading and Lagging</w:t>
      </w:r>
      <w:bookmarkEnd w:id="16"/>
      <w:r w:rsidR="003104D5" w:rsidRPr="00AE7B2E">
        <w:rPr>
          <w:rFonts w:ascii="Times New Roman" w:hAnsi="Times New Roman" w:cs="Times New Roman"/>
          <w:b/>
          <w:bCs/>
          <w:color w:val="000000" w:themeColor="text1"/>
          <w:sz w:val="24"/>
          <w:szCs w:val="24"/>
        </w:rPr>
        <w:t>:</w:t>
      </w:r>
    </w:p>
    <w:p w14:paraId="2CA147D4" w14:textId="77777777" w:rsidR="003104D5" w:rsidRPr="003450B7" w:rsidRDefault="003104D5" w:rsidP="003104D5">
      <w:pPr>
        <w:numPr>
          <w:ilvl w:val="1"/>
          <w:numId w:val="5"/>
        </w:numPr>
        <w:spacing w:after="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color w:val="000000" w:themeColor="text1"/>
          <w:kern w:val="0"/>
          <w:sz w:val="24"/>
          <w:szCs w:val="24"/>
          <w:lang w:eastAsia="en-GB"/>
          <w14:ligatures w14:val="none"/>
        </w:rPr>
        <w:t>Leading and lagging involve adjusting the timing of payments and receipts to take advantage of favorable exchange rate movements. For example, a company may accelerate the receipt of foreign currency revenues when the domestic currency is expected to appreciate or delay payments when the domestic currency is expected to depreciate.</w:t>
      </w:r>
    </w:p>
    <w:p w14:paraId="5C64F6C4" w14:textId="77777777" w:rsidR="00FC12B6" w:rsidRDefault="00FC12B6" w:rsidP="00FC12B6">
      <w:pPr>
        <w:spacing w:after="0" w:line="240" w:lineRule="auto"/>
        <w:ind w:left="1221"/>
        <w:rPr>
          <w:rFonts w:ascii="Times New Roman" w:eastAsia="Times New Roman" w:hAnsi="Times New Roman" w:cs="Times New Roman"/>
          <w:color w:val="000000" w:themeColor="text1"/>
          <w:kern w:val="0"/>
          <w:sz w:val="24"/>
          <w:szCs w:val="24"/>
          <w:lang w:eastAsia="en-GB"/>
          <w14:ligatures w14:val="none"/>
        </w:rPr>
      </w:pPr>
    </w:p>
    <w:p w14:paraId="1FE98A3D" w14:textId="77777777" w:rsidR="00155F09" w:rsidRPr="003450B7" w:rsidRDefault="00155F09" w:rsidP="00FC12B6">
      <w:pPr>
        <w:spacing w:after="0" w:line="240" w:lineRule="auto"/>
        <w:ind w:left="1221"/>
        <w:rPr>
          <w:rFonts w:ascii="Times New Roman" w:eastAsia="Times New Roman" w:hAnsi="Times New Roman" w:cs="Times New Roman"/>
          <w:color w:val="000000" w:themeColor="text1"/>
          <w:kern w:val="0"/>
          <w:sz w:val="24"/>
          <w:szCs w:val="24"/>
          <w:lang w:eastAsia="en-GB"/>
          <w14:ligatures w14:val="none"/>
        </w:rPr>
      </w:pPr>
    </w:p>
    <w:p w14:paraId="424D5EB1" w14:textId="3EEDC764" w:rsidR="003104D5" w:rsidRPr="00AE7B2E" w:rsidRDefault="00FC12B6" w:rsidP="00FC12B6">
      <w:pPr>
        <w:pStyle w:val="NoSpacing"/>
        <w:rPr>
          <w:rFonts w:ascii="Times New Roman" w:hAnsi="Times New Roman" w:cs="Times New Roman"/>
          <w:b/>
          <w:bCs/>
          <w:color w:val="000000" w:themeColor="text1"/>
          <w:sz w:val="24"/>
          <w:szCs w:val="24"/>
        </w:rPr>
      </w:pPr>
      <w:bookmarkStart w:id="17" w:name="_Toc162911010"/>
      <w:r w:rsidRPr="00AE7B2E">
        <w:rPr>
          <w:rStyle w:val="Heading3Char"/>
          <w:rFonts w:ascii="Times New Roman" w:hAnsi="Times New Roman" w:cs="Times New Roman"/>
          <w:b/>
          <w:bCs/>
          <w:color w:val="000000" w:themeColor="text1"/>
        </w:rPr>
        <w:lastRenderedPageBreak/>
        <w:t>5.</w:t>
      </w:r>
      <w:r w:rsidR="003104D5" w:rsidRPr="00AE7B2E">
        <w:rPr>
          <w:rStyle w:val="Heading3Char"/>
          <w:rFonts w:ascii="Times New Roman" w:hAnsi="Times New Roman" w:cs="Times New Roman"/>
          <w:b/>
          <w:bCs/>
          <w:color w:val="000000" w:themeColor="text1"/>
        </w:rPr>
        <w:t>Diversification</w:t>
      </w:r>
      <w:bookmarkEnd w:id="17"/>
      <w:r w:rsidR="003104D5" w:rsidRPr="00AE7B2E">
        <w:rPr>
          <w:rFonts w:ascii="Times New Roman" w:hAnsi="Times New Roman" w:cs="Times New Roman"/>
          <w:b/>
          <w:bCs/>
          <w:color w:val="000000" w:themeColor="text1"/>
          <w:sz w:val="24"/>
          <w:szCs w:val="24"/>
        </w:rPr>
        <w:t>:</w:t>
      </w:r>
    </w:p>
    <w:p w14:paraId="2D367B80" w14:textId="77777777" w:rsidR="003104D5" w:rsidRPr="003450B7" w:rsidRDefault="003104D5" w:rsidP="00FC12B6">
      <w:pPr>
        <w:numPr>
          <w:ilvl w:val="1"/>
          <w:numId w:val="12"/>
        </w:numPr>
        <w:spacing w:after="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color w:val="000000" w:themeColor="text1"/>
          <w:kern w:val="0"/>
          <w:sz w:val="24"/>
          <w:szCs w:val="24"/>
          <w:lang w:eastAsia="en-GB"/>
          <w14:ligatures w14:val="none"/>
        </w:rPr>
        <w:t>Big corporations may diversify their geographic presence and customer base to reduce dependence on any single market or currency. By operating in multiple countries, companies can spread their foreign exchange risk across different currencies and economies.</w:t>
      </w:r>
    </w:p>
    <w:p w14:paraId="607579EE" w14:textId="77777777" w:rsidR="00FC12B6" w:rsidRPr="003450B7" w:rsidRDefault="00FC12B6" w:rsidP="00FC12B6">
      <w:pPr>
        <w:spacing w:after="0" w:line="240" w:lineRule="auto"/>
        <w:ind w:left="1581"/>
        <w:rPr>
          <w:rFonts w:ascii="Times New Roman" w:eastAsia="Times New Roman" w:hAnsi="Times New Roman" w:cs="Times New Roman"/>
          <w:color w:val="000000" w:themeColor="text1"/>
          <w:kern w:val="0"/>
          <w:sz w:val="24"/>
          <w:szCs w:val="24"/>
          <w:lang w:eastAsia="en-GB"/>
          <w14:ligatures w14:val="none"/>
        </w:rPr>
      </w:pPr>
    </w:p>
    <w:p w14:paraId="1E2CB71E" w14:textId="123AD224" w:rsidR="003104D5" w:rsidRPr="00AE7B2E" w:rsidRDefault="00FC12B6" w:rsidP="00FC12B6">
      <w:pPr>
        <w:pStyle w:val="NoSpacing"/>
        <w:rPr>
          <w:rFonts w:ascii="Times New Roman" w:hAnsi="Times New Roman" w:cs="Times New Roman"/>
          <w:b/>
          <w:bCs/>
          <w:color w:val="000000" w:themeColor="text1"/>
          <w:sz w:val="24"/>
          <w:szCs w:val="24"/>
        </w:rPr>
      </w:pPr>
      <w:bookmarkStart w:id="18" w:name="_Toc162911011"/>
      <w:r w:rsidRPr="00AE7B2E">
        <w:rPr>
          <w:rStyle w:val="Heading3Char"/>
          <w:rFonts w:ascii="Times New Roman" w:hAnsi="Times New Roman" w:cs="Times New Roman"/>
          <w:b/>
          <w:bCs/>
          <w:color w:val="000000" w:themeColor="text1"/>
        </w:rPr>
        <w:t>6.</w:t>
      </w:r>
      <w:r w:rsidR="003104D5" w:rsidRPr="00AE7B2E">
        <w:rPr>
          <w:rStyle w:val="Heading3Char"/>
          <w:rFonts w:ascii="Times New Roman" w:hAnsi="Times New Roman" w:cs="Times New Roman"/>
          <w:b/>
          <w:bCs/>
          <w:color w:val="000000" w:themeColor="text1"/>
        </w:rPr>
        <w:t>Operational Strategies</w:t>
      </w:r>
      <w:bookmarkEnd w:id="18"/>
      <w:r w:rsidR="003104D5" w:rsidRPr="00AE7B2E">
        <w:rPr>
          <w:rFonts w:ascii="Times New Roman" w:hAnsi="Times New Roman" w:cs="Times New Roman"/>
          <w:b/>
          <w:bCs/>
          <w:color w:val="000000" w:themeColor="text1"/>
          <w:sz w:val="24"/>
          <w:szCs w:val="24"/>
        </w:rPr>
        <w:t>:</w:t>
      </w:r>
    </w:p>
    <w:p w14:paraId="3479B6AB" w14:textId="77777777" w:rsidR="003104D5" w:rsidRPr="003450B7" w:rsidRDefault="003104D5" w:rsidP="00FC12B6">
      <w:pPr>
        <w:numPr>
          <w:ilvl w:val="1"/>
          <w:numId w:val="12"/>
        </w:numPr>
        <w:spacing w:after="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color w:val="000000" w:themeColor="text1"/>
          <w:kern w:val="0"/>
          <w:sz w:val="24"/>
          <w:szCs w:val="24"/>
          <w:lang w:eastAsia="en-GB"/>
          <w14:ligatures w14:val="none"/>
        </w:rPr>
        <w:t>Operational strategies involve managing foreign exchange risks through business operations. For example, companies may source raw materials locally or establish manufacturing facilities in foreign markets to reduce currency exposure.</w:t>
      </w:r>
    </w:p>
    <w:p w14:paraId="3C617D83" w14:textId="77777777" w:rsidR="003104D5" w:rsidRPr="003450B7" w:rsidRDefault="003104D5" w:rsidP="00FC12B6">
      <w:pPr>
        <w:numPr>
          <w:ilvl w:val="1"/>
          <w:numId w:val="12"/>
        </w:numPr>
        <w:spacing w:after="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color w:val="000000" w:themeColor="text1"/>
          <w:kern w:val="0"/>
          <w:sz w:val="24"/>
          <w:szCs w:val="24"/>
          <w:lang w:eastAsia="en-GB"/>
          <w14:ligatures w14:val="none"/>
        </w:rPr>
        <w:t>They may also implement pricing strategies that account for exchange rate fluctuations, such as currency indexing or local currency invoicing.</w:t>
      </w:r>
    </w:p>
    <w:p w14:paraId="4B3D4FD4" w14:textId="77777777" w:rsidR="00FC12B6" w:rsidRPr="003450B7" w:rsidRDefault="00FC12B6" w:rsidP="00FC12B6">
      <w:pPr>
        <w:spacing w:after="0" w:line="240" w:lineRule="auto"/>
        <w:ind w:left="1581"/>
        <w:rPr>
          <w:rFonts w:ascii="Times New Roman" w:eastAsia="Times New Roman" w:hAnsi="Times New Roman" w:cs="Times New Roman"/>
          <w:color w:val="000000" w:themeColor="text1"/>
          <w:kern w:val="0"/>
          <w:sz w:val="24"/>
          <w:szCs w:val="24"/>
          <w:lang w:eastAsia="en-GB"/>
          <w14:ligatures w14:val="none"/>
        </w:rPr>
      </w:pPr>
    </w:p>
    <w:p w14:paraId="0318D7B2" w14:textId="299FCCE8" w:rsidR="003104D5" w:rsidRPr="00AE7B2E" w:rsidRDefault="00FC12B6" w:rsidP="00FC12B6">
      <w:pPr>
        <w:pStyle w:val="NoSpacing"/>
        <w:rPr>
          <w:rFonts w:ascii="Times New Roman" w:hAnsi="Times New Roman" w:cs="Times New Roman"/>
          <w:b/>
          <w:bCs/>
          <w:color w:val="000000" w:themeColor="text1"/>
          <w:sz w:val="24"/>
          <w:szCs w:val="24"/>
        </w:rPr>
      </w:pPr>
      <w:bookmarkStart w:id="19" w:name="_Toc162911012"/>
      <w:r w:rsidRPr="00AE7B2E">
        <w:rPr>
          <w:rStyle w:val="Heading3Char"/>
          <w:rFonts w:ascii="Times New Roman" w:hAnsi="Times New Roman" w:cs="Times New Roman"/>
          <w:b/>
          <w:bCs/>
          <w:color w:val="000000" w:themeColor="text1"/>
        </w:rPr>
        <w:t>7.</w:t>
      </w:r>
      <w:r w:rsidR="00BD2B05" w:rsidRPr="00AE7B2E">
        <w:rPr>
          <w:rStyle w:val="Heading3Char"/>
          <w:rFonts w:ascii="Times New Roman" w:hAnsi="Times New Roman" w:cs="Times New Roman"/>
          <w:b/>
          <w:bCs/>
          <w:color w:val="000000" w:themeColor="text1"/>
        </w:rPr>
        <w:t>Risk Management Policies</w:t>
      </w:r>
      <w:bookmarkEnd w:id="19"/>
      <w:r w:rsidR="00BD2B05" w:rsidRPr="00AE7B2E">
        <w:rPr>
          <w:rFonts w:ascii="Times New Roman" w:hAnsi="Times New Roman" w:cs="Times New Roman"/>
          <w:b/>
          <w:bCs/>
          <w:color w:val="000000" w:themeColor="text1"/>
          <w:sz w:val="24"/>
          <w:szCs w:val="24"/>
        </w:rPr>
        <w:t>:</w:t>
      </w:r>
    </w:p>
    <w:p w14:paraId="38CFE90B" w14:textId="1957347E" w:rsidR="00AE7B2E" w:rsidRDefault="003104D5" w:rsidP="003450B7">
      <w:pPr>
        <w:numPr>
          <w:ilvl w:val="1"/>
          <w:numId w:val="12"/>
        </w:numPr>
        <w:spacing w:after="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eastAsia="Times New Roman" w:hAnsi="Times New Roman" w:cs="Times New Roman"/>
          <w:color w:val="000000" w:themeColor="text1"/>
          <w:kern w:val="0"/>
          <w:sz w:val="24"/>
          <w:szCs w:val="24"/>
          <w:lang w:eastAsia="en-GB"/>
          <w14:ligatures w14:val="none"/>
        </w:rPr>
        <w:t>Big corporations often have comprehensive risk management policies in place to identify, assess, and mitigate foreign exchange risks. These policies may include specific guidelines on hedging practices, exposure limits, and reporting requirements.</w:t>
      </w:r>
    </w:p>
    <w:p w14:paraId="75303719" w14:textId="1AC78C5E" w:rsidR="00503340" w:rsidRDefault="00503340" w:rsidP="00503340">
      <w:pPr>
        <w:spacing w:after="0" w:line="240" w:lineRule="auto"/>
        <w:ind w:left="1581"/>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417928066"/>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Sha17 \l 2057 </w:instrText>
          </w:r>
          <w:r>
            <w:rPr>
              <w:rFonts w:ascii="Times New Roman" w:hAnsi="Times New Roman" w:cs="Times New Roman"/>
              <w:color w:val="000000" w:themeColor="text1"/>
              <w:sz w:val="24"/>
              <w:szCs w:val="24"/>
            </w:rPr>
            <w:fldChar w:fldCharType="separate"/>
          </w:r>
          <w:r w:rsidRPr="00503340">
            <w:rPr>
              <w:rFonts w:ascii="Times New Roman" w:hAnsi="Times New Roman" w:cs="Times New Roman"/>
              <w:noProof/>
              <w:color w:val="000000" w:themeColor="text1"/>
              <w:sz w:val="24"/>
              <w:szCs w:val="24"/>
            </w:rPr>
            <w:t>(Shapiro, 2017)</w:t>
          </w:r>
          <w:r>
            <w:rPr>
              <w:rFonts w:ascii="Times New Roman" w:hAnsi="Times New Roman" w:cs="Times New Roman"/>
              <w:color w:val="000000" w:themeColor="text1"/>
              <w:sz w:val="24"/>
              <w:szCs w:val="24"/>
            </w:rPr>
            <w:fldChar w:fldCharType="end"/>
          </w:r>
        </w:sdtContent>
      </w:sdt>
      <w:r w:rsidRPr="003450B7">
        <w:rPr>
          <w:rFonts w:ascii="Times New Roman" w:hAnsi="Times New Roman" w:cs="Times New Roman"/>
          <w:color w:val="000000" w:themeColor="text1"/>
          <w:sz w:val="24"/>
          <w:szCs w:val="24"/>
        </w:rPr>
        <w:t>[Accessed 2</w:t>
      </w:r>
      <w:r w:rsidR="00203811">
        <w:rPr>
          <w:rFonts w:ascii="Times New Roman" w:hAnsi="Times New Roman" w:cs="Times New Roman"/>
          <w:color w:val="000000" w:themeColor="text1"/>
          <w:sz w:val="24"/>
          <w:szCs w:val="24"/>
        </w:rPr>
        <w:t>0</w:t>
      </w:r>
      <w:r w:rsidR="00155F09" w:rsidRPr="00155F09">
        <w:rPr>
          <w:rFonts w:ascii="Times New Roman" w:hAnsi="Times New Roman" w:cs="Times New Roman"/>
          <w:color w:val="000000" w:themeColor="text1"/>
          <w:sz w:val="24"/>
          <w:szCs w:val="24"/>
          <w:vertAlign w:val="superscript"/>
        </w:rPr>
        <w:t>th</w:t>
      </w:r>
      <w:r w:rsidR="00155F09">
        <w:rPr>
          <w:rFonts w:ascii="Times New Roman" w:hAnsi="Times New Roman" w:cs="Times New Roman"/>
          <w:color w:val="000000" w:themeColor="text1"/>
          <w:sz w:val="24"/>
          <w:szCs w:val="24"/>
        </w:rPr>
        <w:t xml:space="preserve"> </w:t>
      </w:r>
      <w:r w:rsidRPr="003450B7">
        <w:rPr>
          <w:rFonts w:ascii="Times New Roman" w:hAnsi="Times New Roman" w:cs="Times New Roman"/>
          <w:color w:val="000000" w:themeColor="text1"/>
          <w:sz w:val="24"/>
          <w:szCs w:val="24"/>
        </w:rPr>
        <w:t xml:space="preserve"> March 2024].</w:t>
      </w:r>
    </w:p>
    <w:p w14:paraId="03B5476B"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35401362"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3F33E076"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1EDE8B7D"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74A6F6A2"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59496718"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46EDB85A"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2043925C"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627D29BE"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20094956"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288AF52F"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34FEEAD4"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14B5592C"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66DED947"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3737F1B5"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506BE81B"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3D87BFB2"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2C418FE0"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21BC5538"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6E6700EB"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3D661027"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4EC57AE9"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14AF0593"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715665E3"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66C509AE"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6929BA47"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158AA210"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7599C105"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06B337A0" w14:textId="77777777" w:rsidR="00203811" w:rsidRDefault="00203811" w:rsidP="00503340">
      <w:pPr>
        <w:spacing w:after="0" w:line="240" w:lineRule="auto"/>
        <w:ind w:left="1581"/>
        <w:rPr>
          <w:rFonts w:ascii="Times New Roman" w:hAnsi="Times New Roman" w:cs="Times New Roman"/>
          <w:color w:val="000000" w:themeColor="text1"/>
          <w:sz w:val="24"/>
          <w:szCs w:val="24"/>
        </w:rPr>
      </w:pPr>
    </w:p>
    <w:p w14:paraId="46375386" w14:textId="77777777" w:rsidR="00203811" w:rsidRDefault="00203811" w:rsidP="00155F09">
      <w:pPr>
        <w:spacing w:after="0" w:line="240" w:lineRule="auto"/>
        <w:rPr>
          <w:rFonts w:ascii="Times New Roman" w:hAnsi="Times New Roman" w:cs="Times New Roman"/>
          <w:color w:val="000000" w:themeColor="text1"/>
          <w:sz w:val="24"/>
          <w:szCs w:val="24"/>
        </w:rPr>
      </w:pPr>
    </w:p>
    <w:p w14:paraId="1C8AFA30" w14:textId="77777777" w:rsidR="00203811" w:rsidRPr="00503340" w:rsidRDefault="00203811" w:rsidP="00503340">
      <w:pPr>
        <w:spacing w:after="0" w:line="240" w:lineRule="auto"/>
        <w:ind w:left="1581"/>
        <w:rPr>
          <w:rFonts w:ascii="Times New Roman" w:eastAsia="Times New Roman" w:hAnsi="Times New Roman" w:cs="Times New Roman"/>
          <w:color w:val="000000" w:themeColor="text1"/>
          <w:kern w:val="0"/>
          <w:sz w:val="24"/>
          <w:szCs w:val="24"/>
          <w:lang w:eastAsia="en-GB"/>
          <w14:ligatures w14:val="none"/>
        </w:rPr>
      </w:pPr>
    </w:p>
    <w:p w14:paraId="0273110A" w14:textId="0F3B9F18" w:rsidR="00CA1019" w:rsidRPr="003450B7" w:rsidRDefault="00CA1019" w:rsidP="003450B7">
      <w:pPr>
        <w:pStyle w:val="Heading1"/>
        <w:jc w:val="center"/>
        <w:rPr>
          <w:rFonts w:ascii="Times New Roman" w:hAnsi="Times New Roman" w:cs="Times New Roman"/>
          <w:b/>
          <w:bCs/>
          <w:color w:val="000000" w:themeColor="text1"/>
          <w:sz w:val="26"/>
          <w:szCs w:val="26"/>
        </w:rPr>
      </w:pPr>
      <w:bookmarkStart w:id="20" w:name="_Toc162911013"/>
      <w:r w:rsidRPr="003450B7">
        <w:rPr>
          <w:rFonts w:ascii="Times New Roman" w:hAnsi="Times New Roman" w:cs="Times New Roman"/>
          <w:b/>
          <w:bCs/>
          <w:color w:val="000000" w:themeColor="text1"/>
          <w:sz w:val="26"/>
          <w:szCs w:val="26"/>
        </w:rPr>
        <w:t>Conclusion</w:t>
      </w:r>
      <w:bookmarkEnd w:id="20"/>
    </w:p>
    <w:p w14:paraId="342E06C2" w14:textId="77777777" w:rsidR="003450B7" w:rsidRPr="003450B7" w:rsidRDefault="003450B7" w:rsidP="003450B7">
      <w:pPr>
        <w:rPr>
          <w:color w:val="000000" w:themeColor="text1"/>
        </w:rPr>
      </w:pPr>
    </w:p>
    <w:p w14:paraId="01F323CD" w14:textId="17187949" w:rsidR="005A35E1" w:rsidRPr="003450B7" w:rsidRDefault="005A35E1" w:rsidP="00CA1019">
      <w:pPr>
        <w:spacing w:before="300" w:after="300" w:line="240" w:lineRule="auto"/>
        <w:rPr>
          <w:rFonts w:ascii="Times New Roman" w:hAnsi="Times New Roman" w:cs="Times New Roman"/>
          <w:color w:val="000000" w:themeColor="text1"/>
          <w:sz w:val="24"/>
          <w:szCs w:val="24"/>
          <w:shd w:val="clear" w:color="auto" w:fill="FFFFFF"/>
        </w:rPr>
      </w:pPr>
      <w:r w:rsidRPr="003450B7">
        <w:rPr>
          <w:rFonts w:ascii="Times New Roman" w:hAnsi="Times New Roman" w:cs="Times New Roman"/>
          <w:color w:val="000000" w:themeColor="text1"/>
          <w:sz w:val="24"/>
          <w:szCs w:val="24"/>
          <w:shd w:val="clear" w:color="auto" w:fill="FFFFFF"/>
        </w:rPr>
        <w:t xml:space="preserve">In conclusion, managing foreign exchange risks is a critical aspect of international financial management for multinational corporations. By understanding the various types of exposure and employing appropriate hedging strategies, MNCs can </w:t>
      </w:r>
      <w:r w:rsidR="00AE7B2E">
        <w:rPr>
          <w:rFonts w:ascii="Times New Roman" w:hAnsi="Times New Roman" w:cs="Times New Roman"/>
          <w:color w:val="000000" w:themeColor="text1"/>
          <w:sz w:val="24"/>
          <w:szCs w:val="24"/>
          <w:shd w:val="clear" w:color="auto" w:fill="FFFFFF"/>
        </w:rPr>
        <w:t xml:space="preserve">decrease </w:t>
      </w:r>
      <w:r w:rsidRPr="003450B7">
        <w:rPr>
          <w:rFonts w:ascii="Times New Roman" w:hAnsi="Times New Roman" w:cs="Times New Roman"/>
          <w:color w:val="000000" w:themeColor="text1"/>
          <w:sz w:val="24"/>
          <w:szCs w:val="24"/>
          <w:shd w:val="clear" w:color="auto" w:fill="FFFFFF"/>
        </w:rPr>
        <w:t>the adverse effects of exchange rate fluctuations on their financial performance. However, it is essential for MNCs to carefully evaluate the costs and benefits of different hedging techniques and adapt their strategies based on changing market conditions and business objectives.</w:t>
      </w:r>
    </w:p>
    <w:p w14:paraId="3E9B1575" w14:textId="22E65606" w:rsidR="003104D5" w:rsidRPr="003450B7" w:rsidRDefault="00AE7B2E" w:rsidP="003104D5">
      <w:pPr>
        <w:spacing w:before="300" w:after="300" w:line="240" w:lineRule="auto"/>
        <w:rPr>
          <w:rFonts w:ascii="Times New Roman" w:hAnsi="Times New Roman" w:cs="Times New Roman"/>
          <w:color w:val="000000" w:themeColor="text1"/>
          <w:sz w:val="24"/>
          <w:szCs w:val="24"/>
          <w:shd w:val="clear" w:color="auto" w:fill="FFFFFF"/>
        </w:rPr>
      </w:pPr>
      <w:r w:rsidRPr="003450B7">
        <w:rPr>
          <w:rFonts w:ascii="Times New Roman" w:hAnsi="Times New Roman" w:cs="Times New Roman"/>
          <w:color w:val="000000" w:themeColor="text1"/>
          <w:sz w:val="24"/>
          <w:szCs w:val="24"/>
        </w:rPr>
        <w:t xml:space="preserve">Multinational corporations (MNCs) </w:t>
      </w:r>
      <w:r w:rsidR="005A35E1" w:rsidRPr="003450B7">
        <w:rPr>
          <w:rFonts w:ascii="Times New Roman" w:hAnsi="Times New Roman" w:cs="Times New Roman"/>
          <w:color w:val="000000" w:themeColor="text1"/>
          <w:sz w:val="24"/>
          <w:szCs w:val="24"/>
          <w:shd w:val="clear" w:color="auto" w:fill="FFFFFF"/>
        </w:rPr>
        <w:t>aim to minimize the impact of foreign exchange risks on their financial performance and maintain stability in an increasingly globalized business environment. However, it's essential for companies to continuously monitor and adjust their hedging strategies in response to changing market conditions and risk profiles</w:t>
      </w:r>
      <w:r w:rsidR="003104D5" w:rsidRPr="003450B7">
        <w:rPr>
          <w:rFonts w:ascii="Times New Roman" w:hAnsi="Times New Roman" w:cs="Times New Roman"/>
          <w:color w:val="000000" w:themeColor="text1"/>
          <w:sz w:val="24"/>
          <w:szCs w:val="24"/>
          <w:shd w:val="clear" w:color="auto" w:fill="FFFFFF"/>
        </w:rPr>
        <w:t>, to carefully evaluate the costs and benefits and adapt their strategies and business objectives.</w:t>
      </w:r>
    </w:p>
    <w:p w14:paraId="5E66A243" w14:textId="6574AF1E" w:rsidR="005F65BB" w:rsidRPr="003450B7" w:rsidRDefault="005A35E1" w:rsidP="00CA1019">
      <w:pPr>
        <w:spacing w:before="300" w:after="300" w:line="240" w:lineRule="auto"/>
        <w:rPr>
          <w:rFonts w:ascii="Times New Roman" w:eastAsia="Times New Roman" w:hAnsi="Times New Roman" w:cs="Times New Roman"/>
          <w:color w:val="000000" w:themeColor="text1"/>
          <w:kern w:val="0"/>
          <w:sz w:val="24"/>
          <w:szCs w:val="24"/>
          <w:lang w:eastAsia="en-GB"/>
          <w14:ligatures w14:val="none"/>
        </w:rPr>
      </w:pPr>
      <w:r w:rsidRPr="003450B7">
        <w:rPr>
          <w:rFonts w:ascii="Times New Roman" w:hAnsi="Times New Roman" w:cs="Times New Roman"/>
          <w:color w:val="000000" w:themeColor="text1"/>
          <w:sz w:val="24"/>
          <w:szCs w:val="24"/>
          <w:shd w:val="clear" w:color="auto" w:fill="FFFFFF"/>
        </w:rPr>
        <w:t xml:space="preserve"> Overall, a comprehensive approach that combines financial hedging with operational strategies is likely to provide the most effective risk management framework for MNCs operating in global market</w:t>
      </w:r>
      <w:r w:rsidR="00AE7B2E">
        <w:rPr>
          <w:rFonts w:ascii="Times New Roman" w:hAnsi="Times New Roman" w:cs="Times New Roman"/>
          <w:color w:val="000000" w:themeColor="text1"/>
          <w:sz w:val="24"/>
          <w:szCs w:val="24"/>
          <w:shd w:val="clear" w:color="auto" w:fill="FFFFFF"/>
        </w:rPr>
        <w:t>.</w:t>
      </w:r>
    </w:p>
    <w:p w14:paraId="0349C8AC" w14:textId="58235006" w:rsidR="00203811" w:rsidRPr="003450B7" w:rsidRDefault="00203811" w:rsidP="00203811">
      <w:pPr>
        <w:pStyle w:val="NoSpacing"/>
        <w:ind w:left="360"/>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350257275"/>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Buc19 \l 2057 </w:instrText>
          </w:r>
          <w:r>
            <w:rPr>
              <w:rFonts w:ascii="Times New Roman" w:hAnsi="Times New Roman" w:cs="Times New Roman"/>
              <w:color w:val="000000" w:themeColor="text1"/>
              <w:sz w:val="24"/>
              <w:szCs w:val="24"/>
            </w:rPr>
            <w:fldChar w:fldCharType="separate"/>
          </w:r>
          <w:r w:rsidRPr="00203811">
            <w:rPr>
              <w:rFonts w:ascii="Times New Roman" w:hAnsi="Times New Roman" w:cs="Times New Roman"/>
              <w:noProof/>
              <w:color w:val="000000" w:themeColor="text1"/>
              <w:sz w:val="24"/>
              <w:szCs w:val="24"/>
            </w:rPr>
            <w:t>(Buckley, 2019)</w:t>
          </w:r>
          <w:r>
            <w:rPr>
              <w:rFonts w:ascii="Times New Roman" w:hAnsi="Times New Roman" w:cs="Times New Roman"/>
              <w:color w:val="000000" w:themeColor="text1"/>
              <w:sz w:val="24"/>
              <w:szCs w:val="24"/>
            </w:rPr>
            <w:fldChar w:fldCharType="end"/>
          </w:r>
        </w:sdtContent>
      </w:sdt>
      <w:r w:rsidRPr="003450B7">
        <w:rPr>
          <w:rFonts w:ascii="Times New Roman" w:hAnsi="Times New Roman" w:cs="Times New Roman"/>
          <w:color w:val="000000" w:themeColor="text1"/>
          <w:sz w:val="24"/>
          <w:szCs w:val="24"/>
        </w:rPr>
        <w:t xml:space="preserve">. </w:t>
      </w:r>
      <w:r w:rsidRPr="003450B7">
        <w:rPr>
          <w:rFonts w:ascii="Times New Roman" w:hAnsi="Times New Roman" w:cs="Times New Roman"/>
          <w:noProof/>
          <w:color w:val="000000" w:themeColor="text1"/>
          <w:sz w:val="24"/>
          <w:szCs w:val="24"/>
        </w:rPr>
        <w:t>[</w:t>
      </w:r>
      <w:r w:rsidRPr="003450B7">
        <w:rPr>
          <w:rFonts w:ascii="Times New Roman" w:hAnsi="Times New Roman" w:cs="Times New Roman"/>
          <w:color w:val="000000" w:themeColor="text1"/>
          <w:sz w:val="24"/>
          <w:szCs w:val="24"/>
        </w:rPr>
        <w:t xml:space="preserve">Accessed </w:t>
      </w:r>
      <w:r>
        <w:rPr>
          <w:rFonts w:ascii="Times New Roman" w:hAnsi="Times New Roman" w:cs="Times New Roman"/>
          <w:color w:val="000000" w:themeColor="text1"/>
          <w:sz w:val="24"/>
          <w:szCs w:val="24"/>
        </w:rPr>
        <w:t>2</w:t>
      </w:r>
      <w:r>
        <w:rPr>
          <w:rFonts w:ascii="Times New Roman" w:hAnsi="Times New Roman" w:cs="Times New Roman"/>
          <w:color w:val="000000" w:themeColor="text1"/>
          <w:sz w:val="24"/>
          <w:szCs w:val="24"/>
        </w:rPr>
        <w:t>4</w:t>
      </w:r>
      <w:r w:rsidR="00155F09" w:rsidRPr="00155F09">
        <w:rPr>
          <w:rFonts w:ascii="Times New Roman" w:hAnsi="Times New Roman" w:cs="Times New Roman"/>
          <w:color w:val="000000" w:themeColor="text1"/>
          <w:sz w:val="24"/>
          <w:szCs w:val="24"/>
          <w:vertAlign w:val="superscript"/>
        </w:rPr>
        <w:t>th</w:t>
      </w:r>
      <w:r w:rsidR="00155F09">
        <w:rPr>
          <w:rFonts w:ascii="Times New Roman" w:hAnsi="Times New Roman" w:cs="Times New Roman"/>
          <w:color w:val="000000" w:themeColor="text1"/>
          <w:sz w:val="24"/>
          <w:szCs w:val="24"/>
        </w:rPr>
        <w:t xml:space="preserve"> </w:t>
      </w:r>
      <w:r w:rsidRPr="003450B7">
        <w:rPr>
          <w:rFonts w:ascii="Times New Roman" w:hAnsi="Times New Roman" w:cs="Times New Roman"/>
          <w:color w:val="000000" w:themeColor="text1"/>
          <w:sz w:val="24"/>
          <w:szCs w:val="24"/>
        </w:rPr>
        <w:t xml:space="preserve"> March 2024]</w:t>
      </w:r>
    </w:p>
    <w:p w14:paraId="1D506B8C" w14:textId="77777777" w:rsidR="0094684B" w:rsidRPr="003450B7" w:rsidRDefault="0094684B" w:rsidP="0094684B">
      <w:pPr>
        <w:rPr>
          <w:rFonts w:ascii="Times New Roman" w:hAnsi="Times New Roman" w:cs="Times New Roman"/>
          <w:color w:val="000000" w:themeColor="text1"/>
          <w:lang w:eastAsia="en-GB"/>
        </w:rPr>
      </w:pPr>
    </w:p>
    <w:p w14:paraId="1AEA33A9" w14:textId="77777777" w:rsidR="00FC12B6" w:rsidRPr="003450B7" w:rsidRDefault="00FC12B6" w:rsidP="0094684B">
      <w:pPr>
        <w:rPr>
          <w:rFonts w:ascii="Times New Roman" w:hAnsi="Times New Roman" w:cs="Times New Roman"/>
          <w:color w:val="000000" w:themeColor="text1"/>
          <w:lang w:eastAsia="en-GB"/>
        </w:rPr>
      </w:pPr>
    </w:p>
    <w:p w14:paraId="3365B5F1" w14:textId="77777777" w:rsidR="00FC12B6" w:rsidRPr="003450B7" w:rsidRDefault="00FC12B6" w:rsidP="0094684B">
      <w:pPr>
        <w:rPr>
          <w:rFonts w:ascii="Times New Roman" w:hAnsi="Times New Roman" w:cs="Times New Roman"/>
          <w:color w:val="000000" w:themeColor="text1"/>
          <w:lang w:eastAsia="en-GB"/>
        </w:rPr>
      </w:pPr>
    </w:p>
    <w:p w14:paraId="3E36988D" w14:textId="77777777" w:rsidR="00FC12B6" w:rsidRPr="003450B7" w:rsidRDefault="00FC12B6" w:rsidP="0094684B">
      <w:pPr>
        <w:rPr>
          <w:rFonts w:ascii="Times New Roman" w:hAnsi="Times New Roman" w:cs="Times New Roman"/>
          <w:color w:val="000000" w:themeColor="text1"/>
          <w:lang w:eastAsia="en-GB"/>
        </w:rPr>
      </w:pPr>
    </w:p>
    <w:p w14:paraId="0FB08AA5" w14:textId="77777777" w:rsidR="00FC12B6" w:rsidRPr="003450B7" w:rsidRDefault="00FC12B6" w:rsidP="0094684B">
      <w:pPr>
        <w:rPr>
          <w:rFonts w:ascii="Times New Roman" w:hAnsi="Times New Roman" w:cs="Times New Roman"/>
          <w:color w:val="000000" w:themeColor="text1"/>
          <w:lang w:eastAsia="en-GB"/>
        </w:rPr>
      </w:pPr>
    </w:p>
    <w:p w14:paraId="23E047DB" w14:textId="77777777" w:rsidR="00FC12B6" w:rsidRPr="003450B7" w:rsidRDefault="00FC12B6" w:rsidP="0094684B">
      <w:pPr>
        <w:rPr>
          <w:rFonts w:ascii="Times New Roman" w:hAnsi="Times New Roman" w:cs="Times New Roman"/>
          <w:color w:val="000000" w:themeColor="text1"/>
          <w:lang w:eastAsia="en-GB"/>
        </w:rPr>
      </w:pPr>
    </w:p>
    <w:p w14:paraId="7659809D" w14:textId="77777777" w:rsidR="00FC12B6" w:rsidRPr="003450B7" w:rsidRDefault="00FC12B6" w:rsidP="0094684B">
      <w:pPr>
        <w:rPr>
          <w:rFonts w:ascii="Times New Roman" w:hAnsi="Times New Roman" w:cs="Times New Roman"/>
          <w:color w:val="000000" w:themeColor="text1"/>
          <w:lang w:eastAsia="en-GB"/>
        </w:rPr>
      </w:pPr>
    </w:p>
    <w:p w14:paraId="5F7BAB53" w14:textId="77777777" w:rsidR="00FC12B6" w:rsidRPr="003450B7" w:rsidRDefault="00FC12B6" w:rsidP="0094684B">
      <w:pPr>
        <w:rPr>
          <w:rFonts w:ascii="Times New Roman" w:hAnsi="Times New Roman" w:cs="Times New Roman"/>
          <w:color w:val="000000" w:themeColor="text1"/>
          <w:lang w:eastAsia="en-GB"/>
        </w:rPr>
      </w:pPr>
    </w:p>
    <w:p w14:paraId="10E3AF2E" w14:textId="77777777" w:rsidR="00FC12B6" w:rsidRPr="003450B7" w:rsidRDefault="00FC12B6" w:rsidP="0094684B">
      <w:pPr>
        <w:rPr>
          <w:rFonts w:ascii="Times New Roman" w:hAnsi="Times New Roman" w:cs="Times New Roman"/>
          <w:color w:val="000000" w:themeColor="text1"/>
          <w:lang w:eastAsia="en-GB"/>
        </w:rPr>
      </w:pPr>
    </w:p>
    <w:p w14:paraId="444C9289" w14:textId="77777777" w:rsidR="00FC12B6" w:rsidRPr="003450B7" w:rsidRDefault="00FC12B6" w:rsidP="0094684B">
      <w:pPr>
        <w:rPr>
          <w:rFonts w:ascii="Times New Roman" w:hAnsi="Times New Roman" w:cs="Times New Roman"/>
          <w:color w:val="000000" w:themeColor="text1"/>
          <w:lang w:eastAsia="en-GB"/>
        </w:rPr>
      </w:pPr>
    </w:p>
    <w:p w14:paraId="7E73C9C8" w14:textId="77777777" w:rsidR="00FC12B6" w:rsidRPr="003450B7" w:rsidRDefault="00FC12B6" w:rsidP="0094684B">
      <w:pPr>
        <w:rPr>
          <w:rFonts w:ascii="Times New Roman" w:hAnsi="Times New Roman" w:cs="Times New Roman"/>
          <w:color w:val="000000" w:themeColor="text1"/>
          <w:lang w:eastAsia="en-GB"/>
        </w:rPr>
      </w:pPr>
    </w:p>
    <w:p w14:paraId="1793FF54" w14:textId="77777777" w:rsidR="00FC12B6" w:rsidRPr="003450B7" w:rsidRDefault="00FC12B6" w:rsidP="0094684B">
      <w:pPr>
        <w:rPr>
          <w:rFonts w:ascii="Times New Roman" w:hAnsi="Times New Roman" w:cs="Times New Roman"/>
          <w:color w:val="000000" w:themeColor="text1"/>
          <w:lang w:eastAsia="en-GB"/>
        </w:rPr>
      </w:pPr>
    </w:p>
    <w:p w14:paraId="3B94BF1C" w14:textId="77777777" w:rsidR="00FC12B6" w:rsidRPr="003450B7" w:rsidRDefault="00FC12B6" w:rsidP="0094684B">
      <w:pPr>
        <w:rPr>
          <w:rFonts w:ascii="Times New Roman" w:hAnsi="Times New Roman" w:cs="Times New Roman"/>
          <w:color w:val="000000" w:themeColor="text1"/>
          <w:lang w:eastAsia="en-GB"/>
        </w:rPr>
      </w:pPr>
    </w:p>
    <w:p w14:paraId="11917ABD" w14:textId="77777777" w:rsidR="00FC12B6" w:rsidRPr="003450B7" w:rsidRDefault="00FC12B6" w:rsidP="0094684B">
      <w:pPr>
        <w:rPr>
          <w:rFonts w:ascii="Times New Roman" w:hAnsi="Times New Roman" w:cs="Times New Roman"/>
          <w:color w:val="000000" w:themeColor="text1"/>
          <w:lang w:eastAsia="en-GB"/>
        </w:rPr>
      </w:pPr>
    </w:p>
    <w:p w14:paraId="4C86B39D" w14:textId="77777777" w:rsidR="003450B7" w:rsidRPr="003450B7" w:rsidRDefault="003450B7" w:rsidP="0094684B">
      <w:pPr>
        <w:rPr>
          <w:rFonts w:ascii="Times New Roman" w:hAnsi="Times New Roman" w:cs="Times New Roman"/>
          <w:color w:val="000000" w:themeColor="text1"/>
          <w:lang w:eastAsia="en-GB"/>
        </w:rPr>
      </w:pPr>
    </w:p>
    <w:p w14:paraId="74D31948" w14:textId="77777777" w:rsidR="003450B7" w:rsidRDefault="003450B7" w:rsidP="003450B7">
      <w:pPr>
        <w:pStyle w:val="Heading1"/>
        <w:jc w:val="center"/>
        <w:rPr>
          <w:rFonts w:ascii="Times New Roman" w:hAnsi="Times New Roman" w:cs="Times New Roman"/>
          <w:b/>
          <w:bCs/>
          <w:color w:val="000000" w:themeColor="text1"/>
          <w:sz w:val="26"/>
          <w:szCs w:val="26"/>
        </w:rPr>
      </w:pPr>
      <w:bookmarkStart w:id="21" w:name="_Toc162911014"/>
    </w:p>
    <w:p w14:paraId="5829FCEC" w14:textId="77777777" w:rsidR="00AE7B2E" w:rsidRPr="00AE7B2E" w:rsidRDefault="00AE7B2E" w:rsidP="00AE7B2E"/>
    <w:p w14:paraId="1A7CFAAB" w14:textId="0D93A950" w:rsidR="00CA1019" w:rsidRPr="003450B7" w:rsidRDefault="00CA1019" w:rsidP="003450B7">
      <w:pPr>
        <w:pStyle w:val="Heading1"/>
        <w:jc w:val="center"/>
        <w:rPr>
          <w:rFonts w:ascii="Times New Roman" w:hAnsi="Times New Roman" w:cs="Times New Roman"/>
          <w:b/>
          <w:bCs/>
          <w:color w:val="000000" w:themeColor="text1"/>
          <w:sz w:val="26"/>
          <w:szCs w:val="26"/>
        </w:rPr>
      </w:pPr>
      <w:r w:rsidRPr="003450B7">
        <w:rPr>
          <w:rFonts w:ascii="Times New Roman" w:hAnsi="Times New Roman" w:cs="Times New Roman"/>
          <w:b/>
          <w:bCs/>
          <w:color w:val="000000" w:themeColor="text1"/>
          <w:sz w:val="26"/>
          <w:szCs w:val="26"/>
        </w:rPr>
        <w:lastRenderedPageBreak/>
        <w:t>References</w:t>
      </w:r>
      <w:bookmarkEnd w:id="21"/>
    </w:p>
    <w:p w14:paraId="13A3CA46" w14:textId="77777777" w:rsidR="003450B7" w:rsidRPr="003450B7" w:rsidRDefault="003450B7" w:rsidP="003450B7">
      <w:pPr>
        <w:rPr>
          <w:color w:val="000000" w:themeColor="text1"/>
        </w:rPr>
      </w:pPr>
    </w:p>
    <w:p w14:paraId="720973A3" w14:textId="36198CAE" w:rsidR="00A825BB" w:rsidRPr="003450B7" w:rsidRDefault="00203811" w:rsidP="00A825BB">
      <w:pPr>
        <w:pStyle w:val="NoSpacing"/>
        <w:numPr>
          <w:ilvl w:val="0"/>
          <w:numId w:val="4"/>
        </w:numPr>
        <w:rPr>
          <w:rFonts w:ascii="Times New Roman" w:hAnsi="Times New Roman" w:cs="Times New Roman"/>
          <w:color w:val="000000" w:themeColor="text1"/>
          <w:sz w:val="24"/>
          <w:szCs w:val="24"/>
        </w:rPr>
      </w:pPr>
      <w:sdt>
        <w:sdtPr>
          <w:rPr>
            <w:rFonts w:ascii="Times New Roman" w:hAnsi="Times New Roman" w:cs="Times New Roman"/>
            <w:noProof/>
            <w:color w:val="000000" w:themeColor="text1"/>
            <w:sz w:val="24"/>
            <w:szCs w:val="24"/>
          </w:rPr>
          <w:id w:val="-1743634935"/>
          <w:citation/>
        </w:sdtPr>
        <w:sdtContent>
          <w:r>
            <w:rPr>
              <w:rFonts w:ascii="Times New Roman" w:hAnsi="Times New Roman" w:cs="Times New Roman"/>
              <w:noProof/>
              <w:color w:val="000000" w:themeColor="text1"/>
              <w:sz w:val="24"/>
              <w:szCs w:val="24"/>
            </w:rPr>
            <w:fldChar w:fldCharType="begin"/>
          </w:r>
          <w:r w:rsidR="0030679F">
            <w:rPr>
              <w:rFonts w:ascii="Times New Roman" w:hAnsi="Times New Roman" w:cs="Times New Roman"/>
              <w:color w:val="000000" w:themeColor="text1"/>
              <w:sz w:val="24"/>
              <w:szCs w:val="24"/>
            </w:rPr>
            <w:instrText xml:space="preserve">CITATION Sha171 \l 2057 </w:instrText>
          </w:r>
          <w:r>
            <w:rPr>
              <w:rFonts w:ascii="Times New Roman" w:hAnsi="Times New Roman" w:cs="Times New Roman"/>
              <w:noProof/>
              <w:color w:val="000000" w:themeColor="text1"/>
              <w:sz w:val="24"/>
              <w:szCs w:val="24"/>
            </w:rPr>
            <w:fldChar w:fldCharType="separate"/>
          </w:r>
          <w:r w:rsidR="0030679F" w:rsidRPr="0030679F">
            <w:rPr>
              <w:rFonts w:ascii="Times New Roman" w:hAnsi="Times New Roman" w:cs="Times New Roman"/>
              <w:noProof/>
              <w:color w:val="000000" w:themeColor="text1"/>
              <w:sz w:val="24"/>
              <w:szCs w:val="24"/>
            </w:rPr>
            <w:t>(Shapiro A. C., 2017)</w:t>
          </w:r>
          <w:r>
            <w:rPr>
              <w:rFonts w:ascii="Times New Roman" w:hAnsi="Times New Roman" w:cs="Times New Roman"/>
              <w:noProof/>
              <w:color w:val="000000" w:themeColor="text1"/>
              <w:sz w:val="24"/>
              <w:szCs w:val="24"/>
            </w:rPr>
            <w:fldChar w:fldCharType="end"/>
          </w:r>
        </w:sdtContent>
      </w:sdt>
      <w:r w:rsidR="00A6674F" w:rsidRPr="003450B7">
        <w:rPr>
          <w:rFonts w:ascii="Times New Roman" w:hAnsi="Times New Roman" w:cs="Times New Roman"/>
          <w:noProof/>
          <w:color w:val="000000" w:themeColor="text1"/>
          <w:sz w:val="24"/>
          <w:szCs w:val="24"/>
        </w:rPr>
        <w:t>[</w:t>
      </w:r>
      <w:r w:rsidR="00A6674F" w:rsidRPr="003450B7">
        <w:rPr>
          <w:rFonts w:ascii="Times New Roman" w:hAnsi="Times New Roman" w:cs="Times New Roman"/>
          <w:color w:val="000000" w:themeColor="text1"/>
          <w:sz w:val="24"/>
          <w:szCs w:val="24"/>
        </w:rPr>
        <w:t>Accessed 1</w:t>
      </w:r>
      <w:r w:rsidR="00155F09">
        <w:rPr>
          <w:rFonts w:ascii="Times New Roman" w:hAnsi="Times New Roman" w:cs="Times New Roman"/>
          <w:color w:val="000000" w:themeColor="text1"/>
          <w:sz w:val="24"/>
          <w:szCs w:val="24"/>
        </w:rPr>
        <w:t>0</w:t>
      </w:r>
      <w:r w:rsidR="00A6674F" w:rsidRPr="003450B7">
        <w:rPr>
          <w:rFonts w:ascii="Times New Roman" w:hAnsi="Times New Roman" w:cs="Times New Roman"/>
          <w:color w:val="000000" w:themeColor="text1"/>
          <w:sz w:val="24"/>
          <w:szCs w:val="24"/>
        </w:rPr>
        <w:t xml:space="preserve"> March 2024].</w:t>
      </w:r>
    </w:p>
    <w:p w14:paraId="6FA62893" w14:textId="083F1B3F" w:rsidR="00A825BB" w:rsidRPr="002F0E66" w:rsidRDefault="002F0E66" w:rsidP="00A825BB">
      <w:pPr>
        <w:pStyle w:val="NoSpacing"/>
        <w:numPr>
          <w:ilvl w:val="0"/>
          <w:numId w:val="4"/>
        </w:num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675466528"/>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Mad18 \l 2057 </w:instrText>
          </w:r>
          <w:r>
            <w:rPr>
              <w:rFonts w:ascii="Times New Roman" w:hAnsi="Times New Roman" w:cs="Times New Roman"/>
              <w:color w:val="000000" w:themeColor="text1"/>
              <w:sz w:val="24"/>
              <w:szCs w:val="24"/>
            </w:rPr>
            <w:fldChar w:fldCharType="separate"/>
          </w:r>
          <w:r w:rsidRPr="002F0E66">
            <w:rPr>
              <w:rFonts w:ascii="Times New Roman" w:hAnsi="Times New Roman" w:cs="Times New Roman"/>
              <w:noProof/>
              <w:color w:val="000000" w:themeColor="text1"/>
              <w:sz w:val="24"/>
              <w:szCs w:val="24"/>
            </w:rPr>
            <w:t>(Madura, 2018)</w:t>
          </w:r>
          <w:r>
            <w:rPr>
              <w:rFonts w:ascii="Times New Roman" w:hAnsi="Times New Roman" w:cs="Times New Roman"/>
              <w:color w:val="000000" w:themeColor="text1"/>
              <w:sz w:val="24"/>
              <w:szCs w:val="24"/>
            </w:rPr>
            <w:fldChar w:fldCharType="end"/>
          </w:r>
        </w:sdtContent>
      </w:sdt>
      <w:r w:rsidR="00A825BB" w:rsidRPr="003450B7">
        <w:rPr>
          <w:rFonts w:ascii="Times New Roman" w:hAnsi="Times New Roman" w:cs="Times New Roman"/>
          <w:color w:val="000000" w:themeColor="text1"/>
          <w:sz w:val="24"/>
          <w:szCs w:val="24"/>
        </w:rPr>
        <w:t>.</w:t>
      </w:r>
      <w:r w:rsidR="00A825BB" w:rsidRPr="003450B7">
        <w:rPr>
          <w:rFonts w:ascii="Times New Roman" w:hAnsi="Times New Roman" w:cs="Times New Roman"/>
          <w:noProof/>
          <w:color w:val="000000" w:themeColor="text1"/>
          <w:sz w:val="24"/>
          <w:szCs w:val="24"/>
        </w:rPr>
        <w:t xml:space="preserve"> [</w:t>
      </w:r>
      <w:r w:rsidR="00A825BB" w:rsidRPr="003450B7">
        <w:rPr>
          <w:rFonts w:ascii="Times New Roman" w:hAnsi="Times New Roman" w:cs="Times New Roman"/>
          <w:color w:val="000000" w:themeColor="text1"/>
          <w:sz w:val="24"/>
          <w:szCs w:val="24"/>
        </w:rPr>
        <w:t>Accessed 1</w:t>
      </w:r>
      <w:r w:rsidR="00155F09">
        <w:rPr>
          <w:rFonts w:ascii="Times New Roman" w:hAnsi="Times New Roman" w:cs="Times New Roman"/>
          <w:color w:val="000000" w:themeColor="text1"/>
          <w:sz w:val="24"/>
          <w:szCs w:val="24"/>
        </w:rPr>
        <w:t>1</w:t>
      </w:r>
      <w:r w:rsidR="00A825BB" w:rsidRPr="003450B7">
        <w:rPr>
          <w:rFonts w:ascii="Times New Roman" w:hAnsi="Times New Roman" w:cs="Times New Roman"/>
          <w:color w:val="000000" w:themeColor="text1"/>
          <w:sz w:val="24"/>
          <w:szCs w:val="24"/>
        </w:rPr>
        <w:t xml:space="preserve"> March 2024]</w:t>
      </w:r>
    </w:p>
    <w:p w14:paraId="60EDC0AC" w14:textId="417550C4" w:rsidR="00155F09" w:rsidRDefault="00155F09" w:rsidP="00A825BB">
      <w:pPr>
        <w:pStyle w:val="NoSpacing"/>
        <w:numPr>
          <w:ilvl w:val="0"/>
          <w:numId w:val="4"/>
        </w:numPr>
        <w:rPr>
          <w:rFonts w:ascii="Times New Roman" w:hAnsi="Times New Roman" w:cs="Times New Roman"/>
          <w:color w:val="000000" w:themeColor="text1"/>
          <w:sz w:val="24"/>
          <w:szCs w:val="24"/>
        </w:rPr>
      </w:pPr>
      <w:sdt>
        <w:sdtPr>
          <w:rPr>
            <w:color w:val="000000" w:themeColor="text1"/>
          </w:rPr>
          <w:id w:val="940192477"/>
          <w:citation/>
        </w:sdtPr>
        <w:sdtContent>
          <w:r w:rsidRPr="0030679F">
            <w:rPr>
              <w:rFonts w:ascii="Times New Roman" w:hAnsi="Times New Roman" w:cs="Times New Roman"/>
              <w:color w:val="000000" w:themeColor="text1"/>
              <w:sz w:val="24"/>
              <w:szCs w:val="24"/>
            </w:rPr>
            <w:fldChar w:fldCharType="begin"/>
          </w:r>
          <w:r w:rsidRPr="0030679F">
            <w:rPr>
              <w:rFonts w:ascii="Times New Roman" w:hAnsi="Times New Roman" w:cs="Times New Roman"/>
              <w:color w:val="0D0D0D"/>
              <w:sz w:val="24"/>
              <w:szCs w:val="24"/>
              <w:shd w:val="clear" w:color="auto" w:fill="FFFFFF"/>
            </w:rPr>
            <w:instrText xml:space="preserve"> CITATION Hul171 \l 2057 </w:instrText>
          </w:r>
          <w:r w:rsidRPr="0030679F">
            <w:rPr>
              <w:rFonts w:ascii="Times New Roman" w:hAnsi="Times New Roman" w:cs="Times New Roman"/>
              <w:color w:val="000000" w:themeColor="text1"/>
              <w:sz w:val="24"/>
              <w:szCs w:val="24"/>
            </w:rPr>
            <w:fldChar w:fldCharType="separate"/>
          </w:r>
          <w:r w:rsidRPr="0030679F">
            <w:rPr>
              <w:rFonts w:ascii="Times New Roman" w:hAnsi="Times New Roman" w:cs="Times New Roman"/>
              <w:noProof/>
              <w:color w:val="0D0D0D"/>
              <w:sz w:val="24"/>
              <w:szCs w:val="24"/>
              <w:shd w:val="clear" w:color="auto" w:fill="FFFFFF"/>
            </w:rPr>
            <w:t>(Hull, Options, Futures, and Other Derivatives. Pearson., 2017)</w:t>
          </w:r>
          <w:r w:rsidRPr="0030679F">
            <w:rPr>
              <w:rFonts w:ascii="Times New Roman" w:hAnsi="Times New Roman" w:cs="Times New Roman"/>
              <w:color w:val="000000" w:themeColor="text1"/>
              <w:sz w:val="24"/>
              <w:szCs w:val="24"/>
            </w:rPr>
            <w:fldChar w:fldCharType="end"/>
          </w:r>
        </w:sdtContent>
      </w:sdt>
      <w:r w:rsidRPr="003450B7">
        <w:rPr>
          <w:rFonts w:ascii="Times New Roman" w:hAnsi="Times New Roman" w:cs="Times New Roman"/>
          <w:noProof/>
          <w:color w:val="000000" w:themeColor="text1"/>
          <w:sz w:val="24"/>
          <w:szCs w:val="24"/>
        </w:rPr>
        <w:t>[</w:t>
      </w:r>
      <w:r w:rsidRPr="003450B7">
        <w:rPr>
          <w:rFonts w:ascii="Times New Roman" w:hAnsi="Times New Roman" w:cs="Times New Roman"/>
          <w:color w:val="000000" w:themeColor="text1"/>
          <w:sz w:val="24"/>
          <w:szCs w:val="24"/>
        </w:rPr>
        <w:t>Accessed 1</w:t>
      </w:r>
      <w:r>
        <w:rPr>
          <w:rFonts w:ascii="Times New Roman" w:hAnsi="Times New Roman" w:cs="Times New Roman"/>
          <w:color w:val="000000" w:themeColor="text1"/>
          <w:sz w:val="24"/>
          <w:szCs w:val="24"/>
        </w:rPr>
        <w:t>5</w:t>
      </w:r>
      <w:r w:rsidRPr="003450B7">
        <w:rPr>
          <w:rFonts w:ascii="Times New Roman" w:hAnsi="Times New Roman" w:cs="Times New Roman"/>
          <w:color w:val="000000" w:themeColor="text1"/>
          <w:sz w:val="24"/>
          <w:szCs w:val="24"/>
        </w:rPr>
        <w:t xml:space="preserve"> March 2024</w:t>
      </w:r>
    </w:p>
    <w:p w14:paraId="078ECD73" w14:textId="7A2905CE" w:rsidR="00155F09" w:rsidRPr="00155F09" w:rsidRDefault="00155F09" w:rsidP="00155F09">
      <w:pPr>
        <w:pStyle w:val="NoSpacing"/>
        <w:numPr>
          <w:ilvl w:val="0"/>
          <w:numId w:val="4"/>
        </w:num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692221105"/>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Eit19 \l 2057 </w:instrText>
          </w:r>
          <w:r>
            <w:rPr>
              <w:rFonts w:ascii="Times New Roman" w:hAnsi="Times New Roman" w:cs="Times New Roman"/>
              <w:color w:val="000000" w:themeColor="text1"/>
              <w:sz w:val="24"/>
              <w:szCs w:val="24"/>
            </w:rPr>
            <w:fldChar w:fldCharType="separate"/>
          </w:r>
          <w:r w:rsidRPr="002F0E66">
            <w:rPr>
              <w:rFonts w:ascii="Times New Roman" w:hAnsi="Times New Roman" w:cs="Times New Roman"/>
              <w:noProof/>
              <w:color w:val="000000" w:themeColor="text1"/>
              <w:sz w:val="24"/>
              <w:szCs w:val="24"/>
            </w:rPr>
            <w:t>(Eiteman, 2019)</w:t>
          </w:r>
          <w:r>
            <w:rPr>
              <w:rFonts w:ascii="Times New Roman" w:hAnsi="Times New Roman" w:cs="Times New Roman"/>
              <w:color w:val="000000" w:themeColor="text1"/>
              <w:sz w:val="24"/>
              <w:szCs w:val="24"/>
            </w:rPr>
            <w:fldChar w:fldCharType="end"/>
          </w:r>
        </w:sdtContent>
      </w:sdt>
      <w:r w:rsidRPr="003450B7">
        <w:rPr>
          <w:rFonts w:ascii="Times New Roman" w:hAnsi="Times New Roman" w:cs="Times New Roman"/>
          <w:color w:val="000000" w:themeColor="text1"/>
          <w:sz w:val="24"/>
          <w:szCs w:val="24"/>
        </w:rPr>
        <w:t>.</w:t>
      </w:r>
      <w:r w:rsidRPr="003450B7">
        <w:rPr>
          <w:rFonts w:ascii="Times New Roman" w:hAnsi="Times New Roman" w:cs="Times New Roman"/>
          <w:noProof/>
          <w:color w:val="000000" w:themeColor="text1"/>
          <w:sz w:val="24"/>
          <w:szCs w:val="24"/>
        </w:rPr>
        <w:t xml:space="preserve"> [</w:t>
      </w:r>
      <w:r w:rsidRPr="003450B7">
        <w:rPr>
          <w:rFonts w:ascii="Times New Roman" w:hAnsi="Times New Roman" w:cs="Times New Roman"/>
          <w:color w:val="000000" w:themeColor="text1"/>
          <w:sz w:val="24"/>
          <w:szCs w:val="24"/>
        </w:rPr>
        <w:t>Accessed 1</w:t>
      </w:r>
      <w:r>
        <w:rPr>
          <w:rFonts w:ascii="Times New Roman" w:hAnsi="Times New Roman" w:cs="Times New Roman"/>
          <w:color w:val="000000" w:themeColor="text1"/>
          <w:sz w:val="24"/>
          <w:szCs w:val="24"/>
        </w:rPr>
        <w:t>6</w:t>
      </w:r>
      <w:r w:rsidRPr="003450B7">
        <w:rPr>
          <w:rFonts w:ascii="Times New Roman" w:hAnsi="Times New Roman" w:cs="Times New Roman"/>
          <w:color w:val="000000" w:themeColor="text1"/>
          <w:sz w:val="24"/>
          <w:szCs w:val="24"/>
        </w:rPr>
        <w:t xml:space="preserve"> March 2024].</w:t>
      </w:r>
    </w:p>
    <w:p w14:paraId="7AC0A369" w14:textId="4B1E0E08" w:rsidR="00A825BB" w:rsidRPr="00203811" w:rsidRDefault="00203811" w:rsidP="00203811">
      <w:pPr>
        <w:pStyle w:val="NoSpacing"/>
        <w:numPr>
          <w:ilvl w:val="0"/>
          <w:numId w:val="4"/>
        </w:num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388918633"/>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Bod03 \l 2057 </w:instrText>
          </w:r>
          <w:r>
            <w:rPr>
              <w:rFonts w:ascii="Times New Roman" w:hAnsi="Times New Roman" w:cs="Times New Roman"/>
              <w:color w:val="000000" w:themeColor="text1"/>
              <w:sz w:val="24"/>
              <w:szCs w:val="24"/>
            </w:rPr>
            <w:fldChar w:fldCharType="separate"/>
          </w:r>
          <w:r w:rsidRPr="00203811">
            <w:rPr>
              <w:rFonts w:ascii="Times New Roman" w:hAnsi="Times New Roman" w:cs="Times New Roman"/>
              <w:noProof/>
              <w:color w:val="000000" w:themeColor="text1"/>
              <w:sz w:val="24"/>
              <w:szCs w:val="24"/>
            </w:rPr>
            <w:t>(Bodnar G. &amp;., 2003)</w:t>
          </w:r>
          <w:r>
            <w:rPr>
              <w:rFonts w:ascii="Times New Roman" w:hAnsi="Times New Roman" w:cs="Times New Roman"/>
              <w:color w:val="000000" w:themeColor="text1"/>
              <w:sz w:val="24"/>
              <w:szCs w:val="24"/>
            </w:rPr>
            <w:fldChar w:fldCharType="end"/>
          </w:r>
        </w:sdtContent>
      </w:sdt>
      <w:r w:rsidR="00A825BB" w:rsidRPr="003450B7">
        <w:rPr>
          <w:rFonts w:ascii="Times New Roman" w:hAnsi="Times New Roman" w:cs="Times New Roman"/>
          <w:color w:val="000000" w:themeColor="text1"/>
          <w:sz w:val="24"/>
          <w:szCs w:val="24"/>
        </w:rPr>
        <w:t>.</w:t>
      </w:r>
      <w:r w:rsidR="00A6674F" w:rsidRPr="003450B7">
        <w:rPr>
          <w:rFonts w:ascii="Times New Roman" w:hAnsi="Times New Roman" w:cs="Times New Roman"/>
          <w:color w:val="000000" w:themeColor="text1"/>
          <w:sz w:val="24"/>
          <w:szCs w:val="24"/>
        </w:rPr>
        <w:t xml:space="preserve"> </w:t>
      </w:r>
      <w:r w:rsidR="00A6674F" w:rsidRPr="003450B7">
        <w:rPr>
          <w:rFonts w:ascii="Times New Roman" w:hAnsi="Times New Roman" w:cs="Times New Roman"/>
          <w:noProof/>
          <w:color w:val="000000" w:themeColor="text1"/>
          <w:sz w:val="24"/>
          <w:szCs w:val="24"/>
        </w:rPr>
        <w:t>[</w:t>
      </w:r>
      <w:r w:rsidR="00A6674F" w:rsidRPr="003450B7">
        <w:rPr>
          <w:rFonts w:ascii="Times New Roman" w:hAnsi="Times New Roman" w:cs="Times New Roman"/>
          <w:color w:val="000000" w:themeColor="text1"/>
          <w:sz w:val="24"/>
          <w:szCs w:val="24"/>
        </w:rPr>
        <w:t>Accessed 17 March 2024].</w:t>
      </w:r>
    </w:p>
    <w:p w14:paraId="3BF21CAB" w14:textId="77777777" w:rsidR="00155F09" w:rsidRDefault="005F65BB" w:rsidP="00203811">
      <w:pPr>
        <w:pStyle w:val="NoSpacing"/>
        <w:numPr>
          <w:ilvl w:val="0"/>
          <w:numId w:val="4"/>
        </w:numPr>
        <w:rPr>
          <w:rFonts w:ascii="Times New Roman" w:hAnsi="Times New Roman" w:cs="Times New Roman"/>
          <w:color w:val="000000" w:themeColor="text1"/>
          <w:sz w:val="24"/>
          <w:szCs w:val="24"/>
        </w:rPr>
      </w:pPr>
      <w:r w:rsidRPr="00203811">
        <w:rPr>
          <w:rFonts w:ascii="Times New Roman" w:hAnsi="Times New Roman" w:cs="Times New Roman"/>
          <w:color w:val="000000" w:themeColor="text1"/>
          <w:sz w:val="24"/>
          <w:szCs w:val="24"/>
        </w:rPr>
        <w:t xml:space="preserve"> </w:t>
      </w:r>
      <w:sdt>
        <w:sdtPr>
          <w:id w:val="-1213809907"/>
          <w:citation/>
        </w:sdtPr>
        <w:sdtContent>
          <w:r w:rsidR="00503340" w:rsidRPr="00203811">
            <w:rPr>
              <w:rFonts w:ascii="Times New Roman" w:hAnsi="Times New Roman" w:cs="Times New Roman"/>
              <w:color w:val="000000" w:themeColor="text1"/>
              <w:sz w:val="24"/>
              <w:szCs w:val="24"/>
            </w:rPr>
            <w:fldChar w:fldCharType="begin"/>
          </w:r>
          <w:r w:rsidR="00503340" w:rsidRPr="00203811">
            <w:rPr>
              <w:rFonts w:ascii="Times New Roman" w:hAnsi="Times New Roman" w:cs="Times New Roman"/>
              <w:color w:val="000000" w:themeColor="text1"/>
              <w:sz w:val="24"/>
              <w:szCs w:val="24"/>
            </w:rPr>
            <w:instrText xml:space="preserve"> CITATION Sha17 \l 2057 </w:instrText>
          </w:r>
          <w:r w:rsidR="00503340" w:rsidRPr="00203811">
            <w:rPr>
              <w:rFonts w:ascii="Times New Roman" w:hAnsi="Times New Roman" w:cs="Times New Roman"/>
              <w:color w:val="000000" w:themeColor="text1"/>
              <w:sz w:val="24"/>
              <w:szCs w:val="24"/>
            </w:rPr>
            <w:fldChar w:fldCharType="separate"/>
          </w:r>
          <w:r w:rsidR="00503340" w:rsidRPr="00203811">
            <w:rPr>
              <w:rFonts w:ascii="Times New Roman" w:hAnsi="Times New Roman" w:cs="Times New Roman"/>
              <w:noProof/>
              <w:color w:val="000000" w:themeColor="text1"/>
              <w:sz w:val="24"/>
              <w:szCs w:val="24"/>
            </w:rPr>
            <w:t>(Shapiro, 2017)</w:t>
          </w:r>
          <w:r w:rsidR="00503340" w:rsidRPr="00203811">
            <w:rPr>
              <w:rFonts w:ascii="Times New Roman" w:hAnsi="Times New Roman" w:cs="Times New Roman"/>
              <w:color w:val="000000" w:themeColor="text1"/>
              <w:sz w:val="24"/>
              <w:szCs w:val="24"/>
            </w:rPr>
            <w:fldChar w:fldCharType="end"/>
          </w:r>
        </w:sdtContent>
      </w:sdt>
      <w:r w:rsidR="00A6674F" w:rsidRPr="00203811">
        <w:rPr>
          <w:rFonts w:ascii="Times New Roman" w:hAnsi="Times New Roman" w:cs="Times New Roman"/>
          <w:color w:val="000000" w:themeColor="text1"/>
          <w:sz w:val="24"/>
          <w:szCs w:val="24"/>
        </w:rPr>
        <w:t>[Accessed 2</w:t>
      </w:r>
      <w:r w:rsidR="00203811" w:rsidRPr="00203811">
        <w:rPr>
          <w:rFonts w:ascii="Times New Roman" w:hAnsi="Times New Roman" w:cs="Times New Roman"/>
          <w:color w:val="000000" w:themeColor="text1"/>
          <w:sz w:val="24"/>
          <w:szCs w:val="24"/>
        </w:rPr>
        <w:t>0</w:t>
      </w:r>
      <w:r w:rsidR="00A6674F" w:rsidRPr="00203811">
        <w:rPr>
          <w:rFonts w:ascii="Times New Roman" w:hAnsi="Times New Roman" w:cs="Times New Roman"/>
          <w:color w:val="000000" w:themeColor="text1"/>
          <w:sz w:val="24"/>
          <w:szCs w:val="24"/>
        </w:rPr>
        <w:t xml:space="preserve"> March 2024].</w:t>
      </w:r>
      <w:r w:rsidR="00203811" w:rsidRPr="00203811">
        <w:rPr>
          <w:rFonts w:ascii="Times New Roman" w:hAnsi="Times New Roman" w:cs="Times New Roman"/>
          <w:color w:val="000000" w:themeColor="text1"/>
          <w:sz w:val="24"/>
          <w:szCs w:val="24"/>
        </w:rPr>
        <w:t xml:space="preserve"> </w:t>
      </w:r>
    </w:p>
    <w:p w14:paraId="3CD85A2D" w14:textId="1DE381AA" w:rsidR="00203811" w:rsidRPr="003450B7" w:rsidRDefault="00203811" w:rsidP="00203811">
      <w:pPr>
        <w:pStyle w:val="NoSpacing"/>
        <w:numPr>
          <w:ilvl w:val="0"/>
          <w:numId w:val="4"/>
        </w:num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882288411"/>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Buc19 \l 2057 </w:instrText>
          </w:r>
          <w:r>
            <w:rPr>
              <w:rFonts w:ascii="Times New Roman" w:hAnsi="Times New Roman" w:cs="Times New Roman"/>
              <w:color w:val="000000" w:themeColor="text1"/>
              <w:sz w:val="24"/>
              <w:szCs w:val="24"/>
            </w:rPr>
            <w:fldChar w:fldCharType="separate"/>
          </w:r>
          <w:r w:rsidRPr="00203811">
            <w:rPr>
              <w:rFonts w:ascii="Times New Roman" w:hAnsi="Times New Roman" w:cs="Times New Roman"/>
              <w:noProof/>
              <w:color w:val="000000" w:themeColor="text1"/>
              <w:sz w:val="24"/>
              <w:szCs w:val="24"/>
            </w:rPr>
            <w:t>(Buckley, 2019)</w:t>
          </w:r>
          <w:r>
            <w:rPr>
              <w:rFonts w:ascii="Times New Roman" w:hAnsi="Times New Roman" w:cs="Times New Roman"/>
              <w:color w:val="000000" w:themeColor="text1"/>
              <w:sz w:val="24"/>
              <w:szCs w:val="24"/>
            </w:rPr>
            <w:fldChar w:fldCharType="end"/>
          </w:r>
        </w:sdtContent>
      </w:sdt>
      <w:r w:rsidRPr="003450B7">
        <w:rPr>
          <w:rFonts w:ascii="Times New Roman" w:hAnsi="Times New Roman" w:cs="Times New Roman"/>
          <w:color w:val="000000" w:themeColor="text1"/>
          <w:sz w:val="24"/>
          <w:szCs w:val="24"/>
        </w:rPr>
        <w:t xml:space="preserve">. </w:t>
      </w:r>
      <w:r w:rsidRPr="003450B7">
        <w:rPr>
          <w:rFonts w:ascii="Times New Roman" w:hAnsi="Times New Roman" w:cs="Times New Roman"/>
          <w:noProof/>
          <w:color w:val="000000" w:themeColor="text1"/>
          <w:sz w:val="24"/>
          <w:szCs w:val="24"/>
        </w:rPr>
        <w:t>[</w:t>
      </w:r>
      <w:r w:rsidRPr="003450B7">
        <w:rPr>
          <w:rFonts w:ascii="Times New Roman" w:hAnsi="Times New Roman" w:cs="Times New Roman"/>
          <w:color w:val="000000" w:themeColor="text1"/>
          <w:sz w:val="24"/>
          <w:szCs w:val="24"/>
        </w:rPr>
        <w:t xml:space="preserve">Accessed </w:t>
      </w:r>
      <w:r>
        <w:rPr>
          <w:rFonts w:ascii="Times New Roman" w:hAnsi="Times New Roman" w:cs="Times New Roman"/>
          <w:color w:val="000000" w:themeColor="text1"/>
          <w:sz w:val="24"/>
          <w:szCs w:val="24"/>
        </w:rPr>
        <w:t>24</w:t>
      </w:r>
      <w:r w:rsidRPr="003450B7">
        <w:rPr>
          <w:rFonts w:ascii="Times New Roman" w:hAnsi="Times New Roman" w:cs="Times New Roman"/>
          <w:color w:val="000000" w:themeColor="text1"/>
          <w:sz w:val="24"/>
          <w:szCs w:val="24"/>
        </w:rPr>
        <w:t xml:space="preserve"> March 2024]</w:t>
      </w:r>
    </w:p>
    <w:p w14:paraId="5557C2E1" w14:textId="77777777" w:rsidR="00A825BB" w:rsidRPr="003450B7" w:rsidRDefault="00A825BB" w:rsidP="00A825BB">
      <w:pPr>
        <w:pStyle w:val="NoSpacing"/>
        <w:rPr>
          <w:rFonts w:ascii="Times New Roman" w:hAnsi="Times New Roman" w:cs="Times New Roman"/>
          <w:color w:val="000000" w:themeColor="text1"/>
          <w:sz w:val="24"/>
          <w:szCs w:val="24"/>
          <w:lang w:eastAsia="en-GB"/>
        </w:rPr>
      </w:pPr>
    </w:p>
    <w:p w14:paraId="60509454" w14:textId="77777777" w:rsidR="005A35E1" w:rsidRPr="003450B7" w:rsidRDefault="005A35E1" w:rsidP="00A825BB">
      <w:pPr>
        <w:pStyle w:val="NoSpacing"/>
        <w:rPr>
          <w:rFonts w:ascii="Times New Roman" w:hAnsi="Times New Roman" w:cs="Times New Roman"/>
          <w:color w:val="000000" w:themeColor="text1"/>
          <w:sz w:val="24"/>
          <w:szCs w:val="24"/>
          <w:lang w:eastAsia="en-GB"/>
        </w:rPr>
      </w:pPr>
    </w:p>
    <w:p w14:paraId="66851E26" w14:textId="77777777" w:rsidR="00D92C6F" w:rsidRPr="003450B7" w:rsidRDefault="00D92C6F" w:rsidP="00A825BB">
      <w:pPr>
        <w:pStyle w:val="NoSpacing"/>
        <w:rPr>
          <w:rFonts w:ascii="Times New Roman" w:hAnsi="Times New Roman" w:cs="Times New Roman"/>
          <w:color w:val="000000" w:themeColor="text1"/>
          <w:sz w:val="24"/>
          <w:szCs w:val="24"/>
        </w:rPr>
      </w:pPr>
    </w:p>
    <w:sectPr w:rsidR="00D92C6F" w:rsidRPr="003450B7" w:rsidSect="006F43A0">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24702" w14:textId="77777777" w:rsidR="006F43A0" w:rsidRDefault="006F43A0" w:rsidP="00B25863">
      <w:pPr>
        <w:spacing w:after="0" w:line="240" w:lineRule="auto"/>
      </w:pPr>
      <w:r>
        <w:separator/>
      </w:r>
    </w:p>
  </w:endnote>
  <w:endnote w:type="continuationSeparator" w:id="0">
    <w:p w14:paraId="600A0084" w14:textId="77777777" w:rsidR="006F43A0" w:rsidRDefault="006F43A0" w:rsidP="00B258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4914893"/>
      <w:docPartObj>
        <w:docPartGallery w:val="Page Numbers (Bottom of Page)"/>
        <w:docPartUnique/>
      </w:docPartObj>
    </w:sdtPr>
    <w:sdtEndPr>
      <w:rPr>
        <w:noProof/>
      </w:rPr>
    </w:sdtEndPr>
    <w:sdtContent>
      <w:p w14:paraId="5C89CF0B" w14:textId="6FEE3E25" w:rsidR="00B25863" w:rsidRDefault="00B258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9814AA" w14:textId="77777777" w:rsidR="00B25863" w:rsidRDefault="00B258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97768" w14:textId="77777777" w:rsidR="006F43A0" w:rsidRDefault="006F43A0" w:rsidP="00B25863">
      <w:pPr>
        <w:spacing w:after="0" w:line="240" w:lineRule="auto"/>
      </w:pPr>
      <w:r>
        <w:separator/>
      </w:r>
    </w:p>
  </w:footnote>
  <w:footnote w:type="continuationSeparator" w:id="0">
    <w:p w14:paraId="53B91156" w14:textId="77777777" w:rsidR="006F43A0" w:rsidRDefault="006F43A0" w:rsidP="00B258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738D4"/>
    <w:multiLevelType w:val="hybridMultilevel"/>
    <w:tmpl w:val="F7506656"/>
    <w:lvl w:ilvl="0" w:tplc="F850D1BE">
      <w:start w:val="1"/>
      <w:numFmt w:val="decimal"/>
      <w:lvlText w:val="%1."/>
      <w:lvlJc w:val="left"/>
      <w:pPr>
        <w:ind w:left="720" w:hanging="360"/>
      </w:pPr>
      <w:rPr>
        <w:rFonts w:asciiTheme="majorHAnsi" w:eastAsiaTheme="majorEastAsia" w:hAnsiTheme="majorHAnsi" w:cstheme="majorBidi" w:hint="default"/>
        <w:b w:val="0"/>
        <w:color w:val="1F3763" w:themeColor="accent1" w:themeShade="7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3F6754"/>
    <w:multiLevelType w:val="multilevel"/>
    <w:tmpl w:val="BD98E5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B54DE8"/>
    <w:multiLevelType w:val="multilevel"/>
    <w:tmpl w:val="220C6774"/>
    <w:lvl w:ilvl="0">
      <w:start w:val="1"/>
      <w:numFmt w:val="decimal"/>
      <w:lvlText w:val="%1."/>
      <w:lvlJc w:val="left"/>
      <w:pPr>
        <w:tabs>
          <w:tab w:val="num" w:pos="501"/>
        </w:tabs>
        <w:ind w:left="501" w:hanging="360"/>
      </w:pPr>
    </w:lvl>
    <w:lvl w:ilvl="1">
      <w:start w:val="1"/>
      <w:numFmt w:val="bullet"/>
      <w:lvlText w:val=""/>
      <w:lvlJc w:val="left"/>
      <w:pPr>
        <w:tabs>
          <w:tab w:val="num" w:pos="1221"/>
        </w:tabs>
        <w:ind w:left="1221" w:hanging="360"/>
      </w:pPr>
      <w:rPr>
        <w:rFonts w:ascii="Symbol" w:hAnsi="Symbol" w:hint="default"/>
        <w:sz w:val="20"/>
      </w:rPr>
    </w:lvl>
    <w:lvl w:ilvl="2" w:tentative="1">
      <w:start w:val="1"/>
      <w:numFmt w:val="decimal"/>
      <w:lvlText w:val="%3."/>
      <w:lvlJc w:val="left"/>
      <w:pPr>
        <w:tabs>
          <w:tab w:val="num" w:pos="1941"/>
        </w:tabs>
        <w:ind w:left="1941" w:hanging="360"/>
      </w:pPr>
    </w:lvl>
    <w:lvl w:ilvl="3" w:tentative="1">
      <w:start w:val="1"/>
      <w:numFmt w:val="decimal"/>
      <w:lvlText w:val="%4."/>
      <w:lvlJc w:val="left"/>
      <w:pPr>
        <w:tabs>
          <w:tab w:val="num" w:pos="2661"/>
        </w:tabs>
        <w:ind w:left="2661" w:hanging="360"/>
      </w:pPr>
    </w:lvl>
    <w:lvl w:ilvl="4" w:tentative="1">
      <w:start w:val="1"/>
      <w:numFmt w:val="decimal"/>
      <w:lvlText w:val="%5."/>
      <w:lvlJc w:val="left"/>
      <w:pPr>
        <w:tabs>
          <w:tab w:val="num" w:pos="3381"/>
        </w:tabs>
        <w:ind w:left="3381" w:hanging="360"/>
      </w:pPr>
    </w:lvl>
    <w:lvl w:ilvl="5" w:tentative="1">
      <w:start w:val="1"/>
      <w:numFmt w:val="decimal"/>
      <w:lvlText w:val="%6."/>
      <w:lvlJc w:val="left"/>
      <w:pPr>
        <w:tabs>
          <w:tab w:val="num" w:pos="4101"/>
        </w:tabs>
        <w:ind w:left="4101" w:hanging="360"/>
      </w:pPr>
    </w:lvl>
    <w:lvl w:ilvl="6" w:tentative="1">
      <w:start w:val="1"/>
      <w:numFmt w:val="decimal"/>
      <w:lvlText w:val="%7."/>
      <w:lvlJc w:val="left"/>
      <w:pPr>
        <w:tabs>
          <w:tab w:val="num" w:pos="4821"/>
        </w:tabs>
        <w:ind w:left="4821" w:hanging="360"/>
      </w:pPr>
    </w:lvl>
    <w:lvl w:ilvl="7" w:tentative="1">
      <w:start w:val="1"/>
      <w:numFmt w:val="decimal"/>
      <w:lvlText w:val="%8."/>
      <w:lvlJc w:val="left"/>
      <w:pPr>
        <w:tabs>
          <w:tab w:val="num" w:pos="5541"/>
        </w:tabs>
        <w:ind w:left="5541" w:hanging="360"/>
      </w:pPr>
    </w:lvl>
    <w:lvl w:ilvl="8" w:tentative="1">
      <w:start w:val="1"/>
      <w:numFmt w:val="decimal"/>
      <w:lvlText w:val="%9."/>
      <w:lvlJc w:val="left"/>
      <w:pPr>
        <w:tabs>
          <w:tab w:val="num" w:pos="6261"/>
        </w:tabs>
        <w:ind w:left="6261" w:hanging="360"/>
      </w:pPr>
    </w:lvl>
  </w:abstractNum>
  <w:abstractNum w:abstractNumId="3" w15:restartNumberingAfterBreak="0">
    <w:nsid w:val="38A54408"/>
    <w:multiLevelType w:val="multilevel"/>
    <w:tmpl w:val="5A8AD3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4C11E7"/>
    <w:multiLevelType w:val="multilevel"/>
    <w:tmpl w:val="1A241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FA4DF4"/>
    <w:multiLevelType w:val="multilevel"/>
    <w:tmpl w:val="B8761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7A6072"/>
    <w:multiLevelType w:val="multilevel"/>
    <w:tmpl w:val="9A5AD33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0C23EC"/>
    <w:multiLevelType w:val="hybridMultilevel"/>
    <w:tmpl w:val="727EE4E6"/>
    <w:lvl w:ilvl="0" w:tplc="74CC1F7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1B2F77"/>
    <w:multiLevelType w:val="hybridMultilevel"/>
    <w:tmpl w:val="1182287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FA34D0"/>
    <w:multiLevelType w:val="multilevel"/>
    <w:tmpl w:val="B7F60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C064B83"/>
    <w:multiLevelType w:val="hybridMultilevel"/>
    <w:tmpl w:val="D8DC108E"/>
    <w:lvl w:ilvl="0" w:tplc="10F252C6">
      <w:start w:val="3"/>
      <w:numFmt w:val="decimal"/>
      <w:lvlText w:val="%1."/>
      <w:lvlJc w:val="left"/>
      <w:pPr>
        <w:ind w:left="720" w:hanging="360"/>
      </w:pPr>
      <w:rPr>
        <w:rFonts w:asciiTheme="majorHAnsi" w:eastAsiaTheme="majorEastAsia" w:hAnsiTheme="majorHAnsi" w:cstheme="majorBidi" w:hint="default"/>
        <w:b w:val="0"/>
        <w:color w:val="1F3763" w:themeColor="accent1" w:themeShade="7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BD2883"/>
    <w:multiLevelType w:val="hybridMultilevel"/>
    <w:tmpl w:val="69F0AE9A"/>
    <w:lvl w:ilvl="0" w:tplc="0BA62B1E">
      <w:start w:val="5"/>
      <w:numFmt w:val="decimal"/>
      <w:lvlText w:val="%1."/>
      <w:lvlJc w:val="left"/>
      <w:pPr>
        <w:ind w:left="861" w:hanging="360"/>
      </w:pPr>
      <w:rPr>
        <w:rFonts w:asciiTheme="majorHAnsi" w:eastAsiaTheme="majorEastAsia" w:hAnsiTheme="majorHAnsi" w:cstheme="majorBidi" w:hint="default"/>
        <w:b w:val="0"/>
        <w:color w:val="1F3763" w:themeColor="accent1" w:themeShade="7F"/>
      </w:rPr>
    </w:lvl>
    <w:lvl w:ilvl="1" w:tplc="08090019">
      <w:start w:val="1"/>
      <w:numFmt w:val="lowerLetter"/>
      <w:lvlText w:val="%2."/>
      <w:lvlJc w:val="left"/>
      <w:pPr>
        <w:ind w:left="1581" w:hanging="360"/>
      </w:pPr>
    </w:lvl>
    <w:lvl w:ilvl="2" w:tplc="0809001B" w:tentative="1">
      <w:start w:val="1"/>
      <w:numFmt w:val="lowerRoman"/>
      <w:lvlText w:val="%3."/>
      <w:lvlJc w:val="right"/>
      <w:pPr>
        <w:ind w:left="2301" w:hanging="180"/>
      </w:pPr>
    </w:lvl>
    <w:lvl w:ilvl="3" w:tplc="0809000F" w:tentative="1">
      <w:start w:val="1"/>
      <w:numFmt w:val="decimal"/>
      <w:lvlText w:val="%4."/>
      <w:lvlJc w:val="left"/>
      <w:pPr>
        <w:ind w:left="3021" w:hanging="360"/>
      </w:pPr>
    </w:lvl>
    <w:lvl w:ilvl="4" w:tplc="08090019" w:tentative="1">
      <w:start w:val="1"/>
      <w:numFmt w:val="lowerLetter"/>
      <w:lvlText w:val="%5."/>
      <w:lvlJc w:val="left"/>
      <w:pPr>
        <w:ind w:left="3741" w:hanging="360"/>
      </w:pPr>
    </w:lvl>
    <w:lvl w:ilvl="5" w:tplc="0809001B" w:tentative="1">
      <w:start w:val="1"/>
      <w:numFmt w:val="lowerRoman"/>
      <w:lvlText w:val="%6."/>
      <w:lvlJc w:val="right"/>
      <w:pPr>
        <w:ind w:left="4461" w:hanging="180"/>
      </w:pPr>
    </w:lvl>
    <w:lvl w:ilvl="6" w:tplc="0809000F" w:tentative="1">
      <w:start w:val="1"/>
      <w:numFmt w:val="decimal"/>
      <w:lvlText w:val="%7."/>
      <w:lvlJc w:val="left"/>
      <w:pPr>
        <w:ind w:left="5181" w:hanging="360"/>
      </w:pPr>
    </w:lvl>
    <w:lvl w:ilvl="7" w:tplc="08090019" w:tentative="1">
      <w:start w:val="1"/>
      <w:numFmt w:val="lowerLetter"/>
      <w:lvlText w:val="%8."/>
      <w:lvlJc w:val="left"/>
      <w:pPr>
        <w:ind w:left="5901" w:hanging="360"/>
      </w:pPr>
    </w:lvl>
    <w:lvl w:ilvl="8" w:tplc="0809001B" w:tentative="1">
      <w:start w:val="1"/>
      <w:numFmt w:val="lowerRoman"/>
      <w:lvlText w:val="%9."/>
      <w:lvlJc w:val="right"/>
      <w:pPr>
        <w:ind w:left="6621" w:hanging="180"/>
      </w:pPr>
    </w:lvl>
  </w:abstractNum>
  <w:num w:numId="1" w16cid:durableId="5636633">
    <w:abstractNumId w:val="1"/>
  </w:num>
  <w:num w:numId="2" w16cid:durableId="1886940889">
    <w:abstractNumId w:val="3"/>
  </w:num>
  <w:num w:numId="3" w16cid:durableId="403767627">
    <w:abstractNumId w:val="6"/>
  </w:num>
  <w:num w:numId="4" w16cid:durableId="1541432803">
    <w:abstractNumId w:val="4"/>
  </w:num>
  <w:num w:numId="5" w16cid:durableId="667831539">
    <w:abstractNumId w:val="2"/>
  </w:num>
  <w:num w:numId="6" w16cid:durableId="391971289">
    <w:abstractNumId w:val="8"/>
  </w:num>
  <w:num w:numId="7" w16cid:durableId="1458451753">
    <w:abstractNumId w:val="9"/>
  </w:num>
  <w:num w:numId="8" w16cid:durableId="2032611075">
    <w:abstractNumId w:val="5"/>
  </w:num>
  <w:num w:numId="9" w16cid:durableId="925652021">
    <w:abstractNumId w:val="7"/>
  </w:num>
  <w:num w:numId="10" w16cid:durableId="1902788415">
    <w:abstractNumId w:val="10"/>
  </w:num>
  <w:num w:numId="11" w16cid:durableId="626081852">
    <w:abstractNumId w:val="0"/>
  </w:num>
  <w:num w:numId="12" w16cid:durableId="159043065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25B4D"/>
    <w:rsid w:val="00093FF9"/>
    <w:rsid w:val="00155F09"/>
    <w:rsid w:val="001A0798"/>
    <w:rsid w:val="001C048C"/>
    <w:rsid w:val="00203811"/>
    <w:rsid w:val="002F0E66"/>
    <w:rsid w:val="0030679F"/>
    <w:rsid w:val="003104D5"/>
    <w:rsid w:val="003450B7"/>
    <w:rsid w:val="003E11EF"/>
    <w:rsid w:val="00503340"/>
    <w:rsid w:val="005A35E1"/>
    <w:rsid w:val="005F65BB"/>
    <w:rsid w:val="00623154"/>
    <w:rsid w:val="006F43A0"/>
    <w:rsid w:val="008066CF"/>
    <w:rsid w:val="0094684B"/>
    <w:rsid w:val="00970990"/>
    <w:rsid w:val="00A6674F"/>
    <w:rsid w:val="00A825BB"/>
    <w:rsid w:val="00AE7B2E"/>
    <w:rsid w:val="00B25863"/>
    <w:rsid w:val="00BD2B05"/>
    <w:rsid w:val="00CA1019"/>
    <w:rsid w:val="00D20C40"/>
    <w:rsid w:val="00D92C6F"/>
    <w:rsid w:val="00E25B4D"/>
    <w:rsid w:val="00F2545D"/>
    <w:rsid w:val="00FA2802"/>
    <w:rsid w:val="00FC12B6"/>
    <w:rsid w:val="00FE1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983FCF"/>
  <w15:chartTrackingRefBased/>
  <w15:docId w15:val="{FDBF1C8B-1FB1-4246-954C-6725B9E24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0C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0C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20C4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101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3104D5"/>
    <w:rPr>
      <w:b/>
      <w:bCs/>
    </w:rPr>
  </w:style>
  <w:style w:type="paragraph" w:styleId="NoSpacing">
    <w:name w:val="No Spacing"/>
    <w:link w:val="NoSpacingChar"/>
    <w:uiPriority w:val="1"/>
    <w:qFormat/>
    <w:rsid w:val="003104D5"/>
    <w:pPr>
      <w:spacing w:after="0" w:line="240" w:lineRule="auto"/>
    </w:pPr>
  </w:style>
  <w:style w:type="paragraph" w:styleId="ListParagraph">
    <w:name w:val="List Paragraph"/>
    <w:basedOn w:val="Normal"/>
    <w:uiPriority w:val="34"/>
    <w:qFormat/>
    <w:rsid w:val="001A0798"/>
    <w:pPr>
      <w:ind w:left="720"/>
      <w:contextualSpacing/>
    </w:pPr>
  </w:style>
  <w:style w:type="character" w:styleId="Emphasis">
    <w:name w:val="Emphasis"/>
    <w:basedOn w:val="DefaultParagraphFont"/>
    <w:uiPriority w:val="20"/>
    <w:qFormat/>
    <w:rsid w:val="00A825BB"/>
    <w:rPr>
      <w:i/>
      <w:iCs/>
    </w:rPr>
  </w:style>
  <w:style w:type="character" w:customStyle="1" w:styleId="NoSpacingChar">
    <w:name w:val="No Spacing Char"/>
    <w:basedOn w:val="DefaultParagraphFont"/>
    <w:link w:val="NoSpacing"/>
    <w:uiPriority w:val="1"/>
    <w:rsid w:val="003E11EF"/>
  </w:style>
  <w:style w:type="character" w:styleId="LineNumber">
    <w:name w:val="line number"/>
    <w:basedOn w:val="DefaultParagraphFont"/>
    <w:uiPriority w:val="99"/>
    <w:semiHidden/>
    <w:unhideWhenUsed/>
    <w:rsid w:val="00B25863"/>
  </w:style>
  <w:style w:type="paragraph" w:styleId="Header">
    <w:name w:val="header"/>
    <w:basedOn w:val="Normal"/>
    <w:link w:val="HeaderChar"/>
    <w:uiPriority w:val="99"/>
    <w:unhideWhenUsed/>
    <w:rsid w:val="00B258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863"/>
  </w:style>
  <w:style w:type="paragraph" w:styleId="Footer">
    <w:name w:val="footer"/>
    <w:basedOn w:val="Normal"/>
    <w:link w:val="FooterChar"/>
    <w:uiPriority w:val="99"/>
    <w:unhideWhenUsed/>
    <w:rsid w:val="00B258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5863"/>
  </w:style>
  <w:style w:type="character" w:customStyle="1" w:styleId="Heading1Char">
    <w:name w:val="Heading 1 Char"/>
    <w:basedOn w:val="DefaultParagraphFont"/>
    <w:link w:val="Heading1"/>
    <w:uiPriority w:val="9"/>
    <w:rsid w:val="00D20C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0C40"/>
    <w:pPr>
      <w:outlineLvl w:val="9"/>
    </w:pPr>
    <w:rPr>
      <w:kern w:val="0"/>
      <w:lang w:val="en-US"/>
    </w:rPr>
  </w:style>
  <w:style w:type="paragraph" w:styleId="TOC2">
    <w:name w:val="toc 2"/>
    <w:basedOn w:val="Normal"/>
    <w:next w:val="Normal"/>
    <w:autoRedefine/>
    <w:uiPriority w:val="39"/>
    <w:unhideWhenUsed/>
    <w:rsid w:val="00D20C40"/>
    <w:pPr>
      <w:spacing w:after="100"/>
      <w:ind w:left="220"/>
    </w:pPr>
    <w:rPr>
      <w:rFonts w:eastAsiaTheme="minorEastAsia" w:cs="Times New Roman"/>
      <w:kern w:val="0"/>
      <w:lang w:val="en-US"/>
    </w:rPr>
  </w:style>
  <w:style w:type="paragraph" w:styleId="TOC1">
    <w:name w:val="toc 1"/>
    <w:basedOn w:val="Normal"/>
    <w:next w:val="Normal"/>
    <w:autoRedefine/>
    <w:uiPriority w:val="39"/>
    <w:unhideWhenUsed/>
    <w:rsid w:val="00D20C40"/>
    <w:pPr>
      <w:spacing w:after="100"/>
    </w:pPr>
    <w:rPr>
      <w:rFonts w:eastAsiaTheme="minorEastAsia" w:cs="Times New Roman"/>
      <w:kern w:val="0"/>
      <w:lang w:val="en-US"/>
    </w:rPr>
  </w:style>
  <w:style w:type="paragraph" w:styleId="TOC3">
    <w:name w:val="toc 3"/>
    <w:basedOn w:val="Normal"/>
    <w:next w:val="Normal"/>
    <w:autoRedefine/>
    <w:uiPriority w:val="39"/>
    <w:unhideWhenUsed/>
    <w:rsid w:val="00D20C40"/>
    <w:pPr>
      <w:spacing w:after="100"/>
      <w:ind w:left="440"/>
    </w:pPr>
    <w:rPr>
      <w:rFonts w:eastAsiaTheme="minorEastAsia" w:cs="Times New Roman"/>
      <w:kern w:val="0"/>
      <w:lang w:val="en-US"/>
    </w:rPr>
  </w:style>
  <w:style w:type="character" w:customStyle="1" w:styleId="Heading2Char">
    <w:name w:val="Heading 2 Char"/>
    <w:basedOn w:val="DefaultParagraphFont"/>
    <w:link w:val="Heading2"/>
    <w:uiPriority w:val="9"/>
    <w:rsid w:val="00D20C4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20C40"/>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94684B"/>
    <w:rPr>
      <w:color w:val="0563C1" w:themeColor="hyperlink"/>
      <w:u w:val="single"/>
    </w:rPr>
  </w:style>
  <w:style w:type="paragraph" w:styleId="Bibliography">
    <w:name w:val="Bibliography"/>
    <w:basedOn w:val="Normal"/>
    <w:next w:val="Normal"/>
    <w:uiPriority w:val="37"/>
    <w:unhideWhenUsed/>
    <w:rsid w:val="00FA28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29583">
      <w:bodyDiv w:val="1"/>
      <w:marLeft w:val="0"/>
      <w:marRight w:val="0"/>
      <w:marTop w:val="0"/>
      <w:marBottom w:val="0"/>
      <w:divBdr>
        <w:top w:val="none" w:sz="0" w:space="0" w:color="auto"/>
        <w:left w:val="none" w:sz="0" w:space="0" w:color="auto"/>
        <w:bottom w:val="none" w:sz="0" w:space="0" w:color="auto"/>
        <w:right w:val="none" w:sz="0" w:space="0" w:color="auto"/>
      </w:divBdr>
    </w:div>
    <w:div w:id="446437186">
      <w:bodyDiv w:val="1"/>
      <w:marLeft w:val="0"/>
      <w:marRight w:val="0"/>
      <w:marTop w:val="0"/>
      <w:marBottom w:val="0"/>
      <w:divBdr>
        <w:top w:val="none" w:sz="0" w:space="0" w:color="auto"/>
        <w:left w:val="none" w:sz="0" w:space="0" w:color="auto"/>
        <w:bottom w:val="none" w:sz="0" w:space="0" w:color="auto"/>
        <w:right w:val="none" w:sz="0" w:space="0" w:color="auto"/>
      </w:divBdr>
    </w:div>
    <w:div w:id="461459092">
      <w:bodyDiv w:val="1"/>
      <w:marLeft w:val="0"/>
      <w:marRight w:val="0"/>
      <w:marTop w:val="0"/>
      <w:marBottom w:val="0"/>
      <w:divBdr>
        <w:top w:val="none" w:sz="0" w:space="0" w:color="auto"/>
        <w:left w:val="none" w:sz="0" w:space="0" w:color="auto"/>
        <w:bottom w:val="none" w:sz="0" w:space="0" w:color="auto"/>
        <w:right w:val="none" w:sz="0" w:space="0" w:color="auto"/>
      </w:divBdr>
    </w:div>
    <w:div w:id="580067206">
      <w:bodyDiv w:val="1"/>
      <w:marLeft w:val="0"/>
      <w:marRight w:val="0"/>
      <w:marTop w:val="0"/>
      <w:marBottom w:val="0"/>
      <w:divBdr>
        <w:top w:val="none" w:sz="0" w:space="0" w:color="auto"/>
        <w:left w:val="none" w:sz="0" w:space="0" w:color="auto"/>
        <w:bottom w:val="none" w:sz="0" w:space="0" w:color="auto"/>
        <w:right w:val="none" w:sz="0" w:space="0" w:color="auto"/>
      </w:divBdr>
    </w:div>
    <w:div w:id="581452724">
      <w:bodyDiv w:val="1"/>
      <w:marLeft w:val="0"/>
      <w:marRight w:val="0"/>
      <w:marTop w:val="0"/>
      <w:marBottom w:val="0"/>
      <w:divBdr>
        <w:top w:val="none" w:sz="0" w:space="0" w:color="auto"/>
        <w:left w:val="none" w:sz="0" w:space="0" w:color="auto"/>
        <w:bottom w:val="none" w:sz="0" w:space="0" w:color="auto"/>
        <w:right w:val="none" w:sz="0" w:space="0" w:color="auto"/>
      </w:divBdr>
    </w:div>
    <w:div w:id="599290502">
      <w:bodyDiv w:val="1"/>
      <w:marLeft w:val="0"/>
      <w:marRight w:val="0"/>
      <w:marTop w:val="0"/>
      <w:marBottom w:val="0"/>
      <w:divBdr>
        <w:top w:val="none" w:sz="0" w:space="0" w:color="auto"/>
        <w:left w:val="none" w:sz="0" w:space="0" w:color="auto"/>
        <w:bottom w:val="none" w:sz="0" w:space="0" w:color="auto"/>
        <w:right w:val="none" w:sz="0" w:space="0" w:color="auto"/>
      </w:divBdr>
    </w:div>
    <w:div w:id="739013245">
      <w:bodyDiv w:val="1"/>
      <w:marLeft w:val="0"/>
      <w:marRight w:val="0"/>
      <w:marTop w:val="0"/>
      <w:marBottom w:val="0"/>
      <w:divBdr>
        <w:top w:val="none" w:sz="0" w:space="0" w:color="auto"/>
        <w:left w:val="none" w:sz="0" w:space="0" w:color="auto"/>
        <w:bottom w:val="none" w:sz="0" w:space="0" w:color="auto"/>
        <w:right w:val="none" w:sz="0" w:space="0" w:color="auto"/>
      </w:divBdr>
    </w:div>
    <w:div w:id="753475901">
      <w:bodyDiv w:val="1"/>
      <w:marLeft w:val="0"/>
      <w:marRight w:val="0"/>
      <w:marTop w:val="0"/>
      <w:marBottom w:val="0"/>
      <w:divBdr>
        <w:top w:val="none" w:sz="0" w:space="0" w:color="auto"/>
        <w:left w:val="none" w:sz="0" w:space="0" w:color="auto"/>
        <w:bottom w:val="none" w:sz="0" w:space="0" w:color="auto"/>
        <w:right w:val="none" w:sz="0" w:space="0" w:color="auto"/>
      </w:divBdr>
    </w:div>
    <w:div w:id="965890348">
      <w:bodyDiv w:val="1"/>
      <w:marLeft w:val="0"/>
      <w:marRight w:val="0"/>
      <w:marTop w:val="0"/>
      <w:marBottom w:val="0"/>
      <w:divBdr>
        <w:top w:val="none" w:sz="0" w:space="0" w:color="auto"/>
        <w:left w:val="none" w:sz="0" w:space="0" w:color="auto"/>
        <w:bottom w:val="none" w:sz="0" w:space="0" w:color="auto"/>
        <w:right w:val="none" w:sz="0" w:space="0" w:color="auto"/>
      </w:divBdr>
    </w:div>
    <w:div w:id="1140075387">
      <w:bodyDiv w:val="1"/>
      <w:marLeft w:val="0"/>
      <w:marRight w:val="0"/>
      <w:marTop w:val="0"/>
      <w:marBottom w:val="0"/>
      <w:divBdr>
        <w:top w:val="none" w:sz="0" w:space="0" w:color="auto"/>
        <w:left w:val="none" w:sz="0" w:space="0" w:color="auto"/>
        <w:bottom w:val="none" w:sz="0" w:space="0" w:color="auto"/>
        <w:right w:val="none" w:sz="0" w:space="0" w:color="auto"/>
      </w:divBdr>
    </w:div>
    <w:div w:id="1174422461">
      <w:bodyDiv w:val="1"/>
      <w:marLeft w:val="0"/>
      <w:marRight w:val="0"/>
      <w:marTop w:val="0"/>
      <w:marBottom w:val="0"/>
      <w:divBdr>
        <w:top w:val="none" w:sz="0" w:space="0" w:color="auto"/>
        <w:left w:val="none" w:sz="0" w:space="0" w:color="auto"/>
        <w:bottom w:val="none" w:sz="0" w:space="0" w:color="auto"/>
        <w:right w:val="none" w:sz="0" w:space="0" w:color="auto"/>
      </w:divBdr>
    </w:div>
    <w:div w:id="1191718547">
      <w:bodyDiv w:val="1"/>
      <w:marLeft w:val="0"/>
      <w:marRight w:val="0"/>
      <w:marTop w:val="0"/>
      <w:marBottom w:val="0"/>
      <w:divBdr>
        <w:top w:val="none" w:sz="0" w:space="0" w:color="auto"/>
        <w:left w:val="none" w:sz="0" w:space="0" w:color="auto"/>
        <w:bottom w:val="none" w:sz="0" w:space="0" w:color="auto"/>
        <w:right w:val="none" w:sz="0" w:space="0" w:color="auto"/>
      </w:divBdr>
    </w:div>
    <w:div w:id="1279290966">
      <w:bodyDiv w:val="1"/>
      <w:marLeft w:val="0"/>
      <w:marRight w:val="0"/>
      <w:marTop w:val="0"/>
      <w:marBottom w:val="0"/>
      <w:divBdr>
        <w:top w:val="none" w:sz="0" w:space="0" w:color="auto"/>
        <w:left w:val="none" w:sz="0" w:space="0" w:color="auto"/>
        <w:bottom w:val="none" w:sz="0" w:space="0" w:color="auto"/>
        <w:right w:val="none" w:sz="0" w:space="0" w:color="auto"/>
      </w:divBdr>
    </w:div>
    <w:div w:id="1298991918">
      <w:bodyDiv w:val="1"/>
      <w:marLeft w:val="0"/>
      <w:marRight w:val="0"/>
      <w:marTop w:val="0"/>
      <w:marBottom w:val="0"/>
      <w:divBdr>
        <w:top w:val="none" w:sz="0" w:space="0" w:color="auto"/>
        <w:left w:val="none" w:sz="0" w:space="0" w:color="auto"/>
        <w:bottom w:val="none" w:sz="0" w:space="0" w:color="auto"/>
        <w:right w:val="none" w:sz="0" w:space="0" w:color="auto"/>
      </w:divBdr>
    </w:div>
    <w:div w:id="1385450382">
      <w:bodyDiv w:val="1"/>
      <w:marLeft w:val="0"/>
      <w:marRight w:val="0"/>
      <w:marTop w:val="0"/>
      <w:marBottom w:val="0"/>
      <w:divBdr>
        <w:top w:val="none" w:sz="0" w:space="0" w:color="auto"/>
        <w:left w:val="none" w:sz="0" w:space="0" w:color="auto"/>
        <w:bottom w:val="none" w:sz="0" w:space="0" w:color="auto"/>
        <w:right w:val="none" w:sz="0" w:space="0" w:color="auto"/>
      </w:divBdr>
    </w:div>
    <w:div w:id="1410149465">
      <w:bodyDiv w:val="1"/>
      <w:marLeft w:val="0"/>
      <w:marRight w:val="0"/>
      <w:marTop w:val="0"/>
      <w:marBottom w:val="0"/>
      <w:divBdr>
        <w:top w:val="none" w:sz="0" w:space="0" w:color="auto"/>
        <w:left w:val="none" w:sz="0" w:space="0" w:color="auto"/>
        <w:bottom w:val="none" w:sz="0" w:space="0" w:color="auto"/>
        <w:right w:val="none" w:sz="0" w:space="0" w:color="auto"/>
      </w:divBdr>
    </w:div>
    <w:div w:id="1410150696">
      <w:bodyDiv w:val="1"/>
      <w:marLeft w:val="0"/>
      <w:marRight w:val="0"/>
      <w:marTop w:val="0"/>
      <w:marBottom w:val="0"/>
      <w:divBdr>
        <w:top w:val="none" w:sz="0" w:space="0" w:color="auto"/>
        <w:left w:val="none" w:sz="0" w:space="0" w:color="auto"/>
        <w:bottom w:val="none" w:sz="0" w:space="0" w:color="auto"/>
        <w:right w:val="none" w:sz="0" w:space="0" w:color="auto"/>
      </w:divBdr>
    </w:div>
    <w:div w:id="1517452929">
      <w:bodyDiv w:val="1"/>
      <w:marLeft w:val="0"/>
      <w:marRight w:val="0"/>
      <w:marTop w:val="0"/>
      <w:marBottom w:val="0"/>
      <w:divBdr>
        <w:top w:val="none" w:sz="0" w:space="0" w:color="auto"/>
        <w:left w:val="none" w:sz="0" w:space="0" w:color="auto"/>
        <w:bottom w:val="none" w:sz="0" w:space="0" w:color="auto"/>
        <w:right w:val="none" w:sz="0" w:space="0" w:color="auto"/>
      </w:divBdr>
    </w:div>
    <w:div w:id="1661301028">
      <w:bodyDiv w:val="1"/>
      <w:marLeft w:val="0"/>
      <w:marRight w:val="0"/>
      <w:marTop w:val="0"/>
      <w:marBottom w:val="0"/>
      <w:divBdr>
        <w:top w:val="none" w:sz="0" w:space="0" w:color="auto"/>
        <w:left w:val="none" w:sz="0" w:space="0" w:color="auto"/>
        <w:bottom w:val="none" w:sz="0" w:space="0" w:color="auto"/>
        <w:right w:val="none" w:sz="0" w:space="0" w:color="auto"/>
      </w:divBdr>
    </w:div>
    <w:div w:id="1818524166">
      <w:bodyDiv w:val="1"/>
      <w:marLeft w:val="0"/>
      <w:marRight w:val="0"/>
      <w:marTop w:val="0"/>
      <w:marBottom w:val="0"/>
      <w:divBdr>
        <w:top w:val="none" w:sz="0" w:space="0" w:color="auto"/>
        <w:left w:val="none" w:sz="0" w:space="0" w:color="auto"/>
        <w:bottom w:val="none" w:sz="0" w:space="0" w:color="auto"/>
        <w:right w:val="none" w:sz="0" w:space="0" w:color="auto"/>
      </w:divBdr>
    </w:div>
    <w:div w:id="2009944736">
      <w:bodyDiv w:val="1"/>
      <w:marLeft w:val="0"/>
      <w:marRight w:val="0"/>
      <w:marTop w:val="0"/>
      <w:marBottom w:val="0"/>
      <w:divBdr>
        <w:top w:val="none" w:sz="0" w:space="0" w:color="auto"/>
        <w:left w:val="none" w:sz="0" w:space="0" w:color="auto"/>
        <w:bottom w:val="none" w:sz="0" w:space="0" w:color="auto"/>
        <w:right w:val="none" w:sz="0" w:space="0" w:color="auto"/>
      </w:divBdr>
    </w:div>
    <w:div w:id="2099131681">
      <w:bodyDiv w:val="1"/>
      <w:marLeft w:val="0"/>
      <w:marRight w:val="0"/>
      <w:marTop w:val="0"/>
      <w:marBottom w:val="0"/>
      <w:divBdr>
        <w:top w:val="none" w:sz="0" w:space="0" w:color="auto"/>
        <w:left w:val="none" w:sz="0" w:space="0" w:color="auto"/>
        <w:bottom w:val="none" w:sz="0" w:space="0" w:color="auto"/>
        <w:right w:val="none" w:sz="0" w:space="0" w:color="auto"/>
      </w:divBdr>
    </w:div>
    <w:div w:id="2101633069">
      <w:bodyDiv w:val="1"/>
      <w:marLeft w:val="0"/>
      <w:marRight w:val="0"/>
      <w:marTop w:val="0"/>
      <w:marBottom w:val="0"/>
      <w:divBdr>
        <w:top w:val="none" w:sz="0" w:space="0" w:color="auto"/>
        <w:left w:val="none" w:sz="0" w:space="0" w:color="auto"/>
        <w:bottom w:val="none" w:sz="0" w:space="0" w:color="auto"/>
        <w:right w:val="none" w:sz="0" w:space="0" w:color="auto"/>
      </w:divBdr>
    </w:div>
    <w:div w:id="2144224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1Bo24</b:Tag>
    <b:SourceType>Book</b:SourceType>
    <b:Guid>{C6EB6AC1-3291-405A-8FC9-91327AE1299E}</b:Guid>
    <b:Author>
      <b:Author>
        <b:NameList>
          <b:Person>
            <b:Last>Bodnar</b:Last>
            <b:First>G.,</b:First>
            <b:Middle>&amp; Wong, M. (2003).</b:Middle>
          </b:Person>
        </b:NameList>
      </b:Author>
    </b:Author>
    <b:Title> Estimating Exchange Rate Exposures: Some “Weighty” Issues. The Journal of Financial and Quantitative Analysis, 38(4), 819-840</b:Title>
    <b:Year>2003</b:Year>
    <b:Publisher>Bodnar G &amp;Wong</b:Publisher>
    <b:RefOrder>8</b:RefOrder>
  </b:Source>
  <b:Source>
    <b:Tag>All24</b:Tag>
    <b:SourceType>Book</b:SourceType>
    <b:Guid>{74A21B5D-262C-4C02-95A3-40F8405B0753}</b:Guid>
    <b:Author>
      <b:Author>
        <b:NameList>
          <b:Person>
            <b:Last>Allayannis</b:Last>
            <b:First>G.,</b:First>
            <b:Middle>&amp; Ofek, E.</b:Middle>
          </b:Person>
        </b:NameList>
      </b:Author>
    </b:Author>
    <b:Title>Exchange Rate Exposure, Hedging, and the Use of Foreign Currency Derivatives. Journal of International Money and Finance, 20(2), 273-296</b:Title>
    <b:Year>2001</b:Year>
    <b:RefOrder>9</b:RefOrder>
  </b:Source>
  <b:Source>
    <b:Tag>Eit19</b:Tag>
    <b:SourceType>Book</b:SourceType>
    <b:Guid>{D5A375E1-60C8-4C0D-899D-486D3AA97073}</b:Guid>
    <b:Author>
      <b:Author>
        <b:NameList>
          <b:Person>
            <b:Last>Eiteman</b:Last>
            <b:First>D.</b:First>
            <b:Middle>K., Stonehill, A. I., &amp; Moffett, M. H.</b:Middle>
          </b:Person>
        </b:NameList>
      </b:Author>
    </b:Author>
    <b:Title> Multinational Business Finance</b:Title>
    <b:Year>2019</b:Year>
    <b:RefOrder>4</b:RefOrder>
  </b:Source>
  <b:Source>
    <b:Tag>Mad18</b:Tag>
    <b:SourceType>Book</b:SourceType>
    <b:Guid>{E38CC0D5-E3E4-4AFF-9298-5ED0D7C713AB}</b:Guid>
    <b:Author>
      <b:Author>
        <b:NameList>
          <b:Person>
            <b:Last>Madura</b:Last>
            <b:First>J.</b:First>
          </b:Person>
        </b:NameList>
      </b:Author>
    </b:Author>
    <b:Title> International Financial Management. Cengage Learning</b:Title>
    <b:Year>2018</b:Year>
    <b:RefOrder>1</b:RefOrder>
  </b:Source>
  <b:Source>
    <b:Tag>Hul17</b:Tag>
    <b:SourceType>Book</b:SourceType>
    <b:Guid>{528F7972-62D7-4F41-9CA3-0DD24FF718F0}</b:Guid>
    <b:Author>
      <b:Author>
        <b:NameList>
          <b:Person>
            <b:Last>Hull</b:Last>
            <b:First>J.</b:First>
            <b:Middle>C.</b:Middle>
          </b:Person>
        </b:NameList>
      </b:Author>
    </b:Author>
    <b:Title> Options, Futures, and Other Derivatives. Pearson.</b:Title>
    <b:Year>2017</b:Year>
    <b:RefOrder>10</b:RefOrder>
  </b:Source>
  <b:Source>
    <b:Tag>Sha17</b:Tag>
    <b:SourceType>Book</b:SourceType>
    <b:Guid>{76E17429-953D-4874-A2D1-65452D70A375}</b:Guid>
    <b:Author>
      <b:Author>
        <b:NameList>
          <b:Person>
            <b:Last>Shapiro</b:Last>
            <b:First>A.</b:First>
            <b:Middle>C.</b:Middle>
          </b:Person>
        </b:NameList>
      </b:Author>
    </b:Author>
    <b:Title>Multinational Financial Management  </b:Title>
    <b:Year>2017</b:Year>
    <b:RefOrder>5</b:RefOrder>
  </b:Source>
  <b:Source>
    <b:Tag>Bod03</b:Tag>
    <b:SourceType>Book</b:SourceType>
    <b:Guid>{4E5331CC-22EF-4AE9-AF6C-20A27C73678F}</b:Guid>
    <b:Author>
      <b:Author>
        <b:NameList>
          <b:Person>
            <b:Last>Bodnar</b:Last>
            <b:First>G.,</b:First>
            <b:Middle>&amp; Wong, M.</b:Middle>
          </b:Person>
        </b:NameList>
      </b:Author>
    </b:Author>
    <b:Title>  Estimating Exchange Rate Exposures: Some “Weighty” Issues. The Journal of Financial and Quantitative Analysis, 38(4), 819-840</b:Title>
    <b:Year>2003</b:Year>
    <b:RefOrder>3</b:RefOrder>
  </b:Source>
  <b:Source>
    <b:Tag>Buc19</b:Tag>
    <b:SourceType>Book</b:SourceType>
    <b:Guid>{3AF067F3-A7C0-4CCF-9175-481EA8438FED}</b:Guid>
    <b:Author>
      <b:Author>
        <b:NameList>
          <b:Person>
            <b:Last>Buckley</b:Last>
            <b:First>A.,</b:First>
            <b:Middle>&amp; Casson, M</b:Middle>
          </b:Person>
        </b:NameList>
      </b:Author>
    </b:Author>
    <b:Title>The Future of the Multinational Enterprise. Journal of International Business Studies, 50(7), 1036-1042</b:Title>
    <b:Year>2019</b:Year>
    <b:RefOrder>6</b:RefOrder>
  </b:Source>
  <b:Source>
    <b:Tag>Sha171</b:Tag>
    <b:SourceType>Book</b:SourceType>
    <b:Guid>{53CC0BE4-4569-43C0-BE35-02E5705E39FD}</b:Guid>
    <b:Author>
      <b:Author>
        <b:NameList>
          <b:Person>
            <b:Last>Shapiro</b:Last>
            <b:First>A.</b:First>
            <b:Middle>C., John Wiley &amp; Sons.</b:Middle>
          </b:Person>
        </b:NameList>
      </b:Author>
    </b:Author>
    <b:Title>Multinational Financial Management</b:Title>
    <b:Year>2017</b:Year>
    <b:RefOrder>2</b:RefOrder>
  </b:Source>
  <b:Source>
    <b:Tag>Hul171</b:Tag>
    <b:SourceType>Book</b:SourceType>
    <b:Guid>{4242B4C3-9031-4E99-87E0-611612203A9D}</b:Guid>
    <b:Author>
      <b:Author>
        <b:NameList>
          <b:Person>
            <b:Last>Hull</b:Last>
            <b:First>J.</b:First>
            <b:Middle>C.</b:Middle>
          </b:Person>
        </b:NameList>
      </b:Author>
    </b:Author>
    <b:Title>Options, Futures, and Other Derivatives. Pearson.</b:Title>
    <b:Year>2017</b:Year>
    <b:RefOrder>7</b:RefOrder>
  </b:Source>
</b:Sources>
</file>

<file path=customXml/itemProps1.xml><?xml version="1.0" encoding="utf-8"?>
<ds:datastoreItem xmlns:ds="http://schemas.openxmlformats.org/officeDocument/2006/customXml" ds:itemID="{38EA2364-76A5-43E7-8648-D16473904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9</Pages>
  <Words>2103</Words>
  <Characters>11990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5</cp:revision>
  <dcterms:created xsi:type="dcterms:W3CDTF">2024-04-01T17:10:00Z</dcterms:created>
  <dcterms:modified xsi:type="dcterms:W3CDTF">2024-04-02T01:26:00Z</dcterms:modified>
</cp:coreProperties>
</file>