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D42BEC" wp14:paraId="7C4DED7F" wp14:textId="33058C5A">
      <w:pPr>
        <w:spacing w:before="0" w:beforeAutospacing="off" w:after="0" w:afterAutospacing="off"/>
      </w:pPr>
    </w:p>
    <w:p xmlns:wp14="http://schemas.microsoft.com/office/word/2010/wordml" w:rsidP="39D42BEC" wp14:paraId="16663068" wp14:textId="1218A7FA">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Naomie Kalubi </w:t>
      </w:r>
    </w:p>
    <w:p xmlns:wp14="http://schemas.microsoft.com/office/word/2010/wordml" w:rsidP="39D42BEC" wp14:paraId="06445EA1" wp14:textId="491ECEF9">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2530094 </w:t>
      </w:r>
    </w:p>
    <w:p xmlns:wp14="http://schemas.microsoft.com/office/word/2010/wordml" w:rsidP="39D42BEC" wp14:paraId="7EA1CE54" wp14:textId="510FFBF3">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Module Code: LCHS4001 </w:t>
      </w:r>
    </w:p>
    <w:p xmlns:wp14="http://schemas.microsoft.com/office/word/2010/wordml" w:rsidP="39D42BEC" wp14:paraId="228FB04E" wp14:textId="340ED680">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Assignment Title: Written Report - Health and Social Care </w:t>
      </w:r>
    </w:p>
    <w:p xmlns:wp14="http://schemas.microsoft.com/office/word/2010/wordml" w:rsidP="39D42BEC" wp14:paraId="76C21F2D" wp14:textId="7243C044">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Lecturer: Brian Mashumba </w:t>
      </w:r>
    </w:p>
    <w:p xmlns:wp14="http://schemas.microsoft.com/office/word/2010/wordml" w:rsidP="39D42BEC" wp14:paraId="2D569ECF" wp14:textId="7A86D23D">
      <w:pPr>
        <w:spacing w:before="240" w:beforeAutospacing="off" w:after="100" w:afterAutospacing="off"/>
        <w:jc w:val="center"/>
      </w:pPr>
      <w:r w:rsidRPr="39D42BEC" w:rsidR="185F10A2">
        <w:rPr>
          <w:rFonts w:ascii="Times New Roman" w:hAnsi="Times New Roman" w:eastAsia="Times New Roman" w:cs="Times New Roman"/>
          <w:noProof w:val="0"/>
          <w:color w:val="000000" w:themeColor="text1" w:themeTint="FF" w:themeShade="FF"/>
          <w:sz w:val="24"/>
          <w:szCs w:val="24"/>
          <w:lang w:val="en-GB"/>
        </w:rPr>
        <w:t xml:space="preserve">Date: 24th April 2026 </w:t>
      </w:r>
    </w:p>
    <w:p xmlns:wp14="http://schemas.microsoft.com/office/word/2010/wordml" w:rsidP="39D42BEC" wp14:paraId="05ADF932" wp14:textId="0944B85F">
      <w:pPr>
        <w:spacing w:before="0" w:beforeAutospacing="off" w:after="0" w:afterAutospacing="off"/>
      </w:pPr>
    </w:p>
    <w:p xmlns:wp14="http://schemas.microsoft.com/office/word/2010/wordml" w:rsidP="39D42BEC" wp14:paraId="34984B14" wp14:textId="1835F184">
      <w:pPr>
        <w:pStyle w:val="Heading1"/>
        <w:spacing w:before="0" w:beforeAutospacing="off" w:after="120" w:afterAutospacing="off"/>
        <w:jc w:val="cente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Task 1: Individual Video Presentation </w:t>
      </w:r>
    </w:p>
    <w:p xmlns:wp14="http://schemas.microsoft.com/office/word/2010/wordml" w:rsidP="39D42BEC" wp14:paraId="7BED7E9A" wp14:textId="032BE253">
      <w:pPr>
        <w:pStyle w:val="ListParagraph"/>
        <w:numPr>
          <w:ilvl w:val="0"/>
          <w:numId w:val="1"/>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noProof w:val="0"/>
          <w:color w:val="000000" w:themeColor="text1" w:themeTint="FF" w:themeShade="FF"/>
          <w:sz w:val="24"/>
          <w:szCs w:val="24"/>
          <w:lang w:val="en-GB"/>
        </w:rPr>
        <w:t>Introduction: 40 seconds</w:t>
      </w:r>
    </w:p>
    <w:p xmlns:wp14="http://schemas.microsoft.com/office/word/2010/wordml" w:rsidP="39D42BEC" wp14:paraId="2B5FE1C8" wp14:textId="1D9B29DC">
      <w:pPr>
        <w:pStyle w:val="ListParagraph"/>
        <w:numPr>
          <w:ilvl w:val="0"/>
          <w:numId w:val="1"/>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noProof w:val="0"/>
          <w:color w:val="000000" w:themeColor="text1" w:themeTint="FF" w:themeShade="FF"/>
          <w:sz w:val="24"/>
          <w:szCs w:val="24"/>
          <w:lang w:val="en-GB"/>
        </w:rPr>
        <w:t>Research Process: 1 minute 20 seconds</w:t>
      </w:r>
    </w:p>
    <w:p xmlns:wp14="http://schemas.microsoft.com/office/word/2010/wordml" w:rsidP="39D42BEC" wp14:paraId="429AD103" wp14:textId="413F4796">
      <w:pPr>
        <w:pStyle w:val="ListParagraph"/>
        <w:numPr>
          <w:ilvl w:val="0"/>
          <w:numId w:val="1"/>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noProof w:val="0"/>
          <w:color w:val="000000" w:themeColor="text1" w:themeTint="FF" w:themeShade="FF"/>
          <w:sz w:val="24"/>
          <w:szCs w:val="24"/>
          <w:lang w:val="en-GB"/>
        </w:rPr>
        <w:t>CRAAP Test on one source: 1 minute 30 seconds</w:t>
      </w:r>
    </w:p>
    <w:p xmlns:wp14="http://schemas.microsoft.com/office/word/2010/wordml" w:rsidP="39D42BEC" wp14:paraId="18E7B421" wp14:textId="128D0B6B">
      <w:pPr>
        <w:pStyle w:val="ListParagraph"/>
        <w:numPr>
          <w:ilvl w:val="0"/>
          <w:numId w:val="1"/>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noProof w:val="0"/>
          <w:color w:val="000000" w:themeColor="text1" w:themeTint="FF" w:themeShade="FF"/>
          <w:sz w:val="24"/>
          <w:szCs w:val="24"/>
          <w:lang w:val="en-GB"/>
        </w:rPr>
        <w:t>Challenges: 50 seconds</w:t>
      </w:r>
    </w:p>
    <w:p xmlns:wp14="http://schemas.microsoft.com/office/word/2010/wordml" w:rsidP="39D42BEC" wp14:paraId="1DCCFC87" wp14:textId="4315D43A">
      <w:pPr>
        <w:pStyle w:val="ListParagraph"/>
        <w:numPr>
          <w:ilvl w:val="0"/>
          <w:numId w:val="1"/>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noProof w:val="0"/>
          <w:color w:val="000000" w:themeColor="text1" w:themeTint="FF" w:themeShade="FF"/>
          <w:sz w:val="24"/>
          <w:szCs w:val="24"/>
          <w:lang w:val="en-GB"/>
        </w:rPr>
        <w:t>Next Steps: 40 seconds</w:t>
      </w:r>
    </w:p>
    <w:p xmlns:wp14="http://schemas.microsoft.com/office/word/2010/wordml" w:rsidP="39D42BEC" wp14:paraId="1C0D6E77" wp14:textId="1190AC47">
      <w:pPr>
        <w:spacing w:before="0" w:beforeAutospacing="off" w:after="120" w:afterAutospacing="off"/>
        <w:jc w:val="both"/>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What to say (deliver in your own words)</w:t>
      </w:r>
    </w:p>
    <w:p xmlns:wp14="http://schemas.microsoft.com/office/word/2010/wordml" w:rsidP="39D42BEC" wp14:paraId="4E8EC7CE" wp14:textId="48F64AEA">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Introduction </w:t>
      </w:r>
    </w:p>
    <w:p xmlns:wp14="http://schemas.microsoft.com/office/word/2010/wordml" w:rsidP="39D42BEC" wp14:paraId="54FE1D7B" wp14:textId="2E596EC6">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"Hello, my name is [Your Name]. In this assignment, I selected a social worker in the UK health and social care sector. I chose this job since I am very interested in helping vulnerable individuals, especially children and adults who may have experienced abuse or neglect, or have mental health challenges. I am interested in the real change by advocating human rights, establishing trust, and assisting people to become independent and safe."</w:t>
      </w:r>
    </w:p>
    <w:p xmlns:wp14="http://schemas.microsoft.com/office/word/2010/wordml" w:rsidP="39D42BEC" wp14:paraId="79BD9F79" wp14:textId="5EC686F0">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Research Process </w:t>
      </w:r>
    </w:p>
    <w:p xmlns:wp14="http://schemas.microsoft.com/office/word/2010/wordml" w:rsidP="39D42BEC" wp14:paraId="357D712C" wp14:textId="05916CCD">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 have started my research through credible UK sources. I have tried the National Careers Service website, BASW (British Association of Social Workers) website and gov.uk web pages with regard to social care. The keywords were: social worker duties UK, social worker responsibilities safeguarding, social worker role NHS and skills needed as social workers in the UK. Until now, I have discovered that social workers evaluate the needs, develop support strategies, protect children and adults against harm, offer emotional/practical assistance, and cooperate with health practitioners, police, and housing programmes. They provide comprehensive documentation as well as promotion of the rights of clients under the law, such as the Care Act 2014 and the Children Act 1989.</w:t>
      </w:r>
    </w:p>
    <w:p xmlns:wp14="http://schemas.microsoft.com/office/word/2010/wordml" w:rsidP="39D42BEC" wp14:paraId="2EB08F8C" wp14:textId="18E1D9DB">
      <w:pPr>
        <w:spacing w:before="0" w:beforeAutospacing="off" w:after="120" w:afterAutospacing="off"/>
        <w:jc w:val="both"/>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CRAAP Test – One Source: National Careers Service – Social Worker page</w:t>
      </w:r>
    </w:p>
    <w:p xmlns:wp14="http://schemas.microsoft.com/office/word/2010/wordml" w:rsidP="39D42BEC" wp14:paraId="34E7750A" wp14:textId="765C1B4E">
      <w:pPr>
        <w:pStyle w:val="ListParagraph"/>
        <w:numPr>
          <w:ilvl w:val="0"/>
          <w:numId w:val="2"/>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Currency</w:t>
      </w:r>
      <w:r w:rsidRPr="39D42BEC" w:rsidR="5B697967">
        <w:rPr>
          <w:rFonts w:ascii="Times New Roman" w:hAnsi="Times New Roman" w:eastAsia="Times New Roman" w:cs="Times New Roman"/>
          <w:noProof w:val="0"/>
          <w:color w:val="000000" w:themeColor="text1" w:themeTint="FF" w:themeShade="FF"/>
          <w:sz w:val="24"/>
          <w:szCs w:val="24"/>
          <w:lang w:val="en-GB"/>
        </w:rPr>
        <w:t>: Published/revised not too long ago (2025 version accessed March 2026) - the information is up to date because the duties and salaries information are up-to-date and aligned with the current standards in the UK.</w:t>
      </w:r>
    </w:p>
    <w:p xmlns:wp14="http://schemas.microsoft.com/office/word/2010/wordml" w:rsidP="39D42BEC" wp14:paraId="26AA9946" wp14:textId="101FA8C8">
      <w:pPr>
        <w:pStyle w:val="ListParagraph"/>
        <w:numPr>
          <w:ilvl w:val="0"/>
          <w:numId w:val="2"/>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Relevance</w:t>
      </w:r>
      <w:r w:rsidRPr="39D42BEC" w:rsidR="5B697967">
        <w:rPr>
          <w:rFonts w:ascii="Times New Roman" w:hAnsi="Times New Roman" w:eastAsia="Times New Roman" w:cs="Times New Roman"/>
          <w:noProof w:val="0"/>
          <w:color w:val="000000" w:themeColor="text1" w:themeTint="FF" w:themeShade="FF"/>
          <w:sz w:val="24"/>
          <w:szCs w:val="24"/>
          <w:lang w:val="en-GB"/>
        </w:rPr>
        <w:t>: Relevant- to a very high degree- directs the description of the role, the everyday responsibilities (e.g. need assessment, harm prevention, creating independence), and the criteria of entry into the profession of a social worker in the UK.</w:t>
      </w:r>
    </w:p>
    <w:p xmlns:wp14="http://schemas.microsoft.com/office/word/2010/wordml" w:rsidP="39D42BEC" wp14:paraId="7D3EB7F9" wp14:textId="29644541">
      <w:pPr>
        <w:pStyle w:val="ListParagraph"/>
        <w:numPr>
          <w:ilvl w:val="0"/>
          <w:numId w:val="2"/>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Authority</w:t>
      </w:r>
      <w:r w:rsidRPr="39D42BEC" w:rsidR="5B697967">
        <w:rPr>
          <w:rFonts w:ascii="Times New Roman" w:hAnsi="Times New Roman" w:eastAsia="Times New Roman" w:cs="Times New Roman"/>
          <w:noProof w:val="0"/>
          <w:color w:val="000000" w:themeColor="text1" w:themeTint="FF" w:themeShade="FF"/>
          <w:sz w:val="24"/>
          <w:szCs w:val="24"/>
          <w:lang w:val="en-GB"/>
        </w:rPr>
        <w:t>: The source published by the UK government, National Careers Service, is official, credible, and expertly supported in terms of information on careers.</w:t>
      </w:r>
    </w:p>
    <w:p xmlns:wp14="http://schemas.microsoft.com/office/word/2010/wordml" w:rsidP="39D42BEC" wp14:paraId="74B416E8" wp14:textId="66F7BDB5">
      <w:pPr>
        <w:pStyle w:val="ListParagraph"/>
        <w:numPr>
          <w:ilvl w:val="0"/>
          <w:numId w:val="2"/>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Accuracy</w:t>
      </w:r>
      <w:r w:rsidRPr="39D42BEC" w:rsidR="5B697967">
        <w:rPr>
          <w:rFonts w:ascii="Times New Roman" w:hAnsi="Times New Roman" w:eastAsia="Times New Roman" w:cs="Times New Roman"/>
          <w:noProof w:val="0"/>
          <w:color w:val="000000" w:themeColor="text1" w:themeTint="FF" w:themeShade="FF"/>
          <w:sz w:val="24"/>
          <w:szCs w:val="24"/>
          <w:lang w:val="en-GB"/>
        </w:rPr>
        <w:t>: Data is supported by evidence, and hence cross-referenced with BASW and Skills for Care guidelines, there are no mistakes or inconsistencies in the list of duties.</w:t>
      </w:r>
    </w:p>
    <w:p xmlns:wp14="http://schemas.microsoft.com/office/word/2010/wordml" w:rsidP="39D42BEC" wp14:paraId="70CE4A45" wp14:textId="6A4A8BE0">
      <w:pPr>
        <w:pStyle w:val="ListParagraph"/>
        <w:numPr>
          <w:ilvl w:val="0"/>
          <w:numId w:val="2"/>
        </w:numPr>
        <w:spacing w:before="200" w:beforeAutospacing="off" w:after="200" w:afterAutospacing="off"/>
        <w:jc w:val="both"/>
        <w:rPr>
          <w:rFonts w:ascii="Times New Roman" w:hAnsi="Times New Roman" w:eastAsia="Times New Roman" w:cs="Times New Roman"/>
          <w:noProof w:val="0"/>
          <w:color w:val="000000" w:themeColor="text1" w:themeTint="FF" w:themeShade="FF"/>
          <w:sz w:val="24"/>
          <w:szCs w:val="24"/>
          <w:lang w:val="en-GB"/>
        </w:rP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Purpose</w:t>
      </w:r>
      <w:r w:rsidRPr="39D42BEC" w:rsidR="5B697967">
        <w:rPr>
          <w:rFonts w:ascii="Times New Roman" w:hAnsi="Times New Roman" w:eastAsia="Times New Roman" w:cs="Times New Roman"/>
          <w:noProof w:val="0"/>
          <w:color w:val="000000" w:themeColor="text1" w:themeTint="FF" w:themeShade="FF"/>
          <w:sz w:val="24"/>
          <w:szCs w:val="24"/>
          <w:lang w:val="en-GB"/>
        </w:rPr>
        <w:t>: To provide people with information and education on careers - objective, no commercial interest. In general, it is a powerful and reliable source for my report.</w:t>
      </w:r>
    </w:p>
    <w:p xmlns:wp14="http://schemas.microsoft.com/office/word/2010/wordml" w:rsidP="39D42BEC" wp14:paraId="4420C818" wp14:textId="2485F050">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Challenges </w:t>
      </w:r>
    </w:p>
    <w:p xmlns:wp14="http://schemas.microsoft.com/office/word/2010/wordml" w:rsidP="39D42BEC" wp14:paraId="60530A94" wp14:textId="6B151BFC">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challenges were as follows: it was necessary to filter information on government and professional websites, some of the pages were written in formal language, which was quite difficult to understand at first, and it was necessary to make sure that sources were UK and not global or international. Time management was another issue that was difficult to strike a balance between research and preparation.</w:t>
      </w:r>
    </w:p>
    <w:p xmlns:wp14="http://schemas.microsoft.com/office/word/2010/wordml" w:rsidP="39D42BEC" wp14:paraId="5B8E28BB" wp14:textId="6FBE60A0">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Next Steps </w:t>
      </w:r>
    </w:p>
    <w:p xmlns:wp14="http://schemas.microsoft.com/office/word/2010/wordml" w:rsidP="39D42BEC" wp14:paraId="108893B7" wp14:textId="7C802A67">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next step is to find 2-3 more academic or professional resources (e.g. a Skills for Care or Social Work England), define the three skills which are the most important (communication, empathy, problem-solving) and describe strategies to develop them to prepare the Task 3 report.</w:t>
      </w:r>
    </w:p>
    <w:p xmlns:wp14="http://schemas.microsoft.com/office/word/2010/wordml" w:rsidP="39D42BEC" wp14:paraId="37135A47" wp14:textId="3C0CD0BC">
      <w:pPr>
        <w:pStyle w:val="Heading1"/>
        <w:spacing w:before="0" w:beforeAutospacing="off" w:after="120" w:afterAutospacing="off"/>
        <w:jc w:val="cente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Task 2: Reflective Activity (Using Gibbs Reflective Cycle)</w:t>
      </w:r>
    </w:p>
    <w:p xmlns:wp14="http://schemas.microsoft.com/office/word/2010/wordml" w:rsidP="39D42BEC" wp14:paraId="1C3572F7" wp14:textId="48F582BB">
      <w:pPr>
        <w:spacing w:before="0" w:beforeAutospacing="off" w:after="120" w:afterAutospacing="off"/>
        <w:jc w:val="center"/>
      </w:pPr>
      <w:r w:rsidR="5B697967">
        <w:drawing>
          <wp:inline xmlns:wp14="http://schemas.microsoft.com/office/word/2010/wordprocessingDrawing" wp14:editId="69B3A9B7" wp14:anchorId="35746C11">
            <wp:extent cx="4876800" cy="4010025"/>
            <wp:effectExtent l="0" t="0" r="0" b="0"/>
            <wp:docPr id="17238767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876742" name="Picture 1723876742"/>
                    <pic:cNvPicPr/>
                  </pic:nvPicPr>
                  <pic:blipFill>
                    <a:blip xmlns:r="http://schemas.openxmlformats.org/officeDocument/2006/relationships" r:embed="rId1500378786">
                      <a:extLst>
                        <a:ext uri="{28A0092B-C50C-407E-A947-70E740481C1C}">
                          <a14:useLocalDpi xmlns:a14="http://schemas.microsoft.com/office/drawing/2010/main"/>
                        </a:ext>
                      </a:extLst>
                    </a:blip>
                    <a:stretch>
                      <a:fillRect/>
                    </a:stretch>
                  </pic:blipFill>
                  <pic:spPr>
                    <a:xfrm>
                      <a:off x="0" y="0"/>
                      <a:ext cx="4876800" cy="4010025"/>
                    </a:xfrm>
                    <a:prstGeom prst="rect">
                      <a:avLst/>
                    </a:prstGeom>
                  </pic:spPr>
                </pic:pic>
              </a:graphicData>
            </a:graphic>
          </wp:inline>
        </w:drawing>
      </w:r>
    </w:p>
    <w:p xmlns:wp14="http://schemas.microsoft.com/office/word/2010/wordml" w:rsidP="39D42BEC" wp14:paraId="2E40BC24" wp14:textId="420E7BED">
      <w:pPr>
        <w:spacing w:before="0" w:beforeAutospacing="off" w:after="200" w:afterAutospacing="off"/>
        <w:jc w:val="center"/>
      </w:pPr>
      <w:r w:rsidRPr="39D42BEC" w:rsidR="5B697967">
        <w:rPr>
          <w:rFonts w:ascii="Times New Roman" w:hAnsi="Times New Roman" w:eastAsia="Times New Roman" w:cs="Times New Roman"/>
          <w:i w:val="1"/>
          <w:iCs w:val="1"/>
          <w:noProof w:val="0"/>
          <w:color w:val="44546A"/>
          <w:sz w:val="24"/>
          <w:szCs w:val="24"/>
          <w:lang w:val="en-GB"/>
        </w:rPr>
        <w:t>Figure 1: Gibbs Reflective Cycle (Webber, 2020)</w:t>
      </w:r>
    </w:p>
    <w:p xmlns:wp14="http://schemas.microsoft.com/office/word/2010/wordml" w:rsidP="39D42BEC" wp14:paraId="0B09F413" wp14:textId="545F5183">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Description </w:t>
      </w:r>
    </w:p>
    <w:p xmlns:wp14="http://schemas.microsoft.com/office/word/2010/wordml" w:rsidP="39D42BEC" wp14:paraId="7FC7F249" wp14:textId="2C666417">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During Week 7, I had a 5-minute individual video presentation about the role of a social worker. I presented my selected position, described my search strategy (keywords and websites such as National Careers Service and BASW), assessed one source through the CRAAP test, explained the difficulties, and presented further actions to take in the report (Ocampo et al., 2025).</w:t>
      </w:r>
    </w:p>
    <w:p xmlns:wp14="http://schemas.microsoft.com/office/word/2010/wordml" w:rsidP="39D42BEC" wp14:paraId="15C7A82A" wp14:textId="07D3B432">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Feelings </w:t>
      </w:r>
    </w:p>
    <w:p xmlns:wp14="http://schemas.microsoft.com/office/word/2010/wordml" w:rsidP="39D42BEC" wp14:paraId="09DFD391" wp14:textId="51015675">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 was also shy and insecure about speaking without reading a script before recording. I also acquired confidence in the process of preparation because I practised using notes. On completion, I was able to breathe a sigh of relief, but I knew that I could have made my delivery smoother.</w:t>
      </w:r>
    </w:p>
    <w:p xmlns:wp14="http://schemas.microsoft.com/office/word/2010/wordml" w:rsidP="39D42BEC" wp14:paraId="389D06BB" wp14:textId="5EE51291">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Evaluation </w:t>
      </w:r>
    </w:p>
    <w:p xmlns:wp14="http://schemas.microsoft.com/office/word/2010/wordml" w:rsidP="39D42BEC" wp14:paraId="22C4E5B8" wp14:textId="30838F03">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What went well - I have been clear on the role and the reason I am undertaking it, given definite research details (keywords, sources identified) and used logic in applying CRAAP test to a credible source of government. What was bad - I also talked too fast sometimes because I was nervous, and the breaks between the sections were a bit hasty. Form was orderly and might have had more breaks to emphasise.</w:t>
      </w:r>
    </w:p>
    <w:p xmlns:wp14="http://schemas.microsoft.com/office/word/2010/wordml" w:rsidP="39D42BEC" wp14:paraId="06E4D859" wp14:textId="3289293E">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Analysis </w:t>
      </w:r>
    </w:p>
    <w:p xmlns:wp14="http://schemas.microsoft.com/office/word/2010/wordml" w:rsidP="39D42BEC" wp14:paraId="4F689E3C" wp14:textId="0713A13D">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difficulties were caused primarily by the lack of previous experience related to video presentations and self-depreciation, as the participants were afraid of sounding like themselves. Affected nerves slow down the pace and fluency, typical of beginners. It was also prepared in advance to lower anxiety, and additional rehearsal using a timer would have yielded better timing and confidence (Dalinger et al., 2020). The consideration of this fact demonstrates that professional communication develops comfort with practise.</w:t>
      </w:r>
    </w:p>
    <w:p xmlns:wp14="http://schemas.microsoft.com/office/word/2010/wordml" w:rsidP="39D42BEC" wp14:paraId="6E5EBD10" wp14:textId="06928318">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 xml:space="preserve">Action Plan </w:t>
      </w:r>
    </w:p>
    <w:p xmlns:wp14="http://schemas.microsoft.com/office/word/2010/wordml" w:rsidP="39D42BEC" wp14:paraId="6C2F0725" wp14:textId="25979E66">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To enhance, practise speaking aloud every day with a timer and record myself to self-review, have my peers and lecturers comment on my delivery, find more resources on Task 3, and take part in any presentation skills workshop available to me. Such actions will make me more suited to further activities and work as a social worker in the future.</w:t>
      </w:r>
    </w:p>
    <w:p xmlns:wp14="http://schemas.microsoft.com/office/word/2010/wordml" w:rsidP="39D42BEC" wp14:paraId="7415D45F" wp14:textId="4C26ED36">
      <w:pPr>
        <w:pStyle w:val="Heading1"/>
        <w:spacing w:before="0" w:beforeAutospacing="off" w:after="120" w:afterAutospacing="off"/>
        <w:jc w:val="cente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Task 3: Report</w:t>
      </w:r>
    </w:p>
    <w:p xmlns:wp14="http://schemas.microsoft.com/office/word/2010/wordml" w:rsidP="39D42BEC" wp14:paraId="552B5CCF" wp14:textId="4E9B9B03">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Introduction</w:t>
      </w:r>
    </w:p>
    <w:p xmlns:wp14="http://schemas.microsoft.com/office/word/2010/wordml" w:rsidP="39D42BEC" wp14:paraId="19624692" wp14:textId="57883625">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UK health and social care environment is a social worker who evaluates needs, protects vulnerable people, and facilitates assistance to achieve independence and wellbeing (Dixon, 2023). This report analyses the particular position of a social worker with special reference to the work that includes carrying out needs assessment and protective interventions. It singles out three key skills, namely communication, empathy, and problem-solving, and describes their importance using role-specific examples. Lastly, it describes one specific strategy for each skill to assist in the development of the profession. The aim is to show knowledge of the role in the context of statutory requirements such as the Care Act 2014, based on credible sources such as government and professional body advice (GOV UK, 2026). This discussion illustrates the ways in which these skills can be used to practise effectively in complicated high-risk settings.</w:t>
      </w:r>
    </w:p>
    <w:p xmlns:wp14="http://schemas.microsoft.com/office/word/2010/wordml" w:rsidP="39D42BEC" wp14:paraId="67A5A6E1" wp14:textId="3BC16F91">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Role of a Social Worker</w:t>
      </w:r>
    </w:p>
    <w:p xmlns:wp14="http://schemas.microsoft.com/office/word/2010/wordml" w:rsidP="39D42BEC" wp14:paraId="07EB2251" wp14:textId="3AC09455">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In the UK, social workers guard vulnerable children and adults against harm and aid in independent living (BASW UK, 2023). The major roles involved are meeting people and families in order to evaluate their needs, support plans, and emotional and practical help. To use the example of child protection, a social worker interviews children to assess the risks, including neglect or abuse, and organises multi-agency interventions according to the Children Act 1989 to secure child safety (Golonka et al., 2022). This entails drafting comprehensive evaluations, conducting core group meetings and progress tracking by conducting frequent reviews.</w:t>
      </w:r>
    </w:p>
    <w:p xmlns:wp14="http://schemas.microsoft.com/office/word/2010/wordml" w:rsidP="39D42BEC" wp14:paraId="6DC30711" wp14:textId="3D786B12">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In the adult services, vulnerabilities are aimed at protecting the adults, including the mentally ill or disabled. An older individual who may be at risk of committing self-neglect may be evaluated by a social worker, packaged with home care services, and referred to safeguarding when suspected of being exploited (Manthorpe et al., 2022). They work closely with NHS practitioners, housing and police in carrying out care plans.</w:t>
      </w:r>
    </w:p>
    <w:p xmlns:wp14="http://schemas.microsoft.com/office/word/2010/wordml" w:rsidP="39D42BEC" wp14:paraId="796F2C5C" wp14:textId="39679B9E">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Proper record-keeping and report-writing are required, and this has to be within the legal standards and make supervision possible. The social workers also advance the rights of the clients, and they encourage social justice and human rights based on the Professional Capabilities Framework (BASW UK, 2023). Such responsibilities require professional judgement in high-stakes scenarios, where taking no action may cause severe damage.</w:t>
      </w:r>
    </w:p>
    <w:p xmlns:wp14="http://schemas.microsoft.com/office/word/2010/wordml" w:rsidP="39D42BEC" wp14:paraId="22DCC8B4" wp14:textId="11167DA0">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Essential Skill 1: Communication</w:t>
      </w:r>
    </w:p>
    <w:p xmlns:wp14="http://schemas.microsoft.com/office/word/2010/wordml" w:rsidP="39D42BEC" wp14:paraId="4C1769B9" wp14:textId="6D8954D5">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Social workers should also develop trust, communicate accurately, and collaborate with multiple agencies, in all these aspects, communication is critical (Albright et al., 2021). Lack of effective communication may result in misinterpretation, slowed action or increased risks. Practically, verbal and written communication allows the explanation of care plans to the clients clearly. As an example, a social worker should speak simply and describe the process of safeguarding rights and further actions to be taken so that the family can comprehend without terminology, especially when he/she is helping a family in crisis (Cucciniello, 2023). Active listening and questioning will be useful in obtaining the right information in the case of assessment.</w:t>
      </w:r>
    </w:p>
    <w:p xmlns:wp14="http://schemas.microsoft.com/office/word/2010/wordml" w:rsidP="39D42BEC" wp14:paraId="2E2CEED5" wp14:textId="0FD10734">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non-verbal language, eye contact, and open body language also help to build trust with vulnerable clients who might be anxious or defensive. The reports should be accurate and supported by evidence that will be taken to court or supervision. This is because it lowers resistance, enhances disclosure, and helps to make informed decisions (Meneses-La-Riva et al., 2025). In its absence, the evaluation will not be accurate, and the interventions will not be relevant to the needs of the clients, which can be a violation of the statutory responsibility.</w:t>
      </w:r>
    </w:p>
    <w:p xmlns:wp14="http://schemas.microsoft.com/office/word/2010/wordml" w:rsidP="39D42BEC" wp14:paraId="222F5EC4" wp14:textId="0E3617AF">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Essential Skill 2: Empathy</w:t>
      </w:r>
    </w:p>
    <w:p xmlns:wp14="http://schemas.microsoft.com/office/word/2010/wordml" w:rsidP="39D42BEC" wp14:paraId="7D1F7072" wp14:textId="3A77EA87">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The empathy, or the ability to put oneself in the position of clients and feel their emotions, is crucial in establishing therapeutic relationships and alleviating distress among clients (BASW UK, 2023). It would allow social workers to react properly in emotionally intense circumstances. As an example, empathy enables the social worker to identify fear or anger, determine the emotions, and respond to them when working with a young person in care who is experiencing trauma (Jansson and Gunnarsson, 2024). This builds trust, which helps the client to express themselves rather than retreat. In adult mental health, sympathising with the isolation or the mourning process works to de-escalate a crisis and encourage compliance with care plans.</w:t>
      </w:r>
    </w:p>
    <w:p xmlns:wp14="http://schemas.microsoft.com/office/word/2010/wordml" w:rsidP="39D42BEC" wp14:paraId="3407037D" wp14:textId="3F11202B">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Empathy will avoid burnout and still keep within the professional boundaries of practise, so that the decisions will not be driven by their own prejudices but by the well-being of the clients. Empathy practise has been found to enhance client satisfaction and disclosure rates during inquiry protection (Tibererwa, 2025). Absence of empathy will likely result in loss of clients and failure to carry out a full assessment or use of services.</w:t>
      </w:r>
    </w:p>
    <w:p xmlns:wp14="http://schemas.microsoft.com/office/word/2010/wordml" w:rsidP="39D42BEC" wp14:paraId="426A3AB9" wp14:textId="115ECA53">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Essential Skill 3: Problem-Solving</w:t>
      </w:r>
    </w:p>
    <w:p xmlns:wp14="http://schemas.microsoft.com/office/word/2010/wordml" w:rsidP="39D42BEC" wp14:paraId="681B394B" wp14:textId="5AB39603">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Problem-solving would also help social workers deconstruct complicated situations, evaluate risks, and come up with effective interventions when there is pressure (Ronad, 2021). It is imperative in the uncertainty management of safeguarding and care planning. When conducting a child protection referral associated with domestic abuse, a social worker has to assess evidence, explore legal avenues (such as the emergency protection orders), and liaise with police and schools to develop a safety plan. This necessitates the critical evaluation of incompatible details and prioritisation of immediate risks.</w:t>
      </w:r>
    </w:p>
    <w:p xmlns:wp14="http://schemas.microsoft.com/office/word/2010/wordml" w:rsidP="39D42BEC" wp14:paraId="0415067A" wp14:textId="4500E366">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In the case of vulnerable adults, problem-solving helps fulfil complex needs, including the coordination of housing and mental health referrals. Problem-solving is effective and less harmful when it fosters independence and adheres to frameworks such as the Mental Capacity Act 2005 (Health Research Authority, 2020). It entails innovative but evidence-based methods, including bargaining on scarce budgets. The absence of good problem-solving paralyses the case, making it more susceptible to abuse or neglect.</w:t>
      </w:r>
    </w:p>
    <w:p xmlns:wp14="http://schemas.microsoft.com/office/word/2010/wordml" w:rsidP="39D42BEC" wp14:paraId="1E39C5F0" wp14:textId="5CD70BF3">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Strategies to Improve Each Skill</w:t>
      </w:r>
    </w:p>
    <w:p xmlns:wp14="http://schemas.microsoft.com/office/word/2010/wordml" w:rsidP="39D42BEC" wp14:paraId="18829337" wp14:textId="537B848A">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Enhance communication by participating in scheduled role-play workshops and getting feedback records about communication with clients (Ishak and Abdul Aziz, 2022). This develops trust in good verbal communication and listening, which directly leads to the improvement of the assessment accuracy and the client's cognition (e.g., by explaining the care plans without using too many words). To empathise, participate in systematic reflective practise, such as supervision, journaling of emotional reactions to cases, and perspective-taking practise (Moesler et al., 2022). This enhances emotional awareness, which enhances the ability to build trust during a trauma scenario and minimise the misunderstanding of the behaviours of clients.</w:t>
      </w:r>
    </w:p>
    <w:p xmlns:wp14="http://schemas.microsoft.com/office/word/2010/wordml" w:rsidP="39D42BEC" wp14:paraId="39FC1FD5" wp14:textId="13186E8A">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In order to build problem-solving, attend groups of case study analysis and peer supervision, and use frameworks such as risk assessment tools in real-life situations (Zhang et al., 2025). This sharpens critical thinking, which can be made based on the evidence in less time and under more complicated protection scenarios. All the strategies are focused, and they can be measured by the feedback of supervisors, as well as aligned with the needs of continuing professional development.</w:t>
      </w:r>
    </w:p>
    <w:p xmlns:wp14="http://schemas.microsoft.com/office/word/2010/wordml" w:rsidP="39D42BEC" wp14:paraId="32E6D75E" wp14:textId="1C088E8E">
      <w:pPr>
        <w:pStyle w:val="Heading2"/>
        <w:spacing w:before="0" w:beforeAutospacing="off" w:after="120" w:afterAutospacing="off"/>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Conclusion</w:t>
      </w:r>
    </w:p>
    <w:p xmlns:wp14="http://schemas.microsoft.com/office/word/2010/wordml" w:rsidP="39D42BEC" wp14:paraId="03F146EF" wp14:textId="3048AAAA">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Social workers have a very important role in protecting and assisting vulnerable members of the UK health and social care system through needs assessment, coordination of care, and advocacy. The process must include communication, empathy, and problem-solving to allow trust, proper interventions, and risk management. Current skill improvement is supported with targeted strategies, including communication, empathy, and case-analysis workshops to support the skill improvements. The formulation of them will guarantee the best and ethical practise that honours human rights and fosters wellbeing. Constant enhancement is required to fulfil the statutory requirements and deliver favourable results to clients.</w:t>
      </w:r>
    </w:p>
    <w:p xmlns:wp14="http://schemas.microsoft.com/office/word/2010/wordml" w:rsidP="39D42BEC" wp14:paraId="034D76F6" wp14:textId="1B8F9706">
      <w:pPr>
        <w:pStyle w:val="Heading1"/>
        <w:spacing w:before="0" w:beforeAutospacing="off" w:after="120" w:afterAutospacing="off"/>
        <w:jc w:val="center"/>
      </w:pPr>
      <w:r w:rsidRPr="39D42BEC" w:rsidR="5B697967">
        <w:rPr>
          <w:rFonts w:ascii="Times New Roman" w:hAnsi="Times New Roman" w:eastAsia="Times New Roman" w:cs="Times New Roman"/>
          <w:b w:val="1"/>
          <w:bCs w:val="1"/>
          <w:noProof w:val="0"/>
          <w:color w:val="000000" w:themeColor="text1" w:themeTint="FF" w:themeShade="FF"/>
          <w:sz w:val="24"/>
          <w:szCs w:val="24"/>
          <w:lang w:val="en-GB"/>
        </w:rPr>
        <w:t>References</w:t>
      </w:r>
    </w:p>
    <w:p xmlns:wp14="http://schemas.microsoft.com/office/word/2010/wordml" w:rsidP="39D42BEC" wp14:paraId="1D7868FB" wp14:textId="682A3C2F">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Albright, K., Navarro, E.I., Jarad, I., Boyd, M.R., Powell, B.J. and Lewis, C.C. (2021). Communication strategies to facilitate the implementation of new clinical practices: a qualitative study of community mental health therapists.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Translational Behavioural Medicine</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12(2), pp.324–334. </w:t>
      </w:r>
      <w:hyperlink r:id="R508b6d6ee94e440a">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https://doi.org/10.1093/tbm/ibab139</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639C6B3B" wp14:textId="759D251B">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Basw.co.uk. (2023).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What social workers do</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2281d0fa36f4826">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https://basw.co.uk/about-social-work/what-social-work/what-social-workers-do</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[Accessed 19 Mar. 2026].</w:t>
      </w:r>
    </w:p>
    <w:p xmlns:wp14="http://schemas.microsoft.com/office/word/2010/wordml" w:rsidP="39D42BEC" wp14:paraId="03BDB2BC" wp14:textId="358C4B03">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Cucciniello, C. (2023). Supporting Families at Risk: Social Workers' Experiences of a Family Safeguarding Model and the Effectiveness of Parent Infant Psychotherapy.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Staffs.ac.uk</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w:t>
      </w:r>
      <w:hyperlink r:id="Raf521b744dbb44bd">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https://eprints.staffs.ac.uk/8280/3/Thesis%20Portfolio%20-%20Final%20-%20Charlotte%20Cucciniello.docx</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286297B1" wp14:textId="1F4B64F3">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Dalinger, T., Thomas, K.B., Stansberry, S. and Xiu, Y. (2020). A mixed reality simulation offers strategic practice for pre-service teachers.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Computers &amp; Education</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144, p.103696. </w:t>
      </w:r>
      <w:hyperlink r:id="R02618679389f44d8">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https://doi.org/10.1016/j.compedu.2019.103696</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185A6E52" wp14:textId="34BADE4E">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Dixon, J. (2023). Adult Safeguarding Observed. [online] </w:t>
      </w:r>
      <w:hyperlink r:id="Rb0b272bca2914344">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https://doi.org/10.1332/policypress/9781447357285.001.0001</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D048BDE" wp14:textId="172462A5">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Golonka, M., Liu, Y., Rohrs, R., Copeland, J., Byrd, J., Stilwell, L., Crew, C., Kuehn, M., Snyder-Fickler, E., Hurst, J.H., Evans, K.E., Terrell, L. and Gifford, E.J. (2022). What Do Child Abuse and Neglect Medical Evaluation Consultation Notes Tell Researchers and Clinicians?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Child Maltreatment</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29(1), pp.117–128. </w:t>
      </w:r>
      <w:hyperlink r:id="R2f417f359c7f4bed">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https://doi.org/10.1177/10775595221134537</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D799659" wp14:textId="702353DC">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Health Research Authority. (2020).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Mental Capacity Act</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e48e051c9384883">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https://www.hra.nhs.uk/planning-and-improving-research/policies-standards-legislation/mental-capacity-act/</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[Accessed 19 Mar. 2026].</w:t>
      </w:r>
    </w:p>
    <w:p xmlns:wp14="http://schemas.microsoft.com/office/word/2010/wordml" w:rsidP="39D42BEC" wp14:paraId="0617A731" wp14:textId="0B388070">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Ishak, S.A. and Abdul Aziz, A. (2022). Role Play to Improve ESL Learners’ Communication Skills: A Systematic Review.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International Journal of Academic Research in Business and Social Sciences</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12(10). </w:t>
      </w:r>
      <w:hyperlink r:id="Rf4ac8dea31b14af8">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https://doi.org/10.6007/ijarbss/v12-i10/14851</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2A59E02F" wp14:textId="59C566B8">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Jansson, P.M. and Gunnarsson, N.V. (2024). Working with emotions in social work practice. A pride-building model for institutional care of young people.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Children and Youth Services Review</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161, p.107610. </w:t>
      </w:r>
      <w:hyperlink r:id="R1bcb8003441a4528">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https://doi.org/10.1016/j.childyouth.2024.107610</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5076D529" wp14:textId="4950176A">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Manthorpe, J., Woolham, J., Steils, N., Stevens, M., Martineau, S., Owen, J. and Tinelli, M. (2022). Experiences of adult social work addressing self-neglect during the Covid-19 pandemic.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Journal of Social Work</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22(5), pp.1227–1240. </w:t>
      </w:r>
      <w:hyperlink r:id="Rc8e9839c851f4253">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https://doi.org/10.1177/14680173221083446</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DF65544" wp14:textId="657FD958">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Meneses-La-Riva, M.E., Fernández-Bedoya, V.H., Suyo-Vega, J.A., Ocupa-Cabrera, H.G., Grijalva-Salazar, R.V. y Ocupa-Meneses, G. di D. (2025). Enhancing Healthcare Efficiency: The Relationship Between Effective Communication and Teamwork Among Nurses in Peru.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Nursing Reports</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15(2), p.59. </w:t>
      </w:r>
      <w:hyperlink r:id="R076fb36af1d74424">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https://doi.org/10.3390/nursrep15020059</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B6E8134" wp14:textId="1D00E7A2">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Mösler, T., Poppek, S., Leonhard, C. and Collet, W. (2022). Reflective Skills, Empathy, Wellbeing, and Resilience in Cognitive-Behavior Therapy Trainees Participating in Mindfulness-Based Self-Practice/Self-Reflection.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Psychological Reports</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126(6), pp.2648–2668. </w:t>
      </w:r>
      <w:hyperlink r:id="R0dc4a901980648f7">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https://doi.org/10.1177/00332941221094482</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2F968B3C" wp14:textId="77444E3B">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Ocampo, F.A., McIntyre, B.G., Massey, D. and Saunders, R. (2025). Nursing student reflections on a research internship: A reflective discussion following Gibbs’ reflective cycle.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Nurse Education Today</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145, p.106481. </w:t>
      </w:r>
      <w:hyperlink r:id="Rb589f49240c843c3">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https://doi.org/10.1016/j.nedt.2024.106481</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404E83BB" wp14:textId="784B42F4">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Ronad, I. (2021). Social Work: A Problem-Solving Profession.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International Journal of Science and Research (IJSR)</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10(11), pp.868–870. </w:t>
      </w:r>
      <w:hyperlink r:id="R45650153250d4549">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https://doi.org/10.21275/sr211111131022</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6ED5F11" wp14:textId="5C706C6D">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Tibererwa, E. (2025). The Role of Empathy in Client-Lawyer Communication.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IDOSR JOURNAL OF COMMUNICATION AND ENGLISH</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10(1), pp.52–57. </w:t>
      </w:r>
      <w:hyperlink r:id="R06c26ba8d7134b9a">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https://doi.org/10.59298/idosr/jce/101.5257.20250000</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5BF76D2D" wp14:textId="645A7C13">
      <w:pPr>
        <w:spacing w:before="0" w:beforeAutospacing="off" w:after="120" w:afterAutospacing="off"/>
        <w:jc w:val="both"/>
      </w:pPr>
      <w:hyperlink r:id="R3742075d1dd541fa">
        <w:r w:rsidRPr="39D42BEC" w:rsidR="5B697967">
          <w:rPr>
            <w:rStyle w:val="Hyperlink"/>
            <w:rFonts w:ascii="Times New Roman" w:hAnsi="Times New Roman" w:eastAsia="Times New Roman" w:cs="Times New Roman"/>
            <w:noProof w:val="0"/>
            <w:sz w:val="24"/>
            <w:szCs w:val="24"/>
            <w:lang w:val="en-GB"/>
          </w:rPr>
          <w:t>Www.gov.uk</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(2026).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Care and support statutory guidance - GOV.UK</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406a4ac8126e4885">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https://www.gov.uk/government/publications/care-act-statutory-guidance/care-and-support-statutory-guidance</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[Accessed 19 Mar. 2026].</w:t>
      </w:r>
    </w:p>
    <w:p xmlns:wp14="http://schemas.microsoft.com/office/word/2010/wordml" w:rsidP="39D42BEC" wp14:paraId="5A199E76" wp14:textId="51A30E9E">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Webber, J. (2020). Prevention | Rescue | Resuscitation: The influence of New Zealand lifeguarding practice on global drowning...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ResearchGate</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w:t>
      </w:r>
      <w:hyperlink r:id="R7378456907714184">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https://doi.org/10.13140/RG.2.2.35592.24321</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39D42BEC" wp14:paraId="7AD0BDF5" wp14:textId="4E0A5248">
      <w:pPr>
        <w:spacing w:before="0" w:beforeAutospacing="off" w:after="120" w:afterAutospacing="off"/>
        <w:jc w:val="both"/>
      </w:pPr>
      <w:r w:rsidRPr="39D42BEC" w:rsidR="5B697967">
        <w:rPr>
          <w:rFonts w:ascii="Times New Roman" w:hAnsi="Times New Roman" w:eastAsia="Times New Roman" w:cs="Times New Roman"/>
          <w:noProof w:val="0"/>
          <w:color w:val="000000" w:themeColor="text1" w:themeTint="FF" w:themeShade="FF"/>
          <w:sz w:val="24"/>
          <w:szCs w:val="24"/>
          <w:lang w:val="en-GB"/>
        </w:rPr>
        <w:t xml:space="preserve">Zhang, C., Wang, P., Zeng, X. and Wang, X. (2025). A case study on developing students’ problem-solving skills through interdisciplinary thematic learning. </w:t>
      </w:r>
      <w:r w:rsidRPr="39D42BEC" w:rsidR="5B697967">
        <w:rPr>
          <w:rFonts w:ascii="Times New Roman" w:hAnsi="Times New Roman" w:eastAsia="Times New Roman" w:cs="Times New Roman"/>
          <w:i w:val="1"/>
          <w:iCs w:val="1"/>
          <w:noProof w:val="0"/>
          <w:color w:val="000000" w:themeColor="text1" w:themeTint="FF" w:themeShade="FF"/>
          <w:sz w:val="24"/>
          <w:szCs w:val="24"/>
          <w:lang w:val="en-GB"/>
        </w:rPr>
        <w:t>Frontiers in Psychology</w:t>
      </w:r>
      <w:r w:rsidRPr="39D42BEC" w:rsidR="5B697967">
        <w:rPr>
          <w:rFonts w:ascii="Times New Roman" w:hAnsi="Times New Roman" w:eastAsia="Times New Roman" w:cs="Times New Roman"/>
          <w:noProof w:val="0"/>
          <w:color w:val="000000" w:themeColor="text1" w:themeTint="FF" w:themeShade="FF"/>
          <w:sz w:val="24"/>
          <w:szCs w:val="24"/>
          <w:lang w:val="en-GB"/>
        </w:rPr>
        <w:t xml:space="preserve">, [online] 16. </w:t>
      </w:r>
      <w:hyperlink r:id="Reafce86def3d479c">
        <w:r w:rsidRPr="39D42BEC" w:rsidR="5B697967">
          <w:rPr>
            <w:rStyle w:val="Hyperlink"/>
            <w:rFonts w:ascii="Times New Roman" w:hAnsi="Times New Roman" w:eastAsia="Times New Roman" w:cs="Times New Roman"/>
            <w:strike w:val="0"/>
            <w:dstrike w:val="0"/>
            <w:noProof w:val="0"/>
            <w:color w:val="0563C1"/>
            <w:sz w:val="24"/>
            <w:szCs w:val="24"/>
            <w:u w:val="none"/>
            <w:lang w:val="en-GB"/>
          </w:rPr>
          <w:t>https://doi.org/10.3389/fpsyg.2025.1447089</w:t>
        </w:r>
      </w:hyperlink>
      <w:r w:rsidRPr="39D42BEC" w:rsidR="5B69796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p14:paraId="2B161431" wp14:textId="7EECCF23"/>
    <w:p xmlns:wp14="http://schemas.microsoft.com/office/word/2010/wordml" wp14:paraId="246AE1F1" wp14:textId="56CE5CEC"/>
    <w:p xmlns:wp14="http://schemas.microsoft.com/office/word/2010/wordml" wp14:paraId="5E5787A5" wp14:textId="2F48C0A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80c1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b6d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70FEA"/>
    <w:rsid w:val="185F10A2"/>
    <w:rsid w:val="2BA57BD9"/>
    <w:rsid w:val="39D42BEC"/>
    <w:rsid w:val="5B697967"/>
    <w:rsid w:val="65E70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281B3"/>
  <w15:chartTrackingRefBased/>
  <w15:docId w15:val="{0175783D-032F-44A4-8E4B-91FF27C1AD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9D42BE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9D42BE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9D42BEC"/>
    <w:pPr>
      <w:spacing/>
      <w:ind w:left="720"/>
      <w:contextualSpacing/>
    </w:pPr>
  </w:style>
  <w:style w:type="character" w:styleId="Hyperlink">
    <w:uiPriority w:val="99"/>
    <w:name w:val="Hyperlink"/>
    <w:basedOn w:val="DefaultParagraphFont"/>
    <w:unhideWhenUsed/>
    <w:rsid w:val="39D42BE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00378786" /><Relationship Type="http://schemas.openxmlformats.org/officeDocument/2006/relationships/hyperlink" Target="https://doi.org/10.1093/tbm/ibab139" TargetMode="External" Id="R508b6d6ee94e440a" /><Relationship Type="http://schemas.openxmlformats.org/officeDocument/2006/relationships/hyperlink" Target="https://basw.co.uk/about-social-work/what-social-work/what-social-workers-do" TargetMode="External" Id="R92281d0fa36f4826" /><Relationship Type="http://schemas.openxmlformats.org/officeDocument/2006/relationships/hyperlink" Target="https://eprints.staffs.ac.uk/8280/3/Thesis%20Portfolio%20-%20Final%20-%20Charlotte%20Cucciniello.docx" TargetMode="External" Id="Raf521b744dbb44bd" /><Relationship Type="http://schemas.openxmlformats.org/officeDocument/2006/relationships/hyperlink" Target="https://doi.org/10.1016/j.compedu.2019.103696" TargetMode="External" Id="R02618679389f44d8" /><Relationship Type="http://schemas.openxmlformats.org/officeDocument/2006/relationships/hyperlink" Target="https://doi.org/10.1332/policypress/9781447357285.001.0001" TargetMode="External" Id="Rb0b272bca2914344" /><Relationship Type="http://schemas.openxmlformats.org/officeDocument/2006/relationships/hyperlink" Target="https://doi.org/10.1177/10775595221134537" TargetMode="External" Id="R2f417f359c7f4bed" /><Relationship Type="http://schemas.openxmlformats.org/officeDocument/2006/relationships/hyperlink" Target="https://www.hra.nhs.uk/planning-and-improving-research/policies-standards-legislation/mental-capacity-act/" TargetMode="External" Id="Rde48e051c9384883" /><Relationship Type="http://schemas.openxmlformats.org/officeDocument/2006/relationships/hyperlink" Target="https://doi.org/10.6007/ijarbss/v12-i10/14851" TargetMode="External" Id="Rf4ac8dea31b14af8" /><Relationship Type="http://schemas.openxmlformats.org/officeDocument/2006/relationships/hyperlink" Target="https://doi.org/10.1016/j.childyouth.2024.107610" TargetMode="External" Id="R1bcb8003441a4528" /><Relationship Type="http://schemas.openxmlformats.org/officeDocument/2006/relationships/hyperlink" Target="https://doi.org/10.1177/14680173221083446" TargetMode="External" Id="Rc8e9839c851f4253" /><Relationship Type="http://schemas.openxmlformats.org/officeDocument/2006/relationships/hyperlink" Target="https://doi.org/10.3390/nursrep15020059" TargetMode="External" Id="R076fb36af1d74424" /><Relationship Type="http://schemas.openxmlformats.org/officeDocument/2006/relationships/hyperlink" Target="https://doi.org/10.1177/00332941221094482" TargetMode="External" Id="R0dc4a901980648f7" /><Relationship Type="http://schemas.openxmlformats.org/officeDocument/2006/relationships/hyperlink" Target="https://doi.org/10.1016/j.nedt.2024.106481" TargetMode="External" Id="Rb589f49240c843c3" /><Relationship Type="http://schemas.openxmlformats.org/officeDocument/2006/relationships/hyperlink" Target="https://doi.org/10.21275/sr211111131022" TargetMode="External" Id="R45650153250d4549" /><Relationship Type="http://schemas.openxmlformats.org/officeDocument/2006/relationships/hyperlink" Target="https://doi.org/10.59298/idosr/jce/101.5257.20250000" TargetMode="External" Id="R06c26ba8d7134b9a" /><Relationship Type="http://schemas.openxmlformats.org/officeDocument/2006/relationships/hyperlink" Target="https://Www.gov.uk" TargetMode="External" Id="R3742075d1dd541fa" /><Relationship Type="http://schemas.openxmlformats.org/officeDocument/2006/relationships/hyperlink" Target="https://www.gov.uk/government/publications/care-act-statutory-guidance/care-and-support-statutory-guidance" TargetMode="External" Id="R406a4ac8126e4885" /><Relationship Type="http://schemas.openxmlformats.org/officeDocument/2006/relationships/hyperlink" Target="https://doi.org/10.13140/RG.2.2.35592.24321" TargetMode="External" Id="R7378456907714184" /><Relationship Type="http://schemas.openxmlformats.org/officeDocument/2006/relationships/hyperlink" Target="https://doi.org/10.3389/fpsyg.2025.1447089" TargetMode="External" Id="Reafce86def3d479c" /><Relationship Type="http://schemas.openxmlformats.org/officeDocument/2006/relationships/numbering" Target="/word/numbering.xml" Id="Red088bef268840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Naomie Kalombo Kalubi (2530094)</dc:creator>
  <keywords/>
  <dc:description/>
  <lastModifiedBy>Naomie Kalombo Kalubi (2530094)</lastModifiedBy>
  <revision>2</revision>
  <dcterms:created xsi:type="dcterms:W3CDTF">2026-04-20T22:25:35.0742288Z</dcterms:created>
  <dcterms:modified xsi:type="dcterms:W3CDTF">2026-04-20T22:27:43.7361331Z</dcterms:modified>
</coreProperties>
</file>