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6732E" w14:textId="77777777" w:rsidR="00BB4B54" w:rsidRPr="00BB4B54" w:rsidRDefault="00BB4B54" w:rsidP="00BB4B54">
      <w:pPr>
        <w:spacing w:line="360" w:lineRule="auto"/>
        <w:jc w:val="center"/>
        <w:rPr>
          <w:rFonts w:ascii="Arial" w:hAnsi="Arial" w:cs="Arial"/>
          <w:sz w:val="24"/>
          <w:szCs w:val="24"/>
        </w:rPr>
      </w:pPr>
      <w:r w:rsidRPr="00BB4B54">
        <w:rPr>
          <w:rFonts w:ascii="Arial" w:hAnsi="Arial" w:cs="Arial"/>
          <w:sz w:val="24"/>
          <w:szCs w:val="24"/>
        </w:rPr>
        <w:t>University of Wales Trinity Saint David</w:t>
      </w:r>
    </w:p>
    <w:p w14:paraId="22CD72AC" w14:textId="77777777" w:rsidR="00BB4B54" w:rsidRPr="00BB4B54" w:rsidRDefault="00BB4B54" w:rsidP="00BB4B54">
      <w:pPr>
        <w:spacing w:line="360" w:lineRule="auto"/>
        <w:jc w:val="center"/>
        <w:rPr>
          <w:rFonts w:ascii="Arial" w:hAnsi="Arial" w:cs="Arial"/>
          <w:sz w:val="24"/>
          <w:szCs w:val="24"/>
        </w:rPr>
      </w:pPr>
      <w:r w:rsidRPr="00BB4B54">
        <w:rPr>
          <w:rFonts w:ascii="Arial" w:hAnsi="Arial" w:cs="Arial"/>
          <w:sz w:val="24"/>
          <w:szCs w:val="24"/>
        </w:rPr>
        <w:t>Student name: Berendei Nicoleta-</w:t>
      </w:r>
      <w:proofErr w:type="spellStart"/>
      <w:r w:rsidRPr="00BB4B54">
        <w:rPr>
          <w:rFonts w:ascii="Arial" w:hAnsi="Arial" w:cs="Arial"/>
          <w:sz w:val="24"/>
          <w:szCs w:val="24"/>
        </w:rPr>
        <w:t>Suzana</w:t>
      </w:r>
      <w:proofErr w:type="spellEnd"/>
    </w:p>
    <w:p w14:paraId="3EB4E47C" w14:textId="77777777" w:rsidR="00BB4B54" w:rsidRPr="00BB4B54" w:rsidRDefault="00BB4B54" w:rsidP="00BB4B54">
      <w:pPr>
        <w:spacing w:line="360" w:lineRule="auto"/>
        <w:jc w:val="center"/>
        <w:rPr>
          <w:rFonts w:ascii="Arial" w:hAnsi="Arial" w:cs="Arial"/>
          <w:sz w:val="24"/>
          <w:szCs w:val="24"/>
        </w:rPr>
      </w:pPr>
      <w:r w:rsidRPr="00BB4B54">
        <w:rPr>
          <w:rFonts w:ascii="Arial" w:hAnsi="Arial" w:cs="Arial"/>
          <w:sz w:val="24"/>
          <w:szCs w:val="24"/>
        </w:rPr>
        <w:t>Student Id: 2230195</w:t>
      </w:r>
    </w:p>
    <w:p w14:paraId="3CAE4522" w14:textId="77777777" w:rsidR="00BB4B54" w:rsidRPr="00BB4B54" w:rsidRDefault="00BB4B54" w:rsidP="00BB4B54">
      <w:pPr>
        <w:spacing w:line="360" w:lineRule="auto"/>
        <w:jc w:val="center"/>
        <w:rPr>
          <w:rFonts w:ascii="Arial" w:hAnsi="Arial" w:cs="Arial"/>
          <w:sz w:val="24"/>
          <w:szCs w:val="24"/>
        </w:rPr>
      </w:pPr>
      <w:r w:rsidRPr="00BB4B54">
        <w:rPr>
          <w:rFonts w:ascii="Arial" w:hAnsi="Arial" w:cs="Arial"/>
          <w:sz w:val="24"/>
          <w:szCs w:val="24"/>
        </w:rPr>
        <w:t>Module:</w:t>
      </w:r>
      <w:r w:rsidRPr="00BB4B54">
        <w:rPr>
          <w:rFonts w:ascii="Arial" w:hAnsi="Arial" w:cs="Arial"/>
          <w:b/>
          <w:sz w:val="24"/>
          <w:szCs w:val="24"/>
        </w:rPr>
        <w:t xml:space="preserve"> </w:t>
      </w:r>
      <w:r w:rsidRPr="00BB4B54">
        <w:rPr>
          <w:rFonts w:ascii="Arial" w:hAnsi="Arial" w:cs="Arial"/>
          <w:bCs/>
          <w:sz w:val="24"/>
          <w:szCs w:val="24"/>
        </w:rPr>
        <w:t>Legal Process</w:t>
      </w:r>
    </w:p>
    <w:p w14:paraId="049F0C43" w14:textId="77777777" w:rsidR="00BB4B54" w:rsidRPr="00BB4B54" w:rsidRDefault="00BB4B54" w:rsidP="00BB4B54">
      <w:pPr>
        <w:spacing w:line="360" w:lineRule="auto"/>
        <w:jc w:val="center"/>
        <w:rPr>
          <w:rFonts w:ascii="Arial" w:hAnsi="Arial" w:cs="Arial"/>
          <w:sz w:val="24"/>
          <w:szCs w:val="24"/>
        </w:rPr>
      </w:pPr>
      <w:r w:rsidRPr="00BB4B54">
        <w:rPr>
          <w:rFonts w:ascii="Arial" w:hAnsi="Arial" w:cs="Arial"/>
          <w:sz w:val="24"/>
          <w:szCs w:val="24"/>
        </w:rPr>
        <w:t>Module code:</w:t>
      </w:r>
      <w:r w:rsidRPr="00BB4B54">
        <w:rPr>
          <w:rFonts w:ascii="Arial" w:hAnsi="Arial" w:cs="Arial"/>
          <w:b/>
          <w:sz w:val="24"/>
          <w:szCs w:val="24"/>
        </w:rPr>
        <w:t xml:space="preserve"> </w:t>
      </w:r>
      <w:r w:rsidRPr="00BB4B54">
        <w:rPr>
          <w:rFonts w:ascii="Arial" w:hAnsi="Arial" w:cs="Arial"/>
          <w:bCs/>
          <w:sz w:val="24"/>
          <w:szCs w:val="24"/>
        </w:rPr>
        <w:t>BMPL40011, BMLW4006</w:t>
      </w:r>
    </w:p>
    <w:p w14:paraId="64A610D3" w14:textId="77777777" w:rsidR="00BB4B54" w:rsidRPr="00BB4B54" w:rsidRDefault="00BB4B54" w:rsidP="00BB4B54">
      <w:pPr>
        <w:spacing w:line="360" w:lineRule="auto"/>
        <w:jc w:val="center"/>
        <w:rPr>
          <w:rFonts w:ascii="Arial" w:hAnsi="Arial" w:cs="Arial"/>
          <w:bCs/>
          <w:sz w:val="24"/>
          <w:szCs w:val="24"/>
        </w:rPr>
      </w:pPr>
      <w:r w:rsidRPr="00BB4B54">
        <w:rPr>
          <w:rFonts w:ascii="Arial" w:hAnsi="Arial" w:cs="Arial"/>
          <w:sz w:val="24"/>
          <w:szCs w:val="24"/>
        </w:rPr>
        <w:t>Lecturer:</w:t>
      </w:r>
      <w:r w:rsidRPr="00BB4B54">
        <w:rPr>
          <w:rFonts w:ascii="Arial" w:hAnsi="Arial" w:cs="Arial"/>
          <w:b/>
          <w:sz w:val="24"/>
          <w:szCs w:val="24"/>
        </w:rPr>
        <w:t xml:space="preserve"> </w:t>
      </w:r>
      <w:r w:rsidRPr="00BB4B54">
        <w:rPr>
          <w:rFonts w:ascii="Arial" w:hAnsi="Arial" w:cs="Arial"/>
          <w:bCs/>
          <w:sz w:val="24"/>
          <w:szCs w:val="24"/>
        </w:rPr>
        <w:t xml:space="preserve">Zita Draper </w:t>
      </w:r>
    </w:p>
    <w:p w14:paraId="634DDE0D" w14:textId="77777777" w:rsidR="009644DA" w:rsidRPr="00337929" w:rsidRDefault="009644DA" w:rsidP="009644DA">
      <w:pPr>
        <w:spacing w:line="360" w:lineRule="auto"/>
        <w:jc w:val="center"/>
        <w:rPr>
          <w:rFonts w:ascii="Arial" w:hAnsi="Arial" w:cs="Arial"/>
          <w:bCs/>
          <w:sz w:val="24"/>
          <w:szCs w:val="24"/>
        </w:rPr>
      </w:pPr>
    </w:p>
    <w:p w14:paraId="3D7F9A2F" w14:textId="77777777" w:rsidR="009644DA" w:rsidRPr="00337929" w:rsidRDefault="009644DA" w:rsidP="009644DA">
      <w:pPr>
        <w:spacing w:line="360" w:lineRule="auto"/>
        <w:jc w:val="center"/>
        <w:rPr>
          <w:rFonts w:ascii="Arial" w:hAnsi="Arial" w:cs="Arial"/>
          <w:bCs/>
          <w:sz w:val="24"/>
          <w:szCs w:val="24"/>
        </w:rPr>
      </w:pPr>
    </w:p>
    <w:p w14:paraId="4ADE4CC3" w14:textId="77777777" w:rsidR="009644DA" w:rsidRPr="00337929" w:rsidRDefault="009644DA" w:rsidP="009644DA">
      <w:pPr>
        <w:spacing w:line="360" w:lineRule="auto"/>
        <w:jc w:val="center"/>
        <w:rPr>
          <w:rFonts w:ascii="Arial" w:hAnsi="Arial" w:cs="Arial"/>
          <w:bCs/>
          <w:sz w:val="24"/>
          <w:szCs w:val="24"/>
        </w:rPr>
      </w:pPr>
    </w:p>
    <w:p w14:paraId="55507D65" w14:textId="77777777" w:rsidR="009644DA" w:rsidRPr="00337929" w:rsidRDefault="009644DA" w:rsidP="009644DA">
      <w:pPr>
        <w:spacing w:line="360" w:lineRule="auto"/>
        <w:jc w:val="center"/>
        <w:rPr>
          <w:rFonts w:ascii="Arial" w:hAnsi="Arial" w:cs="Arial"/>
          <w:bCs/>
          <w:sz w:val="24"/>
          <w:szCs w:val="24"/>
        </w:rPr>
      </w:pPr>
    </w:p>
    <w:p w14:paraId="4A09033B" w14:textId="77777777" w:rsidR="009644DA" w:rsidRPr="00337929" w:rsidRDefault="009644DA" w:rsidP="009644DA">
      <w:pPr>
        <w:spacing w:line="360" w:lineRule="auto"/>
        <w:jc w:val="center"/>
        <w:rPr>
          <w:rFonts w:ascii="Arial" w:hAnsi="Arial" w:cs="Arial"/>
          <w:bCs/>
          <w:sz w:val="24"/>
          <w:szCs w:val="24"/>
        </w:rPr>
      </w:pPr>
    </w:p>
    <w:p w14:paraId="2DD40AC3" w14:textId="77777777" w:rsidR="009644DA" w:rsidRPr="00337929" w:rsidRDefault="009644DA" w:rsidP="009644DA">
      <w:pPr>
        <w:spacing w:line="360" w:lineRule="auto"/>
        <w:jc w:val="center"/>
        <w:rPr>
          <w:rFonts w:ascii="Arial" w:hAnsi="Arial" w:cs="Arial"/>
          <w:bCs/>
          <w:sz w:val="24"/>
          <w:szCs w:val="24"/>
        </w:rPr>
      </w:pPr>
    </w:p>
    <w:p w14:paraId="310B3626" w14:textId="77777777" w:rsidR="009644DA" w:rsidRPr="00337929" w:rsidRDefault="009644DA" w:rsidP="009644DA">
      <w:pPr>
        <w:spacing w:line="360" w:lineRule="auto"/>
        <w:jc w:val="center"/>
        <w:rPr>
          <w:rFonts w:ascii="Arial" w:hAnsi="Arial" w:cs="Arial"/>
          <w:bCs/>
          <w:sz w:val="24"/>
          <w:szCs w:val="24"/>
        </w:rPr>
      </w:pPr>
    </w:p>
    <w:p w14:paraId="41CE0C08" w14:textId="77777777" w:rsidR="009644DA" w:rsidRPr="00337929" w:rsidRDefault="009644DA" w:rsidP="009644DA">
      <w:pPr>
        <w:spacing w:line="360" w:lineRule="auto"/>
        <w:jc w:val="center"/>
        <w:rPr>
          <w:rFonts w:ascii="Arial" w:hAnsi="Arial" w:cs="Arial"/>
          <w:bCs/>
          <w:sz w:val="24"/>
          <w:szCs w:val="24"/>
        </w:rPr>
      </w:pPr>
    </w:p>
    <w:p w14:paraId="415088D6" w14:textId="77777777" w:rsidR="009644DA" w:rsidRPr="00337929" w:rsidRDefault="009644DA" w:rsidP="009644DA">
      <w:pPr>
        <w:spacing w:line="360" w:lineRule="auto"/>
        <w:jc w:val="center"/>
        <w:rPr>
          <w:rFonts w:ascii="Arial" w:hAnsi="Arial" w:cs="Arial"/>
          <w:bCs/>
          <w:sz w:val="24"/>
          <w:szCs w:val="24"/>
        </w:rPr>
      </w:pPr>
    </w:p>
    <w:p w14:paraId="5A834698" w14:textId="77777777" w:rsidR="009644DA" w:rsidRPr="00337929" w:rsidRDefault="009644DA" w:rsidP="009644DA">
      <w:pPr>
        <w:spacing w:line="360" w:lineRule="auto"/>
        <w:jc w:val="center"/>
        <w:rPr>
          <w:rFonts w:ascii="Arial" w:hAnsi="Arial" w:cs="Arial"/>
          <w:bCs/>
          <w:sz w:val="24"/>
          <w:szCs w:val="24"/>
        </w:rPr>
      </w:pPr>
    </w:p>
    <w:p w14:paraId="75AF4F3D" w14:textId="77777777" w:rsidR="009644DA" w:rsidRPr="00337929" w:rsidRDefault="009644DA" w:rsidP="009644DA">
      <w:pPr>
        <w:spacing w:line="360" w:lineRule="auto"/>
        <w:jc w:val="center"/>
        <w:rPr>
          <w:rFonts w:ascii="Arial" w:hAnsi="Arial" w:cs="Arial"/>
          <w:bCs/>
          <w:sz w:val="24"/>
          <w:szCs w:val="24"/>
        </w:rPr>
      </w:pPr>
    </w:p>
    <w:p w14:paraId="01C34D89" w14:textId="77777777" w:rsidR="009644DA" w:rsidRPr="00337929" w:rsidRDefault="009644DA" w:rsidP="009644DA">
      <w:pPr>
        <w:spacing w:line="360" w:lineRule="auto"/>
        <w:jc w:val="center"/>
        <w:rPr>
          <w:rFonts w:ascii="Arial" w:hAnsi="Arial" w:cs="Arial"/>
          <w:bCs/>
          <w:sz w:val="24"/>
          <w:szCs w:val="24"/>
        </w:rPr>
      </w:pPr>
    </w:p>
    <w:p w14:paraId="686ED9D4" w14:textId="77777777" w:rsidR="009644DA" w:rsidRPr="00337929" w:rsidRDefault="009644DA" w:rsidP="009644DA">
      <w:pPr>
        <w:spacing w:line="360" w:lineRule="auto"/>
        <w:jc w:val="center"/>
        <w:rPr>
          <w:rFonts w:ascii="Arial" w:hAnsi="Arial" w:cs="Arial"/>
          <w:bCs/>
          <w:sz w:val="24"/>
          <w:szCs w:val="24"/>
        </w:rPr>
      </w:pPr>
    </w:p>
    <w:p w14:paraId="597E42EA" w14:textId="77777777" w:rsidR="009644DA" w:rsidRPr="009644DA" w:rsidRDefault="009644DA" w:rsidP="009644DA">
      <w:pPr>
        <w:spacing w:line="360" w:lineRule="auto"/>
        <w:jc w:val="center"/>
        <w:rPr>
          <w:rFonts w:ascii="Arial" w:hAnsi="Arial" w:cs="Arial"/>
          <w:sz w:val="24"/>
          <w:szCs w:val="24"/>
        </w:rPr>
      </w:pPr>
    </w:p>
    <w:p w14:paraId="023ABE53" w14:textId="77777777" w:rsidR="004E1C51" w:rsidRPr="00337929" w:rsidRDefault="004E1C51" w:rsidP="00FD0493">
      <w:pPr>
        <w:spacing w:line="360" w:lineRule="auto"/>
        <w:jc w:val="both"/>
        <w:rPr>
          <w:rFonts w:ascii="Arial" w:hAnsi="Arial" w:cs="Arial"/>
          <w:sz w:val="24"/>
          <w:szCs w:val="24"/>
        </w:rPr>
      </w:pPr>
    </w:p>
    <w:p w14:paraId="0C9091AD" w14:textId="77777777" w:rsidR="004E1C51" w:rsidRPr="00337929" w:rsidRDefault="004E1C51" w:rsidP="00FD0493">
      <w:pPr>
        <w:spacing w:line="360" w:lineRule="auto"/>
        <w:jc w:val="both"/>
        <w:rPr>
          <w:rFonts w:ascii="Arial" w:hAnsi="Arial" w:cs="Arial"/>
          <w:sz w:val="24"/>
          <w:szCs w:val="24"/>
        </w:rPr>
      </w:pPr>
    </w:p>
    <w:p w14:paraId="7EF11279" w14:textId="77777777" w:rsidR="004E1C51" w:rsidRPr="00337929" w:rsidRDefault="004E1C51" w:rsidP="00FD0493">
      <w:pPr>
        <w:spacing w:line="360" w:lineRule="auto"/>
        <w:jc w:val="both"/>
        <w:rPr>
          <w:rFonts w:ascii="Arial" w:hAnsi="Arial" w:cs="Arial"/>
          <w:sz w:val="24"/>
          <w:szCs w:val="24"/>
        </w:rPr>
      </w:pPr>
    </w:p>
    <w:p w14:paraId="4D671449" w14:textId="75BB976B" w:rsidR="00054823" w:rsidRPr="00337929" w:rsidRDefault="00054823" w:rsidP="00FD0493">
      <w:pPr>
        <w:spacing w:line="360" w:lineRule="auto"/>
        <w:jc w:val="both"/>
        <w:rPr>
          <w:rFonts w:ascii="Arial" w:hAnsi="Arial" w:cs="Arial"/>
          <w:sz w:val="24"/>
          <w:szCs w:val="24"/>
        </w:rPr>
      </w:pPr>
      <w:r w:rsidRPr="00337929">
        <w:rPr>
          <w:rFonts w:ascii="Arial" w:hAnsi="Arial" w:cs="Arial"/>
          <w:sz w:val="24"/>
          <w:szCs w:val="24"/>
        </w:rPr>
        <w:lastRenderedPageBreak/>
        <w:t xml:space="preserve">This essay will explain the way that the magistrates uphold the law in England and </w:t>
      </w:r>
      <w:r w:rsidR="00337929" w:rsidRPr="00337929">
        <w:rPr>
          <w:rFonts w:ascii="Arial" w:hAnsi="Arial" w:cs="Arial"/>
          <w:sz w:val="24"/>
          <w:szCs w:val="24"/>
        </w:rPr>
        <w:t>Wales</w:t>
      </w:r>
      <w:r w:rsidRPr="00337929">
        <w:rPr>
          <w:rFonts w:ascii="Arial" w:hAnsi="Arial" w:cs="Arial"/>
          <w:sz w:val="24"/>
          <w:szCs w:val="24"/>
        </w:rPr>
        <w:t xml:space="preserve">, if </w:t>
      </w:r>
      <w:r w:rsidR="00337929" w:rsidRPr="00337929">
        <w:rPr>
          <w:rFonts w:ascii="Arial" w:hAnsi="Arial" w:cs="Arial"/>
          <w:sz w:val="24"/>
          <w:szCs w:val="24"/>
        </w:rPr>
        <w:t>there</w:t>
      </w:r>
      <w:r w:rsidRPr="00337929">
        <w:rPr>
          <w:rFonts w:ascii="Arial" w:hAnsi="Arial" w:cs="Arial"/>
          <w:sz w:val="24"/>
          <w:szCs w:val="24"/>
        </w:rPr>
        <w:t xml:space="preserve"> is fairness in their decisions</w:t>
      </w:r>
      <w:r w:rsidR="00337929" w:rsidRPr="00337929">
        <w:rPr>
          <w:rFonts w:ascii="Arial" w:hAnsi="Arial" w:cs="Arial"/>
          <w:sz w:val="24"/>
          <w:szCs w:val="24"/>
        </w:rPr>
        <w:t>, and the way that someone can become a magistrate.</w:t>
      </w:r>
    </w:p>
    <w:p w14:paraId="4B2C7C2F" w14:textId="0682042C"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 xml:space="preserve">Within the framework of the legal system, individuals without professional legal training assume crucial functions as jurors and magistrates. These individuals introduce a novel viewpoint within the legal setting and have the potential to enhance the equitable dispensation of justice for all parties involved. In addition to their status as non-professionals, magistrates possess a substantial level of legal education and training. The decisions rendered by subordinate courts during the process of adjudicating cases can exert a significant impact on the lives of the parties concerned. When comparing judges and magistrates, it is commonly perceived that magistrates exhibit a greater degree of attentiveness </w:t>
      </w:r>
      <w:r w:rsidR="00DF2A3D" w:rsidRPr="00337929">
        <w:rPr>
          <w:rFonts w:ascii="Arial" w:hAnsi="Arial" w:cs="Arial"/>
          <w:sz w:val="24"/>
          <w:szCs w:val="24"/>
        </w:rPr>
        <w:t>toward</w:t>
      </w:r>
      <w:r w:rsidRPr="00337929">
        <w:rPr>
          <w:rFonts w:ascii="Arial" w:hAnsi="Arial" w:cs="Arial"/>
          <w:sz w:val="24"/>
          <w:szCs w:val="24"/>
        </w:rPr>
        <w:t xml:space="preserve"> community needs. This can be attributed to their inherent connection to the region and their direct involvement in the matters under consideration. Nevertheless, judges have faced criticism for their advanced age, predominantly belonging to the </w:t>
      </w:r>
      <w:r w:rsidR="00DF2A3D" w:rsidRPr="00337929">
        <w:rPr>
          <w:rFonts w:ascii="Arial" w:hAnsi="Arial" w:cs="Arial"/>
          <w:sz w:val="24"/>
          <w:szCs w:val="24"/>
        </w:rPr>
        <w:t>middle class</w:t>
      </w:r>
      <w:r w:rsidRPr="00337929">
        <w:rPr>
          <w:rFonts w:ascii="Arial" w:hAnsi="Arial" w:cs="Arial"/>
          <w:sz w:val="24"/>
          <w:szCs w:val="24"/>
        </w:rPr>
        <w:t xml:space="preserve">, being of Caucasian ethnicity, and </w:t>
      </w:r>
      <w:r w:rsidR="00DF2A3D" w:rsidRPr="00337929">
        <w:rPr>
          <w:rFonts w:ascii="Arial" w:hAnsi="Arial" w:cs="Arial"/>
          <w:sz w:val="24"/>
          <w:szCs w:val="24"/>
        </w:rPr>
        <w:t xml:space="preserve">being </w:t>
      </w:r>
      <w:r w:rsidRPr="00337929">
        <w:rPr>
          <w:rFonts w:ascii="Arial" w:hAnsi="Arial" w:cs="Arial"/>
          <w:sz w:val="24"/>
          <w:szCs w:val="24"/>
        </w:rPr>
        <w:t xml:space="preserve">predominantly male. This implies that their ability to </w:t>
      </w:r>
      <w:r w:rsidR="00DF2A3D" w:rsidRPr="00337929">
        <w:rPr>
          <w:rFonts w:ascii="Arial" w:hAnsi="Arial" w:cs="Arial"/>
          <w:sz w:val="24"/>
          <w:szCs w:val="24"/>
        </w:rPr>
        <w:t>empathize</w:t>
      </w:r>
      <w:r w:rsidRPr="00337929">
        <w:rPr>
          <w:rFonts w:ascii="Arial" w:hAnsi="Arial" w:cs="Arial"/>
          <w:sz w:val="24"/>
          <w:szCs w:val="24"/>
        </w:rPr>
        <w:t xml:space="preserve"> with individuals from various backgrounds may be limited, potentially hindering their capacity to deliver a fair trial to all parties involved.</w:t>
      </w:r>
    </w:p>
    <w:p w14:paraId="69B67CCB" w14:textId="5F8F1336" w:rsidR="004D68C4" w:rsidRPr="00337929" w:rsidRDefault="004D68C4" w:rsidP="00FD0493">
      <w:pPr>
        <w:spacing w:line="360" w:lineRule="auto"/>
        <w:jc w:val="both"/>
        <w:rPr>
          <w:rFonts w:ascii="Arial" w:hAnsi="Arial" w:cs="Arial"/>
          <w:sz w:val="24"/>
          <w:szCs w:val="24"/>
        </w:rPr>
      </w:pPr>
      <w:r w:rsidRPr="00337929">
        <w:rPr>
          <w:rFonts w:ascii="Arial" w:hAnsi="Arial" w:cs="Arial"/>
          <w:sz w:val="24"/>
          <w:szCs w:val="24"/>
        </w:rPr>
        <w:t>The judges are recruited by t</w:t>
      </w:r>
      <w:r w:rsidR="00D755E0" w:rsidRPr="00337929">
        <w:rPr>
          <w:rFonts w:ascii="Arial" w:hAnsi="Arial" w:cs="Arial"/>
          <w:sz w:val="24"/>
          <w:szCs w:val="24"/>
        </w:rPr>
        <w:t xml:space="preserve">he process of recruiting, appointing, and selecting magistrates </w:t>
      </w:r>
      <w:r w:rsidR="00E9374A" w:rsidRPr="00337929">
        <w:rPr>
          <w:rFonts w:ascii="Arial" w:hAnsi="Arial" w:cs="Arial"/>
          <w:sz w:val="24"/>
          <w:szCs w:val="24"/>
        </w:rPr>
        <w:t>exhibiting</w:t>
      </w:r>
      <w:r w:rsidR="00D755E0" w:rsidRPr="00337929">
        <w:rPr>
          <w:rFonts w:ascii="Arial" w:hAnsi="Arial" w:cs="Arial"/>
          <w:sz w:val="24"/>
          <w:szCs w:val="24"/>
        </w:rPr>
        <w:t xml:space="preserve"> variation among different </w:t>
      </w:r>
      <w:r w:rsidR="00F53286" w:rsidRPr="00337929">
        <w:rPr>
          <w:rFonts w:ascii="Arial" w:hAnsi="Arial" w:cs="Arial"/>
          <w:sz w:val="24"/>
          <w:szCs w:val="24"/>
        </w:rPr>
        <w:t>countries.</w:t>
      </w:r>
    </w:p>
    <w:p w14:paraId="14385896" w14:textId="13E4C2FE"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In England and Wales, the process follows as the local advisory committees are responsible for the identification and proposal of candidates for magistrates. The committee's recommendations for candidates are received by the Lord Chancellor, who ultimately makes the final decision regarding appointments. The qualifications required for candidates encompass a minimum age of 18 years and a basic comprehension of legal principles.</w:t>
      </w:r>
      <w:r w:rsidR="004D68C4" w:rsidRPr="00337929">
        <w:rPr>
          <w:rFonts w:ascii="Arial" w:hAnsi="Arial" w:cs="Arial"/>
          <w:sz w:val="24"/>
          <w:szCs w:val="24"/>
        </w:rPr>
        <w:t xml:space="preserve"> </w:t>
      </w:r>
      <w:r w:rsidRPr="00337929">
        <w:rPr>
          <w:rFonts w:ascii="Arial" w:hAnsi="Arial" w:cs="Arial"/>
          <w:sz w:val="24"/>
          <w:szCs w:val="24"/>
        </w:rPr>
        <w:t xml:space="preserve">Various nations </w:t>
      </w:r>
      <w:r w:rsidR="00C25BE7" w:rsidRPr="00337929">
        <w:rPr>
          <w:rFonts w:ascii="Arial" w:hAnsi="Arial" w:cs="Arial"/>
          <w:sz w:val="24"/>
          <w:szCs w:val="24"/>
        </w:rPr>
        <w:t>have distinct legal frameworks and regulations governing</w:t>
      </w:r>
      <w:r w:rsidRPr="00337929">
        <w:rPr>
          <w:rFonts w:ascii="Arial" w:hAnsi="Arial" w:cs="Arial"/>
          <w:sz w:val="24"/>
          <w:szCs w:val="24"/>
        </w:rPr>
        <w:t xml:space="preserve"> their respective judicial procedures. In the jurisdictions of England and Wales, magistrates are appointed through a selection process overseen by the Lord Chancellor. In order to meet the eligibility criteria, individuals must possess a minimum age of 18 years and demonstrate a comprehensive understanding of legal principles and regulations. The involvement of the general public is of utmost importance within the framework of the </w:t>
      </w:r>
      <w:r w:rsidRPr="00337929">
        <w:rPr>
          <w:rFonts w:ascii="Arial" w:hAnsi="Arial" w:cs="Arial"/>
          <w:sz w:val="24"/>
          <w:szCs w:val="24"/>
        </w:rPr>
        <w:lastRenderedPageBreak/>
        <w:t xml:space="preserve">legal system. Their potential contribution lies in the promotion of justice and the establishment of a legal system </w:t>
      </w:r>
      <w:r w:rsidR="00E9374A" w:rsidRPr="00337929">
        <w:rPr>
          <w:rFonts w:ascii="Arial" w:hAnsi="Arial" w:cs="Arial"/>
          <w:sz w:val="24"/>
          <w:szCs w:val="24"/>
        </w:rPr>
        <w:t>characterized</w:t>
      </w:r>
      <w:r w:rsidRPr="00337929">
        <w:rPr>
          <w:rFonts w:ascii="Arial" w:hAnsi="Arial" w:cs="Arial"/>
          <w:sz w:val="24"/>
          <w:szCs w:val="24"/>
        </w:rPr>
        <w:t xml:space="preserve"> by impartiality and equity, thereby ensuring that all individuals are afforded fair treatment. Nevertheless, it is imperative to guarantee that individuals without </w:t>
      </w:r>
      <w:r w:rsidR="00C25BE7" w:rsidRPr="00337929">
        <w:rPr>
          <w:rFonts w:ascii="Arial" w:hAnsi="Arial" w:cs="Arial"/>
          <w:sz w:val="24"/>
          <w:szCs w:val="24"/>
        </w:rPr>
        <w:t>specialized</w:t>
      </w:r>
      <w:r w:rsidRPr="00337929">
        <w:rPr>
          <w:rFonts w:ascii="Arial" w:hAnsi="Arial" w:cs="Arial"/>
          <w:sz w:val="24"/>
          <w:szCs w:val="24"/>
        </w:rPr>
        <w:t xml:space="preserve"> expertise are inclusive of the populations they cater to and possess the requisite knowledge and competencies to carry out their responsibilities proficiently.</w:t>
      </w:r>
    </w:p>
    <w:p w14:paraId="34450738" w14:textId="11754D06"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 xml:space="preserve">The </w:t>
      </w:r>
      <w:r w:rsidR="004D68C4" w:rsidRPr="00337929">
        <w:rPr>
          <w:rFonts w:ascii="Arial" w:hAnsi="Arial" w:cs="Arial"/>
          <w:sz w:val="24"/>
          <w:szCs w:val="24"/>
        </w:rPr>
        <w:t>data</w:t>
      </w:r>
      <w:r w:rsidRPr="00337929">
        <w:rPr>
          <w:rFonts w:ascii="Arial" w:hAnsi="Arial" w:cs="Arial"/>
          <w:sz w:val="24"/>
          <w:szCs w:val="24"/>
        </w:rPr>
        <w:t xml:space="preserve"> presents a demographic analysis of the present magistrates' population in England and Wales: The gender distribution in the sample consists of 43% males and 57% females. The majority of the population, approximately 79%, consists of individuals aged fifty years or older. According to available data, approximately 14% of the population comprises individuals who identify as Black, Asian, or belonging to a minority ethnicity, commonly referred to as BAME. According to the data, 28% of the population is engaged in employment, 20% are involved in self-employment, and 42% are classified as retired. According to the data, 40% of the population is categorised as unmarried, while the remaining 60% are either married or in civil partnerships.</w:t>
      </w:r>
      <w:r w:rsidR="004D68C4" w:rsidRPr="00337929">
        <w:rPr>
          <w:rFonts w:ascii="Arial" w:hAnsi="Arial" w:cs="Arial"/>
          <w:sz w:val="24"/>
          <w:szCs w:val="24"/>
        </w:rPr>
        <w:t xml:space="preserve"> </w:t>
      </w:r>
      <w:r w:rsidRPr="00337929">
        <w:rPr>
          <w:rFonts w:ascii="Arial" w:hAnsi="Arial" w:cs="Arial"/>
          <w:sz w:val="24"/>
          <w:szCs w:val="24"/>
        </w:rPr>
        <w:t>Different countries have specific criteria that must be met in order to become a magistrate. In the jurisdictions of England and Wales, specific requirements are enforced. A prerequisite for participation is the attainment of a minimum age of 18 years. In order to be eligible, individuals must possess British nationality or be affiliated with the Commonwealth and have resided within the territorial boundaries of the United Kingdom for a minimum duration of five years. A prerequisite for this task is a comprehensive understanding of legal principles and concepts. Proficiency in the domains of English language acquisition, encompassing reading, writing, and oral communication, is a prerequisite. An individual is required to demonstrate a willingness to fulfil a minimum of 26 days of service per year in the capacity of a judge.</w:t>
      </w:r>
    </w:p>
    <w:p w14:paraId="5732C3F0" w14:textId="4DB08389"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 xml:space="preserve">The decision to pursue a career as a judge holds significant importance. Magistrates may be obligated to fulfil their duties on tribunals for the purpose of hearing appeals or undertaking other responsibilities. However, it is imperative that they preside for a minimum of 26 days annually. In addition, it is imperative to include professional development initiatives for magistrates. The choice to pursue a career as a judge is </w:t>
      </w:r>
      <w:r w:rsidRPr="00337929">
        <w:rPr>
          <w:rFonts w:ascii="Arial" w:hAnsi="Arial" w:cs="Arial"/>
          <w:sz w:val="24"/>
          <w:szCs w:val="24"/>
        </w:rPr>
        <w:lastRenderedPageBreak/>
        <w:t>ultimately a personal decision made by an individual. Magistrates are required to exhibit impartiality and make decisions solely based on the evidence that is presented. In addition, individuals are expected to demonstrate acts of benevolence and impartiality, while upholding a sense of respect towards all individuals.</w:t>
      </w:r>
    </w:p>
    <w:p w14:paraId="290C416E" w14:textId="55690D93"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The assertion that judges exhibit an overrepresentation of males, Caucasians, individuals from middle-class backgrounds, and older age groups retains a certain degree of validity. According to the latest statistics from the Judicial Appointments Commission, the proportion of male magistrates in England and Wales stands at 60%. Additionally, the data reveals that 86% of magistrates are of Caucasian ethnicity, while 70% of them are aged 50 or above. The advancement of diversifying the judiciary has been observed in recent times. By 2022, there is projected to be a notable increase in the representation of justices with Black, Asian, and Minority Ethnic (BAME) backgrounds, rising from 8% in 2014 to 14%. The composition of the magistracy continues to predominantly consist of individuals who identify as Caucasian, male, and middle-class due to a multitude of factors. One factor contributing to the lack of transparency in the selection of justices is the inherent opacity of the process. Another concern pertains to the limited comprehension of the role of justices among minority populations. Minority groups face obstacles in accessing certain opportunities, such as limited availability of nursery facilities and inflexible work schedules.</w:t>
      </w:r>
    </w:p>
    <w:p w14:paraId="3F60D923" w14:textId="0D080CE9" w:rsidR="004D68C4" w:rsidRPr="00337929" w:rsidRDefault="004D68C4" w:rsidP="00FD0493">
      <w:pPr>
        <w:spacing w:line="360" w:lineRule="auto"/>
        <w:jc w:val="both"/>
        <w:rPr>
          <w:rFonts w:ascii="Arial" w:hAnsi="Arial" w:cs="Arial"/>
          <w:sz w:val="24"/>
          <w:szCs w:val="24"/>
        </w:rPr>
      </w:pPr>
      <w:r w:rsidRPr="00337929">
        <w:rPr>
          <w:rFonts w:ascii="Arial" w:hAnsi="Arial" w:cs="Arial"/>
          <w:sz w:val="24"/>
          <w:szCs w:val="24"/>
        </w:rPr>
        <w:t>I</w:t>
      </w:r>
      <w:r w:rsidR="00D755E0" w:rsidRPr="00337929">
        <w:rPr>
          <w:rFonts w:ascii="Arial" w:hAnsi="Arial" w:cs="Arial"/>
          <w:sz w:val="24"/>
          <w:szCs w:val="24"/>
        </w:rPr>
        <w:t>nitiatives implemented to tackle the issue of judicial diversity in England and Wales</w:t>
      </w:r>
    </w:p>
    <w:p w14:paraId="4566E6A5" w14:textId="7B68BBA0"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 xml:space="preserve"> </w:t>
      </w:r>
      <w:r w:rsidR="004D68C4" w:rsidRPr="00337929">
        <w:rPr>
          <w:rFonts w:ascii="Arial" w:hAnsi="Arial" w:cs="Arial"/>
          <w:sz w:val="24"/>
          <w:szCs w:val="24"/>
        </w:rPr>
        <w:t>E</w:t>
      </w:r>
      <w:r w:rsidRPr="00337929">
        <w:rPr>
          <w:rFonts w:ascii="Arial" w:hAnsi="Arial" w:cs="Arial"/>
          <w:sz w:val="24"/>
          <w:szCs w:val="24"/>
        </w:rPr>
        <w:t xml:space="preserve">nhancing the accessibility and transparency of the employment procedure for marginalised populations. The selection process for magistrates has been modified by the Judicial Appointments Commission (JAC) in order to enhance inclusivity and improve accessibility for minority groups. Promoting awareness among minority groups regarding the significance of justice. The Magistrates' Association has implemented several initiatives aimed at improving the understanding of magistrates within minority communities. Juries consist of ordinary individuals who lack legal expertise, yet they may render verdicts guided by their collective wisdom and notions of fairness. This measure has the potential to serve as a significant safeguard against judges or attorneys who exhibit bias. The prevailing belief is that juries serve as a protective measure for </w:t>
      </w:r>
      <w:r w:rsidRPr="00337929">
        <w:rPr>
          <w:rFonts w:ascii="Arial" w:hAnsi="Arial" w:cs="Arial"/>
          <w:sz w:val="24"/>
          <w:szCs w:val="24"/>
        </w:rPr>
        <w:lastRenderedPageBreak/>
        <w:t xml:space="preserve">defendants, ensuring that they are not wrongfully convicted. The potential outcome of </w:t>
      </w:r>
      <w:r w:rsidR="00FD0493" w:rsidRPr="00337929">
        <w:rPr>
          <w:rFonts w:ascii="Arial" w:hAnsi="Arial" w:cs="Arial"/>
          <w:sz w:val="24"/>
          <w:szCs w:val="24"/>
        </w:rPr>
        <w:t>biased</w:t>
      </w:r>
      <w:r w:rsidRPr="00337929">
        <w:rPr>
          <w:rFonts w:ascii="Arial" w:hAnsi="Arial" w:cs="Arial"/>
          <w:sz w:val="24"/>
          <w:szCs w:val="24"/>
        </w:rPr>
        <w:t xml:space="preserve"> judgements may arise, particularly when the defendant belongs to a marginalised community or originates from a socioeconomically different background compared to the jury.</w:t>
      </w:r>
    </w:p>
    <w:p w14:paraId="0C9612C6" w14:textId="77777777" w:rsidR="004D68C4"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In order to be eligible, individuals must possess British citizenship or be a member of the Commonwealth who has resided in the United Kingdom for a minimum duration of five years. Additionally, the minimum age requirement for eligibility is set at 18 years. The necessary prerequisites encompass proficient English language skills in reading, writing, and speaking, the absence of any criminal convictions or legal disqualifications, and a willingness to fulfil jury duty for a minimum duration of 10 days.</w:t>
      </w:r>
      <w:r w:rsidR="004D68C4" w:rsidRPr="00337929">
        <w:rPr>
          <w:rFonts w:ascii="Arial" w:hAnsi="Arial" w:cs="Arial"/>
          <w:sz w:val="24"/>
          <w:szCs w:val="24"/>
        </w:rPr>
        <w:t xml:space="preserve"> </w:t>
      </w:r>
      <w:r w:rsidRPr="00337929">
        <w:rPr>
          <w:rFonts w:ascii="Arial" w:hAnsi="Arial" w:cs="Arial"/>
          <w:sz w:val="24"/>
          <w:szCs w:val="24"/>
        </w:rPr>
        <w:t>Jury service in the United Kingdom is subject to various limitations and constraints. The following items are enumerated below:</w:t>
      </w:r>
      <w:r w:rsidR="004D68C4" w:rsidRPr="00337929">
        <w:rPr>
          <w:rFonts w:ascii="Arial" w:hAnsi="Arial" w:cs="Arial"/>
          <w:sz w:val="24"/>
          <w:szCs w:val="24"/>
        </w:rPr>
        <w:t xml:space="preserve"> </w:t>
      </w:r>
    </w:p>
    <w:p w14:paraId="589AC994" w14:textId="0B530FE9"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In order to fulfil the requirements for jury service, individuals are expected to possess a state of mental fitness. In order to ascertain the culpability of the defendant, it is imperative to fully comprehend both the instructions and the factual evidence.</w:t>
      </w:r>
      <w:r w:rsidR="004D68C4" w:rsidRPr="00337929">
        <w:rPr>
          <w:rFonts w:ascii="Arial" w:hAnsi="Arial" w:cs="Arial"/>
          <w:sz w:val="24"/>
          <w:szCs w:val="24"/>
        </w:rPr>
        <w:t xml:space="preserve"> </w:t>
      </w:r>
      <w:r w:rsidRPr="00337929">
        <w:rPr>
          <w:rFonts w:ascii="Arial" w:hAnsi="Arial" w:cs="Arial"/>
          <w:sz w:val="24"/>
          <w:szCs w:val="24"/>
        </w:rPr>
        <w:t>Individuals who possess intimate personal relationships with the case, such as familial ties to the defendant or a witness, are ineligible to serve as members of the jury.</w:t>
      </w:r>
      <w:r w:rsidR="004D68C4" w:rsidRPr="00337929">
        <w:rPr>
          <w:rFonts w:ascii="Arial" w:hAnsi="Arial" w:cs="Arial"/>
          <w:sz w:val="24"/>
          <w:szCs w:val="24"/>
        </w:rPr>
        <w:t xml:space="preserve"> </w:t>
      </w:r>
    </w:p>
    <w:p w14:paraId="34B1C6A6" w14:textId="3204B97F"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 xml:space="preserve">The jury process is specifically designed to ensure the administration of justice. The procedure of randomly selecting jurors from the community ensures that the jury is representative of the community and possesses the ability to reach a verdict that is fair and impartial. On the contrary, there are those who argue that the jury system may not consistently achieve the objective of upholding justice. It is argued by some that jurors may possess limited capacity to fully grasp the complex legal matters encompassed within a case, and that their decision-making may be susceptible to the influence of personal biases and prejudices. </w:t>
      </w:r>
    </w:p>
    <w:p w14:paraId="231EA97F" w14:textId="08A35176" w:rsidR="00D755E0" w:rsidRPr="00337929" w:rsidRDefault="00D755E0" w:rsidP="00FD0493">
      <w:pPr>
        <w:spacing w:line="360" w:lineRule="auto"/>
        <w:jc w:val="both"/>
        <w:rPr>
          <w:rFonts w:ascii="Arial" w:hAnsi="Arial" w:cs="Arial"/>
          <w:sz w:val="24"/>
          <w:szCs w:val="24"/>
        </w:rPr>
      </w:pPr>
      <w:r w:rsidRPr="00337929">
        <w:rPr>
          <w:rFonts w:ascii="Arial" w:hAnsi="Arial" w:cs="Arial"/>
          <w:sz w:val="24"/>
          <w:szCs w:val="24"/>
        </w:rPr>
        <w:t xml:space="preserve">In the context of a legal proceeding, a trial by jury involves the participation of a group of individuals referred to as jurors, who are tasked with determining the guilt or innocence of a criminal defendant. The jury system ensures the administration of justice by offering a fair and impartial trial. There exist multiple justifications for regarding a jury trial as a rational approach to establishing guilt or innocence. The process of jury selection involves </w:t>
      </w:r>
      <w:r w:rsidRPr="00337929">
        <w:rPr>
          <w:rFonts w:ascii="Arial" w:hAnsi="Arial" w:cs="Arial"/>
          <w:sz w:val="24"/>
          <w:szCs w:val="24"/>
        </w:rPr>
        <w:lastRenderedPageBreak/>
        <w:t xml:space="preserve">the random selection of individuals from the community, with the aim of ensuring that the entire population is adequately represented. This serves to mitigate potential jury bias either against or in </w:t>
      </w:r>
      <w:r w:rsidR="00D23099">
        <w:rPr>
          <w:rFonts w:ascii="Arial" w:hAnsi="Arial" w:cs="Arial"/>
          <w:sz w:val="24"/>
          <w:szCs w:val="24"/>
        </w:rPr>
        <w:t>favor</w:t>
      </w:r>
      <w:r w:rsidRPr="00337929">
        <w:rPr>
          <w:rFonts w:ascii="Arial" w:hAnsi="Arial" w:cs="Arial"/>
          <w:sz w:val="24"/>
          <w:szCs w:val="24"/>
        </w:rPr>
        <w:t xml:space="preserve"> of the defendant. </w:t>
      </w:r>
    </w:p>
    <w:p w14:paraId="53190585" w14:textId="77777777" w:rsidR="00FD0493" w:rsidRPr="004D68C4" w:rsidRDefault="00FD0493" w:rsidP="00FD0493">
      <w:pPr>
        <w:spacing w:line="360" w:lineRule="auto"/>
        <w:jc w:val="both"/>
        <w:rPr>
          <w:rFonts w:ascii="Times New Roman" w:hAnsi="Times New Roman" w:cs="Times New Roman"/>
          <w:sz w:val="24"/>
          <w:szCs w:val="24"/>
        </w:rPr>
      </w:pPr>
    </w:p>
    <w:p w14:paraId="6A5922C8" w14:textId="77777777" w:rsidR="00D755E0" w:rsidRPr="004D68C4" w:rsidRDefault="00D755E0" w:rsidP="00FD0493">
      <w:pPr>
        <w:spacing w:line="360" w:lineRule="auto"/>
        <w:jc w:val="both"/>
        <w:rPr>
          <w:rFonts w:ascii="Times New Roman" w:hAnsi="Times New Roman" w:cs="Times New Roman"/>
          <w:sz w:val="24"/>
          <w:szCs w:val="24"/>
        </w:rPr>
      </w:pPr>
    </w:p>
    <w:p w14:paraId="789854F4" w14:textId="77777777" w:rsidR="00D755E0" w:rsidRPr="004D68C4" w:rsidRDefault="00D755E0" w:rsidP="00FD0493">
      <w:pPr>
        <w:spacing w:line="360" w:lineRule="auto"/>
        <w:jc w:val="both"/>
        <w:rPr>
          <w:rFonts w:ascii="Times New Roman" w:hAnsi="Times New Roman" w:cs="Times New Roman"/>
          <w:sz w:val="24"/>
          <w:szCs w:val="24"/>
        </w:rPr>
      </w:pPr>
    </w:p>
    <w:p w14:paraId="07000FFA" w14:textId="77777777" w:rsidR="00D755E0" w:rsidRPr="004D68C4" w:rsidRDefault="00D755E0" w:rsidP="00FD0493">
      <w:pPr>
        <w:spacing w:line="360" w:lineRule="auto"/>
        <w:jc w:val="both"/>
        <w:rPr>
          <w:rFonts w:ascii="Times New Roman" w:hAnsi="Times New Roman" w:cs="Times New Roman"/>
          <w:sz w:val="24"/>
          <w:szCs w:val="24"/>
        </w:rPr>
      </w:pPr>
    </w:p>
    <w:p w14:paraId="28719CB3" w14:textId="77777777" w:rsidR="00D755E0" w:rsidRDefault="00D755E0" w:rsidP="00FD0493">
      <w:pPr>
        <w:spacing w:line="360" w:lineRule="auto"/>
        <w:jc w:val="both"/>
        <w:rPr>
          <w:rFonts w:ascii="Times New Roman" w:hAnsi="Times New Roman" w:cs="Times New Roman"/>
          <w:sz w:val="24"/>
          <w:szCs w:val="24"/>
        </w:rPr>
      </w:pPr>
    </w:p>
    <w:p w14:paraId="5D7DCBC1" w14:textId="77777777" w:rsidR="009F6D81" w:rsidRDefault="009F6D81" w:rsidP="00FD0493">
      <w:pPr>
        <w:spacing w:line="360" w:lineRule="auto"/>
        <w:jc w:val="both"/>
        <w:rPr>
          <w:rFonts w:ascii="Times New Roman" w:hAnsi="Times New Roman" w:cs="Times New Roman"/>
          <w:sz w:val="24"/>
          <w:szCs w:val="24"/>
        </w:rPr>
      </w:pPr>
    </w:p>
    <w:p w14:paraId="6BCBAD71" w14:textId="77777777" w:rsidR="009F6D81" w:rsidRDefault="009F6D81" w:rsidP="00FD0493">
      <w:pPr>
        <w:spacing w:line="360" w:lineRule="auto"/>
        <w:jc w:val="both"/>
        <w:rPr>
          <w:rFonts w:ascii="Times New Roman" w:hAnsi="Times New Roman" w:cs="Times New Roman"/>
          <w:sz w:val="24"/>
          <w:szCs w:val="24"/>
        </w:rPr>
      </w:pPr>
    </w:p>
    <w:p w14:paraId="7B537483" w14:textId="77777777" w:rsidR="009F6D81" w:rsidRDefault="009F6D81" w:rsidP="00FD0493">
      <w:pPr>
        <w:spacing w:line="360" w:lineRule="auto"/>
        <w:jc w:val="both"/>
        <w:rPr>
          <w:rFonts w:ascii="Times New Roman" w:hAnsi="Times New Roman" w:cs="Times New Roman"/>
          <w:sz w:val="24"/>
          <w:szCs w:val="24"/>
        </w:rPr>
      </w:pPr>
    </w:p>
    <w:p w14:paraId="49FC1B2B" w14:textId="77777777" w:rsidR="009F6D81" w:rsidRDefault="009F6D81" w:rsidP="00FD0493">
      <w:pPr>
        <w:spacing w:line="360" w:lineRule="auto"/>
        <w:jc w:val="both"/>
        <w:rPr>
          <w:rFonts w:ascii="Times New Roman" w:hAnsi="Times New Roman" w:cs="Times New Roman"/>
          <w:sz w:val="24"/>
          <w:szCs w:val="24"/>
        </w:rPr>
      </w:pPr>
    </w:p>
    <w:p w14:paraId="28656696" w14:textId="77777777" w:rsidR="009F6D81" w:rsidRDefault="009F6D81" w:rsidP="00FD0493">
      <w:pPr>
        <w:spacing w:line="360" w:lineRule="auto"/>
        <w:jc w:val="both"/>
        <w:rPr>
          <w:rFonts w:ascii="Times New Roman" w:hAnsi="Times New Roman" w:cs="Times New Roman"/>
          <w:sz w:val="24"/>
          <w:szCs w:val="24"/>
        </w:rPr>
      </w:pPr>
    </w:p>
    <w:p w14:paraId="613E6079" w14:textId="77777777" w:rsidR="009F6D81" w:rsidRDefault="009F6D81" w:rsidP="00FD0493">
      <w:pPr>
        <w:spacing w:line="360" w:lineRule="auto"/>
        <w:jc w:val="both"/>
        <w:rPr>
          <w:rFonts w:ascii="Times New Roman" w:hAnsi="Times New Roman" w:cs="Times New Roman"/>
          <w:sz w:val="24"/>
          <w:szCs w:val="24"/>
        </w:rPr>
      </w:pPr>
    </w:p>
    <w:p w14:paraId="1A7B99C0" w14:textId="77777777" w:rsidR="009F6D81" w:rsidRDefault="009F6D81" w:rsidP="00FD0493">
      <w:pPr>
        <w:spacing w:line="360" w:lineRule="auto"/>
        <w:jc w:val="both"/>
        <w:rPr>
          <w:rFonts w:ascii="Times New Roman" w:hAnsi="Times New Roman" w:cs="Times New Roman"/>
          <w:sz w:val="24"/>
          <w:szCs w:val="24"/>
        </w:rPr>
      </w:pPr>
    </w:p>
    <w:p w14:paraId="56A61001" w14:textId="77777777" w:rsidR="009F6D81" w:rsidRDefault="009F6D81" w:rsidP="00FD0493">
      <w:pPr>
        <w:spacing w:line="360" w:lineRule="auto"/>
        <w:jc w:val="both"/>
        <w:rPr>
          <w:rFonts w:ascii="Times New Roman" w:hAnsi="Times New Roman" w:cs="Times New Roman"/>
          <w:sz w:val="24"/>
          <w:szCs w:val="24"/>
        </w:rPr>
      </w:pPr>
    </w:p>
    <w:p w14:paraId="6FDD829A" w14:textId="77777777" w:rsidR="009F6D81" w:rsidRDefault="009F6D81" w:rsidP="00FD0493">
      <w:pPr>
        <w:spacing w:line="360" w:lineRule="auto"/>
        <w:jc w:val="both"/>
        <w:rPr>
          <w:rFonts w:ascii="Times New Roman" w:hAnsi="Times New Roman" w:cs="Times New Roman"/>
          <w:sz w:val="24"/>
          <w:szCs w:val="24"/>
        </w:rPr>
      </w:pPr>
    </w:p>
    <w:p w14:paraId="2C6A0C61" w14:textId="77777777" w:rsidR="009F6D81" w:rsidRDefault="009F6D81" w:rsidP="00FD0493">
      <w:pPr>
        <w:spacing w:line="360" w:lineRule="auto"/>
        <w:jc w:val="both"/>
        <w:rPr>
          <w:rFonts w:ascii="Times New Roman" w:hAnsi="Times New Roman" w:cs="Times New Roman"/>
          <w:sz w:val="24"/>
          <w:szCs w:val="24"/>
        </w:rPr>
      </w:pPr>
    </w:p>
    <w:p w14:paraId="2269D8BA" w14:textId="77777777" w:rsidR="009F6D81" w:rsidRDefault="009F6D81" w:rsidP="00FD0493">
      <w:pPr>
        <w:spacing w:line="360" w:lineRule="auto"/>
        <w:jc w:val="both"/>
        <w:rPr>
          <w:rFonts w:ascii="Times New Roman" w:hAnsi="Times New Roman" w:cs="Times New Roman"/>
          <w:sz w:val="24"/>
          <w:szCs w:val="24"/>
        </w:rPr>
      </w:pPr>
    </w:p>
    <w:p w14:paraId="4FFCDF5C" w14:textId="77777777" w:rsidR="009F6D81" w:rsidRDefault="009F6D81" w:rsidP="00FD0493">
      <w:pPr>
        <w:spacing w:line="360" w:lineRule="auto"/>
        <w:jc w:val="both"/>
        <w:rPr>
          <w:rFonts w:ascii="Times New Roman" w:hAnsi="Times New Roman" w:cs="Times New Roman"/>
          <w:sz w:val="24"/>
          <w:szCs w:val="24"/>
        </w:rPr>
      </w:pPr>
    </w:p>
    <w:p w14:paraId="46B12F2F" w14:textId="77777777" w:rsidR="009F6D81" w:rsidRDefault="009F6D81" w:rsidP="00FD0493">
      <w:pPr>
        <w:spacing w:line="360" w:lineRule="auto"/>
        <w:jc w:val="both"/>
        <w:rPr>
          <w:rFonts w:ascii="Times New Roman" w:hAnsi="Times New Roman" w:cs="Times New Roman"/>
          <w:sz w:val="24"/>
          <w:szCs w:val="24"/>
        </w:rPr>
      </w:pPr>
    </w:p>
    <w:p w14:paraId="48B64ACC" w14:textId="77777777" w:rsidR="009F6D81" w:rsidRPr="004D68C4" w:rsidRDefault="009F6D81" w:rsidP="00FD0493">
      <w:pPr>
        <w:spacing w:line="360" w:lineRule="auto"/>
        <w:jc w:val="both"/>
        <w:rPr>
          <w:rFonts w:ascii="Times New Roman" w:hAnsi="Times New Roman" w:cs="Times New Roman"/>
          <w:sz w:val="24"/>
          <w:szCs w:val="24"/>
        </w:rPr>
      </w:pPr>
    </w:p>
    <w:p w14:paraId="29953F51" w14:textId="77777777" w:rsidR="00D755E0" w:rsidRPr="00337929" w:rsidRDefault="00D755E0" w:rsidP="00FD0493">
      <w:pPr>
        <w:spacing w:line="360" w:lineRule="auto"/>
        <w:jc w:val="both"/>
        <w:rPr>
          <w:rFonts w:ascii="Arial" w:hAnsi="Arial" w:cs="Arial"/>
          <w:sz w:val="24"/>
          <w:szCs w:val="24"/>
        </w:rPr>
      </w:pPr>
    </w:p>
    <w:p w14:paraId="31F5362B" w14:textId="77777777" w:rsidR="009F6D81" w:rsidRPr="00FD0493" w:rsidRDefault="009F6D81" w:rsidP="00DF2A3D">
      <w:pPr>
        <w:pStyle w:val="ListParagraph"/>
        <w:spacing w:line="360" w:lineRule="auto"/>
        <w:rPr>
          <w:rFonts w:ascii="Times New Roman" w:hAnsi="Times New Roman" w:cs="Times New Roman"/>
          <w:sz w:val="24"/>
          <w:szCs w:val="24"/>
        </w:rPr>
      </w:pPr>
    </w:p>
    <w:p w14:paraId="272BF00E"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 xml:space="preserve">Ashworth, A., &amp; </w:t>
      </w:r>
      <w:proofErr w:type="spellStart"/>
      <w:r w:rsidRPr="00337929">
        <w:rPr>
          <w:rFonts w:ascii="Arial" w:hAnsi="Arial" w:cs="Arial"/>
          <w:sz w:val="24"/>
          <w:szCs w:val="24"/>
        </w:rPr>
        <w:t>Zedner</w:t>
      </w:r>
      <w:proofErr w:type="spellEnd"/>
      <w:r w:rsidRPr="00337929">
        <w:rPr>
          <w:rFonts w:ascii="Arial" w:hAnsi="Arial" w:cs="Arial"/>
          <w:sz w:val="24"/>
          <w:szCs w:val="24"/>
        </w:rPr>
        <w:t xml:space="preserve">, L. (2019). </w:t>
      </w:r>
      <w:r w:rsidRPr="00337929">
        <w:rPr>
          <w:rFonts w:ascii="Arial" w:hAnsi="Arial" w:cs="Arial"/>
          <w:i/>
          <w:iCs/>
          <w:sz w:val="24"/>
          <w:szCs w:val="24"/>
        </w:rPr>
        <w:t>The jury system in England and Wales</w:t>
      </w:r>
      <w:r w:rsidRPr="00337929">
        <w:rPr>
          <w:rFonts w:ascii="Arial" w:hAnsi="Arial" w:cs="Arial"/>
          <w:sz w:val="24"/>
          <w:szCs w:val="24"/>
        </w:rPr>
        <w:t>. In Oxford Handbook of Criminal Justice (2nd ed., pp. 103-130). Oxford University Press.</w:t>
      </w:r>
    </w:p>
    <w:p w14:paraId="5BA51A28"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 xml:space="preserve">Blasi, G. J. (2002). </w:t>
      </w:r>
      <w:r w:rsidRPr="00337929">
        <w:rPr>
          <w:rFonts w:ascii="Arial" w:hAnsi="Arial" w:cs="Arial"/>
          <w:i/>
          <w:iCs/>
          <w:sz w:val="24"/>
          <w:szCs w:val="24"/>
        </w:rPr>
        <w:t>The death of the jury?</w:t>
      </w:r>
      <w:r w:rsidRPr="00337929">
        <w:rPr>
          <w:rFonts w:ascii="Arial" w:hAnsi="Arial" w:cs="Arial"/>
          <w:sz w:val="24"/>
          <w:szCs w:val="24"/>
        </w:rPr>
        <w:t xml:space="preserve"> Harvard Law Review, 115(3), 538-573.</w:t>
      </w:r>
    </w:p>
    <w:p w14:paraId="67E95EE6"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 xml:space="preserve">Hans, V. P., &amp; Vidmar, N. (2004). </w:t>
      </w:r>
      <w:r w:rsidRPr="00337929">
        <w:rPr>
          <w:rFonts w:ascii="Arial" w:hAnsi="Arial" w:cs="Arial"/>
          <w:i/>
          <w:iCs/>
          <w:sz w:val="24"/>
          <w:szCs w:val="24"/>
        </w:rPr>
        <w:t xml:space="preserve">The jury in context: </w:t>
      </w:r>
      <w:r w:rsidRPr="00337929">
        <w:rPr>
          <w:rFonts w:ascii="Arial" w:hAnsi="Arial" w:cs="Arial"/>
          <w:sz w:val="24"/>
          <w:szCs w:val="24"/>
        </w:rPr>
        <w:t>An interdisciplinary approach. Psychology, Public Policy, and Law, 10(1), 223-266.</w:t>
      </w:r>
    </w:p>
    <w:p w14:paraId="7EEA8CBF"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Hans, V. P., &amp; Vidmar, N. (2007</w:t>
      </w:r>
      <w:r w:rsidRPr="00337929">
        <w:rPr>
          <w:rFonts w:ascii="Arial" w:hAnsi="Arial" w:cs="Arial"/>
          <w:i/>
          <w:iCs/>
          <w:sz w:val="24"/>
          <w:szCs w:val="24"/>
        </w:rPr>
        <w:t>). The jury's still out</w:t>
      </w:r>
      <w:r w:rsidRPr="00337929">
        <w:rPr>
          <w:rFonts w:ascii="Arial" w:hAnsi="Arial" w:cs="Arial"/>
          <w:sz w:val="24"/>
          <w:szCs w:val="24"/>
        </w:rPr>
        <w:t>: Jury research and the jury system in the United States. Law &amp; Society Review, 41(4), 821-861.</w:t>
      </w:r>
    </w:p>
    <w:p w14:paraId="07266A82"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 xml:space="preserve">Hodgson, J. (2015). </w:t>
      </w:r>
      <w:r w:rsidRPr="00337929">
        <w:rPr>
          <w:rFonts w:ascii="Arial" w:hAnsi="Arial" w:cs="Arial"/>
          <w:i/>
          <w:iCs/>
          <w:sz w:val="24"/>
          <w:szCs w:val="24"/>
        </w:rPr>
        <w:t>The jury in the 21st century</w:t>
      </w:r>
      <w:r w:rsidRPr="00337929">
        <w:rPr>
          <w:rFonts w:ascii="Arial" w:hAnsi="Arial" w:cs="Arial"/>
          <w:sz w:val="24"/>
          <w:szCs w:val="24"/>
        </w:rPr>
        <w:t>. Judicial Studies Institute Journal, 77, 11-18.</w:t>
      </w:r>
    </w:p>
    <w:p w14:paraId="67D0BF16"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Jackson, J</w:t>
      </w:r>
      <w:r w:rsidRPr="00337929">
        <w:rPr>
          <w:rFonts w:ascii="Arial" w:hAnsi="Arial" w:cs="Arial"/>
          <w:i/>
          <w:iCs/>
          <w:sz w:val="24"/>
          <w:szCs w:val="24"/>
        </w:rPr>
        <w:t>. "The Jury: A Comparative Perspective."</w:t>
      </w:r>
      <w:r w:rsidRPr="00337929">
        <w:rPr>
          <w:rFonts w:ascii="Arial" w:hAnsi="Arial" w:cs="Arial"/>
          <w:sz w:val="24"/>
          <w:szCs w:val="24"/>
        </w:rPr>
        <w:t xml:space="preserve"> International and Comparative Law Quarterly 57.3 (2008): 679-708.</w:t>
      </w:r>
    </w:p>
    <w:p w14:paraId="4E3FA23B"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 xml:space="preserve">Jackson, J. (2008). </w:t>
      </w:r>
      <w:r w:rsidRPr="00337929">
        <w:rPr>
          <w:rFonts w:ascii="Arial" w:hAnsi="Arial" w:cs="Arial"/>
          <w:i/>
          <w:iCs/>
          <w:sz w:val="24"/>
          <w:szCs w:val="24"/>
        </w:rPr>
        <w:t>The jury</w:t>
      </w:r>
      <w:r w:rsidRPr="00337929">
        <w:rPr>
          <w:rFonts w:ascii="Arial" w:hAnsi="Arial" w:cs="Arial"/>
          <w:sz w:val="24"/>
          <w:szCs w:val="24"/>
        </w:rPr>
        <w:t>: A comparative perspective. International and Comparative Law Quarterly, 57(3), 679-708.</w:t>
      </w:r>
    </w:p>
    <w:p w14:paraId="7A3F9935" w14:textId="77777777" w:rsidR="009F6D81" w:rsidRPr="00337929" w:rsidRDefault="009F6D81" w:rsidP="00DF2A3D">
      <w:pPr>
        <w:spacing w:line="360" w:lineRule="auto"/>
        <w:ind w:left="360"/>
        <w:rPr>
          <w:rFonts w:ascii="Arial" w:hAnsi="Arial" w:cs="Arial"/>
          <w:sz w:val="24"/>
          <w:szCs w:val="24"/>
        </w:rPr>
      </w:pPr>
      <w:proofErr w:type="spellStart"/>
      <w:r w:rsidRPr="00337929">
        <w:rPr>
          <w:rFonts w:ascii="Arial" w:hAnsi="Arial" w:cs="Arial"/>
          <w:sz w:val="24"/>
          <w:szCs w:val="24"/>
        </w:rPr>
        <w:t>Pannick</w:t>
      </w:r>
      <w:proofErr w:type="spellEnd"/>
      <w:r w:rsidRPr="00337929">
        <w:rPr>
          <w:rFonts w:ascii="Arial" w:hAnsi="Arial" w:cs="Arial"/>
          <w:sz w:val="24"/>
          <w:szCs w:val="24"/>
        </w:rPr>
        <w:t>, D. J. </w:t>
      </w:r>
      <w:r w:rsidRPr="00337929">
        <w:rPr>
          <w:rFonts w:ascii="Arial" w:hAnsi="Arial" w:cs="Arial"/>
          <w:i/>
          <w:iCs/>
          <w:sz w:val="24"/>
          <w:szCs w:val="24"/>
        </w:rPr>
        <w:t>"The Role of the Magistrate in the Criminal Justice System."</w:t>
      </w:r>
      <w:r w:rsidRPr="00337929">
        <w:rPr>
          <w:rFonts w:ascii="Arial" w:hAnsi="Arial" w:cs="Arial"/>
          <w:sz w:val="24"/>
          <w:szCs w:val="24"/>
        </w:rPr>
        <w:t xml:space="preserve"> Criminal Law Review 37.6 (2000): 431-442.</w:t>
      </w:r>
    </w:p>
    <w:p w14:paraId="74E5760B" w14:textId="77777777" w:rsidR="009F6D81" w:rsidRPr="00337929" w:rsidRDefault="009F6D81" w:rsidP="00DF2A3D">
      <w:pPr>
        <w:spacing w:line="360" w:lineRule="auto"/>
        <w:ind w:left="360"/>
        <w:rPr>
          <w:rFonts w:ascii="Arial" w:hAnsi="Arial" w:cs="Arial"/>
          <w:sz w:val="24"/>
          <w:szCs w:val="24"/>
        </w:rPr>
      </w:pPr>
      <w:proofErr w:type="spellStart"/>
      <w:r w:rsidRPr="00337929">
        <w:rPr>
          <w:rFonts w:ascii="Arial" w:hAnsi="Arial" w:cs="Arial"/>
          <w:sz w:val="24"/>
          <w:szCs w:val="24"/>
        </w:rPr>
        <w:t>Pannick</w:t>
      </w:r>
      <w:proofErr w:type="spellEnd"/>
      <w:r w:rsidRPr="00337929">
        <w:rPr>
          <w:rFonts w:ascii="Arial" w:hAnsi="Arial" w:cs="Arial"/>
          <w:sz w:val="24"/>
          <w:szCs w:val="24"/>
        </w:rPr>
        <w:t xml:space="preserve">, D. J. (2000). </w:t>
      </w:r>
      <w:r w:rsidRPr="00337929">
        <w:rPr>
          <w:rFonts w:ascii="Arial" w:hAnsi="Arial" w:cs="Arial"/>
          <w:i/>
          <w:iCs/>
          <w:sz w:val="24"/>
          <w:szCs w:val="24"/>
        </w:rPr>
        <w:t xml:space="preserve">The role of the magistrate in the criminal justice system. </w:t>
      </w:r>
      <w:r w:rsidRPr="00337929">
        <w:rPr>
          <w:rFonts w:ascii="Arial" w:hAnsi="Arial" w:cs="Arial"/>
          <w:sz w:val="24"/>
          <w:szCs w:val="24"/>
        </w:rPr>
        <w:t>Criminal Law Review, 37(6), 431-442.</w:t>
      </w:r>
    </w:p>
    <w:p w14:paraId="21EE8480"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 xml:space="preserve">Redmayne, M. (2013). </w:t>
      </w:r>
      <w:r w:rsidRPr="00337929">
        <w:rPr>
          <w:rFonts w:ascii="Arial" w:hAnsi="Arial" w:cs="Arial"/>
          <w:i/>
          <w:iCs/>
          <w:sz w:val="24"/>
          <w:szCs w:val="24"/>
        </w:rPr>
        <w:t>The future of the jury?</w:t>
      </w:r>
      <w:r w:rsidRPr="00337929">
        <w:rPr>
          <w:rFonts w:ascii="Arial" w:hAnsi="Arial" w:cs="Arial"/>
          <w:sz w:val="24"/>
          <w:szCs w:val="24"/>
        </w:rPr>
        <w:t xml:space="preserve"> Criminal Law Review, 50(11), 811-826.</w:t>
      </w:r>
    </w:p>
    <w:p w14:paraId="565DE9C1"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 xml:space="preserve">Wissler, R. L., &amp; Hans, V. P. (2009). </w:t>
      </w:r>
      <w:r w:rsidRPr="00337929">
        <w:rPr>
          <w:rFonts w:ascii="Arial" w:hAnsi="Arial" w:cs="Arial"/>
          <w:i/>
          <w:iCs/>
          <w:sz w:val="24"/>
          <w:szCs w:val="24"/>
        </w:rPr>
        <w:t>The jury in the age of technology.</w:t>
      </w:r>
      <w:r w:rsidRPr="00337929">
        <w:rPr>
          <w:rFonts w:ascii="Arial" w:hAnsi="Arial" w:cs="Arial"/>
          <w:sz w:val="24"/>
          <w:szCs w:val="24"/>
        </w:rPr>
        <w:t xml:space="preserve"> University of Pennsylvania Law Review, 157(6), 1607-1671.</w:t>
      </w:r>
    </w:p>
    <w:p w14:paraId="6BDD8759"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Zander, M. </w:t>
      </w:r>
      <w:r w:rsidRPr="00337929">
        <w:rPr>
          <w:rFonts w:ascii="Arial" w:hAnsi="Arial" w:cs="Arial"/>
          <w:i/>
          <w:iCs/>
          <w:sz w:val="24"/>
          <w:szCs w:val="24"/>
        </w:rPr>
        <w:t>"The Jury in Criminal Trials."</w:t>
      </w:r>
      <w:r w:rsidRPr="00337929">
        <w:rPr>
          <w:rFonts w:ascii="Arial" w:hAnsi="Arial" w:cs="Arial"/>
          <w:sz w:val="24"/>
          <w:szCs w:val="24"/>
        </w:rPr>
        <w:t xml:space="preserve"> Oxford Journal of Legal Studies 34.4 (2014): 691-713.</w:t>
      </w:r>
    </w:p>
    <w:p w14:paraId="2C9E534D"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Zander, M. (2014</w:t>
      </w:r>
      <w:r w:rsidRPr="00337929">
        <w:rPr>
          <w:rFonts w:ascii="Arial" w:hAnsi="Arial" w:cs="Arial"/>
          <w:i/>
          <w:iCs/>
          <w:sz w:val="24"/>
          <w:szCs w:val="24"/>
        </w:rPr>
        <w:t xml:space="preserve">). The jury in criminal trials. </w:t>
      </w:r>
      <w:r w:rsidRPr="00337929">
        <w:rPr>
          <w:rFonts w:ascii="Arial" w:hAnsi="Arial" w:cs="Arial"/>
          <w:sz w:val="24"/>
          <w:szCs w:val="24"/>
        </w:rPr>
        <w:t>Oxford Journal of Legal Studies, 34(4), 691-713.</w:t>
      </w:r>
    </w:p>
    <w:p w14:paraId="50EE6F16"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lastRenderedPageBreak/>
        <w:t xml:space="preserve">Zander, M. (2016). </w:t>
      </w:r>
      <w:r w:rsidRPr="00337929">
        <w:rPr>
          <w:rFonts w:ascii="Arial" w:hAnsi="Arial" w:cs="Arial"/>
          <w:i/>
          <w:iCs/>
          <w:sz w:val="24"/>
          <w:szCs w:val="24"/>
        </w:rPr>
        <w:t>The jury in civil cases.</w:t>
      </w:r>
      <w:r w:rsidRPr="00337929">
        <w:rPr>
          <w:rFonts w:ascii="Arial" w:hAnsi="Arial" w:cs="Arial"/>
          <w:sz w:val="24"/>
          <w:szCs w:val="24"/>
        </w:rPr>
        <w:t xml:space="preserve"> Oxford Journal of Legal Studies, 36(1), 1-19.</w:t>
      </w:r>
    </w:p>
    <w:p w14:paraId="66288F15" w14:textId="77777777" w:rsidR="009F6D81" w:rsidRPr="00337929" w:rsidRDefault="009F6D81" w:rsidP="00DF2A3D">
      <w:pPr>
        <w:spacing w:line="360" w:lineRule="auto"/>
        <w:ind w:left="360"/>
        <w:rPr>
          <w:rFonts w:ascii="Arial" w:hAnsi="Arial" w:cs="Arial"/>
          <w:sz w:val="24"/>
          <w:szCs w:val="24"/>
        </w:rPr>
      </w:pPr>
      <w:r w:rsidRPr="00337929">
        <w:rPr>
          <w:rFonts w:ascii="Arial" w:hAnsi="Arial" w:cs="Arial"/>
          <w:sz w:val="24"/>
          <w:szCs w:val="24"/>
        </w:rPr>
        <w:t>Zuckerman, A. A. (2017).</w:t>
      </w:r>
      <w:r w:rsidRPr="00337929">
        <w:rPr>
          <w:rFonts w:ascii="Arial" w:hAnsi="Arial" w:cs="Arial"/>
          <w:i/>
          <w:iCs/>
          <w:sz w:val="24"/>
          <w:szCs w:val="24"/>
        </w:rPr>
        <w:t xml:space="preserve"> The role of the jury in the criminal justice system in England and Wales. </w:t>
      </w:r>
      <w:r w:rsidRPr="00337929">
        <w:rPr>
          <w:rFonts w:ascii="Arial" w:hAnsi="Arial" w:cs="Arial"/>
          <w:sz w:val="24"/>
          <w:szCs w:val="24"/>
        </w:rPr>
        <w:t>Criminal Law Review, 54(6), 479-496.</w:t>
      </w:r>
    </w:p>
    <w:sectPr w:rsidR="009F6D81" w:rsidRPr="00337929" w:rsidSect="000D44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25C7"/>
    <w:multiLevelType w:val="hybridMultilevel"/>
    <w:tmpl w:val="87F68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3A0D2F"/>
    <w:multiLevelType w:val="multilevel"/>
    <w:tmpl w:val="0AB2A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ED758B"/>
    <w:multiLevelType w:val="hybridMultilevel"/>
    <w:tmpl w:val="3912E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6575833">
    <w:abstractNumId w:val="0"/>
  </w:num>
  <w:num w:numId="2" w16cid:durableId="211625575">
    <w:abstractNumId w:val="2"/>
  </w:num>
  <w:num w:numId="3" w16cid:durableId="1279876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E0"/>
    <w:rsid w:val="00054823"/>
    <w:rsid w:val="00060992"/>
    <w:rsid w:val="00062651"/>
    <w:rsid w:val="000D1E8A"/>
    <w:rsid w:val="000D4417"/>
    <w:rsid w:val="00337929"/>
    <w:rsid w:val="003C11D8"/>
    <w:rsid w:val="004860F1"/>
    <w:rsid w:val="004D68C4"/>
    <w:rsid w:val="004E1C51"/>
    <w:rsid w:val="00941A3E"/>
    <w:rsid w:val="009644DA"/>
    <w:rsid w:val="009F6D81"/>
    <w:rsid w:val="00BB4B54"/>
    <w:rsid w:val="00C25BE7"/>
    <w:rsid w:val="00C7437D"/>
    <w:rsid w:val="00D23099"/>
    <w:rsid w:val="00D755E0"/>
    <w:rsid w:val="00DF2A3D"/>
    <w:rsid w:val="00E9374A"/>
    <w:rsid w:val="00F53286"/>
    <w:rsid w:val="00F6740F"/>
    <w:rsid w:val="00FD04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7105D"/>
  <w15:chartTrackingRefBased/>
  <w15:docId w15:val="{DB381E3C-B3C3-42EF-9AFF-3A445F737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5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08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1770</Words>
  <Characters>10320</Characters>
  <Application>Microsoft Office Word</Application>
  <DocSecurity>0</DocSecurity>
  <Lines>645</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Priti Sukhlecha</dc:creator>
  <cp:keywords/>
  <dc:description/>
  <cp:lastModifiedBy>nicoleta berendei</cp:lastModifiedBy>
  <cp:revision>6</cp:revision>
  <dcterms:created xsi:type="dcterms:W3CDTF">2023-07-21T21:35:00Z</dcterms:created>
  <dcterms:modified xsi:type="dcterms:W3CDTF">2023-07-21T22:02:00Z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1b191ae1dce339e322cb5fd59f3fe325236a274a9ff88db91abe58aceabe9e27</vt:lpwstr>
  </property>
</Properties>
</file>