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3139E" w14:textId="77777777" w:rsidR="006E01B2" w:rsidRPr="00FE58D9" w:rsidRDefault="006E01B2" w:rsidP="00C45C6B">
      <w:pPr>
        <w:pBdr>
          <w:top w:val="nil"/>
          <w:left w:val="nil"/>
          <w:bottom w:val="nil"/>
          <w:right w:val="nil"/>
          <w:between w:val="nil"/>
        </w:pBdr>
        <w:spacing w:after="0" w:line="360" w:lineRule="auto"/>
        <w:jc w:val="both"/>
        <w:rPr>
          <w:rFonts w:ascii="Arial" w:eastAsia="Arial" w:hAnsi="Arial" w:cs="Arial"/>
          <w:color w:val="000000"/>
          <w:sz w:val="24"/>
          <w:szCs w:val="24"/>
        </w:rPr>
      </w:pPr>
      <w:bookmarkStart w:id="0" w:name="_gjdgxs" w:colFirst="0" w:colLast="0"/>
      <w:bookmarkEnd w:id="0"/>
    </w:p>
    <w:p w14:paraId="682F4222" w14:textId="77777777" w:rsidR="006E01B2" w:rsidRPr="00FE58D9" w:rsidRDefault="006E01B2" w:rsidP="00C45C6B">
      <w:pPr>
        <w:pBdr>
          <w:top w:val="nil"/>
          <w:left w:val="nil"/>
          <w:bottom w:val="nil"/>
          <w:right w:val="nil"/>
          <w:between w:val="nil"/>
        </w:pBdr>
        <w:spacing w:after="0" w:line="360" w:lineRule="auto"/>
        <w:jc w:val="both"/>
        <w:rPr>
          <w:rFonts w:ascii="Arial" w:eastAsia="Arial" w:hAnsi="Arial" w:cs="Arial"/>
          <w:color w:val="000000"/>
          <w:sz w:val="24"/>
          <w:szCs w:val="24"/>
        </w:rPr>
      </w:pPr>
    </w:p>
    <w:p w14:paraId="0F2DC25B" w14:textId="77777777" w:rsidR="006E01B2" w:rsidRPr="00FE58D9" w:rsidRDefault="006E01B2" w:rsidP="00C45C6B">
      <w:pPr>
        <w:pBdr>
          <w:top w:val="nil"/>
          <w:left w:val="nil"/>
          <w:bottom w:val="nil"/>
          <w:right w:val="nil"/>
          <w:between w:val="nil"/>
        </w:pBdr>
        <w:spacing w:after="0" w:line="360" w:lineRule="auto"/>
        <w:jc w:val="both"/>
        <w:rPr>
          <w:rFonts w:ascii="Arial" w:eastAsia="Arial" w:hAnsi="Arial" w:cs="Arial"/>
          <w:color w:val="000000"/>
          <w:sz w:val="24"/>
          <w:szCs w:val="24"/>
        </w:rPr>
      </w:pPr>
    </w:p>
    <w:p w14:paraId="4EFC99AA" w14:textId="77777777" w:rsidR="006E01B2" w:rsidRPr="00FE58D9" w:rsidRDefault="006E01B2" w:rsidP="00C45C6B">
      <w:pPr>
        <w:pBdr>
          <w:top w:val="nil"/>
          <w:left w:val="nil"/>
          <w:bottom w:val="nil"/>
          <w:right w:val="nil"/>
          <w:between w:val="nil"/>
        </w:pBdr>
        <w:spacing w:after="0" w:line="360" w:lineRule="auto"/>
        <w:jc w:val="both"/>
        <w:rPr>
          <w:rFonts w:ascii="Arial" w:eastAsia="Arial" w:hAnsi="Arial" w:cs="Arial"/>
          <w:color w:val="000000"/>
          <w:sz w:val="24"/>
          <w:szCs w:val="24"/>
        </w:rPr>
      </w:pPr>
    </w:p>
    <w:p w14:paraId="4FFE8F03" w14:textId="77777777" w:rsidR="006E01B2" w:rsidRPr="00FE58D9" w:rsidRDefault="006E01B2" w:rsidP="00C45C6B">
      <w:pPr>
        <w:pBdr>
          <w:top w:val="nil"/>
          <w:left w:val="nil"/>
          <w:bottom w:val="nil"/>
          <w:right w:val="nil"/>
          <w:between w:val="nil"/>
        </w:pBdr>
        <w:spacing w:after="0" w:line="360" w:lineRule="auto"/>
        <w:jc w:val="both"/>
        <w:rPr>
          <w:rFonts w:ascii="Arial" w:eastAsia="Arial" w:hAnsi="Arial" w:cs="Arial"/>
          <w:color w:val="000000"/>
          <w:sz w:val="24"/>
          <w:szCs w:val="24"/>
        </w:rPr>
      </w:pPr>
    </w:p>
    <w:p w14:paraId="5A3C826C" w14:textId="77777777" w:rsidR="006E01B2" w:rsidRPr="00FE58D9" w:rsidRDefault="006E01B2" w:rsidP="00C45C6B">
      <w:pPr>
        <w:pBdr>
          <w:top w:val="nil"/>
          <w:left w:val="nil"/>
          <w:bottom w:val="nil"/>
          <w:right w:val="nil"/>
          <w:between w:val="nil"/>
        </w:pBdr>
        <w:spacing w:after="0" w:line="360" w:lineRule="auto"/>
        <w:jc w:val="both"/>
        <w:rPr>
          <w:rFonts w:ascii="Arial" w:eastAsia="Arial" w:hAnsi="Arial" w:cs="Arial"/>
          <w:color w:val="000000"/>
          <w:sz w:val="24"/>
          <w:szCs w:val="24"/>
        </w:rPr>
      </w:pPr>
    </w:p>
    <w:p w14:paraId="483CF843" w14:textId="77777777" w:rsidR="006E01B2" w:rsidRPr="00FE58D9" w:rsidRDefault="006E01B2" w:rsidP="00C45C6B">
      <w:pPr>
        <w:pBdr>
          <w:top w:val="nil"/>
          <w:left w:val="nil"/>
          <w:bottom w:val="nil"/>
          <w:right w:val="nil"/>
          <w:between w:val="nil"/>
        </w:pBdr>
        <w:spacing w:after="0" w:line="360" w:lineRule="auto"/>
        <w:jc w:val="both"/>
        <w:rPr>
          <w:rFonts w:ascii="Arial" w:eastAsia="Arial" w:hAnsi="Arial" w:cs="Arial"/>
          <w:color w:val="000000"/>
          <w:sz w:val="24"/>
          <w:szCs w:val="24"/>
        </w:rPr>
      </w:pPr>
    </w:p>
    <w:p w14:paraId="1CA8F193" w14:textId="77777777" w:rsidR="006E01B2" w:rsidRPr="00FE58D9" w:rsidRDefault="006E01B2" w:rsidP="00C45C6B">
      <w:pPr>
        <w:pBdr>
          <w:top w:val="nil"/>
          <w:left w:val="nil"/>
          <w:bottom w:val="nil"/>
          <w:right w:val="nil"/>
          <w:between w:val="nil"/>
        </w:pBdr>
        <w:spacing w:after="0" w:line="360" w:lineRule="auto"/>
        <w:jc w:val="both"/>
        <w:rPr>
          <w:rFonts w:ascii="Arial" w:eastAsia="Arial" w:hAnsi="Arial" w:cs="Arial"/>
          <w:color w:val="000000"/>
          <w:sz w:val="24"/>
          <w:szCs w:val="24"/>
        </w:rPr>
      </w:pPr>
    </w:p>
    <w:p w14:paraId="00000001" w14:textId="660D05EB" w:rsidR="004C5277" w:rsidRPr="00FE58D9" w:rsidRDefault="00000000" w:rsidP="00C45C6B">
      <w:pPr>
        <w:pBdr>
          <w:top w:val="nil"/>
          <w:left w:val="nil"/>
          <w:bottom w:val="nil"/>
          <w:right w:val="nil"/>
          <w:between w:val="nil"/>
        </w:pBdr>
        <w:spacing w:after="0" w:line="360" w:lineRule="auto"/>
        <w:jc w:val="both"/>
        <w:rPr>
          <w:rFonts w:ascii="Arial" w:eastAsia="Arial" w:hAnsi="Arial" w:cs="Arial"/>
          <w:color w:val="000000"/>
          <w:sz w:val="24"/>
          <w:szCs w:val="24"/>
        </w:rPr>
      </w:pPr>
      <w:r w:rsidRPr="00FE58D9">
        <w:rPr>
          <w:rFonts w:ascii="Arial" w:eastAsia="Arial" w:hAnsi="Arial" w:cs="Arial"/>
          <w:color w:val="000000"/>
          <w:sz w:val="24"/>
          <w:szCs w:val="24"/>
        </w:rPr>
        <w:t>STUDENT NAME: JANEPHER NAMITALA</w:t>
      </w:r>
    </w:p>
    <w:p w14:paraId="00000002"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STUDENT ID NUMBER: 2030084</w:t>
      </w:r>
    </w:p>
    <w:p w14:paraId="00000003"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PROGRAMME: BSc WELLBEING AND SUSTAINABLE DEVELOPMENT</w:t>
      </w:r>
    </w:p>
    <w:p w14:paraId="00000004"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MODULE CODE: BMHP6021</w:t>
      </w:r>
    </w:p>
    <w:p w14:paraId="00000005"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LECTURER: JOANNE DAVIES</w:t>
      </w:r>
    </w:p>
    <w:p w14:paraId="00000006" w14:textId="77777777" w:rsidR="004C5277" w:rsidRPr="00FE58D9" w:rsidRDefault="004C5277" w:rsidP="00C45C6B">
      <w:pPr>
        <w:spacing w:line="360" w:lineRule="auto"/>
        <w:jc w:val="both"/>
        <w:rPr>
          <w:rFonts w:ascii="Arial" w:eastAsia="Arial" w:hAnsi="Arial" w:cs="Arial"/>
          <w:sz w:val="24"/>
          <w:szCs w:val="24"/>
        </w:rPr>
      </w:pPr>
    </w:p>
    <w:p w14:paraId="00000007" w14:textId="77777777" w:rsidR="004C5277" w:rsidRPr="00FE58D9" w:rsidRDefault="004C5277" w:rsidP="00C45C6B">
      <w:pPr>
        <w:spacing w:line="360" w:lineRule="auto"/>
        <w:jc w:val="both"/>
        <w:rPr>
          <w:rFonts w:ascii="Arial" w:eastAsia="Arial" w:hAnsi="Arial" w:cs="Arial"/>
          <w:sz w:val="24"/>
          <w:szCs w:val="24"/>
        </w:rPr>
      </w:pPr>
    </w:p>
    <w:p w14:paraId="00000008" w14:textId="77777777" w:rsidR="004C5277" w:rsidRPr="00FE58D9" w:rsidRDefault="004C5277" w:rsidP="00C45C6B">
      <w:pPr>
        <w:spacing w:line="360" w:lineRule="auto"/>
        <w:jc w:val="both"/>
        <w:rPr>
          <w:rFonts w:ascii="Arial" w:eastAsia="Arial" w:hAnsi="Arial" w:cs="Arial"/>
          <w:sz w:val="24"/>
          <w:szCs w:val="24"/>
        </w:rPr>
      </w:pPr>
    </w:p>
    <w:p w14:paraId="00000009" w14:textId="77777777" w:rsidR="004C5277" w:rsidRPr="00FE58D9" w:rsidRDefault="004C5277" w:rsidP="00C45C6B">
      <w:pPr>
        <w:spacing w:line="360" w:lineRule="auto"/>
        <w:jc w:val="both"/>
        <w:rPr>
          <w:rFonts w:ascii="Arial" w:eastAsia="Arial" w:hAnsi="Arial" w:cs="Arial"/>
          <w:sz w:val="24"/>
          <w:szCs w:val="24"/>
        </w:rPr>
      </w:pPr>
    </w:p>
    <w:p w14:paraId="0000000A" w14:textId="77777777" w:rsidR="004C5277" w:rsidRPr="00FE58D9" w:rsidRDefault="004C5277" w:rsidP="00C45C6B">
      <w:pPr>
        <w:spacing w:line="360" w:lineRule="auto"/>
        <w:jc w:val="both"/>
        <w:rPr>
          <w:rFonts w:ascii="Arial" w:eastAsia="Arial" w:hAnsi="Arial" w:cs="Arial"/>
          <w:sz w:val="24"/>
          <w:szCs w:val="24"/>
        </w:rPr>
      </w:pPr>
    </w:p>
    <w:p w14:paraId="0000000B" w14:textId="77777777" w:rsidR="004C5277" w:rsidRPr="00FE58D9" w:rsidRDefault="004C5277" w:rsidP="00C45C6B">
      <w:pPr>
        <w:spacing w:line="360" w:lineRule="auto"/>
        <w:jc w:val="both"/>
        <w:rPr>
          <w:rFonts w:ascii="Arial" w:eastAsia="Arial" w:hAnsi="Arial" w:cs="Arial"/>
          <w:sz w:val="24"/>
          <w:szCs w:val="24"/>
        </w:rPr>
      </w:pPr>
    </w:p>
    <w:p w14:paraId="0000000C" w14:textId="77777777" w:rsidR="004C5277" w:rsidRPr="00FE58D9" w:rsidRDefault="004C5277" w:rsidP="00C45C6B">
      <w:pPr>
        <w:spacing w:line="360" w:lineRule="auto"/>
        <w:jc w:val="both"/>
        <w:rPr>
          <w:rFonts w:ascii="Arial" w:eastAsia="Arial" w:hAnsi="Arial" w:cs="Arial"/>
          <w:sz w:val="24"/>
          <w:szCs w:val="24"/>
        </w:rPr>
      </w:pPr>
    </w:p>
    <w:p w14:paraId="0000000D" w14:textId="77777777" w:rsidR="004C5277" w:rsidRPr="00FE58D9" w:rsidRDefault="004C5277" w:rsidP="00C45C6B">
      <w:pPr>
        <w:spacing w:line="360" w:lineRule="auto"/>
        <w:jc w:val="both"/>
        <w:rPr>
          <w:rFonts w:ascii="Arial" w:eastAsia="Arial" w:hAnsi="Arial" w:cs="Arial"/>
          <w:sz w:val="24"/>
          <w:szCs w:val="24"/>
        </w:rPr>
      </w:pPr>
    </w:p>
    <w:p w14:paraId="0000000E" w14:textId="77777777" w:rsidR="004C5277" w:rsidRPr="00FE58D9" w:rsidRDefault="004C5277" w:rsidP="00C45C6B">
      <w:pPr>
        <w:spacing w:line="360" w:lineRule="auto"/>
        <w:jc w:val="both"/>
        <w:rPr>
          <w:rFonts w:ascii="Arial" w:eastAsia="Arial" w:hAnsi="Arial" w:cs="Arial"/>
          <w:sz w:val="24"/>
          <w:szCs w:val="24"/>
        </w:rPr>
      </w:pPr>
    </w:p>
    <w:p w14:paraId="0000000F" w14:textId="77777777" w:rsidR="004C5277" w:rsidRPr="00FE58D9" w:rsidRDefault="004C5277" w:rsidP="00C45C6B">
      <w:pPr>
        <w:spacing w:line="360" w:lineRule="auto"/>
        <w:jc w:val="both"/>
        <w:rPr>
          <w:rFonts w:ascii="Arial" w:eastAsia="Arial" w:hAnsi="Arial" w:cs="Arial"/>
          <w:sz w:val="24"/>
          <w:szCs w:val="24"/>
        </w:rPr>
      </w:pPr>
    </w:p>
    <w:p w14:paraId="00000010" w14:textId="77777777" w:rsidR="004C5277" w:rsidRPr="00FE58D9" w:rsidRDefault="004C5277" w:rsidP="00C45C6B">
      <w:pPr>
        <w:spacing w:line="360" w:lineRule="auto"/>
        <w:jc w:val="both"/>
        <w:rPr>
          <w:rFonts w:ascii="Arial" w:eastAsia="Arial" w:hAnsi="Arial" w:cs="Arial"/>
          <w:sz w:val="24"/>
          <w:szCs w:val="24"/>
        </w:rPr>
      </w:pPr>
    </w:p>
    <w:p w14:paraId="00000011" w14:textId="77777777" w:rsidR="004C5277" w:rsidRPr="00FE58D9" w:rsidRDefault="004C5277" w:rsidP="00C45C6B">
      <w:pPr>
        <w:spacing w:line="360" w:lineRule="auto"/>
        <w:jc w:val="both"/>
        <w:rPr>
          <w:rFonts w:ascii="Arial" w:eastAsia="Arial" w:hAnsi="Arial" w:cs="Arial"/>
          <w:sz w:val="24"/>
          <w:szCs w:val="24"/>
        </w:rPr>
      </w:pPr>
    </w:p>
    <w:p w14:paraId="00000016" w14:textId="77777777" w:rsidR="004C5277" w:rsidRPr="00FE58D9" w:rsidRDefault="004C5277" w:rsidP="00C45C6B">
      <w:pPr>
        <w:spacing w:line="360" w:lineRule="auto"/>
        <w:jc w:val="both"/>
        <w:rPr>
          <w:rFonts w:ascii="Arial" w:eastAsia="Arial" w:hAnsi="Arial" w:cs="Arial"/>
          <w:sz w:val="24"/>
          <w:szCs w:val="24"/>
        </w:rPr>
      </w:pPr>
    </w:p>
    <w:p w14:paraId="00000017" w14:textId="77777777" w:rsidR="004C5277" w:rsidRPr="00FE58D9" w:rsidRDefault="00000000" w:rsidP="00C45C6B">
      <w:pPr>
        <w:spacing w:line="360" w:lineRule="auto"/>
        <w:jc w:val="both"/>
        <w:rPr>
          <w:rFonts w:ascii="Arial" w:eastAsia="Arial" w:hAnsi="Arial" w:cs="Arial"/>
          <w:b/>
          <w:sz w:val="24"/>
          <w:szCs w:val="24"/>
        </w:rPr>
      </w:pPr>
      <w:r w:rsidRPr="00FE58D9">
        <w:rPr>
          <w:rFonts w:ascii="Arial" w:eastAsia="Arial" w:hAnsi="Arial" w:cs="Arial"/>
          <w:b/>
          <w:sz w:val="24"/>
          <w:szCs w:val="24"/>
        </w:rPr>
        <w:t>Table of Content</w:t>
      </w:r>
    </w:p>
    <w:sdt>
      <w:sdtPr>
        <w:rPr>
          <w:rFonts w:ascii="Arial" w:hAnsi="Arial" w:cs="Arial"/>
          <w:sz w:val="24"/>
          <w:szCs w:val="24"/>
        </w:rPr>
        <w:id w:val="1055672022"/>
        <w:docPartObj>
          <w:docPartGallery w:val="Table of Contents"/>
          <w:docPartUnique/>
        </w:docPartObj>
      </w:sdtPr>
      <w:sdtContent>
        <w:p w14:paraId="61CE62D8" w14:textId="33F1FC35" w:rsidR="007D563C" w:rsidRDefault="00000000">
          <w:pPr>
            <w:pStyle w:val="TOC3"/>
            <w:tabs>
              <w:tab w:val="right" w:leader="dot" w:pos="9016"/>
            </w:tabs>
            <w:rPr>
              <w:rFonts w:asciiTheme="minorHAnsi" w:eastAsiaTheme="minorEastAsia" w:hAnsiTheme="minorHAnsi" w:cstheme="minorBidi"/>
              <w:noProof/>
              <w:kern w:val="2"/>
              <w:sz w:val="24"/>
              <w:szCs w:val="24"/>
              <w14:ligatures w14:val="standardContextual"/>
            </w:rPr>
          </w:pPr>
          <w:r w:rsidRPr="00FE58D9">
            <w:rPr>
              <w:rFonts w:ascii="Arial" w:hAnsi="Arial" w:cs="Arial"/>
              <w:sz w:val="24"/>
              <w:szCs w:val="24"/>
            </w:rPr>
            <w:fldChar w:fldCharType="begin"/>
          </w:r>
          <w:r w:rsidRPr="00FE58D9">
            <w:rPr>
              <w:rFonts w:ascii="Arial" w:hAnsi="Arial" w:cs="Arial"/>
              <w:sz w:val="24"/>
              <w:szCs w:val="24"/>
            </w:rPr>
            <w:instrText xml:space="preserve"> TOC \h \u \z \t "Heading 1,1,Heading 2,2,Heading 3,3,Heading 4,4,Heading 5,5,Heading 6,6,"</w:instrText>
          </w:r>
          <w:r w:rsidRPr="00FE58D9">
            <w:rPr>
              <w:rFonts w:ascii="Arial" w:hAnsi="Arial" w:cs="Arial"/>
              <w:sz w:val="24"/>
              <w:szCs w:val="24"/>
            </w:rPr>
            <w:fldChar w:fldCharType="separate"/>
          </w:r>
          <w:hyperlink w:anchor="_Toc161986719" w:history="1">
            <w:r w:rsidR="007D563C" w:rsidRPr="00066AEB">
              <w:rPr>
                <w:rStyle w:val="Hyperlink"/>
                <w:rFonts w:ascii="Arial" w:hAnsi="Arial" w:cs="Arial"/>
                <w:noProof/>
              </w:rPr>
              <w:t>A CRITICAL ASSESSMENT OF UK’S PROGRESS TOWARDS SUSTAINABLE DEVELOPMENT GOALS (SDG’s)</w:t>
            </w:r>
            <w:r w:rsidR="007D563C">
              <w:rPr>
                <w:noProof/>
                <w:webHidden/>
              </w:rPr>
              <w:tab/>
            </w:r>
            <w:r w:rsidR="007D563C">
              <w:rPr>
                <w:noProof/>
                <w:webHidden/>
              </w:rPr>
              <w:fldChar w:fldCharType="begin"/>
            </w:r>
            <w:r w:rsidR="007D563C">
              <w:rPr>
                <w:noProof/>
                <w:webHidden/>
              </w:rPr>
              <w:instrText xml:space="preserve"> PAGEREF _Toc161986719 \h </w:instrText>
            </w:r>
            <w:r w:rsidR="007D563C">
              <w:rPr>
                <w:noProof/>
                <w:webHidden/>
              </w:rPr>
            </w:r>
            <w:r w:rsidR="007D563C">
              <w:rPr>
                <w:noProof/>
                <w:webHidden/>
              </w:rPr>
              <w:fldChar w:fldCharType="separate"/>
            </w:r>
            <w:r w:rsidR="007D563C">
              <w:rPr>
                <w:noProof/>
                <w:webHidden/>
              </w:rPr>
              <w:t>3</w:t>
            </w:r>
            <w:r w:rsidR="007D563C">
              <w:rPr>
                <w:noProof/>
                <w:webHidden/>
              </w:rPr>
              <w:fldChar w:fldCharType="end"/>
            </w:r>
          </w:hyperlink>
        </w:p>
        <w:p w14:paraId="45B2E856" w14:textId="6D8F3000" w:rsidR="007D563C" w:rsidRDefault="007D563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1986720" w:history="1">
            <w:r w:rsidRPr="00066AE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_Toc161986720 \h </w:instrText>
            </w:r>
            <w:r>
              <w:rPr>
                <w:noProof/>
                <w:webHidden/>
              </w:rPr>
            </w:r>
            <w:r>
              <w:rPr>
                <w:noProof/>
                <w:webHidden/>
              </w:rPr>
              <w:fldChar w:fldCharType="separate"/>
            </w:r>
            <w:r>
              <w:rPr>
                <w:noProof/>
                <w:webHidden/>
              </w:rPr>
              <w:t>3</w:t>
            </w:r>
            <w:r>
              <w:rPr>
                <w:noProof/>
                <w:webHidden/>
              </w:rPr>
              <w:fldChar w:fldCharType="end"/>
            </w:r>
          </w:hyperlink>
        </w:p>
        <w:p w14:paraId="7B880C59" w14:textId="17E21CD2" w:rsidR="007D563C" w:rsidRDefault="007D563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1986721" w:history="1">
            <w:r w:rsidRPr="00066AEB">
              <w:rPr>
                <w:rStyle w:val="Hyperlink"/>
                <w:rFonts w:ascii="Arial" w:hAnsi="Arial" w:cs="Arial"/>
                <w:noProof/>
              </w:rPr>
              <w:t>INTRODUCTION TO CONCEPTS</w:t>
            </w:r>
            <w:r>
              <w:rPr>
                <w:noProof/>
                <w:webHidden/>
              </w:rPr>
              <w:tab/>
            </w:r>
            <w:r>
              <w:rPr>
                <w:noProof/>
                <w:webHidden/>
              </w:rPr>
              <w:fldChar w:fldCharType="begin"/>
            </w:r>
            <w:r>
              <w:rPr>
                <w:noProof/>
                <w:webHidden/>
              </w:rPr>
              <w:instrText xml:space="preserve"> PAGEREF _Toc161986721 \h </w:instrText>
            </w:r>
            <w:r>
              <w:rPr>
                <w:noProof/>
                <w:webHidden/>
              </w:rPr>
            </w:r>
            <w:r>
              <w:rPr>
                <w:noProof/>
                <w:webHidden/>
              </w:rPr>
              <w:fldChar w:fldCharType="separate"/>
            </w:r>
            <w:r>
              <w:rPr>
                <w:noProof/>
                <w:webHidden/>
              </w:rPr>
              <w:t>4</w:t>
            </w:r>
            <w:r>
              <w:rPr>
                <w:noProof/>
                <w:webHidden/>
              </w:rPr>
              <w:fldChar w:fldCharType="end"/>
            </w:r>
          </w:hyperlink>
        </w:p>
        <w:p w14:paraId="2D4E9BC2" w14:textId="0631DCFC" w:rsidR="007D563C" w:rsidRDefault="007D563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1986722" w:history="1">
            <w:r w:rsidRPr="00066AEB">
              <w:rPr>
                <w:rStyle w:val="Hyperlink"/>
                <w:rFonts w:ascii="Arial" w:hAnsi="Arial" w:cs="Arial"/>
                <w:noProof/>
              </w:rPr>
              <w:t>Well-being:</w:t>
            </w:r>
            <w:r>
              <w:rPr>
                <w:noProof/>
                <w:webHidden/>
              </w:rPr>
              <w:tab/>
            </w:r>
            <w:r>
              <w:rPr>
                <w:noProof/>
                <w:webHidden/>
              </w:rPr>
              <w:fldChar w:fldCharType="begin"/>
            </w:r>
            <w:r>
              <w:rPr>
                <w:noProof/>
                <w:webHidden/>
              </w:rPr>
              <w:instrText xml:space="preserve"> PAGEREF _Toc161986722 \h </w:instrText>
            </w:r>
            <w:r>
              <w:rPr>
                <w:noProof/>
                <w:webHidden/>
              </w:rPr>
            </w:r>
            <w:r>
              <w:rPr>
                <w:noProof/>
                <w:webHidden/>
              </w:rPr>
              <w:fldChar w:fldCharType="separate"/>
            </w:r>
            <w:r>
              <w:rPr>
                <w:noProof/>
                <w:webHidden/>
              </w:rPr>
              <w:t>4</w:t>
            </w:r>
            <w:r>
              <w:rPr>
                <w:noProof/>
                <w:webHidden/>
              </w:rPr>
              <w:fldChar w:fldCharType="end"/>
            </w:r>
          </w:hyperlink>
        </w:p>
        <w:p w14:paraId="3BBA2AD5" w14:textId="6613E5A1" w:rsidR="007D563C" w:rsidRDefault="007D563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1986723" w:history="1">
            <w:r w:rsidRPr="00066AEB">
              <w:rPr>
                <w:rStyle w:val="Hyperlink"/>
                <w:rFonts w:ascii="Arial" w:hAnsi="Arial" w:cs="Arial"/>
                <w:noProof/>
              </w:rPr>
              <w:t>Health:</w:t>
            </w:r>
            <w:r>
              <w:rPr>
                <w:noProof/>
                <w:webHidden/>
              </w:rPr>
              <w:tab/>
            </w:r>
            <w:r>
              <w:rPr>
                <w:noProof/>
                <w:webHidden/>
              </w:rPr>
              <w:fldChar w:fldCharType="begin"/>
            </w:r>
            <w:r>
              <w:rPr>
                <w:noProof/>
                <w:webHidden/>
              </w:rPr>
              <w:instrText xml:space="preserve"> PAGEREF _Toc161986723 \h </w:instrText>
            </w:r>
            <w:r>
              <w:rPr>
                <w:noProof/>
                <w:webHidden/>
              </w:rPr>
            </w:r>
            <w:r>
              <w:rPr>
                <w:noProof/>
                <w:webHidden/>
              </w:rPr>
              <w:fldChar w:fldCharType="separate"/>
            </w:r>
            <w:r>
              <w:rPr>
                <w:noProof/>
                <w:webHidden/>
              </w:rPr>
              <w:t>5</w:t>
            </w:r>
            <w:r>
              <w:rPr>
                <w:noProof/>
                <w:webHidden/>
              </w:rPr>
              <w:fldChar w:fldCharType="end"/>
            </w:r>
          </w:hyperlink>
        </w:p>
        <w:p w14:paraId="700A008C" w14:textId="12F81809" w:rsidR="007D563C" w:rsidRDefault="007D563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1986724" w:history="1">
            <w:r w:rsidRPr="00066AEB">
              <w:rPr>
                <w:rStyle w:val="Hyperlink"/>
                <w:rFonts w:ascii="Arial" w:hAnsi="Arial" w:cs="Arial"/>
                <w:noProof/>
              </w:rPr>
              <w:t>Sustainable Development:</w:t>
            </w:r>
            <w:r>
              <w:rPr>
                <w:noProof/>
                <w:webHidden/>
              </w:rPr>
              <w:tab/>
            </w:r>
            <w:r>
              <w:rPr>
                <w:noProof/>
                <w:webHidden/>
              </w:rPr>
              <w:fldChar w:fldCharType="begin"/>
            </w:r>
            <w:r>
              <w:rPr>
                <w:noProof/>
                <w:webHidden/>
              </w:rPr>
              <w:instrText xml:space="preserve"> PAGEREF _Toc161986724 \h </w:instrText>
            </w:r>
            <w:r>
              <w:rPr>
                <w:noProof/>
                <w:webHidden/>
              </w:rPr>
            </w:r>
            <w:r>
              <w:rPr>
                <w:noProof/>
                <w:webHidden/>
              </w:rPr>
              <w:fldChar w:fldCharType="separate"/>
            </w:r>
            <w:r>
              <w:rPr>
                <w:noProof/>
                <w:webHidden/>
              </w:rPr>
              <w:t>6</w:t>
            </w:r>
            <w:r>
              <w:rPr>
                <w:noProof/>
                <w:webHidden/>
              </w:rPr>
              <w:fldChar w:fldCharType="end"/>
            </w:r>
          </w:hyperlink>
        </w:p>
        <w:p w14:paraId="4AC3EC86" w14:textId="5F0F57BD" w:rsidR="007D563C" w:rsidRDefault="007D563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1986725" w:history="1">
            <w:r w:rsidRPr="00066AEB">
              <w:rPr>
                <w:rStyle w:val="Hyperlink"/>
                <w:rFonts w:ascii="Arial" w:hAnsi="Arial" w:cs="Arial"/>
                <w:noProof/>
              </w:rPr>
              <w:t>Sustainable Development Goals (SDGs):</w:t>
            </w:r>
            <w:r>
              <w:rPr>
                <w:noProof/>
                <w:webHidden/>
              </w:rPr>
              <w:tab/>
            </w:r>
            <w:r>
              <w:rPr>
                <w:noProof/>
                <w:webHidden/>
              </w:rPr>
              <w:fldChar w:fldCharType="begin"/>
            </w:r>
            <w:r>
              <w:rPr>
                <w:noProof/>
                <w:webHidden/>
              </w:rPr>
              <w:instrText xml:space="preserve"> PAGEREF _Toc161986725 \h </w:instrText>
            </w:r>
            <w:r>
              <w:rPr>
                <w:noProof/>
                <w:webHidden/>
              </w:rPr>
            </w:r>
            <w:r>
              <w:rPr>
                <w:noProof/>
                <w:webHidden/>
              </w:rPr>
              <w:fldChar w:fldCharType="separate"/>
            </w:r>
            <w:r>
              <w:rPr>
                <w:noProof/>
                <w:webHidden/>
              </w:rPr>
              <w:t>6</w:t>
            </w:r>
            <w:r>
              <w:rPr>
                <w:noProof/>
                <w:webHidden/>
              </w:rPr>
              <w:fldChar w:fldCharType="end"/>
            </w:r>
          </w:hyperlink>
        </w:p>
        <w:p w14:paraId="5955BFA6" w14:textId="547C5C91" w:rsidR="007D563C" w:rsidRDefault="007D563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1986726" w:history="1">
            <w:r w:rsidRPr="00066AEB">
              <w:rPr>
                <w:rStyle w:val="Hyperlink"/>
                <w:rFonts w:ascii="Arial" w:hAnsi="Arial" w:cs="Arial"/>
                <w:noProof/>
              </w:rPr>
              <w:t>GOAL A</w:t>
            </w:r>
            <w:r>
              <w:rPr>
                <w:noProof/>
                <w:webHidden/>
              </w:rPr>
              <w:tab/>
            </w:r>
            <w:r>
              <w:rPr>
                <w:noProof/>
                <w:webHidden/>
              </w:rPr>
              <w:fldChar w:fldCharType="begin"/>
            </w:r>
            <w:r>
              <w:rPr>
                <w:noProof/>
                <w:webHidden/>
              </w:rPr>
              <w:instrText xml:space="preserve"> PAGEREF _Toc161986726 \h </w:instrText>
            </w:r>
            <w:r>
              <w:rPr>
                <w:noProof/>
                <w:webHidden/>
              </w:rPr>
            </w:r>
            <w:r>
              <w:rPr>
                <w:noProof/>
                <w:webHidden/>
              </w:rPr>
              <w:fldChar w:fldCharType="separate"/>
            </w:r>
            <w:r>
              <w:rPr>
                <w:noProof/>
                <w:webHidden/>
              </w:rPr>
              <w:t>8</w:t>
            </w:r>
            <w:r>
              <w:rPr>
                <w:noProof/>
                <w:webHidden/>
              </w:rPr>
              <w:fldChar w:fldCharType="end"/>
            </w:r>
          </w:hyperlink>
        </w:p>
        <w:p w14:paraId="49A61D85" w14:textId="69C24A4A" w:rsidR="007D563C" w:rsidRDefault="007D563C">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1986727" w:history="1">
            <w:r w:rsidRPr="00066AEB">
              <w:rPr>
                <w:rStyle w:val="Hyperlink"/>
                <w:rFonts w:ascii="Arial" w:eastAsia="Arial" w:hAnsi="Arial" w:cs="Arial"/>
                <w:noProof/>
              </w:rPr>
              <w:t>SDG2-Zero Hunger</w:t>
            </w:r>
            <w:r>
              <w:rPr>
                <w:noProof/>
                <w:webHidden/>
              </w:rPr>
              <w:tab/>
            </w:r>
            <w:r>
              <w:rPr>
                <w:noProof/>
                <w:webHidden/>
              </w:rPr>
              <w:fldChar w:fldCharType="begin"/>
            </w:r>
            <w:r>
              <w:rPr>
                <w:noProof/>
                <w:webHidden/>
              </w:rPr>
              <w:instrText xml:space="preserve"> PAGEREF _Toc161986727 \h </w:instrText>
            </w:r>
            <w:r>
              <w:rPr>
                <w:noProof/>
                <w:webHidden/>
              </w:rPr>
            </w:r>
            <w:r>
              <w:rPr>
                <w:noProof/>
                <w:webHidden/>
              </w:rPr>
              <w:fldChar w:fldCharType="separate"/>
            </w:r>
            <w:r>
              <w:rPr>
                <w:noProof/>
                <w:webHidden/>
              </w:rPr>
              <w:t>8</w:t>
            </w:r>
            <w:r>
              <w:rPr>
                <w:noProof/>
                <w:webHidden/>
              </w:rPr>
              <w:fldChar w:fldCharType="end"/>
            </w:r>
          </w:hyperlink>
        </w:p>
        <w:p w14:paraId="04C74578" w14:textId="4BB870FF" w:rsidR="007D563C" w:rsidRDefault="007D563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1986728" w:history="1">
            <w:r w:rsidRPr="00066AEB">
              <w:rPr>
                <w:rStyle w:val="Hyperlink"/>
                <w:rFonts w:ascii="Arial" w:hAnsi="Arial" w:cs="Arial"/>
                <w:noProof/>
              </w:rPr>
              <w:t>UK Strategies, Programmes or Initiatives to implement SDG 2</w:t>
            </w:r>
            <w:r>
              <w:rPr>
                <w:noProof/>
                <w:webHidden/>
              </w:rPr>
              <w:tab/>
            </w:r>
            <w:r>
              <w:rPr>
                <w:noProof/>
                <w:webHidden/>
              </w:rPr>
              <w:fldChar w:fldCharType="begin"/>
            </w:r>
            <w:r>
              <w:rPr>
                <w:noProof/>
                <w:webHidden/>
              </w:rPr>
              <w:instrText xml:space="preserve"> PAGEREF _Toc161986728 \h </w:instrText>
            </w:r>
            <w:r>
              <w:rPr>
                <w:noProof/>
                <w:webHidden/>
              </w:rPr>
            </w:r>
            <w:r>
              <w:rPr>
                <w:noProof/>
                <w:webHidden/>
              </w:rPr>
              <w:fldChar w:fldCharType="separate"/>
            </w:r>
            <w:r>
              <w:rPr>
                <w:noProof/>
                <w:webHidden/>
              </w:rPr>
              <w:t>8</w:t>
            </w:r>
            <w:r>
              <w:rPr>
                <w:noProof/>
                <w:webHidden/>
              </w:rPr>
              <w:fldChar w:fldCharType="end"/>
            </w:r>
          </w:hyperlink>
        </w:p>
        <w:p w14:paraId="6BC0D160" w14:textId="579D5D10" w:rsidR="007D563C" w:rsidRDefault="007D563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1986729" w:history="1">
            <w:r w:rsidRPr="00066AEB">
              <w:rPr>
                <w:rStyle w:val="Hyperlink"/>
                <w:rFonts w:ascii="Arial" w:hAnsi="Arial" w:cs="Arial"/>
                <w:noProof/>
              </w:rPr>
              <w:t>Critical Review of Identified Strategies and Programs or Initiatives</w:t>
            </w:r>
            <w:r>
              <w:rPr>
                <w:noProof/>
                <w:webHidden/>
              </w:rPr>
              <w:tab/>
            </w:r>
            <w:r>
              <w:rPr>
                <w:noProof/>
                <w:webHidden/>
              </w:rPr>
              <w:fldChar w:fldCharType="begin"/>
            </w:r>
            <w:r>
              <w:rPr>
                <w:noProof/>
                <w:webHidden/>
              </w:rPr>
              <w:instrText xml:space="preserve"> PAGEREF _Toc161986729 \h </w:instrText>
            </w:r>
            <w:r>
              <w:rPr>
                <w:noProof/>
                <w:webHidden/>
              </w:rPr>
            </w:r>
            <w:r>
              <w:rPr>
                <w:noProof/>
                <w:webHidden/>
              </w:rPr>
              <w:fldChar w:fldCharType="separate"/>
            </w:r>
            <w:r>
              <w:rPr>
                <w:noProof/>
                <w:webHidden/>
              </w:rPr>
              <w:t>9</w:t>
            </w:r>
            <w:r>
              <w:rPr>
                <w:noProof/>
                <w:webHidden/>
              </w:rPr>
              <w:fldChar w:fldCharType="end"/>
            </w:r>
          </w:hyperlink>
        </w:p>
        <w:p w14:paraId="5F2D4656" w14:textId="35A78CDC" w:rsidR="007D563C" w:rsidRDefault="007D563C">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1986730" w:history="1">
            <w:r w:rsidRPr="00066AEB">
              <w:rPr>
                <w:rStyle w:val="Hyperlink"/>
                <w:rFonts w:ascii="Arial" w:eastAsia="Arial" w:hAnsi="Arial" w:cs="Arial"/>
                <w:noProof/>
              </w:rPr>
              <w:t>SDGS 3- Good Health and Well-being</w:t>
            </w:r>
            <w:r>
              <w:rPr>
                <w:noProof/>
                <w:webHidden/>
              </w:rPr>
              <w:tab/>
            </w:r>
            <w:r>
              <w:rPr>
                <w:noProof/>
                <w:webHidden/>
              </w:rPr>
              <w:fldChar w:fldCharType="begin"/>
            </w:r>
            <w:r>
              <w:rPr>
                <w:noProof/>
                <w:webHidden/>
              </w:rPr>
              <w:instrText xml:space="preserve"> PAGEREF _Toc161986730 \h </w:instrText>
            </w:r>
            <w:r>
              <w:rPr>
                <w:noProof/>
                <w:webHidden/>
              </w:rPr>
            </w:r>
            <w:r>
              <w:rPr>
                <w:noProof/>
                <w:webHidden/>
              </w:rPr>
              <w:fldChar w:fldCharType="separate"/>
            </w:r>
            <w:r>
              <w:rPr>
                <w:noProof/>
                <w:webHidden/>
              </w:rPr>
              <w:t>11</w:t>
            </w:r>
            <w:r>
              <w:rPr>
                <w:noProof/>
                <w:webHidden/>
              </w:rPr>
              <w:fldChar w:fldCharType="end"/>
            </w:r>
          </w:hyperlink>
        </w:p>
        <w:p w14:paraId="66F031D3" w14:textId="66FF9E5F" w:rsidR="007D563C" w:rsidRDefault="007D563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1986731" w:history="1">
            <w:r w:rsidRPr="00066AEB">
              <w:rPr>
                <w:rStyle w:val="Hyperlink"/>
                <w:rFonts w:ascii="Arial" w:hAnsi="Arial" w:cs="Arial"/>
                <w:noProof/>
              </w:rPr>
              <w:t>UK Strategies, Programmes or Initiatives to implement SDG 3</w:t>
            </w:r>
            <w:r>
              <w:rPr>
                <w:noProof/>
                <w:webHidden/>
              </w:rPr>
              <w:tab/>
            </w:r>
            <w:r>
              <w:rPr>
                <w:noProof/>
                <w:webHidden/>
              </w:rPr>
              <w:fldChar w:fldCharType="begin"/>
            </w:r>
            <w:r>
              <w:rPr>
                <w:noProof/>
                <w:webHidden/>
              </w:rPr>
              <w:instrText xml:space="preserve"> PAGEREF _Toc161986731 \h </w:instrText>
            </w:r>
            <w:r>
              <w:rPr>
                <w:noProof/>
                <w:webHidden/>
              </w:rPr>
            </w:r>
            <w:r>
              <w:rPr>
                <w:noProof/>
                <w:webHidden/>
              </w:rPr>
              <w:fldChar w:fldCharType="separate"/>
            </w:r>
            <w:r>
              <w:rPr>
                <w:noProof/>
                <w:webHidden/>
              </w:rPr>
              <w:t>12</w:t>
            </w:r>
            <w:r>
              <w:rPr>
                <w:noProof/>
                <w:webHidden/>
              </w:rPr>
              <w:fldChar w:fldCharType="end"/>
            </w:r>
          </w:hyperlink>
        </w:p>
        <w:p w14:paraId="27B44AAA" w14:textId="3754617E" w:rsidR="007D563C" w:rsidRDefault="007D563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1986732" w:history="1">
            <w:r w:rsidRPr="00066AEB">
              <w:rPr>
                <w:rStyle w:val="Hyperlink"/>
                <w:rFonts w:ascii="Arial" w:hAnsi="Arial" w:cs="Arial"/>
                <w:noProof/>
              </w:rPr>
              <w:t>Critical Review of Identified Strategies and Programs or Initiatives</w:t>
            </w:r>
            <w:r>
              <w:rPr>
                <w:noProof/>
                <w:webHidden/>
              </w:rPr>
              <w:tab/>
            </w:r>
            <w:r>
              <w:rPr>
                <w:noProof/>
                <w:webHidden/>
              </w:rPr>
              <w:fldChar w:fldCharType="begin"/>
            </w:r>
            <w:r>
              <w:rPr>
                <w:noProof/>
                <w:webHidden/>
              </w:rPr>
              <w:instrText xml:space="preserve"> PAGEREF _Toc161986732 \h </w:instrText>
            </w:r>
            <w:r>
              <w:rPr>
                <w:noProof/>
                <w:webHidden/>
              </w:rPr>
            </w:r>
            <w:r>
              <w:rPr>
                <w:noProof/>
                <w:webHidden/>
              </w:rPr>
              <w:fldChar w:fldCharType="separate"/>
            </w:r>
            <w:r>
              <w:rPr>
                <w:noProof/>
                <w:webHidden/>
              </w:rPr>
              <w:t>12</w:t>
            </w:r>
            <w:r>
              <w:rPr>
                <w:noProof/>
                <w:webHidden/>
              </w:rPr>
              <w:fldChar w:fldCharType="end"/>
            </w:r>
          </w:hyperlink>
        </w:p>
        <w:p w14:paraId="4AA11B85" w14:textId="29AA451C" w:rsidR="007D563C" w:rsidRDefault="007D563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1986733" w:history="1">
            <w:r w:rsidRPr="00066AE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_Toc161986733 \h </w:instrText>
            </w:r>
            <w:r>
              <w:rPr>
                <w:noProof/>
                <w:webHidden/>
              </w:rPr>
            </w:r>
            <w:r>
              <w:rPr>
                <w:noProof/>
                <w:webHidden/>
              </w:rPr>
              <w:fldChar w:fldCharType="separate"/>
            </w:r>
            <w:r>
              <w:rPr>
                <w:noProof/>
                <w:webHidden/>
              </w:rPr>
              <w:t>15</w:t>
            </w:r>
            <w:r>
              <w:rPr>
                <w:noProof/>
                <w:webHidden/>
              </w:rPr>
              <w:fldChar w:fldCharType="end"/>
            </w:r>
          </w:hyperlink>
        </w:p>
        <w:p w14:paraId="21A9AD43" w14:textId="39F54203" w:rsidR="007D563C" w:rsidRDefault="007D563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1986734" w:history="1">
            <w:r w:rsidRPr="00066AEB">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_Toc161986734 \h </w:instrText>
            </w:r>
            <w:r>
              <w:rPr>
                <w:noProof/>
                <w:webHidden/>
              </w:rPr>
            </w:r>
            <w:r>
              <w:rPr>
                <w:noProof/>
                <w:webHidden/>
              </w:rPr>
              <w:fldChar w:fldCharType="separate"/>
            </w:r>
            <w:r>
              <w:rPr>
                <w:noProof/>
                <w:webHidden/>
              </w:rPr>
              <w:t>16</w:t>
            </w:r>
            <w:r>
              <w:rPr>
                <w:noProof/>
                <w:webHidden/>
              </w:rPr>
              <w:fldChar w:fldCharType="end"/>
            </w:r>
          </w:hyperlink>
        </w:p>
        <w:p w14:paraId="00000024" w14:textId="0568A50E" w:rsidR="004C5277" w:rsidRPr="00FE58D9" w:rsidRDefault="00000000" w:rsidP="00C45C6B">
          <w:pPr>
            <w:pBdr>
              <w:top w:val="nil"/>
              <w:left w:val="nil"/>
              <w:bottom w:val="nil"/>
              <w:right w:val="nil"/>
              <w:between w:val="nil"/>
            </w:pBdr>
            <w:tabs>
              <w:tab w:val="right" w:leader="dot" w:pos="9015"/>
            </w:tabs>
            <w:spacing w:after="100"/>
            <w:ind w:left="220"/>
            <w:jc w:val="both"/>
            <w:rPr>
              <w:rFonts w:ascii="Arial" w:eastAsia="Arial" w:hAnsi="Arial" w:cs="Arial"/>
              <w:color w:val="0563C1"/>
              <w:sz w:val="24"/>
              <w:szCs w:val="24"/>
              <w:u w:val="single"/>
            </w:rPr>
          </w:pPr>
          <w:r w:rsidRPr="00FE58D9">
            <w:rPr>
              <w:rFonts w:ascii="Arial" w:hAnsi="Arial" w:cs="Arial"/>
              <w:sz w:val="24"/>
              <w:szCs w:val="24"/>
            </w:rPr>
            <w:fldChar w:fldCharType="end"/>
          </w:r>
        </w:p>
      </w:sdtContent>
    </w:sdt>
    <w:p w14:paraId="00000025" w14:textId="77777777" w:rsidR="004C5277" w:rsidRPr="00FE58D9" w:rsidRDefault="004C5277" w:rsidP="00C45C6B">
      <w:pPr>
        <w:spacing w:line="360" w:lineRule="auto"/>
        <w:jc w:val="both"/>
        <w:rPr>
          <w:rFonts w:ascii="Arial" w:eastAsia="Arial" w:hAnsi="Arial" w:cs="Arial"/>
          <w:sz w:val="24"/>
          <w:szCs w:val="24"/>
        </w:rPr>
      </w:pPr>
    </w:p>
    <w:p w14:paraId="00000026" w14:textId="77777777" w:rsidR="004C5277" w:rsidRPr="00FE58D9" w:rsidRDefault="004C5277" w:rsidP="00C45C6B">
      <w:pPr>
        <w:spacing w:line="360" w:lineRule="auto"/>
        <w:jc w:val="both"/>
        <w:rPr>
          <w:rFonts w:ascii="Arial" w:eastAsia="Arial" w:hAnsi="Arial" w:cs="Arial"/>
          <w:sz w:val="24"/>
          <w:szCs w:val="24"/>
        </w:rPr>
      </w:pPr>
    </w:p>
    <w:p w14:paraId="00000027" w14:textId="77777777" w:rsidR="004C5277" w:rsidRPr="00FE58D9" w:rsidRDefault="004C5277" w:rsidP="00C45C6B">
      <w:pPr>
        <w:spacing w:line="360" w:lineRule="auto"/>
        <w:jc w:val="both"/>
        <w:rPr>
          <w:rFonts w:ascii="Arial" w:eastAsia="Arial" w:hAnsi="Arial" w:cs="Arial"/>
          <w:sz w:val="24"/>
          <w:szCs w:val="24"/>
        </w:rPr>
      </w:pPr>
    </w:p>
    <w:p w14:paraId="00000028" w14:textId="77777777" w:rsidR="004C5277" w:rsidRPr="00FE58D9" w:rsidRDefault="004C5277" w:rsidP="00C45C6B">
      <w:pPr>
        <w:spacing w:line="360" w:lineRule="auto"/>
        <w:jc w:val="both"/>
        <w:rPr>
          <w:rFonts w:ascii="Arial" w:eastAsia="Arial" w:hAnsi="Arial" w:cs="Arial"/>
          <w:sz w:val="24"/>
          <w:szCs w:val="24"/>
        </w:rPr>
      </w:pPr>
    </w:p>
    <w:p w14:paraId="00000029" w14:textId="77777777" w:rsidR="004C5277" w:rsidRPr="00FE58D9" w:rsidRDefault="004C5277" w:rsidP="00C45C6B">
      <w:pPr>
        <w:spacing w:line="360" w:lineRule="auto"/>
        <w:jc w:val="both"/>
        <w:rPr>
          <w:rFonts w:ascii="Arial" w:eastAsia="Arial" w:hAnsi="Arial" w:cs="Arial"/>
          <w:sz w:val="24"/>
          <w:szCs w:val="24"/>
        </w:rPr>
      </w:pPr>
    </w:p>
    <w:p w14:paraId="0000002A" w14:textId="77777777" w:rsidR="004C5277" w:rsidRPr="00FE58D9" w:rsidRDefault="004C5277" w:rsidP="00C45C6B">
      <w:pPr>
        <w:spacing w:line="360" w:lineRule="auto"/>
        <w:jc w:val="both"/>
        <w:rPr>
          <w:rFonts w:ascii="Arial" w:eastAsia="Arial" w:hAnsi="Arial" w:cs="Arial"/>
          <w:sz w:val="24"/>
          <w:szCs w:val="24"/>
        </w:rPr>
      </w:pPr>
    </w:p>
    <w:p w14:paraId="0000002B" w14:textId="77777777" w:rsidR="004C5277" w:rsidRPr="00FE58D9" w:rsidRDefault="004C5277" w:rsidP="00C45C6B">
      <w:pPr>
        <w:spacing w:line="360" w:lineRule="auto"/>
        <w:jc w:val="both"/>
        <w:rPr>
          <w:rFonts w:ascii="Arial" w:eastAsia="Arial" w:hAnsi="Arial" w:cs="Arial"/>
          <w:sz w:val="24"/>
          <w:szCs w:val="24"/>
        </w:rPr>
      </w:pPr>
    </w:p>
    <w:p w14:paraId="0000002C" w14:textId="77777777" w:rsidR="004C5277" w:rsidRPr="00FE58D9" w:rsidRDefault="004C5277" w:rsidP="00C45C6B">
      <w:pPr>
        <w:spacing w:line="360" w:lineRule="auto"/>
        <w:jc w:val="both"/>
        <w:rPr>
          <w:rFonts w:ascii="Arial" w:eastAsia="Arial" w:hAnsi="Arial" w:cs="Arial"/>
          <w:sz w:val="24"/>
          <w:szCs w:val="24"/>
        </w:rPr>
      </w:pPr>
    </w:p>
    <w:p w14:paraId="0000002D" w14:textId="77777777" w:rsidR="004C5277" w:rsidRPr="00FE58D9" w:rsidRDefault="004C5277" w:rsidP="00C45C6B">
      <w:pPr>
        <w:spacing w:line="360" w:lineRule="auto"/>
        <w:jc w:val="both"/>
        <w:rPr>
          <w:rFonts w:ascii="Arial" w:eastAsia="Arial" w:hAnsi="Arial" w:cs="Arial"/>
          <w:sz w:val="24"/>
          <w:szCs w:val="24"/>
        </w:rPr>
      </w:pPr>
    </w:p>
    <w:p w14:paraId="0000002E" w14:textId="77777777" w:rsidR="004C5277" w:rsidRPr="00FE58D9" w:rsidRDefault="004C5277" w:rsidP="00C45C6B">
      <w:pPr>
        <w:spacing w:line="360" w:lineRule="auto"/>
        <w:jc w:val="both"/>
        <w:rPr>
          <w:rFonts w:ascii="Arial" w:eastAsia="Arial" w:hAnsi="Arial" w:cs="Arial"/>
          <w:sz w:val="24"/>
          <w:szCs w:val="24"/>
        </w:rPr>
      </w:pPr>
    </w:p>
    <w:p w14:paraId="0000002F" w14:textId="77777777" w:rsidR="004C5277" w:rsidRPr="00FE58D9" w:rsidRDefault="004C5277" w:rsidP="00C45C6B">
      <w:pPr>
        <w:spacing w:line="360" w:lineRule="auto"/>
        <w:jc w:val="both"/>
        <w:rPr>
          <w:rFonts w:ascii="Arial" w:eastAsia="Arial" w:hAnsi="Arial" w:cs="Arial"/>
          <w:sz w:val="24"/>
          <w:szCs w:val="24"/>
        </w:rPr>
      </w:pPr>
    </w:p>
    <w:p w14:paraId="00000031" w14:textId="77777777" w:rsidR="004C5277" w:rsidRPr="00FE58D9" w:rsidRDefault="004C5277" w:rsidP="00C45C6B">
      <w:pPr>
        <w:spacing w:line="360" w:lineRule="auto"/>
        <w:jc w:val="both"/>
        <w:rPr>
          <w:rFonts w:ascii="Arial" w:eastAsia="Arial" w:hAnsi="Arial" w:cs="Arial"/>
          <w:sz w:val="24"/>
          <w:szCs w:val="24"/>
        </w:rPr>
      </w:pPr>
    </w:p>
    <w:p w14:paraId="00000032" w14:textId="77777777" w:rsidR="004C5277" w:rsidRPr="00FE58D9" w:rsidRDefault="00000000" w:rsidP="00C45C6B">
      <w:pPr>
        <w:pStyle w:val="Heading3"/>
        <w:rPr>
          <w:rFonts w:ascii="Arial" w:hAnsi="Arial" w:cs="Arial"/>
          <w:sz w:val="24"/>
          <w:szCs w:val="24"/>
        </w:rPr>
      </w:pPr>
      <w:bookmarkStart w:id="1" w:name="_Toc161986719"/>
      <w:r w:rsidRPr="00FE58D9">
        <w:rPr>
          <w:rFonts w:ascii="Arial" w:hAnsi="Arial" w:cs="Arial"/>
          <w:sz w:val="24"/>
          <w:szCs w:val="24"/>
        </w:rPr>
        <w:t>A CRITICAL ASSESSMENT OF UK’S PROGRESS TOWARDS SUSTAINABLE DEVELOPMENT GOALS (SDG’s)</w:t>
      </w:r>
      <w:bookmarkEnd w:id="1"/>
    </w:p>
    <w:p w14:paraId="00000033" w14:textId="77777777" w:rsidR="004C5277" w:rsidRPr="00FE58D9" w:rsidRDefault="004C5277" w:rsidP="00C45C6B">
      <w:pPr>
        <w:jc w:val="both"/>
        <w:rPr>
          <w:rFonts w:ascii="Arial" w:hAnsi="Arial" w:cs="Arial"/>
          <w:sz w:val="24"/>
          <w:szCs w:val="24"/>
        </w:rPr>
      </w:pPr>
    </w:p>
    <w:p w14:paraId="00000034" w14:textId="77777777" w:rsidR="004C5277" w:rsidRPr="00FE58D9" w:rsidRDefault="00000000" w:rsidP="00C45C6B">
      <w:pPr>
        <w:pStyle w:val="Heading3"/>
        <w:rPr>
          <w:rFonts w:ascii="Arial" w:hAnsi="Arial" w:cs="Arial"/>
          <w:sz w:val="24"/>
          <w:szCs w:val="24"/>
        </w:rPr>
      </w:pPr>
      <w:bookmarkStart w:id="2" w:name="_Toc161986720"/>
      <w:r w:rsidRPr="00FE58D9">
        <w:rPr>
          <w:rFonts w:ascii="Arial" w:hAnsi="Arial" w:cs="Arial"/>
          <w:sz w:val="24"/>
          <w:szCs w:val="24"/>
        </w:rPr>
        <w:t>INTRODUCTION</w:t>
      </w:r>
      <w:bookmarkEnd w:id="2"/>
    </w:p>
    <w:p w14:paraId="00000035" w14:textId="77777777" w:rsidR="004C5277" w:rsidRPr="00FE58D9" w:rsidRDefault="00000000" w:rsidP="00C45C6B">
      <w:pPr>
        <w:spacing w:after="0" w:line="360" w:lineRule="auto"/>
        <w:jc w:val="both"/>
        <w:rPr>
          <w:rFonts w:ascii="Arial" w:eastAsia="Arial" w:hAnsi="Arial" w:cs="Arial"/>
          <w:sz w:val="24"/>
          <w:szCs w:val="24"/>
        </w:rPr>
      </w:pPr>
      <w:r w:rsidRPr="00FE58D9">
        <w:rPr>
          <w:rFonts w:ascii="Arial" w:eastAsia="Arial" w:hAnsi="Arial" w:cs="Arial"/>
          <w:sz w:val="24"/>
          <w:szCs w:val="24"/>
        </w:rPr>
        <w:t xml:space="preserve">In recent years, the global community, including the United Kingdom, has committed to achieving the Sustainable Development Goals (SDGs) set forth by the United Nations. In 2015, the UN (United Nations) Member States embraced the 2030 Plan for Feasible Advancement to improve and support the future for all. Poverty, imbalance, environmental change, ecological degradation, injustice, and harmony are tended to by the 17 SDGs (Sustainable Community Strategy, 2008). Considering tenacious imbalances, monetary troubles, and the pandemic, decency, public assistance speculation, and cooperation are required, and numerous countries focus on the Sustainable Development Goals (Bozkurt &amp; Ergen, 2010). </w:t>
      </w:r>
    </w:p>
    <w:p w14:paraId="00000036" w14:textId="77777777" w:rsidR="004C5277" w:rsidRPr="00FE58D9" w:rsidRDefault="004C5277" w:rsidP="00C45C6B">
      <w:pPr>
        <w:spacing w:after="0" w:line="360" w:lineRule="auto"/>
        <w:jc w:val="both"/>
        <w:rPr>
          <w:rFonts w:ascii="Arial" w:eastAsia="Arial" w:hAnsi="Arial" w:cs="Arial"/>
          <w:sz w:val="24"/>
          <w:szCs w:val="24"/>
        </w:rPr>
      </w:pPr>
    </w:p>
    <w:p w14:paraId="00000037" w14:textId="77777777" w:rsidR="004C5277" w:rsidRPr="00FE58D9" w:rsidRDefault="00000000" w:rsidP="00C45C6B">
      <w:pPr>
        <w:spacing w:after="0" w:line="360" w:lineRule="auto"/>
        <w:jc w:val="both"/>
        <w:rPr>
          <w:rFonts w:ascii="Arial" w:eastAsia="Arial" w:hAnsi="Arial" w:cs="Arial"/>
          <w:sz w:val="24"/>
          <w:szCs w:val="24"/>
        </w:rPr>
      </w:pPr>
      <w:r w:rsidRPr="00FE58D9">
        <w:rPr>
          <w:rFonts w:ascii="Arial" w:eastAsia="Arial" w:hAnsi="Arial" w:cs="Arial"/>
          <w:sz w:val="24"/>
          <w:szCs w:val="24"/>
        </w:rPr>
        <w:t xml:space="preserve">Among these goals, SDG 2 aims at the elimination of hunger and ensuring food security, while SDG 3 targets good health and </w:t>
      </w:r>
      <w:proofErr w:type="spellStart"/>
      <w:r w:rsidRPr="00FE58D9">
        <w:rPr>
          <w:rFonts w:ascii="Arial" w:eastAsia="Arial" w:hAnsi="Arial" w:cs="Arial"/>
          <w:sz w:val="24"/>
          <w:szCs w:val="24"/>
        </w:rPr>
        <w:t>well being</w:t>
      </w:r>
      <w:proofErr w:type="spellEnd"/>
      <w:r w:rsidRPr="00FE58D9">
        <w:rPr>
          <w:rFonts w:ascii="Arial" w:eastAsia="Arial" w:hAnsi="Arial" w:cs="Arial"/>
          <w:sz w:val="24"/>
          <w:szCs w:val="24"/>
        </w:rPr>
        <w:t xml:space="preserve"> of all. These goals are integral to improving health, well-being, and sustainable development within the UK's healthcare sectors. The UK Public Wellbeing Administration (NHS) chief has requested this report to evaluate the advancement toward wellbeing, prosperity, and economical food frameworks. This report provides an overview of the progress made thus far in achieving SDG 2 and 3 within the context of the UK's healthcare system. It examines UK wellbeing, prosperity, and sustainable advancement in the medical care area</w:t>
      </w:r>
      <w:r w:rsidRPr="00FE58D9">
        <w:rPr>
          <w:rFonts w:ascii="Arial" w:eastAsia="Arial" w:hAnsi="Arial" w:cs="Arial"/>
          <w:color w:val="222222"/>
          <w:sz w:val="24"/>
          <w:szCs w:val="24"/>
        </w:rPr>
        <w:t xml:space="preserve"> (Bickler, Morton &amp; Menne, 2020).</w:t>
      </w:r>
    </w:p>
    <w:p w14:paraId="00000038" w14:textId="77777777" w:rsidR="004C5277" w:rsidRPr="00FE58D9" w:rsidRDefault="004C5277" w:rsidP="00C45C6B">
      <w:pPr>
        <w:spacing w:after="0" w:line="360" w:lineRule="auto"/>
        <w:jc w:val="both"/>
        <w:rPr>
          <w:rFonts w:ascii="Arial" w:eastAsia="Arial" w:hAnsi="Arial" w:cs="Arial"/>
          <w:sz w:val="24"/>
          <w:szCs w:val="24"/>
        </w:rPr>
      </w:pPr>
    </w:p>
    <w:p w14:paraId="00000039" w14:textId="77777777" w:rsidR="004C5277" w:rsidRPr="00FE58D9" w:rsidRDefault="00000000" w:rsidP="00C45C6B">
      <w:pPr>
        <w:spacing w:after="0" w:line="360" w:lineRule="auto"/>
        <w:jc w:val="both"/>
        <w:rPr>
          <w:rFonts w:ascii="Arial" w:eastAsia="Arial" w:hAnsi="Arial" w:cs="Arial"/>
          <w:sz w:val="24"/>
          <w:szCs w:val="24"/>
        </w:rPr>
      </w:pPr>
      <w:r w:rsidRPr="00FE58D9">
        <w:rPr>
          <w:rFonts w:ascii="Arial" w:eastAsia="Arial" w:hAnsi="Arial" w:cs="Arial"/>
          <w:sz w:val="24"/>
          <w:szCs w:val="24"/>
        </w:rPr>
        <w:t xml:space="preserve">Zero hunger, as outlined in SDG 2, entails ensuring access to safe, nutritious, and sufficient food for all individuals, while also promoting sustainable agriculture and food systems. Despite being one of the world's wealthiest nations, food insecurity remains a pressing issue in the UK. According to the Food Foundation, an estimated 10% of UK households experienced food insecurity in 2020, with low-income families disproportionately affected (Devereux, Bene &amp; Hoddinott, 2020). In response, the UK government, alongside charitable </w:t>
      </w:r>
      <w:proofErr w:type="gramStart"/>
      <w:r w:rsidRPr="00FE58D9">
        <w:rPr>
          <w:rFonts w:ascii="Arial" w:eastAsia="Arial" w:hAnsi="Arial" w:cs="Arial"/>
          <w:sz w:val="24"/>
          <w:szCs w:val="24"/>
        </w:rPr>
        <w:t>organizations</w:t>
      </w:r>
      <w:proofErr w:type="gramEnd"/>
      <w:r w:rsidRPr="00FE58D9">
        <w:rPr>
          <w:rFonts w:ascii="Arial" w:eastAsia="Arial" w:hAnsi="Arial" w:cs="Arial"/>
          <w:sz w:val="24"/>
          <w:szCs w:val="24"/>
        </w:rPr>
        <w:t xml:space="preserve"> and community groups, has </w:t>
      </w:r>
      <w:r w:rsidRPr="00FE58D9">
        <w:rPr>
          <w:rFonts w:ascii="Arial" w:eastAsia="Arial" w:hAnsi="Arial" w:cs="Arial"/>
          <w:sz w:val="24"/>
          <w:szCs w:val="24"/>
        </w:rPr>
        <w:lastRenderedPageBreak/>
        <w:t>implemented various initiatives to address food insecurity and promote sustainable food systems.</w:t>
      </w:r>
    </w:p>
    <w:p w14:paraId="0000003A" w14:textId="77777777" w:rsidR="004C5277" w:rsidRPr="00FE58D9" w:rsidRDefault="004C5277" w:rsidP="00C45C6B">
      <w:pPr>
        <w:spacing w:after="0" w:line="360" w:lineRule="auto"/>
        <w:jc w:val="both"/>
        <w:rPr>
          <w:rFonts w:ascii="Arial" w:eastAsia="Arial" w:hAnsi="Arial" w:cs="Arial"/>
          <w:sz w:val="24"/>
          <w:szCs w:val="24"/>
        </w:rPr>
      </w:pPr>
    </w:p>
    <w:p w14:paraId="0000003B" w14:textId="77777777" w:rsidR="004C5277" w:rsidRPr="00FE58D9" w:rsidRDefault="00000000" w:rsidP="00C45C6B">
      <w:pPr>
        <w:spacing w:after="0" w:line="360" w:lineRule="auto"/>
        <w:jc w:val="both"/>
        <w:rPr>
          <w:rFonts w:ascii="Arial" w:eastAsia="Arial" w:hAnsi="Arial" w:cs="Arial"/>
          <w:sz w:val="24"/>
          <w:szCs w:val="24"/>
        </w:rPr>
      </w:pPr>
      <w:r w:rsidRPr="00FE58D9">
        <w:rPr>
          <w:rFonts w:ascii="Arial" w:eastAsia="Arial" w:hAnsi="Arial" w:cs="Arial"/>
          <w:sz w:val="24"/>
          <w:szCs w:val="24"/>
        </w:rPr>
        <w:t>SDG 3 focuses on promoting health and well-being for all at all ages, aiming to ensure healthy lives and promote well-being for everyone. This goal encompasses a wide range of health-related issues, including reducing maternal and child mortality, combating infectious diseases, ensuring universal access to healthcare services, and addressing non-communicable diseases. By prioritizing preventive measures, improving healthcare infrastructure, and promoting health equity, SDG 3 seeks to create societies where individuals can lead healthy and fulfilling lives.</w:t>
      </w:r>
    </w:p>
    <w:p w14:paraId="0000003C" w14:textId="77777777" w:rsidR="004C5277" w:rsidRPr="00FE58D9" w:rsidRDefault="004C5277" w:rsidP="00C45C6B">
      <w:pPr>
        <w:spacing w:after="0" w:line="360" w:lineRule="auto"/>
        <w:jc w:val="both"/>
        <w:rPr>
          <w:rFonts w:ascii="Arial" w:eastAsia="Arial" w:hAnsi="Arial" w:cs="Arial"/>
          <w:sz w:val="24"/>
          <w:szCs w:val="24"/>
        </w:rPr>
      </w:pPr>
    </w:p>
    <w:p w14:paraId="0000003D" w14:textId="77777777" w:rsidR="004C5277" w:rsidRPr="00FE58D9" w:rsidRDefault="00000000" w:rsidP="00C45C6B">
      <w:pPr>
        <w:spacing w:after="0" w:line="360" w:lineRule="auto"/>
        <w:jc w:val="both"/>
        <w:rPr>
          <w:rFonts w:ascii="Arial" w:eastAsia="Arial" w:hAnsi="Arial" w:cs="Arial"/>
          <w:sz w:val="24"/>
          <w:szCs w:val="24"/>
        </w:rPr>
      </w:pPr>
      <w:r w:rsidRPr="00FE58D9">
        <w:rPr>
          <w:rFonts w:ascii="Arial" w:eastAsia="Arial" w:hAnsi="Arial" w:cs="Arial"/>
          <w:sz w:val="24"/>
          <w:szCs w:val="24"/>
        </w:rPr>
        <w:t>Understanding the concepts of zero hunger and good health and well-being is essential for addressing global challenges related to food security, nutrition, and healthcare access. By adopting a comprehensive approach that integrates social, economic, and environmental considerations, stakeholders can work towards achieving these SDGs and fostering sustainable development within the UK's healthcare sector (</w:t>
      </w:r>
      <w:r w:rsidRPr="00FE58D9">
        <w:rPr>
          <w:rFonts w:ascii="Arial" w:eastAsia="Arial" w:hAnsi="Arial" w:cs="Arial"/>
          <w:color w:val="222222"/>
          <w:sz w:val="24"/>
          <w:szCs w:val="24"/>
        </w:rPr>
        <w:t>Moyer &amp; Hedden, 2020).</w:t>
      </w:r>
    </w:p>
    <w:p w14:paraId="00000040" w14:textId="77777777" w:rsidR="004C5277" w:rsidRPr="00FE58D9" w:rsidRDefault="00000000" w:rsidP="00C804EF">
      <w:pPr>
        <w:pStyle w:val="Heading3"/>
        <w:rPr>
          <w:rFonts w:ascii="Arial" w:hAnsi="Arial" w:cs="Arial"/>
          <w:sz w:val="24"/>
          <w:szCs w:val="24"/>
        </w:rPr>
      </w:pPr>
      <w:bookmarkStart w:id="3" w:name="_Toc161986721"/>
      <w:r w:rsidRPr="00FE58D9">
        <w:rPr>
          <w:rFonts w:ascii="Arial" w:hAnsi="Arial" w:cs="Arial"/>
          <w:sz w:val="24"/>
          <w:szCs w:val="24"/>
        </w:rPr>
        <w:t>INTRODUCTION TO CONCEPTS</w:t>
      </w:r>
      <w:bookmarkEnd w:id="3"/>
      <w:r w:rsidRPr="00FE58D9">
        <w:rPr>
          <w:rFonts w:ascii="Arial" w:hAnsi="Arial" w:cs="Arial"/>
          <w:sz w:val="24"/>
          <w:szCs w:val="24"/>
        </w:rPr>
        <w:t xml:space="preserve"> </w:t>
      </w:r>
    </w:p>
    <w:p w14:paraId="00000041" w14:textId="77777777" w:rsidR="004C5277" w:rsidRPr="00FE58D9" w:rsidRDefault="00000000" w:rsidP="00C45C6B">
      <w:pPr>
        <w:spacing w:after="0" w:line="360" w:lineRule="auto"/>
        <w:jc w:val="both"/>
        <w:rPr>
          <w:rFonts w:ascii="Arial" w:eastAsia="Arial" w:hAnsi="Arial" w:cs="Arial"/>
          <w:sz w:val="24"/>
          <w:szCs w:val="24"/>
        </w:rPr>
      </w:pPr>
      <w:r w:rsidRPr="00FE58D9">
        <w:rPr>
          <w:rFonts w:ascii="Arial" w:eastAsia="Arial" w:hAnsi="Arial" w:cs="Arial"/>
          <w:sz w:val="24"/>
          <w:szCs w:val="24"/>
        </w:rPr>
        <w:t xml:space="preserve">In this section, we </w:t>
      </w:r>
      <w:proofErr w:type="gramStart"/>
      <w:r w:rsidRPr="00FE58D9">
        <w:rPr>
          <w:rFonts w:ascii="Arial" w:eastAsia="Arial" w:hAnsi="Arial" w:cs="Arial"/>
          <w:sz w:val="24"/>
          <w:szCs w:val="24"/>
        </w:rPr>
        <w:t>look into</w:t>
      </w:r>
      <w:proofErr w:type="gramEnd"/>
      <w:r w:rsidRPr="00FE58D9">
        <w:rPr>
          <w:rFonts w:ascii="Arial" w:eastAsia="Arial" w:hAnsi="Arial" w:cs="Arial"/>
          <w:sz w:val="24"/>
          <w:szCs w:val="24"/>
        </w:rPr>
        <w:t xml:space="preserve"> key concepts that underpin efforts to improve health, well-being, and sustainable development within the healthcare sector, including well-being, health, sustainable development, and Sustainable Development Goals (SDGs). Understanding these concepts is crucial for developing effective policies and interventions that promote holistic and equitable outcomes for individuals and communities.</w:t>
      </w:r>
    </w:p>
    <w:p w14:paraId="00000042" w14:textId="77777777" w:rsidR="004C5277" w:rsidRPr="00FE58D9" w:rsidRDefault="004C5277" w:rsidP="00C45C6B">
      <w:pPr>
        <w:spacing w:after="0" w:line="360" w:lineRule="auto"/>
        <w:jc w:val="both"/>
        <w:rPr>
          <w:rFonts w:ascii="Arial" w:eastAsia="Arial" w:hAnsi="Arial" w:cs="Arial"/>
          <w:sz w:val="24"/>
          <w:szCs w:val="24"/>
        </w:rPr>
      </w:pPr>
    </w:p>
    <w:p w14:paraId="00000043" w14:textId="77777777" w:rsidR="004C5277" w:rsidRPr="00FE58D9" w:rsidRDefault="00000000" w:rsidP="00C804EF">
      <w:pPr>
        <w:pStyle w:val="Heading3"/>
        <w:rPr>
          <w:rFonts w:ascii="Arial" w:hAnsi="Arial" w:cs="Arial"/>
          <w:sz w:val="24"/>
          <w:szCs w:val="24"/>
        </w:rPr>
      </w:pPr>
      <w:bookmarkStart w:id="4" w:name="_Toc161986722"/>
      <w:r w:rsidRPr="00FE58D9">
        <w:rPr>
          <w:rFonts w:ascii="Arial" w:hAnsi="Arial" w:cs="Arial"/>
          <w:sz w:val="24"/>
          <w:szCs w:val="24"/>
        </w:rPr>
        <w:t>Well-being:</w:t>
      </w:r>
      <w:bookmarkEnd w:id="4"/>
    </w:p>
    <w:p w14:paraId="00000044" w14:textId="77777777" w:rsidR="004C5277" w:rsidRPr="00FE58D9" w:rsidRDefault="00000000" w:rsidP="00C45C6B">
      <w:pPr>
        <w:spacing w:after="0" w:line="360" w:lineRule="auto"/>
        <w:jc w:val="both"/>
        <w:rPr>
          <w:rFonts w:ascii="Arial" w:eastAsia="Arial" w:hAnsi="Arial" w:cs="Arial"/>
          <w:sz w:val="24"/>
          <w:szCs w:val="24"/>
        </w:rPr>
      </w:pPr>
      <w:r w:rsidRPr="00FE58D9">
        <w:rPr>
          <w:rFonts w:ascii="Arial" w:eastAsia="Arial" w:hAnsi="Arial" w:cs="Arial"/>
          <w:sz w:val="24"/>
          <w:szCs w:val="24"/>
        </w:rPr>
        <w:t xml:space="preserve">Well-being, from a psychological perspective, encompasses individuals' subjective experiences of happiness, life satisfaction, and </w:t>
      </w:r>
      <w:proofErr w:type="spellStart"/>
      <w:r w:rsidRPr="00FE58D9">
        <w:rPr>
          <w:rFonts w:ascii="Arial" w:eastAsia="Arial" w:hAnsi="Arial" w:cs="Arial"/>
          <w:sz w:val="24"/>
          <w:szCs w:val="24"/>
        </w:rPr>
        <w:t>fulfillment</w:t>
      </w:r>
      <w:proofErr w:type="spellEnd"/>
      <w:r w:rsidRPr="00FE58D9">
        <w:rPr>
          <w:rFonts w:ascii="Arial" w:eastAsia="Arial" w:hAnsi="Arial" w:cs="Arial"/>
          <w:sz w:val="24"/>
          <w:szCs w:val="24"/>
        </w:rPr>
        <w:t xml:space="preserve">, as well as their overall psychological functioning and resilience (Ryff &amp; Singer, 2008). It goes beyond the absence of illness and incorporates elements such as happiness, life satisfaction, </w:t>
      </w:r>
      <w:proofErr w:type="spellStart"/>
      <w:r w:rsidRPr="00FE58D9">
        <w:rPr>
          <w:rFonts w:ascii="Arial" w:eastAsia="Arial" w:hAnsi="Arial" w:cs="Arial"/>
          <w:sz w:val="24"/>
          <w:szCs w:val="24"/>
        </w:rPr>
        <w:t>fulfillment</w:t>
      </w:r>
      <w:proofErr w:type="spellEnd"/>
      <w:r w:rsidRPr="00FE58D9">
        <w:rPr>
          <w:rFonts w:ascii="Arial" w:eastAsia="Arial" w:hAnsi="Arial" w:cs="Arial"/>
          <w:sz w:val="24"/>
          <w:szCs w:val="24"/>
        </w:rPr>
        <w:t xml:space="preserve">, sense of purpose, personal growth, and positive relationships. Well-being reflects individuals' ability to cope with life's challenges, maintain a sense of autonomy and control, and experience positive emotions even in the face of adversity (Diener et </w:t>
      </w:r>
      <w:r w:rsidRPr="00FE58D9">
        <w:rPr>
          <w:rFonts w:ascii="Arial" w:eastAsia="Arial" w:hAnsi="Arial" w:cs="Arial"/>
          <w:sz w:val="24"/>
          <w:szCs w:val="24"/>
        </w:rPr>
        <w:lastRenderedPageBreak/>
        <w:t xml:space="preserve">al., 2017). Well-being is not merely a subjective experience but also influenced by external factors such as socioeconomic conditions, access to healthcare, and environmental quality. </w:t>
      </w:r>
    </w:p>
    <w:p w14:paraId="00000045" w14:textId="77777777" w:rsidR="004C5277" w:rsidRPr="00FE58D9" w:rsidRDefault="00000000" w:rsidP="00C45C6B">
      <w:pPr>
        <w:spacing w:after="0" w:line="360" w:lineRule="auto"/>
        <w:jc w:val="both"/>
        <w:rPr>
          <w:rFonts w:ascii="Arial" w:eastAsia="Arial" w:hAnsi="Arial" w:cs="Arial"/>
          <w:sz w:val="24"/>
          <w:szCs w:val="24"/>
        </w:rPr>
      </w:pPr>
      <w:r w:rsidRPr="00FE58D9">
        <w:rPr>
          <w:rFonts w:ascii="Arial" w:eastAsia="Arial" w:hAnsi="Arial" w:cs="Arial"/>
          <w:sz w:val="24"/>
          <w:szCs w:val="24"/>
        </w:rPr>
        <w:t>Research has consistently shown that higher levels of well-being are associated with better physical health, reduced risk of chronic diseases, and increased longevity (Steptoe et al., 2015). Moreover, promoting well-being can enhance resilience to stress, improve cognitive function, and foster positive social relationships, thus contributing to overall societal prosperity and sustainable development.</w:t>
      </w:r>
    </w:p>
    <w:p w14:paraId="00000046" w14:textId="77777777" w:rsidR="004C5277" w:rsidRPr="00FE58D9" w:rsidRDefault="004C5277" w:rsidP="00C45C6B">
      <w:pPr>
        <w:spacing w:after="0" w:line="360" w:lineRule="auto"/>
        <w:jc w:val="both"/>
        <w:rPr>
          <w:rFonts w:ascii="Arial" w:eastAsia="Arial" w:hAnsi="Arial" w:cs="Arial"/>
          <w:sz w:val="24"/>
          <w:szCs w:val="24"/>
        </w:rPr>
      </w:pPr>
    </w:p>
    <w:p w14:paraId="00000047" w14:textId="77777777" w:rsidR="004C5277" w:rsidRPr="00FE58D9" w:rsidRDefault="00000000" w:rsidP="00C804EF">
      <w:pPr>
        <w:pStyle w:val="Heading3"/>
        <w:rPr>
          <w:rFonts w:ascii="Arial" w:hAnsi="Arial" w:cs="Arial"/>
          <w:sz w:val="24"/>
          <w:szCs w:val="24"/>
        </w:rPr>
      </w:pPr>
      <w:bookmarkStart w:id="5" w:name="_Toc161986723"/>
      <w:r w:rsidRPr="00FE58D9">
        <w:rPr>
          <w:rFonts w:ascii="Arial" w:hAnsi="Arial" w:cs="Arial"/>
          <w:sz w:val="24"/>
          <w:szCs w:val="24"/>
        </w:rPr>
        <w:t>Health:</w:t>
      </w:r>
      <w:bookmarkEnd w:id="5"/>
    </w:p>
    <w:p w14:paraId="00000048" w14:textId="77777777" w:rsidR="004C5277" w:rsidRPr="00FE58D9" w:rsidRDefault="00000000" w:rsidP="00C45C6B">
      <w:pPr>
        <w:spacing w:after="0" w:line="360" w:lineRule="auto"/>
        <w:jc w:val="both"/>
        <w:rPr>
          <w:rFonts w:ascii="Arial" w:eastAsia="Arial" w:hAnsi="Arial" w:cs="Arial"/>
          <w:sz w:val="24"/>
          <w:szCs w:val="24"/>
        </w:rPr>
      </w:pPr>
      <w:r w:rsidRPr="00FE58D9">
        <w:rPr>
          <w:rFonts w:ascii="Arial" w:eastAsia="Arial" w:hAnsi="Arial" w:cs="Arial"/>
          <w:sz w:val="24"/>
          <w:szCs w:val="24"/>
        </w:rPr>
        <w:t>Health is a concept that extends beyond the absence of disease or infirmity to encompass a state of complete physical, mental, and social well-being (Huber et al., 2011). It is influenced by a complex interplay of biological, psychological, social, and environmental factors. Biological determinants such as genetics, physiology, and underlying health conditions play a crucial role in shaping individuals' health outcomes. Psychological factors, including stress, coping mechanisms, and mental resilience, also contribute to overall well-being and resilience to illness.</w:t>
      </w:r>
    </w:p>
    <w:p w14:paraId="00000049" w14:textId="77777777" w:rsidR="004C5277" w:rsidRPr="00FE58D9" w:rsidRDefault="00000000" w:rsidP="00C45C6B">
      <w:pPr>
        <w:spacing w:after="0" w:line="360" w:lineRule="auto"/>
        <w:jc w:val="both"/>
        <w:rPr>
          <w:rFonts w:ascii="Arial" w:eastAsia="Arial" w:hAnsi="Arial" w:cs="Arial"/>
          <w:sz w:val="24"/>
          <w:szCs w:val="24"/>
        </w:rPr>
      </w:pPr>
      <w:r w:rsidRPr="00FE58D9">
        <w:rPr>
          <w:rFonts w:ascii="Arial" w:eastAsia="Arial" w:hAnsi="Arial" w:cs="Arial"/>
          <w:sz w:val="24"/>
          <w:szCs w:val="24"/>
        </w:rPr>
        <w:t>Moreover, social determinants such as socioeconomic status, education, employment, and access to healthcare services profoundly impact individuals' health trajectories. For example, individuals from disadvantaged socioeconomic backgrounds are more likely to experience poorer health outcomes due to limited access to resources and increased exposure to environmental stressors (Marmot et al., 2008).</w:t>
      </w:r>
    </w:p>
    <w:p w14:paraId="0000004A" w14:textId="77777777" w:rsidR="004C5277" w:rsidRPr="00FE58D9" w:rsidRDefault="00000000" w:rsidP="00C45C6B">
      <w:pPr>
        <w:spacing w:after="0" w:line="360" w:lineRule="auto"/>
        <w:jc w:val="both"/>
        <w:rPr>
          <w:rFonts w:ascii="Arial" w:eastAsia="Arial" w:hAnsi="Arial" w:cs="Arial"/>
          <w:sz w:val="24"/>
          <w:szCs w:val="24"/>
        </w:rPr>
      </w:pPr>
      <w:r w:rsidRPr="00FE58D9">
        <w:rPr>
          <w:rFonts w:ascii="Arial" w:eastAsia="Arial" w:hAnsi="Arial" w:cs="Arial"/>
          <w:sz w:val="24"/>
          <w:szCs w:val="24"/>
        </w:rPr>
        <w:t>Environmental factors, including air and water quality, housing conditions, and access to green spaces, also play a significant role in shaping population health. Exposure to environmental pollutants, unsafe living conditions, and lack of access to essential resources can exacerbate health disparities and contribute to the burden of chronic diseases.</w:t>
      </w:r>
    </w:p>
    <w:p w14:paraId="0000004B" w14:textId="77777777" w:rsidR="004C5277" w:rsidRPr="00FE58D9" w:rsidRDefault="00000000" w:rsidP="00C45C6B">
      <w:pPr>
        <w:spacing w:after="0" w:line="360" w:lineRule="auto"/>
        <w:jc w:val="both"/>
        <w:rPr>
          <w:rFonts w:ascii="Arial" w:eastAsia="Arial" w:hAnsi="Arial" w:cs="Arial"/>
          <w:sz w:val="24"/>
          <w:szCs w:val="24"/>
        </w:rPr>
      </w:pPr>
      <w:r w:rsidRPr="00FE58D9">
        <w:rPr>
          <w:rFonts w:ascii="Arial" w:eastAsia="Arial" w:hAnsi="Arial" w:cs="Arial"/>
          <w:sz w:val="24"/>
          <w:szCs w:val="24"/>
        </w:rPr>
        <w:t xml:space="preserve">The importance of health cannot be overstated, as it is a fundamental human right and a prerequisite for individuals to lead fulfilling lives and contribute meaningfully to society. Healthy populations are more productive, economically prosperous, and resilient to crises, thus forming the foundation for sustainable development (United Nations, 2015). Moreover, investing in health promotes equity and social justice, </w:t>
      </w:r>
      <w:r w:rsidRPr="00FE58D9">
        <w:rPr>
          <w:rFonts w:ascii="Arial" w:eastAsia="Arial" w:hAnsi="Arial" w:cs="Arial"/>
          <w:sz w:val="24"/>
          <w:szCs w:val="24"/>
        </w:rPr>
        <w:lastRenderedPageBreak/>
        <w:t xml:space="preserve">ensuring that all individuals </w:t>
      </w:r>
      <w:proofErr w:type="gramStart"/>
      <w:r w:rsidRPr="00FE58D9">
        <w:rPr>
          <w:rFonts w:ascii="Arial" w:eastAsia="Arial" w:hAnsi="Arial" w:cs="Arial"/>
          <w:sz w:val="24"/>
          <w:szCs w:val="24"/>
        </w:rPr>
        <w:t>have the opportunity to</w:t>
      </w:r>
      <w:proofErr w:type="gramEnd"/>
      <w:r w:rsidRPr="00FE58D9">
        <w:rPr>
          <w:rFonts w:ascii="Arial" w:eastAsia="Arial" w:hAnsi="Arial" w:cs="Arial"/>
          <w:sz w:val="24"/>
          <w:szCs w:val="24"/>
        </w:rPr>
        <w:t xml:space="preserve"> achieve their full potential regardless of their circumstances.</w:t>
      </w:r>
    </w:p>
    <w:p w14:paraId="0000004C" w14:textId="77777777" w:rsidR="004C5277" w:rsidRPr="00FE58D9" w:rsidRDefault="00000000" w:rsidP="00C45C6B">
      <w:pPr>
        <w:spacing w:after="0" w:line="360" w:lineRule="auto"/>
        <w:jc w:val="both"/>
        <w:rPr>
          <w:rFonts w:ascii="Arial" w:eastAsia="Arial" w:hAnsi="Arial" w:cs="Arial"/>
          <w:sz w:val="24"/>
          <w:szCs w:val="24"/>
        </w:rPr>
      </w:pPr>
      <w:proofErr w:type="gramStart"/>
      <w:r w:rsidRPr="00FE58D9">
        <w:rPr>
          <w:rFonts w:ascii="Arial" w:eastAsia="Arial" w:hAnsi="Arial" w:cs="Arial"/>
          <w:sz w:val="24"/>
          <w:szCs w:val="24"/>
        </w:rPr>
        <w:t>Therefore</w:t>
      </w:r>
      <w:proofErr w:type="gramEnd"/>
      <w:r w:rsidRPr="00FE58D9">
        <w:rPr>
          <w:rFonts w:ascii="Arial" w:eastAsia="Arial" w:hAnsi="Arial" w:cs="Arial"/>
          <w:sz w:val="24"/>
          <w:szCs w:val="24"/>
        </w:rPr>
        <w:t xml:space="preserve"> we can say that health encompasses physical, mental, and social well-being and is influenced by a complex interplay of biological, psychological, social, and environmental factors. This definition underscores the importance of addressing the underlying determinants of health, promoting equity and social justice, and adopting a comprehensive approach to healthcare that recognizes the interconnectedness of individual and societal health outcomes.</w:t>
      </w:r>
    </w:p>
    <w:p w14:paraId="0000004D" w14:textId="77777777" w:rsidR="004C5277" w:rsidRPr="00FE58D9" w:rsidRDefault="004C5277" w:rsidP="00C45C6B">
      <w:pPr>
        <w:spacing w:after="0" w:line="360" w:lineRule="auto"/>
        <w:jc w:val="both"/>
        <w:rPr>
          <w:rFonts w:ascii="Arial" w:eastAsia="Arial" w:hAnsi="Arial" w:cs="Arial"/>
          <w:sz w:val="24"/>
          <w:szCs w:val="24"/>
        </w:rPr>
      </w:pPr>
    </w:p>
    <w:p w14:paraId="0000004E" w14:textId="77777777" w:rsidR="004C5277" w:rsidRPr="00FE58D9" w:rsidRDefault="00000000" w:rsidP="00C804EF">
      <w:pPr>
        <w:pStyle w:val="Heading3"/>
        <w:rPr>
          <w:rFonts w:ascii="Arial" w:hAnsi="Arial" w:cs="Arial"/>
          <w:sz w:val="24"/>
          <w:szCs w:val="24"/>
        </w:rPr>
      </w:pPr>
      <w:bookmarkStart w:id="6" w:name="_Toc161986724"/>
      <w:r w:rsidRPr="00FE58D9">
        <w:rPr>
          <w:rFonts w:ascii="Arial" w:hAnsi="Arial" w:cs="Arial"/>
          <w:sz w:val="24"/>
          <w:szCs w:val="24"/>
        </w:rPr>
        <w:t>Sustainable Development:</w:t>
      </w:r>
      <w:bookmarkEnd w:id="6"/>
    </w:p>
    <w:p w14:paraId="0000004F" w14:textId="77777777" w:rsidR="004C5277" w:rsidRPr="00FE58D9" w:rsidRDefault="00000000" w:rsidP="00C45C6B">
      <w:pPr>
        <w:spacing w:after="0" w:line="360" w:lineRule="auto"/>
        <w:jc w:val="both"/>
        <w:rPr>
          <w:rFonts w:ascii="Arial" w:eastAsia="Arial" w:hAnsi="Arial" w:cs="Arial"/>
          <w:sz w:val="24"/>
          <w:szCs w:val="24"/>
        </w:rPr>
      </w:pPr>
      <w:r w:rsidRPr="00FE58D9">
        <w:rPr>
          <w:rFonts w:ascii="Arial" w:eastAsia="Arial" w:hAnsi="Arial" w:cs="Arial"/>
          <w:sz w:val="24"/>
          <w:szCs w:val="24"/>
        </w:rPr>
        <w:t>Sustainable development is defined as the pursuit of human well-being and economic prosperity while safeguarding the integrity and resilience of Earth's ecosystems for present and future generations (Lele, 1991). This definition emphasizes the interconnectedness between human activities and the natural environment and underscores the importance of maintaining ecological balance and biodiversity.</w:t>
      </w:r>
    </w:p>
    <w:p w14:paraId="00000050" w14:textId="77777777" w:rsidR="004C5277" w:rsidRPr="00FE58D9" w:rsidRDefault="00000000" w:rsidP="00C45C6B">
      <w:pPr>
        <w:spacing w:after="0" w:line="360" w:lineRule="auto"/>
        <w:jc w:val="both"/>
        <w:rPr>
          <w:rFonts w:ascii="Arial" w:eastAsia="Arial" w:hAnsi="Arial" w:cs="Arial"/>
          <w:sz w:val="24"/>
          <w:szCs w:val="24"/>
        </w:rPr>
      </w:pPr>
      <w:r w:rsidRPr="00FE58D9">
        <w:rPr>
          <w:rFonts w:ascii="Arial" w:eastAsia="Arial" w:hAnsi="Arial" w:cs="Arial"/>
          <w:sz w:val="24"/>
          <w:szCs w:val="24"/>
        </w:rPr>
        <w:t>It involves adopting practices and policies that minimize negative environmental impacts, conserve natural resources, and promote the regeneration of ecosystems. It recognizes the finite nature of Earth's resources and the need to manage them in a way that ensures their availability and quality for future generations.</w:t>
      </w:r>
    </w:p>
    <w:p w14:paraId="00000051" w14:textId="77777777" w:rsidR="004C5277" w:rsidRPr="00FE58D9" w:rsidRDefault="00000000" w:rsidP="00C45C6B">
      <w:pPr>
        <w:spacing w:after="0" w:line="360" w:lineRule="auto"/>
        <w:jc w:val="both"/>
        <w:rPr>
          <w:rFonts w:ascii="Arial" w:eastAsia="Arial" w:hAnsi="Arial" w:cs="Arial"/>
          <w:sz w:val="24"/>
          <w:szCs w:val="24"/>
        </w:rPr>
      </w:pPr>
      <w:r w:rsidRPr="00FE58D9">
        <w:rPr>
          <w:rFonts w:ascii="Arial" w:eastAsia="Arial" w:hAnsi="Arial" w:cs="Arial"/>
          <w:sz w:val="24"/>
          <w:szCs w:val="24"/>
        </w:rPr>
        <w:t>Sustainable development recognizes the importance of addressing global challenges such as climate change, biodiversity loss, and resource depletion through collective action and international cooperation. It calls for transformative changes in economic, social, and technological systems to transition towards more sustainable and resilient societies (UNEP, 2012).</w:t>
      </w:r>
    </w:p>
    <w:p w14:paraId="00000052" w14:textId="77777777" w:rsidR="004C5277" w:rsidRPr="00FE58D9" w:rsidRDefault="00000000" w:rsidP="00C45C6B">
      <w:pPr>
        <w:spacing w:after="0" w:line="360" w:lineRule="auto"/>
        <w:jc w:val="both"/>
        <w:rPr>
          <w:rFonts w:ascii="Arial" w:eastAsia="Arial" w:hAnsi="Arial" w:cs="Arial"/>
          <w:sz w:val="24"/>
          <w:szCs w:val="24"/>
        </w:rPr>
      </w:pPr>
      <w:r w:rsidRPr="00FE58D9">
        <w:rPr>
          <w:rFonts w:ascii="Arial" w:eastAsia="Arial" w:hAnsi="Arial" w:cs="Arial"/>
          <w:sz w:val="24"/>
          <w:szCs w:val="24"/>
        </w:rPr>
        <w:t>To summarize, sustainable development entails achieving human well-being and economic prosperity while safeguarding Earth's ecosystems for present and future generations. It involves adopting practices that minimize environmental degradation, promote biodiversity conservation, and address global challenges in a holistic and integrated manner.</w:t>
      </w:r>
    </w:p>
    <w:p w14:paraId="00000053" w14:textId="77777777" w:rsidR="004C5277" w:rsidRPr="00FE58D9" w:rsidRDefault="004C5277" w:rsidP="00C45C6B">
      <w:pPr>
        <w:spacing w:after="0" w:line="360" w:lineRule="auto"/>
        <w:jc w:val="both"/>
        <w:rPr>
          <w:rFonts w:ascii="Arial" w:eastAsia="Arial" w:hAnsi="Arial" w:cs="Arial"/>
          <w:sz w:val="24"/>
          <w:szCs w:val="24"/>
        </w:rPr>
      </w:pPr>
    </w:p>
    <w:p w14:paraId="00000054" w14:textId="77777777" w:rsidR="004C5277" w:rsidRPr="00FE58D9" w:rsidRDefault="00000000" w:rsidP="00C45C6B">
      <w:pPr>
        <w:pStyle w:val="Heading3"/>
        <w:rPr>
          <w:rFonts w:ascii="Arial" w:hAnsi="Arial" w:cs="Arial"/>
          <w:sz w:val="24"/>
          <w:szCs w:val="24"/>
        </w:rPr>
      </w:pPr>
      <w:bookmarkStart w:id="7" w:name="_Toc161986725"/>
      <w:r w:rsidRPr="00FE58D9">
        <w:rPr>
          <w:rFonts w:ascii="Arial" w:hAnsi="Arial" w:cs="Arial"/>
          <w:sz w:val="24"/>
          <w:szCs w:val="24"/>
        </w:rPr>
        <w:t>Sustainable Development Goals (SDGs):</w:t>
      </w:r>
      <w:bookmarkEnd w:id="7"/>
    </w:p>
    <w:p w14:paraId="00000055" w14:textId="77777777" w:rsidR="004C5277" w:rsidRPr="00FE58D9" w:rsidRDefault="00000000" w:rsidP="00C45C6B">
      <w:pPr>
        <w:spacing w:after="0" w:line="360" w:lineRule="auto"/>
        <w:jc w:val="both"/>
        <w:rPr>
          <w:rFonts w:ascii="Arial" w:eastAsia="Arial" w:hAnsi="Arial" w:cs="Arial"/>
          <w:sz w:val="24"/>
          <w:szCs w:val="24"/>
        </w:rPr>
      </w:pPr>
      <w:r w:rsidRPr="00FE58D9">
        <w:rPr>
          <w:rFonts w:ascii="Arial" w:eastAsia="Arial" w:hAnsi="Arial" w:cs="Arial"/>
          <w:sz w:val="24"/>
          <w:szCs w:val="24"/>
        </w:rPr>
        <w:t xml:space="preserve">The Sustainable Development Goals (SDGs) represent a universal call to action to end poverty, protect the planet, and ensure prosperity for all by 2030 (United Nations, </w:t>
      </w:r>
      <w:r w:rsidRPr="00FE58D9">
        <w:rPr>
          <w:rFonts w:ascii="Arial" w:eastAsia="Arial" w:hAnsi="Arial" w:cs="Arial"/>
          <w:sz w:val="24"/>
          <w:szCs w:val="24"/>
        </w:rPr>
        <w:lastRenderedPageBreak/>
        <w:t>2015). Unlike their predecessors, the Millennium Development Goals (MDGs), the SDGs are more comprehensive, inclusive, and interconnected, addressing a broader range of economic, social, and environmental challenges facing humanity.</w:t>
      </w:r>
    </w:p>
    <w:p w14:paraId="00000056" w14:textId="77777777" w:rsidR="004C5277" w:rsidRPr="00FE58D9" w:rsidRDefault="00000000" w:rsidP="00C45C6B">
      <w:pPr>
        <w:spacing w:after="0" w:line="360" w:lineRule="auto"/>
        <w:jc w:val="both"/>
        <w:rPr>
          <w:rFonts w:ascii="Arial" w:eastAsia="Arial" w:hAnsi="Arial" w:cs="Arial"/>
          <w:sz w:val="24"/>
          <w:szCs w:val="24"/>
        </w:rPr>
      </w:pPr>
      <w:r w:rsidRPr="00FE58D9">
        <w:rPr>
          <w:rFonts w:ascii="Arial" w:eastAsia="Arial" w:hAnsi="Arial" w:cs="Arial"/>
          <w:sz w:val="24"/>
          <w:szCs w:val="24"/>
        </w:rPr>
        <w:t>The SDGs consist of 17 goals and 169 targets that cover a wide spectrum of issues, including poverty eradication, health and well-being, education, gender equality, clean water and sanitation, affordable and clean energy, sustainable cities and communities, climate action, and biodiversity conservation, among others (United Nations, 2015).</w:t>
      </w:r>
    </w:p>
    <w:p w14:paraId="00000057" w14:textId="77777777" w:rsidR="004C5277" w:rsidRPr="00FE58D9" w:rsidRDefault="00000000" w:rsidP="00C45C6B">
      <w:pPr>
        <w:spacing w:after="0" w:line="360" w:lineRule="auto"/>
        <w:jc w:val="both"/>
        <w:rPr>
          <w:rFonts w:ascii="Arial" w:eastAsia="Arial" w:hAnsi="Arial" w:cs="Arial"/>
          <w:sz w:val="24"/>
          <w:szCs w:val="24"/>
        </w:rPr>
      </w:pPr>
      <w:r w:rsidRPr="00FE58D9">
        <w:rPr>
          <w:rFonts w:ascii="Arial" w:eastAsia="Arial" w:hAnsi="Arial" w:cs="Arial"/>
          <w:sz w:val="24"/>
          <w:szCs w:val="24"/>
        </w:rPr>
        <w:t>Each SDG is accompanied by specific targets and indicators that provide a framework for measuring progress and guiding policy interventions at the national and global levels. The goals are designed to be integrated and indivisible, recognizing the interdependencies between different sectors and the need for holistic approaches to sustainable development (United Nations, 2015).</w:t>
      </w:r>
    </w:p>
    <w:p w14:paraId="00000058" w14:textId="77777777" w:rsidR="004C5277" w:rsidRPr="00FE58D9" w:rsidRDefault="00000000" w:rsidP="00C45C6B">
      <w:pPr>
        <w:spacing w:after="0" w:line="360" w:lineRule="auto"/>
        <w:jc w:val="both"/>
        <w:rPr>
          <w:rFonts w:ascii="Arial" w:eastAsia="Arial" w:hAnsi="Arial" w:cs="Arial"/>
          <w:sz w:val="24"/>
          <w:szCs w:val="24"/>
        </w:rPr>
      </w:pPr>
      <w:r w:rsidRPr="00FE58D9">
        <w:rPr>
          <w:rFonts w:ascii="Arial" w:eastAsia="Arial" w:hAnsi="Arial" w:cs="Arial"/>
          <w:sz w:val="24"/>
          <w:szCs w:val="24"/>
        </w:rPr>
        <w:t>One of the distinguishing features of the SDGs is their emphasis on inclusivity and leaving no one behind. The goals prioritize reaching the most marginalized and vulnerable populations, including women, children, persons with disabilities, indigenous peoples, and refugees, who are disproportionately affected by poverty, inequality, and environmental degradation (United Nations, 2015).</w:t>
      </w:r>
    </w:p>
    <w:p w14:paraId="00000059" w14:textId="77777777" w:rsidR="004C5277" w:rsidRPr="00FE58D9" w:rsidRDefault="00000000" w:rsidP="00C45C6B">
      <w:pPr>
        <w:spacing w:after="0" w:line="360" w:lineRule="auto"/>
        <w:jc w:val="both"/>
        <w:rPr>
          <w:rFonts w:ascii="Arial" w:eastAsia="Arial" w:hAnsi="Arial" w:cs="Arial"/>
          <w:sz w:val="24"/>
          <w:szCs w:val="24"/>
        </w:rPr>
      </w:pPr>
      <w:r w:rsidRPr="00FE58D9">
        <w:rPr>
          <w:rFonts w:ascii="Arial" w:eastAsia="Arial" w:hAnsi="Arial" w:cs="Arial"/>
          <w:sz w:val="24"/>
          <w:szCs w:val="24"/>
        </w:rPr>
        <w:t>Moreover, the SDGs emphasize the importance of partnerships and collaboration among governments, civil society, the private sector, and international organizations to achieve common objectives. By mobilizing resources, sharing knowledge, and coordinating efforts, stakeholders can accelerate progress towards the SDGs and address complex challenges more effectively (United Nations, 2015).</w:t>
      </w:r>
    </w:p>
    <w:p w14:paraId="0000005A" w14:textId="77777777" w:rsidR="004C5277" w:rsidRPr="00FE58D9" w:rsidRDefault="00000000" w:rsidP="00C45C6B">
      <w:pPr>
        <w:spacing w:after="0" w:line="360" w:lineRule="auto"/>
        <w:jc w:val="both"/>
        <w:rPr>
          <w:rFonts w:ascii="Arial" w:eastAsia="Arial" w:hAnsi="Arial" w:cs="Arial"/>
          <w:sz w:val="24"/>
          <w:szCs w:val="24"/>
        </w:rPr>
      </w:pPr>
      <w:r w:rsidRPr="00FE58D9">
        <w:rPr>
          <w:rFonts w:ascii="Arial" w:eastAsia="Arial" w:hAnsi="Arial" w:cs="Arial"/>
          <w:sz w:val="24"/>
          <w:szCs w:val="24"/>
        </w:rPr>
        <w:t>To summarize, the Sustainable Development Goals (SDGs) provide a comprehensive and ambitious framework for addressing the world's most pressing economic, social, and environmental challenges. By setting clear targets and promoting collaboration, the SDGs offer a roadmap for achieving sustainable development and improving the lives of people everywhere.</w:t>
      </w:r>
    </w:p>
    <w:p w14:paraId="0000005B" w14:textId="77777777" w:rsidR="004C5277" w:rsidRPr="00FE58D9" w:rsidRDefault="004C5277" w:rsidP="00C45C6B">
      <w:pPr>
        <w:spacing w:line="360" w:lineRule="auto"/>
        <w:jc w:val="both"/>
        <w:rPr>
          <w:rFonts w:ascii="Arial" w:eastAsia="Arial" w:hAnsi="Arial" w:cs="Arial"/>
          <w:b/>
          <w:sz w:val="24"/>
          <w:szCs w:val="24"/>
        </w:rPr>
      </w:pPr>
    </w:p>
    <w:p w14:paraId="34F2DFAC" w14:textId="77777777" w:rsidR="007D6735" w:rsidRDefault="007D6735" w:rsidP="00C45C6B">
      <w:pPr>
        <w:pStyle w:val="Heading3"/>
        <w:rPr>
          <w:rFonts w:ascii="Arial" w:hAnsi="Arial" w:cs="Arial"/>
          <w:sz w:val="24"/>
          <w:szCs w:val="24"/>
        </w:rPr>
      </w:pPr>
    </w:p>
    <w:p w14:paraId="75A5BF4A" w14:textId="77777777" w:rsidR="007D6735" w:rsidRDefault="007D6735" w:rsidP="00C45C6B">
      <w:pPr>
        <w:pStyle w:val="Heading3"/>
        <w:rPr>
          <w:rFonts w:ascii="Arial" w:hAnsi="Arial" w:cs="Arial"/>
          <w:sz w:val="24"/>
          <w:szCs w:val="24"/>
        </w:rPr>
      </w:pPr>
    </w:p>
    <w:p w14:paraId="0000005C" w14:textId="647B9F93" w:rsidR="004C5277" w:rsidRPr="00FE58D9" w:rsidRDefault="00000000" w:rsidP="00C45C6B">
      <w:pPr>
        <w:pStyle w:val="Heading3"/>
        <w:rPr>
          <w:rFonts w:ascii="Arial" w:hAnsi="Arial" w:cs="Arial"/>
          <w:sz w:val="24"/>
          <w:szCs w:val="24"/>
        </w:rPr>
      </w:pPr>
      <w:bookmarkStart w:id="8" w:name="_Toc161986726"/>
      <w:r w:rsidRPr="00FE58D9">
        <w:rPr>
          <w:rFonts w:ascii="Arial" w:hAnsi="Arial" w:cs="Arial"/>
          <w:sz w:val="24"/>
          <w:szCs w:val="24"/>
        </w:rPr>
        <w:t>GOAL A</w:t>
      </w:r>
      <w:bookmarkEnd w:id="8"/>
    </w:p>
    <w:p w14:paraId="0000005D" w14:textId="77777777" w:rsidR="004C5277" w:rsidRPr="00FE58D9" w:rsidRDefault="00000000" w:rsidP="00C45C6B">
      <w:pPr>
        <w:pStyle w:val="Heading1"/>
        <w:spacing w:line="360" w:lineRule="auto"/>
        <w:jc w:val="both"/>
        <w:rPr>
          <w:rFonts w:ascii="Arial" w:eastAsia="Arial" w:hAnsi="Arial" w:cs="Arial"/>
          <w:sz w:val="24"/>
          <w:szCs w:val="24"/>
        </w:rPr>
      </w:pPr>
      <w:bookmarkStart w:id="9" w:name="_Toc161986727"/>
      <w:r w:rsidRPr="00FE58D9">
        <w:rPr>
          <w:rFonts w:ascii="Arial" w:eastAsia="Arial" w:hAnsi="Arial" w:cs="Arial"/>
          <w:sz w:val="24"/>
          <w:szCs w:val="24"/>
        </w:rPr>
        <w:t>SDG2-Zero Hunger</w:t>
      </w:r>
      <w:bookmarkEnd w:id="9"/>
    </w:p>
    <w:p w14:paraId="0000005E" w14:textId="77777777" w:rsidR="004C5277" w:rsidRPr="00FE58D9" w:rsidRDefault="00000000" w:rsidP="00C45C6B">
      <w:pPr>
        <w:spacing w:line="360" w:lineRule="auto"/>
        <w:jc w:val="both"/>
        <w:rPr>
          <w:rFonts w:ascii="Arial" w:eastAsia="Arial" w:hAnsi="Arial" w:cs="Arial"/>
          <w:b/>
          <w:sz w:val="24"/>
          <w:szCs w:val="24"/>
        </w:rPr>
      </w:pPr>
      <w:r w:rsidRPr="00FE58D9">
        <w:rPr>
          <w:rFonts w:ascii="Arial" w:eastAsia="Arial" w:hAnsi="Arial" w:cs="Arial"/>
          <w:b/>
          <w:sz w:val="24"/>
          <w:szCs w:val="24"/>
        </w:rPr>
        <w:t xml:space="preserve">Definition </w:t>
      </w:r>
    </w:p>
    <w:p w14:paraId="0000005F"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Everyone deserves adequate, safe, healthy food; this goal respects that right. Zero hunger, as outlined in Sustainable Development Goal (SDG) 2, refers to the commitment to eradicate hunger, achieve food security, improve nutrition, and promote sustainable agriculture worldwide (United Nations, 2015). This goal aims to ensure that all individuals have access to sufficient, safe, and nutritious food year-round, addressing the root causes of hunger and malnutrition. It aims to end world hunger and ensuring resource equality (Perry et al. 2021). Zero hunger encompasses efforts to increase agricultural productivity, enhance food distribution systems, reduce food waste, and support vulnerable populations, ultimately fostering healthier and more resilient communities. This goal supports the UK government’s food poverty and dietary equity initiatives.</w:t>
      </w:r>
    </w:p>
    <w:p w14:paraId="00000060" w14:textId="77777777" w:rsidR="004C5277" w:rsidRPr="00FE58D9" w:rsidRDefault="00000000" w:rsidP="00C45C6B">
      <w:pPr>
        <w:pStyle w:val="Heading3"/>
        <w:rPr>
          <w:rFonts w:ascii="Arial" w:hAnsi="Arial" w:cs="Arial"/>
          <w:sz w:val="24"/>
          <w:szCs w:val="24"/>
        </w:rPr>
      </w:pPr>
      <w:bookmarkStart w:id="10" w:name="_Toc161986728"/>
      <w:r w:rsidRPr="00FE58D9">
        <w:rPr>
          <w:rFonts w:ascii="Arial" w:hAnsi="Arial" w:cs="Arial"/>
          <w:sz w:val="24"/>
          <w:szCs w:val="24"/>
        </w:rPr>
        <w:t xml:space="preserve">UK Strategies, </w:t>
      </w:r>
      <w:proofErr w:type="gramStart"/>
      <w:r w:rsidRPr="00FE58D9">
        <w:rPr>
          <w:rFonts w:ascii="Arial" w:hAnsi="Arial" w:cs="Arial"/>
          <w:sz w:val="24"/>
          <w:szCs w:val="24"/>
        </w:rPr>
        <w:t>Programmes</w:t>
      </w:r>
      <w:proofErr w:type="gramEnd"/>
      <w:r w:rsidRPr="00FE58D9">
        <w:rPr>
          <w:rFonts w:ascii="Arial" w:hAnsi="Arial" w:cs="Arial"/>
          <w:sz w:val="24"/>
          <w:szCs w:val="24"/>
        </w:rPr>
        <w:t xml:space="preserve"> or Initiatives to implement SDG 2</w:t>
      </w:r>
      <w:bookmarkEnd w:id="10"/>
    </w:p>
    <w:p w14:paraId="00000061"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Two UK strategies aimed at implementing SDG 2, Zero Hunger, are:</w:t>
      </w:r>
    </w:p>
    <w:p w14:paraId="00000062"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1. National Food Strategy: The UK government has launched the National Food Strategy, a comprehensive plan to address food insecurity, improve nutrition, and promote sustainable food systems. Led by an independent review team, the strategy aims to develop policies that ensure access to nutritious and affordable food for all residents, reduce food waste, and support local food producers (Lowe, 2021). Understanding the numerous neighbourhood and worldwide variables influencing food security is vital for creating and carrying out procedures to end hunger and fair food frameworks (Ulbrich, Porto &amp; Coaffee, 2018)</w:t>
      </w:r>
    </w:p>
    <w:p w14:paraId="00000063"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 xml:space="preserve">2. Holiday Hunger Programs: Various organisations and local authorities across the UK have implemented holiday hunger programs to address food insecurity among children from low-income families during school breaks. These initiatives provide free or subsidised meals, food vouchers, and access to community food projects to ensure </w:t>
      </w:r>
      <w:r w:rsidRPr="00FE58D9">
        <w:rPr>
          <w:rFonts w:ascii="Arial" w:eastAsia="Arial" w:hAnsi="Arial" w:cs="Arial"/>
          <w:sz w:val="24"/>
          <w:szCs w:val="24"/>
        </w:rPr>
        <w:lastRenderedPageBreak/>
        <w:t>that vulnerable children have access to nutritious meals outside of term time (Laborde, Martia &amp; Vos, 2021).</w:t>
      </w:r>
    </w:p>
    <w:p w14:paraId="00000064" w14:textId="77777777" w:rsidR="004C5277" w:rsidRPr="00FE58D9" w:rsidRDefault="00000000" w:rsidP="00C45C6B">
      <w:pPr>
        <w:pStyle w:val="Heading3"/>
        <w:rPr>
          <w:rFonts w:ascii="Arial" w:hAnsi="Arial" w:cs="Arial"/>
          <w:sz w:val="24"/>
          <w:szCs w:val="24"/>
        </w:rPr>
      </w:pPr>
      <w:bookmarkStart w:id="11" w:name="_Toc161986729"/>
      <w:r w:rsidRPr="00FE58D9">
        <w:rPr>
          <w:rFonts w:ascii="Arial" w:hAnsi="Arial" w:cs="Arial"/>
          <w:sz w:val="24"/>
          <w:szCs w:val="24"/>
        </w:rPr>
        <w:t>Critical Review of Identified Strategies and Programs or Initiatives</w:t>
      </w:r>
      <w:bookmarkEnd w:id="11"/>
      <w:r w:rsidRPr="00FE58D9">
        <w:rPr>
          <w:rFonts w:ascii="Arial" w:hAnsi="Arial" w:cs="Arial"/>
          <w:sz w:val="24"/>
          <w:szCs w:val="24"/>
        </w:rPr>
        <w:t xml:space="preserve"> </w:t>
      </w:r>
    </w:p>
    <w:p w14:paraId="00000065"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1. National Food Strategy: The National Food Strategy represents a significant step towards addressing food insecurity and promoting sustainable food systems in the UK. However, critics argue that the National Food Strategy lacks sufficient emphasis on addressing the root causes of food insecurity, such as income inequality and inadequate social support systems. Moreover, there are concerns that the strategy may prioritise economic interests over environmental sustainability and fail to adequately incorporate the voices and experiences of marginalised communities (Lang et al., 2009).</w:t>
      </w:r>
    </w:p>
    <w:p w14:paraId="00000066"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2. Holiday Hunger Programs: Holiday hunger programs play a crucial role in addressing the immediate needs of children from low-income families during school breaks. However, holiday hunger programs face challenges in terms of funding, coordination, and reach. Many programs rely on limited resources and volunteer support, making it difficult to sustain their operations and reach all eligible children. Moreover, there are concerns about stigma and barriers to access, as some families may feel reluctant to participate in such programs due to social stigma or logistical challenges (Dowler &amp; O'Connor, 2012).</w:t>
      </w:r>
    </w:p>
    <w:p w14:paraId="00000067" w14:textId="77777777" w:rsidR="004C5277" w:rsidRPr="00FE58D9" w:rsidRDefault="00000000" w:rsidP="00C45C6B">
      <w:pPr>
        <w:keepNext/>
        <w:keepLines/>
        <w:spacing w:before="480" w:after="80" w:line="360" w:lineRule="auto"/>
        <w:jc w:val="both"/>
        <w:rPr>
          <w:rFonts w:ascii="Arial" w:eastAsia="Arial" w:hAnsi="Arial" w:cs="Arial"/>
          <w:b/>
          <w:color w:val="548235"/>
          <w:sz w:val="24"/>
          <w:szCs w:val="24"/>
        </w:rPr>
      </w:pPr>
      <w:r w:rsidRPr="00FE58D9">
        <w:rPr>
          <w:rFonts w:ascii="Arial" w:eastAsia="Arial" w:hAnsi="Arial" w:cs="Arial"/>
          <w:b/>
          <w:color w:val="548235"/>
          <w:sz w:val="24"/>
          <w:szCs w:val="24"/>
        </w:rPr>
        <w:t>Progress Evaluation by the UK Government</w:t>
      </w:r>
    </w:p>
    <w:p w14:paraId="00000068"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The UK government's introduction of the National Food Strategy represents a significant step towards addressing food insecurity and promoting sustainable food systems. However, the extent to which the strategy has been effectively implemented remains unclear. While some initiatives outlined in the strategy, such as the promotion of healthy eating and reduction of food waste, have seen progress, there are gaps in the implementation of policies aimed at addressing the root causes of food insecurity, such as poverty and inequality (Lowe, 20221).</w:t>
      </w:r>
    </w:p>
    <w:p w14:paraId="00000069"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 xml:space="preserve">Also, holiday hunger programs have provided essential support to vulnerable children during school breaks, offering free or subsidised meals and access to food assistance programs. However, the reach and impact of these programs vary across regions, and many families still face barriers to accessing support. </w:t>
      </w:r>
    </w:p>
    <w:p w14:paraId="0000006A"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lastRenderedPageBreak/>
        <w:t>Despite these efforts, the UK government has faced criticism for its approach to addressing food insecurity. Critics argue that current policies fail to adequately address the underlying causes of hunger, such as income inequality, and may exacerbate disparities in access to food resources. Moreover, there are concerns about the government's commitment to promoting sustainable agriculture and addressing environmental challenges within the food system (Lang et al., 2009).</w:t>
      </w:r>
    </w:p>
    <w:p w14:paraId="0000006B" w14:textId="77777777" w:rsidR="004C5277" w:rsidRPr="00FE58D9" w:rsidRDefault="00000000" w:rsidP="00C45C6B">
      <w:pPr>
        <w:keepNext/>
        <w:keepLines/>
        <w:spacing w:before="480" w:after="80" w:line="360" w:lineRule="auto"/>
        <w:jc w:val="both"/>
        <w:rPr>
          <w:rFonts w:ascii="Arial" w:eastAsia="Arial" w:hAnsi="Arial" w:cs="Arial"/>
          <w:b/>
          <w:color w:val="548235"/>
          <w:sz w:val="24"/>
          <w:szCs w:val="24"/>
        </w:rPr>
      </w:pPr>
      <w:r w:rsidRPr="00FE58D9">
        <w:rPr>
          <w:rFonts w:ascii="Arial" w:eastAsia="Arial" w:hAnsi="Arial" w:cs="Arial"/>
          <w:b/>
          <w:color w:val="548235"/>
          <w:sz w:val="24"/>
          <w:szCs w:val="24"/>
        </w:rPr>
        <w:t xml:space="preserve">Impact Assessment on Health, Wellbeing, and Sustainable Development within the present UK healthcare </w:t>
      </w:r>
    </w:p>
    <w:p w14:paraId="0000006C" w14:textId="77777777" w:rsidR="004C5277" w:rsidRPr="00FE58D9" w:rsidRDefault="00000000" w:rsidP="00C45C6B">
      <w:pPr>
        <w:keepNext/>
        <w:keepLines/>
        <w:spacing w:before="240" w:after="80" w:line="360" w:lineRule="auto"/>
        <w:jc w:val="both"/>
        <w:rPr>
          <w:rFonts w:ascii="Arial" w:eastAsia="Arial" w:hAnsi="Arial" w:cs="Arial"/>
          <w:b/>
          <w:color w:val="548235"/>
          <w:sz w:val="24"/>
          <w:szCs w:val="24"/>
        </w:rPr>
      </w:pPr>
      <w:proofErr w:type="gramStart"/>
      <w:r w:rsidRPr="00FE58D9">
        <w:rPr>
          <w:rFonts w:ascii="Arial" w:eastAsia="Arial" w:hAnsi="Arial" w:cs="Arial"/>
          <w:sz w:val="24"/>
          <w:szCs w:val="24"/>
        </w:rPr>
        <w:t>Zero Hunger,</w:t>
      </w:r>
      <w:proofErr w:type="gramEnd"/>
      <w:r w:rsidRPr="00FE58D9">
        <w:rPr>
          <w:rFonts w:ascii="Arial" w:eastAsia="Arial" w:hAnsi="Arial" w:cs="Arial"/>
          <w:sz w:val="24"/>
          <w:szCs w:val="24"/>
        </w:rPr>
        <w:t xml:space="preserve"> has impacted the sustainability, health, and welfare of the UK food system. SDG 2's focus on sustainable agriculture and universal food access has improved public health and wellness for many populations. SDG 2's health consequences reveal that food security is essential for good health (Ulbrich, Porto &amp; Coaffee 2018). Balanced diets meet nutritional needs, prevent chronic diseases, and promote health. SDG 2 projects that provide diverse and nutritious food have reduced malnutrition, enhanced nutritional quality, and improved health outcomes for disadvantaged groups.</w:t>
      </w:r>
    </w:p>
    <w:p w14:paraId="0000006D"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SDG 2's attention impacts sustainability and resilience on practical food frameworks. Supportable horticulture benefits biological systems and the climate through natural cultivation, crop variety, and a decrease in food squandering. SDG 2 plans to eliminate perilous pesticide use and safeguard biodiversity to create better biological systems and save regular assets for people in the future (Phillips, Sandford, &amp; Johnston, 2013). SDG 2 lays out neighbourhood food creation and conveyance frameworks to upgrade networks and further develop economies. Objective 2 of the plan advances nearby food markets and limited-scope ranchers to support financial development, work creation, and local area attachment. Assisting low-pay networks with food delivery is one technique to battle for civil rights and equity.</w:t>
      </w:r>
    </w:p>
    <w:p w14:paraId="0000006E"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 xml:space="preserve">Despite these advantages, SDG 2 has not entirely changed food frameworks or further developed well-being. Food shakiness, disparity, and natural corruption challenge economic food frameworks and ideal well-being (Ulbrich, Porto &amp; Coaffee 2018). To resolve these issues, approaches and practices should consider friendly, financial, and environmental components. SDG 2's effect assessment infers that it is significant for </w:t>
      </w:r>
      <w:r w:rsidRPr="00FE58D9">
        <w:rPr>
          <w:rFonts w:ascii="Arial" w:eastAsia="Arial" w:hAnsi="Arial" w:cs="Arial"/>
          <w:sz w:val="24"/>
          <w:szCs w:val="24"/>
        </w:rPr>
        <w:lastRenderedPageBreak/>
        <w:t>the food framework's maintainability, the UK's well-being, and prosperity. SDG 2 tasks eliminate orderly disparities, give nutritious food, and back practical horticulture to fabricate better, more substantial networks.</w:t>
      </w:r>
    </w:p>
    <w:p w14:paraId="0000006F" w14:textId="77777777" w:rsidR="004C5277" w:rsidRPr="00FE58D9" w:rsidRDefault="00000000" w:rsidP="00C45C6B">
      <w:pPr>
        <w:keepNext/>
        <w:keepLines/>
        <w:spacing w:before="480" w:after="80" w:line="360" w:lineRule="auto"/>
        <w:jc w:val="both"/>
        <w:rPr>
          <w:rFonts w:ascii="Arial" w:eastAsia="Arial" w:hAnsi="Arial" w:cs="Arial"/>
          <w:b/>
          <w:color w:val="548235"/>
          <w:sz w:val="24"/>
          <w:szCs w:val="24"/>
        </w:rPr>
      </w:pPr>
      <w:r w:rsidRPr="00FE58D9">
        <w:rPr>
          <w:rFonts w:ascii="Arial" w:eastAsia="Arial" w:hAnsi="Arial" w:cs="Arial"/>
          <w:b/>
          <w:color w:val="548235"/>
          <w:sz w:val="24"/>
          <w:szCs w:val="24"/>
        </w:rPr>
        <w:t>Challenges in Implementing SDG 2</w:t>
      </w:r>
    </w:p>
    <w:p w14:paraId="00000070"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Challenges in implementing SDG 2, Zero Hunger, include inadequate funding, limited access to resources, and disparities in food distribution. Additionally, political priorities, trade policies, and environmental degradation further complicate efforts to eradicate hunger. Food uncertainty and inconsistent suitable food access hamper SDG 2: Zero Hunger (Jones, 2016). Cultural conventions, nutritional preferences, and socio-cultural beliefs also affect how people view food, seek medical care, and prioritise preventative healthcare (Mazzotta 2018).</w:t>
      </w:r>
    </w:p>
    <w:p w14:paraId="00000071" w14:textId="77777777" w:rsidR="004C5277" w:rsidRPr="00FE58D9" w:rsidRDefault="00000000" w:rsidP="00C45C6B">
      <w:pPr>
        <w:keepNext/>
        <w:keepLines/>
        <w:spacing w:before="240" w:after="80" w:line="360" w:lineRule="auto"/>
        <w:jc w:val="both"/>
        <w:rPr>
          <w:rFonts w:ascii="Arial" w:eastAsia="Arial" w:hAnsi="Arial" w:cs="Arial"/>
          <w:b/>
          <w:color w:val="548235"/>
          <w:sz w:val="24"/>
          <w:szCs w:val="24"/>
        </w:rPr>
      </w:pPr>
      <w:r w:rsidRPr="00FE58D9">
        <w:rPr>
          <w:rFonts w:ascii="Arial" w:eastAsia="Arial" w:hAnsi="Arial" w:cs="Arial"/>
          <w:b/>
          <w:color w:val="548235"/>
          <w:sz w:val="24"/>
          <w:szCs w:val="24"/>
        </w:rPr>
        <w:t xml:space="preserve">Recommendations for Improvement </w:t>
      </w:r>
    </w:p>
    <w:p w14:paraId="00000072"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 xml:space="preserve">To achieve SDG 2, Zero Hunger, recommendations include investing in sustainable agriculture, promoting nutrition education, and supporting smallholder farmers, </w:t>
      </w:r>
      <w:proofErr w:type="gramStart"/>
      <w:r w:rsidRPr="00FE58D9">
        <w:rPr>
          <w:rFonts w:ascii="Arial" w:eastAsia="Arial" w:hAnsi="Arial" w:cs="Arial"/>
          <w:sz w:val="24"/>
          <w:szCs w:val="24"/>
        </w:rPr>
        <w:t>Strengthening</w:t>
      </w:r>
      <w:proofErr w:type="gramEnd"/>
      <w:r w:rsidRPr="00FE58D9">
        <w:rPr>
          <w:rFonts w:ascii="Arial" w:eastAsia="Arial" w:hAnsi="Arial" w:cs="Arial"/>
          <w:sz w:val="24"/>
          <w:szCs w:val="24"/>
        </w:rPr>
        <w:t xml:space="preserve"> food distribution systems and reducing food waste are also essential. To guarantee food security and sustenance, legislatures should address reasonable farming, good food accessibility, and food instability (SDG 2) (Mansell, Philbin &amp; Konstantinou 2020).</w:t>
      </w:r>
    </w:p>
    <w:p w14:paraId="00000073" w14:textId="77777777" w:rsidR="004C5277" w:rsidRPr="00FE58D9" w:rsidRDefault="00000000" w:rsidP="00C45C6B">
      <w:pPr>
        <w:pStyle w:val="Heading1"/>
        <w:spacing w:line="360" w:lineRule="auto"/>
        <w:jc w:val="both"/>
        <w:rPr>
          <w:rFonts w:ascii="Arial" w:eastAsia="Arial" w:hAnsi="Arial" w:cs="Arial"/>
          <w:sz w:val="24"/>
          <w:szCs w:val="24"/>
        </w:rPr>
      </w:pPr>
      <w:bookmarkStart w:id="12" w:name="_Toc161986730"/>
      <w:r w:rsidRPr="00FE58D9">
        <w:rPr>
          <w:rFonts w:ascii="Arial" w:eastAsia="Arial" w:hAnsi="Arial" w:cs="Arial"/>
          <w:sz w:val="24"/>
          <w:szCs w:val="24"/>
        </w:rPr>
        <w:t>SDGS 3- Good Health and Well-being</w:t>
      </w:r>
      <w:bookmarkEnd w:id="12"/>
    </w:p>
    <w:p w14:paraId="00000074" w14:textId="77777777" w:rsidR="004C5277" w:rsidRPr="00FE58D9" w:rsidRDefault="00000000" w:rsidP="00C45C6B">
      <w:pPr>
        <w:spacing w:line="360" w:lineRule="auto"/>
        <w:jc w:val="both"/>
        <w:rPr>
          <w:rFonts w:ascii="Arial" w:eastAsia="Arial" w:hAnsi="Arial" w:cs="Arial"/>
          <w:b/>
          <w:sz w:val="24"/>
          <w:szCs w:val="24"/>
        </w:rPr>
      </w:pPr>
      <w:r w:rsidRPr="00FE58D9">
        <w:rPr>
          <w:rFonts w:ascii="Arial" w:eastAsia="Arial" w:hAnsi="Arial" w:cs="Arial"/>
          <w:b/>
          <w:sz w:val="24"/>
          <w:szCs w:val="24"/>
        </w:rPr>
        <w:t xml:space="preserve">Definition </w:t>
      </w:r>
    </w:p>
    <w:p w14:paraId="00000075"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 xml:space="preserve">SDG 3, Good </w:t>
      </w:r>
      <w:proofErr w:type="gramStart"/>
      <w:r w:rsidRPr="00FE58D9">
        <w:rPr>
          <w:rFonts w:ascii="Arial" w:eastAsia="Arial" w:hAnsi="Arial" w:cs="Arial"/>
          <w:sz w:val="24"/>
          <w:szCs w:val="24"/>
        </w:rPr>
        <w:t>Health</w:t>
      </w:r>
      <w:proofErr w:type="gramEnd"/>
      <w:r w:rsidRPr="00FE58D9">
        <w:rPr>
          <w:rFonts w:ascii="Arial" w:eastAsia="Arial" w:hAnsi="Arial" w:cs="Arial"/>
          <w:sz w:val="24"/>
          <w:szCs w:val="24"/>
        </w:rPr>
        <w:t xml:space="preserve"> and Well-being, aims to ensure healthy lives and promote well-being for all at all ages (United Nations, 2015). To support development and financial achievement, it stresses wellbeing. Goal 3 of the UK sustainable development Agenda outlines a comprehensive plan to promote health, reduce health inequalities, and increase illness prevention. </w:t>
      </w:r>
    </w:p>
    <w:p w14:paraId="00000076"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 xml:space="preserve">SDG 3 initiatives enhance health and prevent sickness by encouraging healthy eating and reducing diet-related illnesses (Rogers &amp; Pilgrim, 2010). It emphasises health promotion and sickness prevention as key to sustainable development (Perry et al., </w:t>
      </w:r>
      <w:r w:rsidRPr="00FE58D9">
        <w:rPr>
          <w:rFonts w:ascii="Arial" w:eastAsia="Arial" w:hAnsi="Arial" w:cs="Arial"/>
          <w:sz w:val="24"/>
          <w:szCs w:val="24"/>
        </w:rPr>
        <w:lastRenderedPageBreak/>
        <w:t>2021). Goal 3 of the Sustainable Development Agenda aligns with UK health initiatives, including reducing deaths and preventable diseases.</w:t>
      </w:r>
    </w:p>
    <w:p w14:paraId="00000077" w14:textId="77777777" w:rsidR="004C5277" w:rsidRPr="00FE58D9" w:rsidRDefault="00000000" w:rsidP="00C45C6B">
      <w:pPr>
        <w:pStyle w:val="Heading3"/>
        <w:rPr>
          <w:rFonts w:ascii="Arial" w:hAnsi="Arial" w:cs="Arial"/>
          <w:sz w:val="24"/>
          <w:szCs w:val="24"/>
        </w:rPr>
      </w:pPr>
      <w:bookmarkStart w:id="13" w:name="_Toc161986731"/>
      <w:r w:rsidRPr="00FE58D9">
        <w:rPr>
          <w:rFonts w:ascii="Arial" w:hAnsi="Arial" w:cs="Arial"/>
          <w:sz w:val="24"/>
          <w:szCs w:val="24"/>
        </w:rPr>
        <w:t xml:space="preserve">UK Strategies, </w:t>
      </w:r>
      <w:proofErr w:type="gramStart"/>
      <w:r w:rsidRPr="00FE58D9">
        <w:rPr>
          <w:rFonts w:ascii="Arial" w:hAnsi="Arial" w:cs="Arial"/>
          <w:sz w:val="24"/>
          <w:szCs w:val="24"/>
        </w:rPr>
        <w:t>Programmes</w:t>
      </w:r>
      <w:proofErr w:type="gramEnd"/>
      <w:r w:rsidRPr="00FE58D9">
        <w:rPr>
          <w:rFonts w:ascii="Arial" w:hAnsi="Arial" w:cs="Arial"/>
          <w:sz w:val="24"/>
          <w:szCs w:val="24"/>
        </w:rPr>
        <w:t xml:space="preserve"> or Initiatives to implement SDG 3</w:t>
      </w:r>
      <w:bookmarkEnd w:id="13"/>
    </w:p>
    <w:p w14:paraId="00000078"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 xml:space="preserve">Two UK strategies aimed at implementing SDG 3, Good </w:t>
      </w:r>
      <w:proofErr w:type="gramStart"/>
      <w:r w:rsidRPr="00FE58D9">
        <w:rPr>
          <w:rFonts w:ascii="Arial" w:eastAsia="Arial" w:hAnsi="Arial" w:cs="Arial"/>
          <w:sz w:val="24"/>
          <w:szCs w:val="24"/>
        </w:rPr>
        <w:t>Health</w:t>
      </w:r>
      <w:proofErr w:type="gramEnd"/>
      <w:r w:rsidRPr="00FE58D9">
        <w:rPr>
          <w:rFonts w:ascii="Arial" w:eastAsia="Arial" w:hAnsi="Arial" w:cs="Arial"/>
          <w:sz w:val="24"/>
          <w:szCs w:val="24"/>
        </w:rPr>
        <w:t xml:space="preserve"> and Well-being, are:</w:t>
      </w:r>
    </w:p>
    <w:p w14:paraId="00000079"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1. NHS Long Term Plan: The National Health Service (NHS) Long Term Plan outlines the UK government's strategy to improve health outcomes and promote well-being for all residents. It includes initiatives to enhance access to healthcare services, invest in prevention and early intervention, and address health inequalities (NHS England, 2019).</w:t>
      </w:r>
    </w:p>
    <w:p w14:paraId="0000007A"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2. Healthy Start Program: The Healthy Start Program provides vouchers for free milk, fruit, vegetables, and vitamins to pregnant women and families with young children who are on low incomes or certain benefits. The program aims to improve maternal and child nutrition, promote healthy eating habits, and reduce health inequalities (NHS England, 2019).</w:t>
      </w:r>
    </w:p>
    <w:p w14:paraId="0000007B" w14:textId="77777777" w:rsidR="004C5277" w:rsidRPr="00FE58D9" w:rsidRDefault="00000000" w:rsidP="00C45C6B">
      <w:pPr>
        <w:pStyle w:val="Heading3"/>
        <w:rPr>
          <w:rFonts w:ascii="Arial" w:hAnsi="Arial" w:cs="Arial"/>
          <w:sz w:val="24"/>
          <w:szCs w:val="24"/>
        </w:rPr>
      </w:pPr>
      <w:bookmarkStart w:id="14" w:name="_Toc161986732"/>
      <w:r w:rsidRPr="00FE58D9">
        <w:rPr>
          <w:rFonts w:ascii="Arial" w:hAnsi="Arial" w:cs="Arial"/>
          <w:sz w:val="24"/>
          <w:szCs w:val="24"/>
        </w:rPr>
        <w:t>Critical Review of Identified Strategies and Programs or Initiatives</w:t>
      </w:r>
      <w:bookmarkEnd w:id="14"/>
      <w:r w:rsidRPr="00FE58D9">
        <w:rPr>
          <w:rFonts w:ascii="Arial" w:hAnsi="Arial" w:cs="Arial"/>
          <w:sz w:val="24"/>
          <w:szCs w:val="24"/>
        </w:rPr>
        <w:t xml:space="preserve">  </w:t>
      </w:r>
    </w:p>
    <w:p w14:paraId="0000007C"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1. NHS Long Term Plan: The NHS Long Term Plan represents a comprehensive approach to improving health outcomes and promoting well-being in the UK. However, critics argue that the NHS Long Term Plan may face challenges in implementation due to resource constraints, workforce shortages, and competing priorities within the healthcare sector. Moreover, there are concerns that the plan's emphasis on technological innovation and efficiency may overshadow investments in primary care, mental health services, and social determinants of health (Hunter et al., 2020).</w:t>
      </w:r>
    </w:p>
    <w:p w14:paraId="0000007D"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2. Healthy Start Program: The Healthy Start Program plays a vital role in promoting maternal and child health by providing access to essential nutrients for pregnant women and families with young children. However, there are challenges in ensuring equitable access to the Healthy Start Program, particularly among marginalised and vulnerable populations. Eligibility criteria based on income and benefits may exclude some families in need, and awareness of the program may be limited among those who are eligible. Moreover, the program's effectiveness in addressing broader social determinants of health, such as poverty and food insecurity, may be limited without complementary interventions (Lawlor et al., 2013).</w:t>
      </w:r>
    </w:p>
    <w:p w14:paraId="0000007E" w14:textId="77777777" w:rsidR="004C5277" w:rsidRPr="00FE58D9" w:rsidRDefault="00000000" w:rsidP="00C45C6B">
      <w:pPr>
        <w:keepNext/>
        <w:keepLines/>
        <w:spacing w:before="480" w:after="80" w:line="360" w:lineRule="auto"/>
        <w:jc w:val="both"/>
        <w:rPr>
          <w:rFonts w:ascii="Arial" w:eastAsia="Arial" w:hAnsi="Arial" w:cs="Arial"/>
          <w:b/>
          <w:color w:val="548235"/>
          <w:sz w:val="24"/>
          <w:szCs w:val="24"/>
        </w:rPr>
      </w:pPr>
      <w:r w:rsidRPr="00FE58D9">
        <w:rPr>
          <w:rFonts w:ascii="Arial" w:eastAsia="Arial" w:hAnsi="Arial" w:cs="Arial"/>
          <w:b/>
          <w:color w:val="548235"/>
          <w:sz w:val="24"/>
          <w:szCs w:val="24"/>
        </w:rPr>
        <w:lastRenderedPageBreak/>
        <w:t>Progress Evaluation by the UK Government</w:t>
      </w:r>
    </w:p>
    <w:p w14:paraId="0000007F"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The UK government has made significant strides in implementing the NHS Long Term Plan, with initiatives aimed at improving access to healthcare services, enhancing preventive care, and addressing health inequalities (NHS England, 2019). Progress has been made in areas such as mental health provision, cancer care, and primary care services.</w:t>
      </w:r>
    </w:p>
    <w:p w14:paraId="00000080"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However, challenges remain, including workforce shortages, funding constraints, and disparities in healthcare access. The COVID-19 pandemic has also placed additional strain on the healthcare system, highlighting the need for resilience and flexibility in responding to emerging health threats (Marmot et al., 2020).</w:t>
      </w:r>
    </w:p>
    <w:p w14:paraId="00000081"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The Healthy Start Program has had a positive impact on maternal and child health by providing access to essential nutrients for vulnerable populations. Research suggests that the program has contributed to improved birth outcomes and reduced nutritional deficiencies among pregnant women and young children (Lawlor et al., 2013).</w:t>
      </w:r>
    </w:p>
    <w:p w14:paraId="00000082"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Nevertheless, there are concerns about the program's reach and effectiveness in addressing broader social determinants of health, such as poverty and food insecurity. Eligibility criteria may exclude some families in need, and awareness of the program remains limited among certain communities (Lawlor et al., 2013).</w:t>
      </w:r>
    </w:p>
    <w:p w14:paraId="00000083" w14:textId="77777777" w:rsidR="004C5277" w:rsidRPr="00FE58D9" w:rsidRDefault="00000000" w:rsidP="00C45C6B">
      <w:pPr>
        <w:keepNext/>
        <w:keepLines/>
        <w:spacing w:before="480" w:after="80" w:line="360" w:lineRule="auto"/>
        <w:jc w:val="both"/>
        <w:rPr>
          <w:rFonts w:ascii="Arial" w:eastAsia="Arial" w:hAnsi="Arial" w:cs="Arial"/>
          <w:b/>
          <w:color w:val="548235"/>
          <w:sz w:val="24"/>
          <w:szCs w:val="24"/>
        </w:rPr>
      </w:pPr>
      <w:r w:rsidRPr="00FE58D9">
        <w:rPr>
          <w:rFonts w:ascii="Arial" w:eastAsia="Arial" w:hAnsi="Arial" w:cs="Arial"/>
          <w:b/>
          <w:color w:val="548235"/>
          <w:sz w:val="24"/>
          <w:szCs w:val="24"/>
        </w:rPr>
        <w:t xml:space="preserve">Impact Assessment on Health, Wellbeing, and Sustainable Development within the present UK healthcare </w:t>
      </w:r>
    </w:p>
    <w:p w14:paraId="00000084"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 xml:space="preserve">The UK government has promoted SDG 3 through hospital reforms and community-based actions. Government programs, including NHS reforms, public health initiatives, and healthcare infrastructure investments, aim to improve health and wellness. When analysed properly, these plans reveal healthcare inequities, limited resources, and shifting healthcare demands (Perry et al. 2021). Access to healthcare and health outcomes have improved, yet demographic and socioeconomic inequality remain. Healthcare access, outcomes, and causes remain unequal, necessitating inclusive policies and personalised interventions (Perry et al., 2021). Foreign Secretary Dominic Raab made global health one of seven development priorities after the FCDO combined and created the Global Health Directorate. "Prioritise supporting health </w:t>
      </w:r>
      <w:r w:rsidRPr="00FE58D9">
        <w:rPr>
          <w:rFonts w:ascii="Arial" w:eastAsia="Arial" w:hAnsi="Arial" w:cs="Arial"/>
          <w:sz w:val="24"/>
          <w:szCs w:val="24"/>
        </w:rPr>
        <w:lastRenderedPageBreak/>
        <w:t>systems" was the UK's March 2021 Integrated Review of Security, Development, and Foreign Policy aim. After the COVID-19 pandemic, SDG 3, universal health coverage, and "leave no one behind" were deemphasised in favour of global health security and pandemic readiness.</w:t>
      </w:r>
    </w:p>
    <w:p w14:paraId="00000085"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Foreign Secretary Liz Truss shifted focus to other development goals in 2021, adjusting ministerial duties. But this trend continued. Although the focus is now 'women and girls,' the Foreign Secretary is assumed to update the Strategic Vision for Gender Equality. However, this new strategy excludes other oppressed groups who experience more significant healthcare challenges due to their sexual orientation, gender identity, or expression (Perry et al., 2021). The Foreign Secretary also failed to prioritise essential healthcare for women and girls, which is critical to her agenda to end maternal mortality (Target 3.1) and ensure universal access to family planning, education, and sexual and reproductive health services (Target 3.7). The UK's Disability Inclusion and Rights Strategy's "achieving inclusive health for all" pillar seemed hopeful, but how it would be implemented is unknown.</w:t>
      </w:r>
    </w:p>
    <w:p w14:paraId="00000086" w14:textId="77777777" w:rsidR="004C5277" w:rsidRPr="00FE58D9" w:rsidRDefault="00000000" w:rsidP="00C45C6B">
      <w:pPr>
        <w:keepNext/>
        <w:keepLines/>
        <w:spacing w:before="480" w:after="80" w:line="360" w:lineRule="auto"/>
        <w:jc w:val="both"/>
        <w:rPr>
          <w:rFonts w:ascii="Arial" w:eastAsia="Arial" w:hAnsi="Arial" w:cs="Arial"/>
          <w:b/>
          <w:color w:val="548235"/>
          <w:sz w:val="24"/>
          <w:szCs w:val="24"/>
        </w:rPr>
      </w:pPr>
      <w:r w:rsidRPr="00FE58D9">
        <w:rPr>
          <w:rFonts w:ascii="Arial" w:eastAsia="Arial" w:hAnsi="Arial" w:cs="Arial"/>
          <w:b/>
          <w:color w:val="548235"/>
          <w:sz w:val="24"/>
          <w:szCs w:val="24"/>
        </w:rPr>
        <w:t>Challenges in Implementing SDG 3</w:t>
      </w:r>
    </w:p>
    <w:p w14:paraId="00000087"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 xml:space="preserve">Challenges in implementing SDG 3, Good </w:t>
      </w:r>
      <w:proofErr w:type="gramStart"/>
      <w:r w:rsidRPr="00FE58D9">
        <w:rPr>
          <w:rFonts w:ascii="Arial" w:eastAsia="Arial" w:hAnsi="Arial" w:cs="Arial"/>
          <w:sz w:val="24"/>
          <w:szCs w:val="24"/>
        </w:rPr>
        <w:t>Health</w:t>
      </w:r>
      <w:proofErr w:type="gramEnd"/>
      <w:r w:rsidRPr="00FE58D9">
        <w:rPr>
          <w:rFonts w:ascii="Arial" w:eastAsia="Arial" w:hAnsi="Arial" w:cs="Arial"/>
          <w:sz w:val="24"/>
          <w:szCs w:val="24"/>
        </w:rPr>
        <w:t xml:space="preserve"> and Well-being, include healthcare workforce shortages, disparities in access to healthcare services, and inadequate funding for preventive and primary care (Marmot et al., 2020). Additionally, addressing health inequalities, particularly among marginalised and vulnerable populations, remains a significant challenge. Furthermore, emerging health threats such as the COVID-19 pandemic highlight the need for resilience and adaptability in healthcare systems (</w:t>
      </w:r>
      <w:r w:rsidRPr="00FE58D9">
        <w:rPr>
          <w:rFonts w:ascii="Arial" w:eastAsia="Arial" w:hAnsi="Arial" w:cs="Arial"/>
          <w:color w:val="222222"/>
          <w:sz w:val="24"/>
          <w:szCs w:val="24"/>
        </w:rPr>
        <w:t xml:space="preserve">Fenner &amp; </w:t>
      </w:r>
      <w:proofErr w:type="spellStart"/>
      <w:r w:rsidRPr="00FE58D9">
        <w:rPr>
          <w:rFonts w:ascii="Arial" w:eastAsia="Arial" w:hAnsi="Arial" w:cs="Arial"/>
          <w:color w:val="222222"/>
          <w:sz w:val="24"/>
          <w:szCs w:val="24"/>
        </w:rPr>
        <w:t>Cernev</w:t>
      </w:r>
      <w:proofErr w:type="spellEnd"/>
      <w:r w:rsidRPr="00FE58D9">
        <w:rPr>
          <w:rFonts w:ascii="Arial" w:eastAsia="Arial" w:hAnsi="Arial" w:cs="Arial"/>
          <w:color w:val="222222"/>
          <w:sz w:val="24"/>
          <w:szCs w:val="24"/>
        </w:rPr>
        <w:t>, 2021).</w:t>
      </w:r>
    </w:p>
    <w:p w14:paraId="00000088" w14:textId="77777777" w:rsidR="004C5277" w:rsidRPr="00FE58D9" w:rsidRDefault="00000000" w:rsidP="00C45C6B">
      <w:pPr>
        <w:keepNext/>
        <w:keepLines/>
        <w:spacing w:before="240" w:after="80" w:line="360" w:lineRule="auto"/>
        <w:jc w:val="both"/>
        <w:rPr>
          <w:rFonts w:ascii="Arial" w:eastAsia="Arial" w:hAnsi="Arial" w:cs="Arial"/>
          <w:b/>
          <w:color w:val="548235"/>
          <w:sz w:val="24"/>
          <w:szCs w:val="24"/>
        </w:rPr>
      </w:pPr>
      <w:r w:rsidRPr="00FE58D9">
        <w:rPr>
          <w:rFonts w:ascii="Arial" w:eastAsia="Arial" w:hAnsi="Arial" w:cs="Arial"/>
          <w:b/>
          <w:color w:val="548235"/>
          <w:sz w:val="24"/>
          <w:szCs w:val="24"/>
        </w:rPr>
        <w:t xml:space="preserve">Recommendations for Improvement </w:t>
      </w:r>
    </w:p>
    <w:p w14:paraId="00000089"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 xml:space="preserve">To accomplish SDG 3 goals, policies and programs must be examined regularly and updated to address emerging health issues. SDG 3 in the UK requires improving preventative services, healthcare systems, and socioeconomic determinants of health (Perry et al. 2021). The UK should focus on preventive medical care, advance wellbeing values, layout multi-sectoral cooperation, and address complex medical problems to proceed with SDG 3 accomplishment. State-run administrations should support medical services foundation, preparation, and advancement (SDG 3) to </w:t>
      </w:r>
      <w:r w:rsidRPr="00FE58D9">
        <w:rPr>
          <w:rFonts w:ascii="Arial" w:eastAsia="Arial" w:hAnsi="Arial" w:cs="Arial"/>
          <w:sz w:val="24"/>
          <w:szCs w:val="24"/>
        </w:rPr>
        <w:lastRenderedPageBreak/>
        <w:t>develop frameworks and access further (</w:t>
      </w:r>
      <w:r w:rsidRPr="00FE58D9">
        <w:rPr>
          <w:rFonts w:ascii="Arial" w:eastAsia="Arial" w:hAnsi="Arial" w:cs="Arial"/>
          <w:color w:val="222222"/>
          <w:sz w:val="24"/>
          <w:szCs w:val="24"/>
        </w:rPr>
        <w:t xml:space="preserve">Bali &amp; Yang-Wallentin, 2020). </w:t>
      </w:r>
      <w:r w:rsidRPr="00FE58D9">
        <w:rPr>
          <w:rFonts w:ascii="Arial" w:eastAsia="Arial" w:hAnsi="Arial" w:cs="Arial"/>
          <w:sz w:val="24"/>
          <w:szCs w:val="24"/>
        </w:rPr>
        <w:t>This approach incorporates growing fundamental medical care administrations, particularly in low-pay locales, and putting resources into protection care to treat sickness causes (Further Brown, 2010). By assessing current systems, distinguishing inadequacies, and embracing new viewpoints, partners might fabricate a stronger society for people in the future.</w:t>
      </w:r>
    </w:p>
    <w:p w14:paraId="0000008A" w14:textId="77777777" w:rsidR="004C5277" w:rsidRPr="00FE58D9" w:rsidRDefault="004C5277" w:rsidP="00C45C6B">
      <w:pPr>
        <w:spacing w:line="360" w:lineRule="auto"/>
        <w:jc w:val="both"/>
        <w:rPr>
          <w:rFonts w:ascii="Arial" w:eastAsia="Arial" w:hAnsi="Arial" w:cs="Arial"/>
          <w:sz w:val="24"/>
          <w:szCs w:val="24"/>
        </w:rPr>
      </w:pPr>
    </w:p>
    <w:p w14:paraId="0000008B" w14:textId="77777777" w:rsidR="004C5277" w:rsidRPr="00FE58D9" w:rsidRDefault="00000000" w:rsidP="00C45C6B">
      <w:pPr>
        <w:pStyle w:val="Heading3"/>
        <w:rPr>
          <w:rFonts w:ascii="Arial" w:hAnsi="Arial" w:cs="Arial"/>
          <w:sz w:val="24"/>
          <w:szCs w:val="24"/>
        </w:rPr>
      </w:pPr>
      <w:bookmarkStart w:id="15" w:name="_Toc161986733"/>
      <w:r w:rsidRPr="00FE58D9">
        <w:rPr>
          <w:rFonts w:ascii="Arial" w:hAnsi="Arial" w:cs="Arial"/>
          <w:sz w:val="24"/>
          <w:szCs w:val="24"/>
        </w:rPr>
        <w:t>CONCLUSION</w:t>
      </w:r>
      <w:bookmarkEnd w:id="15"/>
    </w:p>
    <w:p w14:paraId="0000008C"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 xml:space="preserve">In conclusion, the progress towards achieving SDG 2, Zero Hunger, and SDG 3, Good </w:t>
      </w:r>
      <w:proofErr w:type="gramStart"/>
      <w:r w:rsidRPr="00FE58D9">
        <w:rPr>
          <w:rFonts w:ascii="Arial" w:eastAsia="Arial" w:hAnsi="Arial" w:cs="Arial"/>
          <w:sz w:val="24"/>
          <w:szCs w:val="24"/>
        </w:rPr>
        <w:t>Health</w:t>
      </w:r>
      <w:proofErr w:type="gramEnd"/>
      <w:r w:rsidRPr="00FE58D9">
        <w:rPr>
          <w:rFonts w:ascii="Arial" w:eastAsia="Arial" w:hAnsi="Arial" w:cs="Arial"/>
          <w:sz w:val="24"/>
          <w:szCs w:val="24"/>
        </w:rPr>
        <w:t xml:space="preserve"> and Well-being, within the UK context reflects a combination of successes and challenges. The UK government has taken important steps through strategies, programs, and initiatives to address food insecurity, improve nutrition, and promote access to healthcare services. The implementation of initiatives such as the NHS Long Term Plan and the Healthy Start Program demonstrates a commitment to improving health outcomes and promoting well-being for all residents.</w:t>
      </w:r>
    </w:p>
    <w:p w14:paraId="0000008D"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 xml:space="preserve">But while the UK government has demonstrated commitment and progress towards achieving SDG 2 and SDG 3, there is still work to be done to address the complex challenges underlying food insecurity and health inequalities. Addressing root causes of hunger, such as poverty and inequality, remains a complex task requiring coordinated efforts across sectors. Furthermore, disparities in healthcare access and outcomes highlight the need for targeted interventions to address health inequalities among marginalised and vulnerable populations. Additionally, </w:t>
      </w:r>
      <w:proofErr w:type="gramStart"/>
      <w:r w:rsidRPr="00FE58D9">
        <w:rPr>
          <w:rFonts w:ascii="Arial" w:eastAsia="Arial" w:hAnsi="Arial" w:cs="Arial"/>
          <w:sz w:val="24"/>
          <w:szCs w:val="24"/>
        </w:rPr>
        <w:t>the  COVID</w:t>
      </w:r>
      <w:proofErr w:type="gramEnd"/>
      <w:r w:rsidRPr="00FE58D9">
        <w:rPr>
          <w:rFonts w:ascii="Arial" w:eastAsia="Arial" w:hAnsi="Arial" w:cs="Arial"/>
          <w:sz w:val="24"/>
          <w:szCs w:val="24"/>
        </w:rPr>
        <w:t>-19 pandemic has highlighted the importance of resilience and adaptability in healthcare systems, as well as the need for targeted interventions to protect the most vulnerable members of society (Marmot et al., 2020).</w:t>
      </w:r>
    </w:p>
    <w:p w14:paraId="0000008E"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 xml:space="preserve">Moving forward, it is imperative for the UK government to prioritise investments in sustainable agriculture, healthcare infrastructure, and social determinants of health to achieve SDG 2 and SDG 3. This includes addressing workforce shortages, ensuring equitable access to healthcare services and nutrition support programs, and promoting policies that prioritise health equity and social justice. Collaborative efforts involving </w:t>
      </w:r>
      <w:r w:rsidRPr="00FE58D9">
        <w:rPr>
          <w:rFonts w:ascii="Arial" w:eastAsia="Arial" w:hAnsi="Arial" w:cs="Arial"/>
          <w:sz w:val="24"/>
          <w:szCs w:val="24"/>
        </w:rPr>
        <w:lastRenderedPageBreak/>
        <w:t>government agencies, healthcare providers, civil society organisations, and communities are essential for making progress towards these goals.</w:t>
      </w:r>
    </w:p>
    <w:p w14:paraId="0000008F"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To build on existing efforts and further advance towards these goals, it is essential for the UK government to prioritise investments in sustainable solutions that address the root causes of hunger and poor health outcomes. This includes not only addressing poverty and inequality but also promoting policies that support sustainable agriculture, equitable access to healthcare services, and community-based interventions that empower individuals and communities to lead healthier lives.</w:t>
      </w:r>
    </w:p>
    <w:p w14:paraId="00000090" w14:textId="77777777" w:rsidR="004C5277" w:rsidRPr="00FE58D9" w:rsidRDefault="00000000" w:rsidP="00C45C6B">
      <w:pPr>
        <w:spacing w:line="360" w:lineRule="auto"/>
        <w:jc w:val="both"/>
        <w:rPr>
          <w:rFonts w:ascii="Arial" w:eastAsia="Arial" w:hAnsi="Arial" w:cs="Arial"/>
          <w:sz w:val="24"/>
          <w:szCs w:val="24"/>
        </w:rPr>
      </w:pPr>
      <w:r w:rsidRPr="00FE58D9">
        <w:rPr>
          <w:rFonts w:ascii="Arial" w:eastAsia="Arial" w:hAnsi="Arial" w:cs="Arial"/>
          <w:sz w:val="24"/>
          <w:szCs w:val="24"/>
        </w:rPr>
        <w:t>Furthermore, promoting health equity and social justice requires a multifaceted approach that involves collaboration across sectors and levels of government. By engaging stakeholders from diverse backgrounds, including government agencies, healthcare providers, community organisations, and individuals with lived experience, the UK can develop more effective and inclusive strategies to improve health outcomes and promote well-being for all (Marmot et al., 2020).</w:t>
      </w:r>
    </w:p>
    <w:p w14:paraId="00000091" w14:textId="77777777" w:rsidR="004C5277" w:rsidRPr="00FE58D9" w:rsidRDefault="004C5277" w:rsidP="00C45C6B">
      <w:pPr>
        <w:spacing w:line="360" w:lineRule="auto"/>
        <w:jc w:val="both"/>
        <w:rPr>
          <w:rFonts w:ascii="Arial" w:eastAsia="Arial" w:hAnsi="Arial" w:cs="Arial"/>
          <w:sz w:val="24"/>
          <w:szCs w:val="24"/>
        </w:rPr>
      </w:pPr>
    </w:p>
    <w:p w14:paraId="00000092" w14:textId="77777777" w:rsidR="004C5277" w:rsidRPr="00FE58D9" w:rsidRDefault="00000000" w:rsidP="00C45C6B">
      <w:pPr>
        <w:pStyle w:val="Heading2"/>
        <w:spacing w:line="360" w:lineRule="auto"/>
        <w:jc w:val="both"/>
        <w:rPr>
          <w:rFonts w:ascii="Arial" w:eastAsia="Arial" w:hAnsi="Arial" w:cs="Arial"/>
          <w:color w:val="000000"/>
          <w:sz w:val="24"/>
          <w:szCs w:val="24"/>
        </w:rPr>
      </w:pPr>
      <w:bookmarkStart w:id="16" w:name="_Toc161986734"/>
      <w:r w:rsidRPr="00FE58D9">
        <w:rPr>
          <w:rFonts w:ascii="Arial" w:eastAsia="Arial" w:hAnsi="Arial" w:cs="Arial"/>
          <w:sz w:val="24"/>
          <w:szCs w:val="24"/>
        </w:rPr>
        <w:t>References</w:t>
      </w:r>
      <w:bookmarkEnd w:id="16"/>
    </w:p>
    <w:p w14:paraId="00000093"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Bali Swain, R., &amp; Yang-Wallentin, F. (2020). Achieving sustainable development goals: predicaments and strategies. International Journal of Sustainable Development &amp; World Ecology, 27(2), 96-106.</w:t>
      </w:r>
    </w:p>
    <w:p w14:paraId="00000094"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Bickler, G., Morton, S., &amp; Menne, B. (2020). Health and sustainable development: an analysis of 20 European voluntary national reviews. Public health, 180, 180-184.</w:t>
      </w:r>
    </w:p>
    <w:p w14:paraId="00000095"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Bozkurt, F., &amp; Ergen, A. (2010). Promoting Healthy Lifestyle for Sustainable Development. Retrieved from 10.4018/978-1-4666-6635-1.ch007</w:t>
      </w:r>
    </w:p>
    <w:p w14:paraId="00000096"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 xml:space="preserve">Craig, N., McGregor, S., Drummond, N., </w:t>
      </w:r>
      <w:proofErr w:type="spellStart"/>
      <w:r w:rsidRPr="00FE58D9">
        <w:rPr>
          <w:rFonts w:ascii="Arial" w:eastAsia="Arial" w:hAnsi="Arial" w:cs="Arial"/>
          <w:sz w:val="24"/>
          <w:szCs w:val="24"/>
        </w:rPr>
        <w:t>Fischbacher</w:t>
      </w:r>
      <w:proofErr w:type="spellEnd"/>
      <w:r w:rsidRPr="00FE58D9">
        <w:rPr>
          <w:rFonts w:ascii="Arial" w:eastAsia="Arial" w:hAnsi="Arial" w:cs="Arial"/>
          <w:sz w:val="24"/>
          <w:szCs w:val="24"/>
        </w:rPr>
        <w:t>, M., &amp; Iliffe, S. (2002). Factors affecting the shift towards a 'primary care-led' NHS: A qualitative study. British Journal of General Practice, 52(484), 895-900.</w:t>
      </w:r>
    </w:p>
    <w:p w14:paraId="00000097"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lastRenderedPageBreak/>
        <w:t xml:space="preserve">Devereux, S., </w:t>
      </w:r>
      <w:proofErr w:type="spellStart"/>
      <w:r w:rsidRPr="00FE58D9">
        <w:rPr>
          <w:rFonts w:ascii="Arial" w:eastAsia="Arial" w:hAnsi="Arial" w:cs="Arial"/>
          <w:sz w:val="24"/>
          <w:szCs w:val="24"/>
        </w:rPr>
        <w:t>Béné</w:t>
      </w:r>
      <w:proofErr w:type="spellEnd"/>
      <w:r w:rsidRPr="00FE58D9">
        <w:rPr>
          <w:rFonts w:ascii="Arial" w:eastAsia="Arial" w:hAnsi="Arial" w:cs="Arial"/>
          <w:sz w:val="24"/>
          <w:szCs w:val="24"/>
        </w:rPr>
        <w:t>, C., &amp; Hoddinott, J. (2020). Conceptualising COVID-19’s impacts on household food security. Food Security, 12(4), 769–772. https://doi.org/10.1007/s12571-020-01085-0</w:t>
      </w:r>
    </w:p>
    <w:p w14:paraId="00000098"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Diener, E., Oishi, S., &amp; Tay, L. (2017). Advances in subjective well-being research. Nature Human Behaviour, 1(5), 1-8.</w:t>
      </w:r>
    </w:p>
    <w:p w14:paraId="00000099"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Dowler, E., &amp; O'Connor, D. (2012). Rights-based approaches to addressing food poverty and food insecurity in Ireland and UK. Social Science &amp; Medicine, 74(1), 44-51.</w:t>
      </w:r>
    </w:p>
    <w:p w14:paraId="0000009A"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 xml:space="preserve">Fenner, R., &amp; </w:t>
      </w:r>
      <w:proofErr w:type="spellStart"/>
      <w:r w:rsidRPr="00FE58D9">
        <w:rPr>
          <w:rFonts w:ascii="Arial" w:eastAsia="Arial" w:hAnsi="Arial" w:cs="Arial"/>
          <w:sz w:val="24"/>
          <w:szCs w:val="24"/>
        </w:rPr>
        <w:t>Cernev</w:t>
      </w:r>
      <w:proofErr w:type="spellEnd"/>
      <w:r w:rsidRPr="00FE58D9">
        <w:rPr>
          <w:rFonts w:ascii="Arial" w:eastAsia="Arial" w:hAnsi="Arial" w:cs="Arial"/>
          <w:sz w:val="24"/>
          <w:szCs w:val="24"/>
        </w:rPr>
        <w:t>, T. (2021). The implications of the Covid-19 pandemic for delivering the Sustainable Development Goals. Futures, 128, 102726.</w:t>
      </w:r>
    </w:p>
    <w:p w14:paraId="0000009B"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Further Brown, K. (2010). Vulnerable Adults and Community Care (Post-Qualifying Social Work Practice) Exeter: Learning Matters</w:t>
      </w:r>
    </w:p>
    <w:p w14:paraId="0000009C"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 xml:space="preserve">Huber, M., </w:t>
      </w:r>
      <w:proofErr w:type="spellStart"/>
      <w:r w:rsidRPr="00FE58D9">
        <w:rPr>
          <w:rFonts w:ascii="Arial" w:eastAsia="Arial" w:hAnsi="Arial" w:cs="Arial"/>
          <w:sz w:val="24"/>
          <w:szCs w:val="24"/>
        </w:rPr>
        <w:t>Knottnerus</w:t>
      </w:r>
      <w:proofErr w:type="spellEnd"/>
      <w:r w:rsidRPr="00FE58D9">
        <w:rPr>
          <w:rFonts w:ascii="Arial" w:eastAsia="Arial" w:hAnsi="Arial" w:cs="Arial"/>
          <w:sz w:val="24"/>
          <w:szCs w:val="24"/>
        </w:rPr>
        <w:t>, J. A., Green, L., van der Horst, H., Jadad, A. R., Kromhout, D., ... &amp; Smid, H. (2011). How should we define health? British Medical Journal, 343, d4163.</w:t>
      </w:r>
    </w:p>
    <w:p w14:paraId="0000009D"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Jones, R. (2016). Mental Capacity Act Manual. Sweet and Maxwell.</w:t>
      </w:r>
    </w:p>
    <w:p w14:paraId="0000009E"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 xml:space="preserve">Laborde D, Martin W, Vos R. Impacts of COVID-19 on global poverty, food security, and diets: Insights from global model scenario analysis. Agric Econ. 2021 May;52(3):375-390. </w:t>
      </w:r>
      <w:proofErr w:type="spellStart"/>
      <w:r w:rsidRPr="00FE58D9">
        <w:rPr>
          <w:rFonts w:ascii="Arial" w:eastAsia="Arial" w:hAnsi="Arial" w:cs="Arial"/>
          <w:sz w:val="24"/>
          <w:szCs w:val="24"/>
        </w:rPr>
        <w:t>doi</w:t>
      </w:r>
      <w:proofErr w:type="spellEnd"/>
      <w:r w:rsidRPr="00FE58D9">
        <w:rPr>
          <w:rFonts w:ascii="Arial" w:eastAsia="Arial" w:hAnsi="Arial" w:cs="Arial"/>
          <w:sz w:val="24"/>
          <w:szCs w:val="24"/>
        </w:rPr>
        <w:t xml:space="preserve">: 10.1111/agec.12624. </w:t>
      </w:r>
      <w:proofErr w:type="spellStart"/>
      <w:r w:rsidRPr="00FE58D9">
        <w:rPr>
          <w:rFonts w:ascii="Arial" w:eastAsia="Arial" w:hAnsi="Arial" w:cs="Arial"/>
          <w:sz w:val="24"/>
          <w:szCs w:val="24"/>
        </w:rPr>
        <w:t>Epub</w:t>
      </w:r>
      <w:proofErr w:type="spellEnd"/>
      <w:r w:rsidRPr="00FE58D9">
        <w:rPr>
          <w:rFonts w:ascii="Arial" w:eastAsia="Arial" w:hAnsi="Arial" w:cs="Arial"/>
          <w:sz w:val="24"/>
          <w:szCs w:val="24"/>
        </w:rPr>
        <w:t xml:space="preserve"> 2021 Apr 8. PMID: 34230728; PMCID: PMC8251321.</w:t>
      </w:r>
    </w:p>
    <w:p w14:paraId="0000009F"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 xml:space="preserve">Lang, T., Barling, D., &amp; Caraher, M. (2009). Food Policy: Integrating health, </w:t>
      </w:r>
      <w:proofErr w:type="gramStart"/>
      <w:r w:rsidRPr="00FE58D9">
        <w:rPr>
          <w:rFonts w:ascii="Arial" w:eastAsia="Arial" w:hAnsi="Arial" w:cs="Arial"/>
          <w:sz w:val="24"/>
          <w:szCs w:val="24"/>
        </w:rPr>
        <w:t>environment</w:t>
      </w:r>
      <w:proofErr w:type="gramEnd"/>
      <w:r w:rsidRPr="00FE58D9">
        <w:rPr>
          <w:rFonts w:ascii="Arial" w:eastAsia="Arial" w:hAnsi="Arial" w:cs="Arial"/>
          <w:sz w:val="24"/>
          <w:szCs w:val="24"/>
        </w:rPr>
        <w:t xml:space="preserve"> and society. Oxford University Press.</w:t>
      </w:r>
    </w:p>
    <w:p w14:paraId="000000A0"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Lawlor, D. A., &amp; Chaturvedi, N. (2013). Treatment and prevention of obesity—are there critical periods for intervention? International Journal of Epidemiology, 42(3), 709-727.</w:t>
      </w:r>
    </w:p>
    <w:p w14:paraId="000000A1"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Lele, S. (1991). Sustainable development: A critical review. World Development, 19(6), 607-621.</w:t>
      </w:r>
    </w:p>
    <w:p w14:paraId="000000A2"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lastRenderedPageBreak/>
        <w:t xml:space="preserve">Lowe, N. M. (2021).  The global challenge of hidden hunger: perspectives from the field. Proc </w:t>
      </w:r>
      <w:proofErr w:type="spellStart"/>
      <w:r w:rsidRPr="00FE58D9">
        <w:rPr>
          <w:rFonts w:ascii="Arial" w:eastAsia="Arial" w:hAnsi="Arial" w:cs="Arial"/>
          <w:sz w:val="24"/>
          <w:szCs w:val="24"/>
        </w:rPr>
        <w:t>Nutr</w:t>
      </w:r>
      <w:proofErr w:type="spellEnd"/>
      <w:r w:rsidRPr="00FE58D9">
        <w:rPr>
          <w:rFonts w:ascii="Arial" w:eastAsia="Arial" w:hAnsi="Arial" w:cs="Arial"/>
          <w:sz w:val="24"/>
          <w:szCs w:val="24"/>
        </w:rPr>
        <w:t xml:space="preserve"> Soc. 2021 Aug;80(3):283-289. </w:t>
      </w:r>
      <w:proofErr w:type="spellStart"/>
      <w:r w:rsidRPr="00FE58D9">
        <w:rPr>
          <w:rFonts w:ascii="Arial" w:eastAsia="Arial" w:hAnsi="Arial" w:cs="Arial"/>
          <w:sz w:val="24"/>
          <w:szCs w:val="24"/>
        </w:rPr>
        <w:t>doi</w:t>
      </w:r>
      <w:proofErr w:type="spellEnd"/>
      <w:r w:rsidRPr="00FE58D9">
        <w:rPr>
          <w:rFonts w:ascii="Arial" w:eastAsia="Arial" w:hAnsi="Arial" w:cs="Arial"/>
          <w:sz w:val="24"/>
          <w:szCs w:val="24"/>
        </w:rPr>
        <w:t xml:space="preserve">: 10.1017/S0029665121000902. </w:t>
      </w:r>
      <w:proofErr w:type="spellStart"/>
      <w:r w:rsidRPr="00FE58D9">
        <w:rPr>
          <w:rFonts w:ascii="Arial" w:eastAsia="Arial" w:hAnsi="Arial" w:cs="Arial"/>
          <w:sz w:val="24"/>
          <w:szCs w:val="24"/>
        </w:rPr>
        <w:t>Epub</w:t>
      </w:r>
      <w:proofErr w:type="spellEnd"/>
      <w:r w:rsidRPr="00FE58D9">
        <w:rPr>
          <w:rFonts w:ascii="Arial" w:eastAsia="Arial" w:hAnsi="Arial" w:cs="Arial"/>
          <w:sz w:val="24"/>
          <w:szCs w:val="24"/>
        </w:rPr>
        <w:t xml:space="preserve"> 2021 Apr 26. PMID: 33896431.</w:t>
      </w:r>
    </w:p>
    <w:p w14:paraId="000000A3"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Mansell, P., Philbin, S. P., &amp; Konstantinou, E. (2020). Delivering UN Sustainable Development Goals' Impact on Infrastructure Projects: An Empirical Study of Senior Executives in the UK Construction Sector. Sustainability, 12(19), 7998.</w:t>
      </w:r>
    </w:p>
    <w:p w14:paraId="000000A4"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 xml:space="preserve">Marmot, M., Allen, J., Goldblatt, P., Herd, E., &amp; Morrison, J. (2020). Build back fairer: The COVID-19 Marmot Review. Retrieved from </w:t>
      </w:r>
      <w:proofErr w:type="gramStart"/>
      <w:r w:rsidRPr="00FE58D9">
        <w:rPr>
          <w:rFonts w:ascii="Arial" w:eastAsia="Arial" w:hAnsi="Arial" w:cs="Arial"/>
          <w:sz w:val="24"/>
          <w:szCs w:val="24"/>
        </w:rPr>
        <w:t>https://www.health.org.uk/publications/build-back-fairer-the-covid-19-marmot-review</w:t>
      </w:r>
      <w:proofErr w:type="gramEnd"/>
    </w:p>
    <w:p w14:paraId="000000A5"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 xml:space="preserve">Marmot, M., Friel, S., Bell, R., </w:t>
      </w:r>
      <w:proofErr w:type="spellStart"/>
      <w:r w:rsidRPr="00FE58D9">
        <w:rPr>
          <w:rFonts w:ascii="Arial" w:eastAsia="Arial" w:hAnsi="Arial" w:cs="Arial"/>
          <w:sz w:val="24"/>
          <w:szCs w:val="24"/>
        </w:rPr>
        <w:t>Houweling</w:t>
      </w:r>
      <w:proofErr w:type="spellEnd"/>
      <w:r w:rsidRPr="00FE58D9">
        <w:rPr>
          <w:rFonts w:ascii="Arial" w:eastAsia="Arial" w:hAnsi="Arial" w:cs="Arial"/>
          <w:sz w:val="24"/>
          <w:szCs w:val="24"/>
        </w:rPr>
        <w:t>, T. A., Taylor, S., &amp; Commission on Social Determinants of Health. (2008). Closing the gap in a generation: health equity through action on the social determinants of health. The Lancet, 372(9650), 1661-1669.</w:t>
      </w:r>
    </w:p>
    <w:p w14:paraId="000000A6"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Mazzotta, M. (2018). Sustainable Development Management Plan for NHS England 2018-202. Wellbeing and Corporate Responsibility Manager</w:t>
      </w:r>
    </w:p>
    <w:p w14:paraId="000000A7"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 xml:space="preserve">Moyer, J. D., &amp; Hedden, S. (2020). Are we on the right path to achieve sustainable development </w:t>
      </w:r>
      <w:proofErr w:type="gramStart"/>
      <w:r w:rsidRPr="00FE58D9">
        <w:rPr>
          <w:rFonts w:ascii="Arial" w:eastAsia="Arial" w:hAnsi="Arial" w:cs="Arial"/>
          <w:sz w:val="24"/>
          <w:szCs w:val="24"/>
        </w:rPr>
        <w:t>goals?.</w:t>
      </w:r>
      <w:proofErr w:type="gramEnd"/>
      <w:r w:rsidRPr="00FE58D9">
        <w:rPr>
          <w:rFonts w:ascii="Arial" w:eastAsia="Arial" w:hAnsi="Arial" w:cs="Arial"/>
          <w:sz w:val="24"/>
          <w:szCs w:val="24"/>
        </w:rPr>
        <w:t xml:space="preserve"> World Development, 127, 104749.</w:t>
      </w:r>
    </w:p>
    <w:p w14:paraId="000000A8"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 xml:space="preserve">NHS England. (2019). The NHS Long Term Plan. Retrieved from </w:t>
      </w:r>
      <w:proofErr w:type="gramStart"/>
      <w:r w:rsidRPr="00FE58D9">
        <w:rPr>
          <w:rFonts w:ascii="Arial" w:eastAsia="Arial" w:hAnsi="Arial" w:cs="Arial"/>
          <w:sz w:val="24"/>
          <w:szCs w:val="24"/>
        </w:rPr>
        <w:t>https://www.longtermplan.nhs.uk/</w:t>
      </w:r>
      <w:proofErr w:type="gramEnd"/>
    </w:p>
    <w:p w14:paraId="000000A9"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Phillips, P., Sandford, T., &amp; Johnston, C. (2013). Working in Mental Health: Practice and Policy in a Changing Environment. Oxon: Routledge</w:t>
      </w:r>
    </w:p>
    <w:p w14:paraId="000000AA"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 xml:space="preserve">Perry, B., </w:t>
      </w:r>
      <w:proofErr w:type="spellStart"/>
      <w:r w:rsidRPr="00FE58D9">
        <w:rPr>
          <w:rFonts w:ascii="Arial" w:eastAsia="Arial" w:hAnsi="Arial" w:cs="Arial"/>
          <w:sz w:val="24"/>
          <w:szCs w:val="24"/>
        </w:rPr>
        <w:t>Diprose</w:t>
      </w:r>
      <w:proofErr w:type="spellEnd"/>
      <w:r w:rsidRPr="00FE58D9">
        <w:rPr>
          <w:rFonts w:ascii="Arial" w:eastAsia="Arial" w:hAnsi="Arial" w:cs="Arial"/>
          <w:sz w:val="24"/>
          <w:szCs w:val="24"/>
        </w:rPr>
        <w:t>, K., Taylor Buck, N., &amp; Simon, D. (2021). Localizing the SDGs in England: Challenges and Value Propositions for Local Government. Frontiers in Sustainable Cities, 3.</w:t>
      </w:r>
    </w:p>
    <w:p w14:paraId="000000AB"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Rogers, A., &amp; Pilgrim, D. (2010). The Sociology of Mental Health and Illness Fourth Edition. Maidenhead: McGraw- Hill</w:t>
      </w:r>
    </w:p>
    <w:p w14:paraId="000000AC"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lastRenderedPageBreak/>
        <w:t xml:space="preserve">Ryff, C. D., &amp; Singer, B. (2008). Know thyself and become what you are: A </w:t>
      </w:r>
      <w:proofErr w:type="spellStart"/>
      <w:r w:rsidRPr="00FE58D9">
        <w:rPr>
          <w:rFonts w:ascii="Arial" w:eastAsia="Arial" w:hAnsi="Arial" w:cs="Arial"/>
          <w:sz w:val="24"/>
          <w:szCs w:val="24"/>
        </w:rPr>
        <w:t>eudaimonic</w:t>
      </w:r>
      <w:proofErr w:type="spellEnd"/>
      <w:r w:rsidRPr="00FE58D9">
        <w:rPr>
          <w:rFonts w:ascii="Arial" w:eastAsia="Arial" w:hAnsi="Arial" w:cs="Arial"/>
          <w:sz w:val="24"/>
          <w:szCs w:val="24"/>
        </w:rPr>
        <w:t xml:space="preserve"> approach to psychological well-being. Journal of Happiness Studies, 9(1), 13-39.</w:t>
      </w:r>
    </w:p>
    <w:p w14:paraId="000000AD"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Steptoe, A., Deaton, A., &amp; Stone, A. A. (2015). Subjective wellbeing, health, and ageing. *The Lancet, 385*(9968), 640-648.</w:t>
      </w:r>
    </w:p>
    <w:p w14:paraId="000000AE"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Sustainable Community Strategy 2008, Birmingham 2026 Our vision for the future.</w:t>
      </w:r>
    </w:p>
    <w:p w14:paraId="000000AF"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 xml:space="preserve">Ulbrich, P., Porto, J., &amp; Coaffee, J. (2018). The Impact of Urban Inequalities on Monitoring Progress towards Sustainable Development Goal 11: Methodological Considerations. </w:t>
      </w:r>
    </w:p>
    <w:p w14:paraId="000000B0"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 xml:space="preserve">United Nations. (2015). Transforming our world: the 2030 Agenda for Sustainable Development. Retrieved from </w:t>
      </w:r>
      <w:proofErr w:type="gramStart"/>
      <w:r w:rsidRPr="00FE58D9">
        <w:rPr>
          <w:rFonts w:ascii="Arial" w:eastAsia="Arial" w:hAnsi="Arial" w:cs="Arial"/>
          <w:sz w:val="24"/>
          <w:szCs w:val="24"/>
        </w:rPr>
        <w:t>https://sdgs.un.org/sites/default/files/publications/21252030%20Agenda%20for%20Sustainable%20Development%20web.pdf</w:t>
      </w:r>
      <w:proofErr w:type="gramEnd"/>
    </w:p>
    <w:p w14:paraId="000000B1"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 xml:space="preserve">United Nations Environment Programme (UNEP). (2012). Towards a Green Economy: Pathways to Sustainable Development and Poverty Eradication. Retrieved from </w:t>
      </w:r>
      <w:proofErr w:type="gramStart"/>
      <w:r w:rsidRPr="00FE58D9">
        <w:rPr>
          <w:rFonts w:ascii="Arial" w:eastAsia="Arial" w:hAnsi="Arial" w:cs="Arial"/>
          <w:sz w:val="24"/>
          <w:szCs w:val="24"/>
        </w:rPr>
        <w:t>https://www.unep.org/resources/report/towards-green-economy-pathways-sustainable-development-and-poverty-eradication</w:t>
      </w:r>
      <w:proofErr w:type="gramEnd"/>
    </w:p>
    <w:p w14:paraId="000000B2" w14:textId="77777777" w:rsidR="004C5277" w:rsidRPr="00FE58D9" w:rsidRDefault="004C5277" w:rsidP="00C45C6B">
      <w:pPr>
        <w:spacing w:line="360" w:lineRule="auto"/>
        <w:ind w:left="720" w:right="-20" w:hanging="720"/>
        <w:jc w:val="both"/>
        <w:rPr>
          <w:rFonts w:ascii="Arial" w:eastAsia="Arial" w:hAnsi="Arial" w:cs="Arial"/>
          <w:sz w:val="24"/>
          <w:szCs w:val="24"/>
        </w:rPr>
      </w:pPr>
    </w:p>
    <w:p w14:paraId="000000B3" w14:textId="77777777" w:rsidR="004C5277" w:rsidRPr="00FE58D9" w:rsidRDefault="004C5277" w:rsidP="00C45C6B">
      <w:pPr>
        <w:spacing w:line="360" w:lineRule="auto"/>
        <w:ind w:right="-20"/>
        <w:jc w:val="both"/>
        <w:rPr>
          <w:rFonts w:ascii="Arial" w:eastAsia="Arial" w:hAnsi="Arial" w:cs="Arial"/>
          <w:sz w:val="24"/>
          <w:szCs w:val="24"/>
        </w:rPr>
      </w:pPr>
    </w:p>
    <w:p w14:paraId="000000B4"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 xml:space="preserve"> </w:t>
      </w:r>
    </w:p>
    <w:p w14:paraId="000000B5"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 xml:space="preserve"> </w:t>
      </w:r>
    </w:p>
    <w:p w14:paraId="000000B6"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 xml:space="preserve"> </w:t>
      </w:r>
    </w:p>
    <w:p w14:paraId="000000BC" w14:textId="28991C23" w:rsidR="004C5277" w:rsidRPr="00FE58D9" w:rsidRDefault="004C5277" w:rsidP="00CB2AB4">
      <w:pPr>
        <w:spacing w:line="360" w:lineRule="auto"/>
        <w:ind w:left="720" w:right="-20" w:hanging="720"/>
        <w:jc w:val="both"/>
        <w:rPr>
          <w:rFonts w:ascii="Arial" w:eastAsia="Arial" w:hAnsi="Arial" w:cs="Arial"/>
          <w:sz w:val="24"/>
          <w:szCs w:val="24"/>
        </w:rPr>
      </w:pPr>
    </w:p>
    <w:p w14:paraId="000000BD"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 xml:space="preserve"> </w:t>
      </w:r>
    </w:p>
    <w:p w14:paraId="000000BE" w14:textId="77777777" w:rsidR="004C5277" w:rsidRPr="00FE58D9" w:rsidRDefault="004C5277" w:rsidP="00C45C6B">
      <w:pPr>
        <w:spacing w:line="360" w:lineRule="auto"/>
        <w:jc w:val="both"/>
        <w:rPr>
          <w:rFonts w:ascii="Arial" w:eastAsia="Arial" w:hAnsi="Arial" w:cs="Arial"/>
          <w:sz w:val="24"/>
          <w:szCs w:val="24"/>
        </w:rPr>
      </w:pPr>
    </w:p>
    <w:p w14:paraId="000000BF"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lastRenderedPageBreak/>
        <w:t xml:space="preserve"> </w:t>
      </w:r>
    </w:p>
    <w:p w14:paraId="000000C0"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 xml:space="preserve"> </w:t>
      </w:r>
    </w:p>
    <w:p w14:paraId="000000C1" w14:textId="77777777" w:rsidR="004C5277" w:rsidRPr="00FE58D9" w:rsidRDefault="00000000" w:rsidP="00C45C6B">
      <w:pPr>
        <w:pStyle w:val="Heading1"/>
        <w:spacing w:line="360" w:lineRule="auto"/>
        <w:jc w:val="both"/>
        <w:rPr>
          <w:rFonts w:ascii="Arial" w:eastAsia="Arial" w:hAnsi="Arial" w:cs="Arial"/>
          <w:sz w:val="24"/>
          <w:szCs w:val="24"/>
        </w:rPr>
      </w:pPr>
      <w:r w:rsidRPr="00FE58D9">
        <w:rPr>
          <w:rFonts w:ascii="Arial" w:eastAsia="Arial" w:hAnsi="Arial" w:cs="Arial"/>
          <w:sz w:val="24"/>
          <w:szCs w:val="24"/>
        </w:rPr>
        <w:t xml:space="preserve"> </w:t>
      </w:r>
    </w:p>
    <w:p w14:paraId="000000C2" w14:textId="77777777" w:rsidR="004C5277" w:rsidRPr="00FE58D9" w:rsidRDefault="00000000" w:rsidP="00C45C6B">
      <w:pPr>
        <w:spacing w:line="360" w:lineRule="auto"/>
        <w:ind w:left="720" w:right="-20" w:hanging="720"/>
        <w:jc w:val="both"/>
        <w:rPr>
          <w:rFonts w:ascii="Arial" w:eastAsia="Arial" w:hAnsi="Arial" w:cs="Arial"/>
          <w:sz w:val="24"/>
          <w:szCs w:val="24"/>
        </w:rPr>
      </w:pPr>
      <w:r w:rsidRPr="00FE58D9">
        <w:rPr>
          <w:rFonts w:ascii="Arial" w:eastAsia="Arial" w:hAnsi="Arial" w:cs="Arial"/>
          <w:sz w:val="24"/>
          <w:szCs w:val="24"/>
        </w:rPr>
        <w:t xml:space="preserve"> </w:t>
      </w:r>
    </w:p>
    <w:p w14:paraId="000000C3" w14:textId="77777777" w:rsidR="004C5277" w:rsidRPr="00FE58D9" w:rsidRDefault="004C5277" w:rsidP="00C45C6B">
      <w:pPr>
        <w:tabs>
          <w:tab w:val="left" w:pos="6240"/>
        </w:tabs>
        <w:spacing w:line="360" w:lineRule="auto"/>
        <w:jc w:val="both"/>
        <w:rPr>
          <w:rFonts w:ascii="Arial" w:eastAsia="Arial" w:hAnsi="Arial" w:cs="Arial"/>
          <w:sz w:val="24"/>
          <w:szCs w:val="24"/>
        </w:rPr>
      </w:pPr>
    </w:p>
    <w:p w14:paraId="000000C5" w14:textId="77777777" w:rsidR="004C5277" w:rsidRPr="00FE58D9" w:rsidRDefault="004C5277" w:rsidP="00C45C6B">
      <w:pPr>
        <w:spacing w:line="360" w:lineRule="auto"/>
        <w:jc w:val="both"/>
        <w:rPr>
          <w:rFonts w:ascii="Arial" w:eastAsia="Arial" w:hAnsi="Arial" w:cs="Arial"/>
          <w:sz w:val="24"/>
          <w:szCs w:val="24"/>
        </w:rPr>
      </w:pPr>
    </w:p>
    <w:sectPr w:rsidR="004C5277" w:rsidRPr="00FE58D9">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venir">
    <w:altName w:val="Calibri"/>
    <w:charset w:val="00"/>
    <w:family w:val="auto"/>
    <w:pitch w:val="default"/>
  </w:font>
  <w:font w:name="Tisa Offc Serif Pro">
    <w:charset w:val="00"/>
    <w:family w:val="auto"/>
    <w:pitch w:val="variable"/>
    <w:sig w:usb0="800002E7" w:usb1="00000002"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lawik">
    <w:charset w:val="00"/>
    <w:family w:val="swiss"/>
    <w:pitch w:val="variable"/>
    <w:sig w:usb0="00000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5277"/>
    <w:rsid w:val="000D3B28"/>
    <w:rsid w:val="00321C0B"/>
    <w:rsid w:val="004C5277"/>
    <w:rsid w:val="006E01B2"/>
    <w:rsid w:val="007D563C"/>
    <w:rsid w:val="007D6735"/>
    <w:rsid w:val="008F4B34"/>
    <w:rsid w:val="00B1250A"/>
    <w:rsid w:val="00BC6012"/>
    <w:rsid w:val="00C45C6B"/>
    <w:rsid w:val="00C804EF"/>
    <w:rsid w:val="00CB2AB4"/>
    <w:rsid w:val="00FA43BF"/>
    <w:rsid w:val="00FE5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0233F"/>
  <w15:docId w15:val="{44210A7A-ACAC-4418-B1E8-990AE50D7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venir" w:eastAsia="Avenir" w:hAnsi="Avenir" w:cs="Avenir"/>
        <w:lang w:val="en-GB" w:eastAsia="en-GB" w:bidi="ar-SA"/>
      </w:rPr>
    </w:rPrDefault>
    <w:pPrDefault>
      <w:pPr>
        <w:spacing w:after="24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80"/>
      <w:outlineLvl w:val="0"/>
    </w:pPr>
    <w:rPr>
      <w:rFonts w:ascii="Tisa Offc Serif Pro" w:eastAsia="Tisa Offc Serif Pro" w:hAnsi="Tisa Offc Serif Pro" w:cs="Tisa Offc Serif Pro"/>
      <w:b/>
      <w:color w:val="548235"/>
      <w:sz w:val="42"/>
      <w:szCs w:val="42"/>
    </w:rPr>
  </w:style>
  <w:style w:type="paragraph" w:styleId="Heading2">
    <w:name w:val="heading 2"/>
    <w:basedOn w:val="Normal"/>
    <w:next w:val="Normal"/>
    <w:uiPriority w:val="9"/>
    <w:unhideWhenUsed/>
    <w:qFormat/>
    <w:pPr>
      <w:keepNext/>
      <w:keepLines/>
      <w:spacing w:before="240" w:after="80"/>
      <w:outlineLvl w:val="1"/>
    </w:pPr>
    <w:rPr>
      <w:rFonts w:ascii="Tisa Offc Serif Pro" w:eastAsia="Tisa Offc Serif Pro" w:hAnsi="Tisa Offc Serif Pro" w:cs="Tisa Offc Serif Pro"/>
      <w:b/>
      <w:color w:val="548235"/>
      <w:sz w:val="32"/>
      <w:szCs w:val="32"/>
    </w:rPr>
  </w:style>
  <w:style w:type="paragraph" w:styleId="Heading3">
    <w:name w:val="heading 3"/>
    <w:basedOn w:val="Normal"/>
    <w:next w:val="Normal"/>
    <w:uiPriority w:val="9"/>
    <w:unhideWhenUsed/>
    <w:qFormat/>
    <w:pPr>
      <w:keepNext/>
      <w:keepLines/>
      <w:spacing w:before="240" w:after="80"/>
      <w:outlineLvl w:val="2"/>
    </w:pPr>
    <w:rPr>
      <w:rFonts w:ascii="Tisa Offc Serif Pro" w:eastAsia="Tisa Offc Serif Pro" w:hAnsi="Tisa Offc Serif Pro" w:cs="Tisa Offc Serif Pro"/>
      <w:b/>
      <w:color w:val="548235"/>
      <w:sz w:val="29"/>
      <w:szCs w:val="29"/>
    </w:rPr>
  </w:style>
  <w:style w:type="paragraph" w:styleId="Heading4">
    <w:name w:val="heading 4"/>
    <w:basedOn w:val="Normal"/>
    <w:next w:val="Normal"/>
    <w:uiPriority w:val="9"/>
    <w:semiHidden/>
    <w:unhideWhenUsed/>
    <w:qFormat/>
    <w:pPr>
      <w:keepNext/>
      <w:keepLines/>
      <w:spacing w:before="240" w:after="80"/>
      <w:outlineLvl w:val="3"/>
    </w:pPr>
    <w:rPr>
      <w:rFonts w:ascii="Tisa Offc Serif Pro" w:eastAsia="Tisa Offc Serif Pro" w:hAnsi="Tisa Offc Serif Pro" w:cs="Tisa Offc Serif Pro"/>
      <w:b/>
      <w:color w:val="548235"/>
      <w:sz w:val="28"/>
      <w:szCs w:val="28"/>
    </w:rPr>
  </w:style>
  <w:style w:type="paragraph" w:styleId="Heading5">
    <w:name w:val="heading 5"/>
    <w:basedOn w:val="Normal"/>
    <w:next w:val="Normal"/>
    <w:uiPriority w:val="9"/>
    <w:semiHidden/>
    <w:unhideWhenUsed/>
    <w:qFormat/>
    <w:pPr>
      <w:keepNext/>
      <w:keepLines/>
      <w:spacing w:before="240" w:after="80"/>
      <w:outlineLvl w:val="4"/>
    </w:pPr>
    <w:rPr>
      <w:rFonts w:ascii="Tisa Offc Serif Pro" w:eastAsia="Tisa Offc Serif Pro" w:hAnsi="Tisa Offc Serif Pro" w:cs="Tisa Offc Serif Pro"/>
      <w:b/>
      <w:color w:val="548235"/>
      <w:sz w:val="26"/>
      <w:szCs w:val="26"/>
    </w:rPr>
  </w:style>
  <w:style w:type="paragraph" w:styleId="Heading6">
    <w:name w:val="heading 6"/>
    <w:basedOn w:val="Normal"/>
    <w:next w:val="Normal"/>
    <w:uiPriority w:val="9"/>
    <w:semiHidden/>
    <w:unhideWhenUsed/>
    <w:qFormat/>
    <w:pPr>
      <w:keepNext/>
      <w:keepLines/>
      <w:spacing w:before="240" w:after="80"/>
      <w:outlineLvl w:val="5"/>
    </w:pPr>
    <w:rPr>
      <w:rFonts w:ascii="Tisa Offc Serif Pro" w:eastAsia="Tisa Offc Serif Pro" w:hAnsi="Tisa Offc Serif Pro" w:cs="Tisa Offc Serif Pro"/>
      <w:b/>
      <w:color w:val="548235"/>
      <w:sz w:val="25"/>
      <w:szCs w:val="2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160"/>
    </w:pPr>
    <w:rPr>
      <w:rFonts w:ascii="Tisa Offc Serif Pro" w:eastAsia="Tisa Offc Serif Pro" w:hAnsi="Tisa Offc Serif Pro" w:cs="Tisa Offc Serif Pro"/>
      <w:b/>
      <w:color w:val="262626"/>
      <w:sz w:val="76"/>
      <w:szCs w:val="76"/>
    </w:rPr>
  </w:style>
  <w:style w:type="paragraph" w:styleId="Subtitle">
    <w:name w:val="Subtitle"/>
    <w:basedOn w:val="Normal"/>
    <w:next w:val="Normal"/>
    <w:uiPriority w:val="11"/>
    <w:qFormat/>
    <w:pPr>
      <w:spacing w:after="800"/>
    </w:pPr>
    <w:rPr>
      <w:rFonts w:ascii="Selawik" w:eastAsia="Selawik" w:hAnsi="Selawik" w:cs="Selawik"/>
      <w:color w:val="548235"/>
      <w:sz w:val="48"/>
      <w:szCs w:val="48"/>
    </w:rPr>
  </w:style>
  <w:style w:type="paragraph" w:styleId="TOC1">
    <w:name w:val="toc 1"/>
    <w:basedOn w:val="Normal"/>
    <w:next w:val="Normal"/>
    <w:autoRedefine/>
    <w:uiPriority w:val="39"/>
    <w:unhideWhenUsed/>
    <w:rsid w:val="006E01B2"/>
    <w:pPr>
      <w:spacing w:after="100"/>
    </w:pPr>
  </w:style>
  <w:style w:type="paragraph" w:styleId="TOC2">
    <w:name w:val="toc 2"/>
    <w:basedOn w:val="Normal"/>
    <w:next w:val="Normal"/>
    <w:autoRedefine/>
    <w:uiPriority w:val="39"/>
    <w:unhideWhenUsed/>
    <w:rsid w:val="006E01B2"/>
    <w:pPr>
      <w:spacing w:after="100"/>
      <w:ind w:left="200"/>
    </w:pPr>
  </w:style>
  <w:style w:type="character" w:styleId="Hyperlink">
    <w:name w:val="Hyperlink"/>
    <w:basedOn w:val="DefaultParagraphFont"/>
    <w:uiPriority w:val="99"/>
    <w:unhideWhenUsed/>
    <w:rsid w:val="006E01B2"/>
    <w:rPr>
      <w:color w:val="0000FF" w:themeColor="hyperlink"/>
      <w:u w:val="single"/>
    </w:rPr>
  </w:style>
  <w:style w:type="paragraph" w:styleId="TOC3">
    <w:name w:val="toc 3"/>
    <w:basedOn w:val="Normal"/>
    <w:next w:val="Normal"/>
    <w:autoRedefine/>
    <w:uiPriority w:val="39"/>
    <w:unhideWhenUsed/>
    <w:rsid w:val="00FA43BF"/>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F95AD4E-F67B-4784-9057-904B4F8F03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5480</Words>
  <Characters>31236</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Janepher Namitala</cp:lastModifiedBy>
  <cp:revision>2</cp:revision>
  <dcterms:created xsi:type="dcterms:W3CDTF">2024-03-22T08:17:00Z</dcterms:created>
  <dcterms:modified xsi:type="dcterms:W3CDTF">2024-03-22T08:17:00Z</dcterms:modified>
</cp:coreProperties>
</file>